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96475"/>
      <w:bookmarkStart w:id="4" w:name="_Toc15377425"/>
      <w:bookmarkStart w:id="5"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8442"/>
      <w:bookmarkStart w:id="7" w:name="_Toc15377194"/>
      <w:bookmarkStart w:id="8" w:name="_Toc15396598"/>
      <w:bookmarkStart w:id="9" w:name="_Toc15396476"/>
      <w:bookmarkStart w:id="10" w:name="_Toc15377426"/>
      <w:r>
        <w:rPr>
          <w:rFonts w:hint="eastAsia" w:ascii="方正小标宋简体" w:hAnsi="方正小标宋简体" w:eastAsia="方正小标宋简体" w:cs="方正小标宋简体"/>
          <w:sz w:val="72"/>
          <w:szCs w:val="72"/>
        </w:rPr>
        <w:t>四川省</w:t>
      </w:r>
      <w:bookmarkStart w:id="11" w:name="_Toc15306268"/>
      <w:r>
        <w:rPr>
          <w:rFonts w:hint="eastAsia" w:ascii="方正小标宋简体" w:hAnsi="方正小标宋简体" w:eastAsia="方正小标宋简体" w:cs="方正小标宋简体"/>
          <w:sz w:val="72"/>
          <w:szCs w:val="72"/>
        </w:rPr>
        <w:t>宣汉县塔河镇人民政府单位决算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公开编制</w:t>
      </w:r>
      <w:r>
        <w:rPr>
          <w:rFonts w:hint="eastAsia" w:ascii="方正小标宋简体" w:hAnsi="方正小标宋简体" w:eastAsia="方正小标宋简体" w:cs="方正小标宋简体"/>
          <w:sz w:val="72"/>
          <w:szCs w:val="72"/>
          <w:lang w:val="en-US" w:eastAsia="zh-CN"/>
        </w:rPr>
        <w:t xml:space="preserve"> </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说</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明</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both"/>
        <w:outlineLvl w:val="0"/>
        <w:rPr>
          <w:rFonts w:hint="eastAsia" w:ascii="方正小标宋简体" w:hAnsi="方正小标宋简体" w:eastAsia="方正小标宋简体" w:cs="方正小标宋简体"/>
          <w:sz w:val="72"/>
          <w:szCs w:val="72"/>
        </w:rPr>
      </w:pPr>
    </w:p>
    <w:p>
      <w:pPr>
        <w:spacing w:line="600" w:lineRule="exact"/>
        <w:jc w:val="center"/>
        <w:outlineLvl w:val="9"/>
        <w:rPr>
          <w:rFonts w:ascii="方正小标宋简体" w:hAnsi="宋体" w:eastAsia="方正小标宋简体"/>
          <w:sz w:val="72"/>
          <w:szCs w:val="72"/>
        </w:rPr>
      </w:pPr>
      <w:bookmarkStart w:id="114" w:name="_GoBack"/>
      <w:bookmarkEnd w:id="114"/>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bookmarkEnd w:id="0"/>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widowControl/>
        <w:jc w:val="center"/>
        <w:rPr>
          <w:rFonts w:ascii="黑体" w:hAnsi="黑体" w:eastAsia="黑体" w:cstheme="minorBidi"/>
          <w:sz w:val="28"/>
          <w:szCs w:val="28"/>
        </w:rPr>
      </w:pPr>
    </w:p>
    <w:p>
      <w:pPr>
        <w:pStyle w:val="10"/>
      </w:pPr>
      <w:r>
        <w:rPr>
          <w:rFonts w:hint="eastAsia"/>
        </w:rPr>
        <w:t>公开时间：2022年11月17日</w:t>
      </w:r>
    </w:p>
    <w:p/>
    <w:sdt>
      <w:sdtPr>
        <w:rPr>
          <w:rFonts w:ascii="宋体" w:hAnsi="宋体" w:eastAsia="宋体" w:cs="Times New Roman"/>
          <w:kern w:val="2"/>
          <w:sz w:val="21"/>
          <w:szCs w:val="24"/>
          <w:lang w:val="en-US" w:eastAsia="zh-CN" w:bidi="ar-SA"/>
        </w:rPr>
        <w:id w:val="14745130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0"/>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_Toc6175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_Toc6175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_Toc12850 </w:instrText>
          </w:r>
          <w:r>
            <w:fldChar w:fldCharType="separate"/>
          </w:r>
          <w:r>
            <w:rPr>
              <w:rFonts w:hint="eastAsia" w:ascii="黑体" w:hAnsi="黑体" w:eastAsia="黑体"/>
              <w:bCs w:val="0"/>
            </w:rPr>
            <w:t>一、职能简介</w:t>
          </w:r>
          <w:r>
            <w:tab/>
          </w:r>
          <w:r>
            <w:fldChar w:fldCharType="begin"/>
          </w:r>
          <w:r>
            <w:instrText xml:space="preserve"> PAGEREF _Toc12850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_Toc21282 </w:instrText>
          </w:r>
          <w:r>
            <w:fldChar w:fldCharType="separate"/>
          </w:r>
          <w:r>
            <w:rPr>
              <w:rFonts w:hint="eastAsia" w:ascii="黑体" w:hAnsi="黑体" w:eastAsia="黑体"/>
            </w:rPr>
            <w:t>二、2021年重点工作完成情况</w:t>
          </w:r>
          <w:r>
            <w:tab/>
          </w:r>
          <w:r>
            <w:fldChar w:fldCharType="begin"/>
          </w:r>
          <w:r>
            <w:instrText xml:space="preserve"> PAGEREF _Toc21282 \h </w:instrText>
          </w:r>
          <w:r>
            <w:fldChar w:fldCharType="separate"/>
          </w:r>
          <w:r>
            <w:t>5</w:t>
          </w:r>
          <w:r>
            <w:fldChar w:fldCharType="end"/>
          </w:r>
          <w:r>
            <w:fldChar w:fldCharType="end"/>
          </w:r>
        </w:p>
        <w:p>
          <w:pPr>
            <w:pStyle w:val="10"/>
            <w:tabs>
              <w:tab w:val="right" w:leader="dot" w:pos="8306"/>
              <w:tab w:val="clear" w:pos="8296"/>
            </w:tabs>
          </w:pPr>
          <w:r>
            <w:fldChar w:fldCharType="begin"/>
          </w:r>
          <w:r>
            <w:instrText xml:space="preserve"> HYPERLINK \l _Toc9098 </w:instrText>
          </w:r>
          <w:r>
            <w:fldChar w:fldCharType="separate"/>
          </w:r>
          <w:r>
            <w:rPr>
              <w:rFonts w:hint="eastAsia" w:ascii="黑体" w:hAnsi="黑体" w:eastAsia="黑体"/>
            </w:rPr>
            <w:t>第二部分 2021年度</w:t>
          </w:r>
          <w:r>
            <w:rPr>
              <w:rFonts w:hint="eastAsia" w:ascii="黑体" w:hAnsi="黑体" w:eastAsia="黑体"/>
              <w:bCs/>
            </w:rPr>
            <w:t>单位决算情况说明</w:t>
          </w:r>
          <w:r>
            <w:tab/>
          </w:r>
          <w:r>
            <w:fldChar w:fldCharType="begin"/>
          </w:r>
          <w:r>
            <w:instrText xml:space="preserve"> PAGEREF _Toc9098 \h </w:instrText>
          </w:r>
          <w:r>
            <w:fldChar w:fldCharType="separate"/>
          </w:r>
          <w:r>
            <w:t>6</w:t>
          </w:r>
          <w:r>
            <w:fldChar w:fldCharType="end"/>
          </w:r>
          <w:r>
            <w:fldChar w:fldCharType="end"/>
          </w:r>
        </w:p>
        <w:p>
          <w:pPr>
            <w:pStyle w:val="11"/>
            <w:tabs>
              <w:tab w:val="right" w:leader="dot" w:pos="8306"/>
              <w:tab w:val="clear" w:pos="8296"/>
            </w:tabs>
          </w:pPr>
          <w:r>
            <w:fldChar w:fldCharType="begin"/>
          </w:r>
          <w:r>
            <w:instrText xml:space="preserve"> HYPERLINK \l _Toc22173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_Toc22173 \h </w:instrText>
          </w:r>
          <w:r>
            <w:fldChar w:fldCharType="separate"/>
          </w:r>
          <w:r>
            <w:t>6</w:t>
          </w:r>
          <w:r>
            <w:fldChar w:fldCharType="end"/>
          </w:r>
          <w:r>
            <w:fldChar w:fldCharType="end"/>
          </w:r>
        </w:p>
        <w:p>
          <w:pPr>
            <w:pStyle w:val="11"/>
            <w:tabs>
              <w:tab w:val="right" w:leader="dot" w:pos="8306"/>
              <w:tab w:val="clear" w:pos="8296"/>
            </w:tabs>
          </w:pPr>
          <w:r>
            <w:fldChar w:fldCharType="begin"/>
          </w:r>
          <w:r>
            <w:instrText xml:space="preserve"> HYPERLINK \l _Toc22192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_Toc22192 \h </w:instrText>
          </w:r>
          <w:r>
            <w:fldChar w:fldCharType="separate"/>
          </w:r>
          <w:r>
            <w:t>6</w:t>
          </w:r>
          <w:r>
            <w:fldChar w:fldCharType="end"/>
          </w:r>
          <w:r>
            <w:fldChar w:fldCharType="end"/>
          </w:r>
        </w:p>
        <w:p>
          <w:pPr>
            <w:pStyle w:val="11"/>
            <w:tabs>
              <w:tab w:val="right" w:leader="dot" w:pos="8306"/>
              <w:tab w:val="clear" w:pos="8296"/>
            </w:tabs>
          </w:pPr>
          <w:r>
            <w:fldChar w:fldCharType="begin"/>
          </w:r>
          <w:r>
            <w:instrText xml:space="preserve"> HYPERLINK \l _Toc10013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_Toc10013 \h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_Toc22596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_Toc22596 \h </w:instrText>
          </w:r>
          <w:r>
            <w:fldChar w:fldCharType="separate"/>
          </w:r>
          <w:r>
            <w:t>8</w:t>
          </w:r>
          <w:r>
            <w:fldChar w:fldCharType="end"/>
          </w:r>
          <w:r>
            <w:fldChar w:fldCharType="end"/>
          </w:r>
        </w:p>
        <w:p>
          <w:pPr>
            <w:pStyle w:val="11"/>
            <w:tabs>
              <w:tab w:val="right" w:leader="dot" w:pos="8306"/>
              <w:tab w:val="clear" w:pos="8296"/>
            </w:tabs>
          </w:pPr>
          <w:r>
            <w:fldChar w:fldCharType="begin"/>
          </w:r>
          <w:r>
            <w:instrText xml:space="preserve"> HYPERLINK \l _Toc23177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_Toc23177 \h </w:instrText>
          </w:r>
          <w:r>
            <w:fldChar w:fldCharType="separate"/>
          </w:r>
          <w:r>
            <w:t>8</w:t>
          </w:r>
          <w:r>
            <w:fldChar w:fldCharType="end"/>
          </w:r>
          <w:r>
            <w:fldChar w:fldCharType="end"/>
          </w:r>
        </w:p>
        <w:p>
          <w:pPr>
            <w:pStyle w:val="6"/>
            <w:tabs>
              <w:tab w:val="right" w:leader="dot" w:pos="8306"/>
              <w:tab w:val="clear" w:pos="8296"/>
            </w:tabs>
          </w:pPr>
          <w:r>
            <w:fldChar w:fldCharType="begin"/>
          </w:r>
          <w:r>
            <w:instrText xml:space="preserve"> HYPERLINK \l _Toc22273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_Toc22273 \h </w:instrText>
          </w:r>
          <w:r>
            <w:fldChar w:fldCharType="separate"/>
          </w:r>
          <w:r>
            <w:t>8</w:t>
          </w:r>
          <w:r>
            <w:fldChar w:fldCharType="end"/>
          </w:r>
          <w:r>
            <w:fldChar w:fldCharType="end"/>
          </w:r>
        </w:p>
        <w:p>
          <w:pPr>
            <w:pStyle w:val="6"/>
            <w:tabs>
              <w:tab w:val="right" w:leader="dot" w:pos="8306"/>
              <w:tab w:val="clear" w:pos="8296"/>
            </w:tabs>
          </w:pPr>
          <w:r>
            <w:fldChar w:fldCharType="begin"/>
          </w:r>
          <w:r>
            <w:instrText xml:space="preserve"> HYPERLINK \l _Toc15280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_Toc15280 \h </w:instrText>
          </w:r>
          <w:r>
            <w:fldChar w:fldCharType="separate"/>
          </w:r>
          <w:r>
            <w:t>9</w:t>
          </w:r>
          <w:r>
            <w:fldChar w:fldCharType="end"/>
          </w:r>
          <w:r>
            <w:fldChar w:fldCharType="end"/>
          </w:r>
        </w:p>
        <w:p>
          <w:pPr>
            <w:pStyle w:val="6"/>
            <w:tabs>
              <w:tab w:val="right" w:leader="dot" w:pos="8306"/>
              <w:tab w:val="clear" w:pos="8296"/>
            </w:tabs>
          </w:pPr>
          <w:r>
            <w:fldChar w:fldCharType="begin"/>
          </w:r>
          <w:r>
            <w:instrText xml:space="preserve"> HYPERLINK \l _Toc5006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_Toc5006 \h </w:instrText>
          </w:r>
          <w:r>
            <w:fldChar w:fldCharType="separate"/>
          </w:r>
          <w:r>
            <w:t>10</w:t>
          </w:r>
          <w:r>
            <w:fldChar w:fldCharType="end"/>
          </w:r>
          <w:r>
            <w:fldChar w:fldCharType="end"/>
          </w:r>
        </w:p>
        <w:p>
          <w:pPr>
            <w:pStyle w:val="11"/>
            <w:tabs>
              <w:tab w:val="right" w:leader="dot" w:pos="8306"/>
              <w:tab w:val="clear" w:pos="8296"/>
            </w:tabs>
          </w:pPr>
          <w:r>
            <w:fldChar w:fldCharType="begin"/>
          </w:r>
          <w:r>
            <w:instrText xml:space="preserve"> HYPERLINK \l _Toc8182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_Toc8182 \h </w:instrText>
          </w:r>
          <w:r>
            <w:fldChar w:fldCharType="separate"/>
          </w:r>
          <w:r>
            <w:t>12</w:t>
          </w:r>
          <w:r>
            <w:fldChar w:fldCharType="end"/>
          </w:r>
          <w:r>
            <w:fldChar w:fldCharType="end"/>
          </w:r>
        </w:p>
        <w:p>
          <w:pPr>
            <w:pStyle w:val="11"/>
            <w:tabs>
              <w:tab w:val="right" w:leader="dot" w:pos="8306"/>
              <w:tab w:val="clear" w:pos="8296"/>
            </w:tabs>
          </w:pPr>
          <w:r>
            <w:fldChar w:fldCharType="begin"/>
          </w:r>
          <w:r>
            <w:instrText xml:space="preserve"> HYPERLINK \l _Toc13862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_Toc13862 \h </w:instrText>
          </w:r>
          <w:r>
            <w:fldChar w:fldCharType="separate"/>
          </w:r>
          <w:r>
            <w:t>13</w:t>
          </w:r>
          <w:r>
            <w:fldChar w:fldCharType="end"/>
          </w:r>
          <w:r>
            <w:fldChar w:fldCharType="end"/>
          </w:r>
        </w:p>
        <w:p>
          <w:pPr>
            <w:pStyle w:val="6"/>
            <w:tabs>
              <w:tab w:val="right" w:leader="dot" w:pos="8306"/>
              <w:tab w:val="clear" w:pos="8296"/>
            </w:tabs>
          </w:pPr>
          <w:r>
            <w:fldChar w:fldCharType="begin"/>
          </w:r>
          <w:r>
            <w:instrText xml:space="preserve"> HYPERLINK \l _Toc24426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_Toc24426 \h </w:instrText>
          </w:r>
          <w:r>
            <w:fldChar w:fldCharType="separate"/>
          </w:r>
          <w:r>
            <w:t>13</w:t>
          </w:r>
          <w:r>
            <w:fldChar w:fldCharType="end"/>
          </w:r>
          <w:r>
            <w:fldChar w:fldCharType="end"/>
          </w:r>
        </w:p>
        <w:p>
          <w:pPr>
            <w:pStyle w:val="6"/>
            <w:tabs>
              <w:tab w:val="right" w:leader="dot" w:pos="8306"/>
              <w:tab w:val="clear" w:pos="8296"/>
            </w:tabs>
          </w:pPr>
          <w:r>
            <w:fldChar w:fldCharType="begin"/>
          </w:r>
          <w:r>
            <w:instrText xml:space="preserve"> HYPERLINK \l _Toc13974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_Toc13974 \h </w:instrText>
          </w:r>
          <w:r>
            <w:fldChar w:fldCharType="separate"/>
          </w:r>
          <w:r>
            <w:t>13</w:t>
          </w:r>
          <w:r>
            <w:fldChar w:fldCharType="end"/>
          </w:r>
          <w:r>
            <w:fldChar w:fldCharType="end"/>
          </w:r>
        </w:p>
        <w:p>
          <w:pPr>
            <w:pStyle w:val="11"/>
            <w:tabs>
              <w:tab w:val="right" w:leader="dot" w:pos="8306"/>
              <w:tab w:val="clear" w:pos="8296"/>
            </w:tabs>
          </w:pPr>
          <w:r>
            <w:fldChar w:fldCharType="begin"/>
          </w:r>
          <w:r>
            <w:instrText xml:space="preserve"> HYPERLINK \l _Toc13530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_Toc13530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_Toc30881 </w:instrText>
          </w:r>
          <w:r>
            <w:fldChar w:fldCharType="separate"/>
          </w:r>
          <w:r>
            <w:rPr>
              <w:rFonts w:hint="eastAsia" w:ascii="黑体" w:hAnsi="黑体" w:eastAsia="黑体"/>
            </w:rPr>
            <w:t>九、 国有资本经营预算支出决算情况说明</w:t>
          </w:r>
          <w:r>
            <w:tab/>
          </w:r>
          <w:r>
            <w:fldChar w:fldCharType="begin"/>
          </w:r>
          <w:r>
            <w:instrText xml:space="preserve"> PAGEREF _Toc30881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_Toc21445 </w:instrText>
          </w:r>
          <w:r>
            <w:fldChar w:fldCharType="separate"/>
          </w:r>
          <w:r>
            <w:rPr>
              <w:rFonts w:hint="eastAsia" w:ascii="黑体" w:hAnsi="黑体" w:eastAsia="黑体"/>
            </w:rPr>
            <w:t>十、 其他重要事项的情况说明</w:t>
          </w:r>
          <w:r>
            <w:tab/>
          </w:r>
          <w:r>
            <w:fldChar w:fldCharType="begin"/>
          </w:r>
          <w:r>
            <w:instrText xml:space="preserve"> PAGEREF _Toc21445 \h </w:instrText>
          </w:r>
          <w:r>
            <w:fldChar w:fldCharType="separate"/>
          </w:r>
          <w:r>
            <w:t>15</w:t>
          </w:r>
          <w:r>
            <w:fldChar w:fldCharType="end"/>
          </w:r>
          <w:r>
            <w:fldChar w:fldCharType="end"/>
          </w:r>
        </w:p>
        <w:p>
          <w:pPr>
            <w:pStyle w:val="6"/>
            <w:tabs>
              <w:tab w:val="right" w:leader="dot" w:pos="8306"/>
              <w:tab w:val="clear" w:pos="8296"/>
            </w:tabs>
          </w:pPr>
          <w:r>
            <w:fldChar w:fldCharType="begin"/>
          </w:r>
          <w:r>
            <w:instrText xml:space="preserve"> HYPERLINK \l _Toc26723 </w:instrText>
          </w:r>
          <w:r>
            <w:fldChar w:fldCharType="separate"/>
          </w:r>
          <w:r>
            <w:rPr>
              <w:rFonts w:hint="eastAsia" w:ascii="仿宋" w:hAnsi="仿宋" w:eastAsia="仿宋"/>
              <w:szCs w:val="32"/>
            </w:rPr>
            <w:t>（一）机关运行经费支出情况</w:t>
          </w:r>
          <w:r>
            <w:tab/>
          </w:r>
          <w:r>
            <w:fldChar w:fldCharType="begin"/>
          </w:r>
          <w:r>
            <w:instrText xml:space="preserve"> PAGEREF _Toc26723 \h </w:instrText>
          </w:r>
          <w:r>
            <w:fldChar w:fldCharType="separate"/>
          </w:r>
          <w:r>
            <w:t>15</w:t>
          </w:r>
          <w:r>
            <w:fldChar w:fldCharType="end"/>
          </w:r>
          <w:r>
            <w:fldChar w:fldCharType="end"/>
          </w:r>
        </w:p>
        <w:p>
          <w:pPr>
            <w:pStyle w:val="6"/>
            <w:tabs>
              <w:tab w:val="right" w:leader="dot" w:pos="8306"/>
              <w:tab w:val="clear" w:pos="8296"/>
            </w:tabs>
          </w:pPr>
          <w:r>
            <w:fldChar w:fldCharType="begin"/>
          </w:r>
          <w:r>
            <w:instrText xml:space="preserve"> HYPERLINK \l _Toc11293 </w:instrText>
          </w:r>
          <w:r>
            <w:fldChar w:fldCharType="separate"/>
          </w:r>
          <w:r>
            <w:rPr>
              <w:rFonts w:hint="eastAsia" w:ascii="仿宋" w:hAnsi="仿宋" w:eastAsia="仿宋"/>
              <w:szCs w:val="32"/>
            </w:rPr>
            <w:t>（二）政府采购支出情况</w:t>
          </w:r>
          <w:r>
            <w:tab/>
          </w:r>
          <w:r>
            <w:fldChar w:fldCharType="begin"/>
          </w:r>
          <w:r>
            <w:instrText xml:space="preserve"> PAGEREF _Toc11293 \h </w:instrText>
          </w:r>
          <w:r>
            <w:fldChar w:fldCharType="separate"/>
          </w:r>
          <w:r>
            <w:t>15</w:t>
          </w:r>
          <w:r>
            <w:fldChar w:fldCharType="end"/>
          </w:r>
          <w:r>
            <w:fldChar w:fldCharType="end"/>
          </w:r>
        </w:p>
        <w:p>
          <w:pPr>
            <w:pStyle w:val="6"/>
            <w:tabs>
              <w:tab w:val="right" w:leader="dot" w:pos="8306"/>
              <w:tab w:val="clear" w:pos="8296"/>
            </w:tabs>
          </w:pPr>
          <w:r>
            <w:fldChar w:fldCharType="begin"/>
          </w:r>
          <w:r>
            <w:instrText xml:space="preserve"> HYPERLINK \l _Toc16672 </w:instrText>
          </w:r>
          <w:r>
            <w:fldChar w:fldCharType="separate"/>
          </w:r>
          <w:r>
            <w:rPr>
              <w:rFonts w:hint="eastAsia" w:ascii="仿宋" w:hAnsi="仿宋" w:eastAsia="仿宋"/>
              <w:szCs w:val="32"/>
            </w:rPr>
            <w:t>（三）国有资产占有使用情况</w:t>
          </w:r>
          <w:r>
            <w:tab/>
          </w:r>
          <w:r>
            <w:fldChar w:fldCharType="begin"/>
          </w:r>
          <w:r>
            <w:instrText xml:space="preserve"> PAGEREF _Toc16672 \h </w:instrText>
          </w:r>
          <w:r>
            <w:fldChar w:fldCharType="separate"/>
          </w:r>
          <w:r>
            <w:t>15</w:t>
          </w:r>
          <w:r>
            <w:fldChar w:fldCharType="end"/>
          </w:r>
          <w:r>
            <w:fldChar w:fldCharType="end"/>
          </w:r>
        </w:p>
        <w:p>
          <w:pPr>
            <w:pStyle w:val="6"/>
            <w:tabs>
              <w:tab w:val="right" w:leader="dot" w:pos="8306"/>
              <w:tab w:val="clear" w:pos="8296"/>
            </w:tabs>
          </w:pPr>
          <w:r>
            <w:fldChar w:fldCharType="begin"/>
          </w:r>
          <w:r>
            <w:instrText xml:space="preserve"> HYPERLINK \l _Toc29359 </w:instrText>
          </w:r>
          <w:r>
            <w:fldChar w:fldCharType="separate"/>
          </w:r>
          <w:r>
            <w:rPr>
              <w:rFonts w:hint="eastAsia" w:ascii="仿宋" w:hAnsi="仿宋" w:eastAsia="仿宋"/>
              <w:szCs w:val="32"/>
            </w:rPr>
            <w:t>（</w:t>
          </w:r>
          <w:r>
            <w:rPr>
              <w:rFonts w:hint="eastAsia" w:ascii="方正粗黑宋简体" w:hAnsi="方正粗黑宋简体" w:eastAsia="方正粗黑宋简体"/>
              <w:szCs w:val="32"/>
            </w:rPr>
            <w:t>四）预算绩效管理情况</w:t>
          </w:r>
          <w:r>
            <w:tab/>
          </w:r>
          <w:r>
            <w:fldChar w:fldCharType="begin"/>
          </w:r>
          <w:r>
            <w:instrText xml:space="preserve"> PAGEREF _Toc29359 \h </w:instrText>
          </w:r>
          <w:r>
            <w:fldChar w:fldCharType="separate"/>
          </w:r>
          <w:r>
            <w:t>16</w:t>
          </w:r>
          <w:r>
            <w:fldChar w:fldCharType="end"/>
          </w:r>
          <w:r>
            <w:fldChar w:fldCharType="end"/>
          </w:r>
        </w:p>
        <w:p>
          <w:pPr>
            <w:pStyle w:val="6"/>
            <w:tabs>
              <w:tab w:val="right" w:leader="dot" w:pos="8306"/>
              <w:tab w:val="clear" w:pos="8296"/>
            </w:tabs>
          </w:pPr>
          <w:r>
            <w:fldChar w:fldCharType="begin"/>
          </w:r>
          <w:r>
            <w:instrText xml:space="preserve"> HYPERLINK \l _Toc6314 </w:instrText>
          </w:r>
          <w:r>
            <w:fldChar w:fldCharType="separate"/>
          </w:r>
          <w:r>
            <w:rPr>
              <w:rFonts w:hint="eastAsia" w:ascii="仿宋" w:hAnsi="仿宋" w:eastAsia="仿宋" w:cs="楷体_GB2312"/>
              <w:bCs/>
              <w:szCs w:val="32"/>
            </w:rPr>
            <w:t>（二）项目绩效目标完成情况。</w:t>
          </w:r>
          <w:r>
            <w:tab/>
          </w:r>
          <w:r>
            <w:fldChar w:fldCharType="begin"/>
          </w:r>
          <w:r>
            <w:instrText xml:space="preserve"> PAGEREF _Toc6314 \h </w:instrText>
          </w:r>
          <w:r>
            <w:fldChar w:fldCharType="separate"/>
          </w:r>
          <w:r>
            <w:t>16</w:t>
          </w:r>
          <w:r>
            <w:fldChar w:fldCharType="end"/>
          </w:r>
          <w:r>
            <w:fldChar w:fldCharType="end"/>
          </w:r>
        </w:p>
        <w:p>
          <w:pPr>
            <w:pStyle w:val="10"/>
            <w:tabs>
              <w:tab w:val="right" w:leader="dot" w:pos="8306"/>
              <w:tab w:val="clear" w:pos="8296"/>
            </w:tabs>
          </w:pPr>
          <w:r>
            <w:fldChar w:fldCharType="begin"/>
          </w:r>
          <w:r>
            <w:instrText xml:space="preserve"> HYPERLINK \l _Toc4469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_Toc4469 \h </w:instrText>
          </w:r>
          <w:r>
            <w:fldChar w:fldCharType="separate"/>
          </w:r>
          <w:r>
            <w:t>24</w:t>
          </w:r>
          <w:r>
            <w:fldChar w:fldCharType="end"/>
          </w:r>
          <w:r>
            <w:fldChar w:fldCharType="end"/>
          </w:r>
        </w:p>
        <w:p>
          <w:pPr>
            <w:pStyle w:val="10"/>
            <w:tabs>
              <w:tab w:val="right" w:leader="dot" w:pos="8306"/>
              <w:tab w:val="clear" w:pos="8296"/>
            </w:tabs>
          </w:pPr>
          <w:r>
            <w:fldChar w:fldCharType="begin"/>
          </w:r>
          <w:r>
            <w:instrText xml:space="preserve"> HYPERLINK \l _Toc22225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_Toc22225 \h </w:instrText>
          </w:r>
          <w:r>
            <w:fldChar w:fldCharType="separate"/>
          </w:r>
          <w:r>
            <w:t>28</w:t>
          </w:r>
          <w:r>
            <w:fldChar w:fldCharType="end"/>
          </w:r>
          <w:r>
            <w:fldChar w:fldCharType="end"/>
          </w:r>
        </w:p>
        <w:p>
          <w:pPr>
            <w:pStyle w:val="11"/>
            <w:tabs>
              <w:tab w:val="right" w:leader="dot" w:pos="8306"/>
              <w:tab w:val="clear" w:pos="8296"/>
            </w:tabs>
          </w:pPr>
          <w:r>
            <w:fldChar w:fldCharType="begin"/>
          </w:r>
          <w:r>
            <w:instrText xml:space="preserve"> HYPERLINK \l _Toc26546 </w:instrText>
          </w:r>
          <w:r>
            <w:fldChar w:fldCharType="separate"/>
          </w:r>
          <w:r>
            <w:rPr>
              <w:rFonts w:hint="eastAsia" w:ascii="黑体" w:hAnsi="黑体" w:eastAsia="黑体" w:cs="黑体"/>
              <w:szCs w:val="32"/>
            </w:rPr>
            <w:t>附件</w:t>
          </w:r>
          <w:r>
            <w:tab/>
          </w:r>
          <w:r>
            <w:fldChar w:fldCharType="begin"/>
          </w:r>
          <w:r>
            <w:instrText xml:space="preserve"> PAGEREF _Toc26546 \h </w:instrText>
          </w:r>
          <w:r>
            <w:fldChar w:fldCharType="separate"/>
          </w:r>
          <w:r>
            <w:t>28</w:t>
          </w:r>
          <w:r>
            <w:fldChar w:fldCharType="end"/>
          </w:r>
          <w:r>
            <w:fldChar w:fldCharType="end"/>
          </w:r>
        </w:p>
        <w:p>
          <w:pPr>
            <w:pStyle w:val="10"/>
            <w:tabs>
              <w:tab w:val="right" w:leader="dot" w:pos="8306"/>
              <w:tab w:val="clear" w:pos="8296"/>
            </w:tabs>
          </w:pPr>
          <w:r>
            <w:fldChar w:fldCharType="begin"/>
          </w:r>
          <w:r>
            <w:instrText xml:space="preserve"> HYPERLINK \l _Toc417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_Toc417 \h </w:instrText>
          </w:r>
          <w:r>
            <w:fldChar w:fldCharType="separate"/>
          </w:r>
          <w:r>
            <w:t>29</w:t>
          </w:r>
          <w:r>
            <w:fldChar w:fldCharType="end"/>
          </w:r>
          <w:r>
            <w:fldChar w:fldCharType="end"/>
          </w:r>
        </w:p>
        <w:p>
          <w:pPr>
            <w:pStyle w:val="11"/>
            <w:tabs>
              <w:tab w:val="right" w:leader="dot" w:pos="8306"/>
              <w:tab w:val="clear" w:pos="8296"/>
            </w:tabs>
            <w:rPr>
              <w:rFonts w:hint="eastAsia" w:eastAsia="宋体"/>
              <w:lang w:val="en-US" w:eastAsia="zh-CN"/>
            </w:rPr>
          </w:pPr>
          <w:r>
            <w:fldChar w:fldCharType="begin"/>
          </w:r>
          <w:r>
            <w:instrText xml:space="preserve"> HYPERLINK \l _Toc16339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2</w:t>
          </w:r>
          <w:r>
            <w:fldChar w:fldCharType="end"/>
          </w:r>
          <w:r>
            <w:rPr>
              <w:rFonts w:hint="eastAsia"/>
              <w:lang w:val="en-US" w:eastAsia="zh-CN"/>
            </w:rPr>
            <w:t>9</w:t>
          </w:r>
        </w:p>
        <w:p>
          <w:pPr>
            <w:pStyle w:val="11"/>
            <w:tabs>
              <w:tab w:val="right" w:leader="dot" w:pos="8306"/>
              <w:tab w:val="clear" w:pos="8296"/>
            </w:tabs>
          </w:pPr>
          <w:r>
            <w:fldChar w:fldCharType="begin"/>
          </w:r>
          <w:r>
            <w:instrText xml:space="preserve"> HYPERLINK \l _Toc19506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_Toc19506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_Toc20834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_Toc20834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_Toc1367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_Toc1367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_Toc6037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_Toc6037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_Toc11382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_Toc11382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_Toc18742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_Toc18742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_Toc26174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_Toc26174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_Toc25853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_Toc25853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_Toc6186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_Toc6186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_Toc7574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_Toc7574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_Toc26856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_Toc26856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_Toc2786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_Toc2786 \h </w:instrText>
          </w:r>
          <w:r>
            <w:fldChar w:fldCharType="separate"/>
          </w:r>
          <w:r>
            <w:t>29</w:t>
          </w:r>
          <w:r>
            <w:fldChar w:fldCharType="end"/>
          </w:r>
          <w:r>
            <w:fldChar w:fldCharType="end"/>
          </w:r>
        </w:p>
        <w:p>
          <w:pPr>
            <w:pStyle w:val="11"/>
            <w:tabs>
              <w:tab w:val="right" w:leader="dot" w:pos="8306"/>
              <w:tab w:val="clear" w:pos="8296"/>
            </w:tabs>
          </w:pPr>
          <w:r>
            <w:fldChar w:fldCharType="begin"/>
          </w:r>
          <w:r>
            <w:instrText xml:space="preserve"> HYPERLINK \l _Toc5400 </w:instrText>
          </w:r>
          <w:r>
            <w:fldChar w:fldCharType="separate"/>
          </w:r>
          <w:r>
            <w:rPr>
              <w:rFonts w:hint="eastAsia" w:ascii="仿宋" w:hAnsi="仿宋" w:eastAsia="仿宋"/>
              <w:bCs w:val="0"/>
            </w:rPr>
            <w:t>十四、国有资本经营预算财政拨款支出决算表</w:t>
          </w:r>
          <w:r>
            <w:tab/>
          </w:r>
          <w:r>
            <w:fldChar w:fldCharType="begin"/>
          </w:r>
          <w:r>
            <w:instrText xml:space="preserve"> PAGEREF _Toc5400 \h </w:instrText>
          </w:r>
          <w:r>
            <w:fldChar w:fldCharType="separate"/>
          </w:r>
          <w:r>
            <w:t>29</w:t>
          </w:r>
          <w:r>
            <w:fldChar w:fldCharType="end"/>
          </w:r>
          <w:r>
            <w:fldChar w:fldCharType="end"/>
          </w:r>
        </w:p>
        <w:p>
          <w:r>
            <w:fldChar w:fldCharType="end"/>
          </w:r>
        </w:p>
      </w:sdtContent>
    </w:sdt>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bookmarkStart w:id="14" w:name="_Toc6175"/>
      <w:r>
        <w:rPr>
          <w:rFonts w:hint="eastAsia" w:ascii="黑体" w:hAnsi="黑体" w:eastAsia="黑体"/>
          <w:b w:val="0"/>
        </w:rPr>
        <w:t>第一部分 单位</w:t>
      </w:r>
      <w:r>
        <w:rPr>
          <w:rStyle w:val="24"/>
          <w:rFonts w:hint="eastAsia" w:ascii="黑体" w:hAnsi="黑体" w:eastAsia="黑体"/>
          <w:b w:val="0"/>
          <w:bCs w:val="0"/>
        </w:rPr>
        <w:t>概况</w:t>
      </w:r>
      <w:bookmarkEnd w:id="12"/>
      <w:bookmarkEnd w:id="13"/>
      <w:bookmarkEnd w:id="14"/>
    </w:p>
    <w:p>
      <w:pPr>
        <w:widowControl/>
        <w:jc w:val="left"/>
        <w:rPr>
          <w:rFonts w:ascii="黑体" w:eastAsia="黑体"/>
          <w:sz w:val="32"/>
          <w:szCs w:val="32"/>
        </w:rPr>
      </w:pPr>
    </w:p>
    <w:p>
      <w:pPr>
        <w:spacing w:line="560" w:lineRule="exact"/>
        <w:ind w:firstLine="480" w:firstLineChars="150"/>
        <w:outlineLvl w:val="1"/>
        <w:rPr>
          <w:rStyle w:val="25"/>
          <w:rFonts w:ascii="黑体" w:hAnsi="黑体" w:eastAsia="黑体"/>
          <w:b w:val="0"/>
          <w:bCs w:val="0"/>
        </w:rPr>
      </w:pPr>
      <w:bookmarkStart w:id="15" w:name="_Toc12850"/>
      <w:bookmarkStart w:id="16" w:name="_Toc15396600"/>
      <w:bookmarkStart w:id="17" w:name="_Toc15377197"/>
      <w:r>
        <w:rPr>
          <w:rStyle w:val="25"/>
          <w:rFonts w:hint="eastAsia" w:ascii="黑体" w:hAnsi="黑体" w:eastAsia="黑体"/>
          <w:b w:val="0"/>
          <w:bCs w:val="0"/>
        </w:rPr>
        <w:t>一、职能简介</w:t>
      </w:r>
      <w:bookmarkEnd w:id="15"/>
      <w:bookmarkStart w:id="18" w:name="_Toc15378445"/>
      <w:bookmarkStart w:id="19" w:name="_Toc15377198"/>
    </w:p>
    <w:p>
      <w:pPr>
        <w:spacing w:line="560" w:lineRule="exact"/>
        <w:ind w:firstLine="480" w:firstLineChars="150"/>
        <w:rPr>
          <w:rFonts w:hint="eastAsia" w:ascii="宋体" w:hAnsi="宋体" w:eastAsia="宋体"/>
          <w:sz w:val="32"/>
          <w:szCs w:val="32"/>
          <w:lang w:eastAsia="zh-CN"/>
        </w:rPr>
      </w:pPr>
      <w:r>
        <w:rPr>
          <w:rFonts w:hint="eastAsia" w:ascii="仿宋" w:hAnsi="仿宋" w:eastAsia="仿宋"/>
          <w:bCs/>
          <w:color w:val="000000"/>
          <w:sz w:val="32"/>
          <w:szCs w:val="32"/>
        </w:rPr>
        <w:t>（一）主要职能。</w:t>
      </w:r>
      <w:r>
        <w:rPr>
          <w:rFonts w:ascii="宋体" w:hAnsi="宋体"/>
          <w:sz w:val="32"/>
          <w:szCs w:val="32"/>
        </w:rPr>
        <w:t>（1）制定和组织</w:t>
      </w:r>
      <w:r>
        <w:rPr>
          <w:rFonts w:hint="eastAsia" w:ascii="宋体" w:hAnsi="宋体"/>
          <w:sz w:val="32"/>
          <w:szCs w:val="32"/>
        </w:rPr>
        <w:t>我镇</w:t>
      </w:r>
      <w:r>
        <w:rPr>
          <w:rFonts w:ascii="宋体" w:hAnsi="宋体"/>
          <w:sz w:val="32"/>
          <w:szCs w:val="32"/>
        </w:rPr>
        <w:t>实施经济、科技和社会发展计划，制定资源开发技术改造和产业结构调整方案，组织指导好各业生产，</w:t>
      </w:r>
      <w:r>
        <w:rPr>
          <w:rFonts w:hint="eastAsia" w:ascii="宋体" w:hAnsi="宋体"/>
          <w:sz w:val="32"/>
          <w:szCs w:val="32"/>
        </w:rPr>
        <w:t>抓好脱贫攻坚和乡村振兴衔接工作，</w:t>
      </w:r>
      <w:r>
        <w:rPr>
          <w:rFonts w:ascii="宋体" w:hAnsi="宋体"/>
          <w:sz w:val="32"/>
          <w:szCs w:val="32"/>
        </w:rPr>
        <w:t>搞好商品流通，协调好本</w:t>
      </w:r>
      <w:r>
        <w:rPr>
          <w:rFonts w:hint="eastAsia" w:ascii="宋体" w:hAnsi="宋体"/>
          <w:sz w:val="32"/>
          <w:szCs w:val="32"/>
        </w:rPr>
        <w:t>镇</w:t>
      </w:r>
      <w:r>
        <w:rPr>
          <w:rFonts w:ascii="宋体" w:hAnsi="宋体"/>
          <w:sz w:val="32"/>
          <w:szCs w:val="32"/>
        </w:rPr>
        <w:t>与外地区的经济交流与合作，抓好招商引资，人才引进项目开发，不断培育市场体系，组织经济运行，促进经济发展。</w:t>
      </w:r>
    </w:p>
    <w:p>
      <w:pPr>
        <w:spacing w:line="560" w:lineRule="exact"/>
        <w:ind w:firstLine="480" w:firstLineChars="150"/>
        <w:rPr>
          <w:rFonts w:hint="eastAsia" w:ascii="宋体" w:hAnsi="宋体" w:eastAsia="宋体"/>
          <w:sz w:val="32"/>
          <w:szCs w:val="32"/>
          <w:lang w:eastAsia="zh-CN"/>
        </w:rPr>
      </w:pPr>
      <w:r>
        <w:rPr>
          <w:rFonts w:hint="eastAsia" w:ascii="宋体" w:hAnsi="宋体"/>
          <w:sz w:val="32"/>
          <w:szCs w:val="32"/>
        </w:rPr>
        <w:t xml:space="preserve">   </w:t>
      </w:r>
      <w:r>
        <w:rPr>
          <w:rFonts w:ascii="宋体" w:hAnsi="宋体"/>
          <w:sz w:val="32"/>
          <w:szCs w:val="32"/>
        </w:rPr>
        <w:t>（2）制定并组织实施</w:t>
      </w:r>
      <w:r>
        <w:rPr>
          <w:rFonts w:hint="eastAsia" w:ascii="宋体" w:hAnsi="宋体"/>
          <w:sz w:val="32"/>
          <w:szCs w:val="32"/>
        </w:rPr>
        <w:t>我镇</w:t>
      </w:r>
      <w:r>
        <w:rPr>
          <w:rFonts w:ascii="宋体" w:hAnsi="宋体"/>
          <w:sz w:val="32"/>
          <w:szCs w:val="32"/>
        </w:rPr>
        <w:t>村镇建设规划，部署重点工程建设，地方道路建设及公共设施，水利设施的管理，负责土地、林木、水等自然资源和生态环境的保护，做好护林防火工作。</w:t>
      </w:r>
    </w:p>
    <w:p>
      <w:pPr>
        <w:spacing w:line="560" w:lineRule="exact"/>
        <w:ind w:firstLine="480" w:firstLineChars="150"/>
        <w:rPr>
          <w:rFonts w:ascii="宋体" w:hAnsi="宋体"/>
          <w:sz w:val="32"/>
          <w:szCs w:val="32"/>
        </w:rPr>
      </w:pPr>
      <w:r>
        <w:rPr>
          <w:rFonts w:hint="eastAsia" w:ascii="宋体" w:hAnsi="宋体"/>
          <w:sz w:val="32"/>
          <w:szCs w:val="32"/>
        </w:rPr>
        <w:t xml:space="preserve">   </w:t>
      </w:r>
      <w:r>
        <w:rPr>
          <w:rFonts w:ascii="宋体" w:hAnsi="宋体"/>
          <w:sz w:val="32"/>
          <w:szCs w:val="32"/>
        </w:rPr>
        <w:t>（3）负责</w:t>
      </w:r>
      <w:r>
        <w:rPr>
          <w:rFonts w:hint="eastAsia" w:ascii="宋体" w:hAnsi="宋体"/>
          <w:sz w:val="32"/>
          <w:szCs w:val="32"/>
        </w:rPr>
        <w:t>我镇</w:t>
      </w:r>
      <w:r>
        <w:rPr>
          <w:rFonts w:ascii="宋体" w:hAnsi="宋体"/>
          <w:sz w:val="32"/>
          <w:szCs w:val="32"/>
        </w:rPr>
        <w:t>行政区域内的民政、计划生育、文化教育、卫生、体育等社会公益事业的综合性工作，维护一切经济单位和个人的正当经济权益，取缔非法经济活动，调解和处理民事纠纷，打击刑事犯罪维护社会稳定。</w:t>
      </w:r>
    </w:p>
    <w:p>
      <w:pPr>
        <w:spacing w:line="560" w:lineRule="exact"/>
        <w:ind w:firstLine="480" w:firstLineChars="150"/>
        <w:rPr>
          <w:rFonts w:hint="eastAsia" w:ascii="宋体" w:hAnsi="宋体" w:eastAsia="宋体"/>
          <w:sz w:val="32"/>
          <w:szCs w:val="32"/>
          <w:lang w:eastAsia="zh-CN"/>
        </w:rPr>
      </w:pPr>
      <w:r>
        <w:rPr>
          <w:rFonts w:ascii="宋体" w:hAnsi="宋体"/>
          <w:sz w:val="32"/>
          <w:szCs w:val="32"/>
        </w:rPr>
        <w:t>（4）按计划组织</w:t>
      </w:r>
      <w:r>
        <w:rPr>
          <w:rFonts w:hint="eastAsia" w:ascii="宋体" w:hAnsi="宋体"/>
          <w:sz w:val="32"/>
          <w:szCs w:val="32"/>
        </w:rPr>
        <w:t>我镇</w:t>
      </w:r>
      <w:r>
        <w:rPr>
          <w:rFonts w:ascii="宋体" w:hAnsi="宋体"/>
          <w:sz w:val="32"/>
          <w:szCs w:val="32"/>
        </w:rPr>
        <w:t>本级财政收入，完成国家财政计划，不断培植税源，管好财政资金，增强财政实力。</w:t>
      </w:r>
    </w:p>
    <w:p>
      <w:pPr>
        <w:spacing w:line="560" w:lineRule="exact"/>
        <w:ind w:firstLine="480" w:firstLineChars="150"/>
        <w:rPr>
          <w:rFonts w:hint="eastAsia" w:ascii="宋体" w:hAnsi="宋体" w:eastAsia="宋体"/>
          <w:sz w:val="32"/>
          <w:szCs w:val="32"/>
          <w:lang w:eastAsia="zh-CN"/>
        </w:rPr>
      </w:pPr>
      <w:r>
        <w:rPr>
          <w:rFonts w:hint="eastAsia" w:ascii="宋体" w:hAnsi="宋体"/>
          <w:sz w:val="32"/>
          <w:szCs w:val="32"/>
        </w:rPr>
        <w:t xml:space="preserve">   </w:t>
      </w:r>
      <w:r>
        <w:rPr>
          <w:rFonts w:ascii="宋体" w:hAnsi="宋体"/>
          <w:sz w:val="32"/>
          <w:szCs w:val="32"/>
        </w:rPr>
        <w:t>（5）抓好</w:t>
      </w:r>
      <w:r>
        <w:rPr>
          <w:rFonts w:hint="eastAsia" w:ascii="宋体" w:hAnsi="宋体"/>
          <w:sz w:val="32"/>
          <w:szCs w:val="32"/>
        </w:rPr>
        <w:t>我镇</w:t>
      </w:r>
      <w:r>
        <w:rPr>
          <w:rFonts w:ascii="宋体" w:hAnsi="宋体"/>
          <w:sz w:val="32"/>
          <w:szCs w:val="32"/>
        </w:rPr>
        <w:t>精神文明建设，丰富群众文化生活，提倡移风易俗，反对封建迷信，破除陈规陋习，树立社会主义新风尚。</w:t>
      </w:r>
    </w:p>
    <w:p>
      <w:pPr>
        <w:spacing w:line="560" w:lineRule="exact"/>
        <w:ind w:firstLine="480" w:firstLineChars="150"/>
        <w:rPr>
          <w:rFonts w:ascii="宋体" w:hAnsi="宋体"/>
          <w:sz w:val="32"/>
          <w:szCs w:val="32"/>
        </w:rPr>
      </w:pPr>
      <w:r>
        <w:rPr>
          <w:rFonts w:hint="eastAsia" w:ascii="宋体" w:hAnsi="宋体"/>
          <w:sz w:val="32"/>
          <w:szCs w:val="32"/>
        </w:rPr>
        <w:t xml:space="preserve">   </w:t>
      </w:r>
      <w:r>
        <w:rPr>
          <w:rFonts w:ascii="宋体" w:hAnsi="宋体"/>
          <w:sz w:val="32"/>
          <w:szCs w:val="32"/>
        </w:rPr>
        <w:t>（6）完成上级政府交办的其它事项。</w:t>
      </w:r>
    </w:p>
    <w:bookmarkEnd w:id="18"/>
    <w:bookmarkEnd w:id="19"/>
    <w:p>
      <w:pPr>
        <w:snapToGrid w:val="0"/>
        <w:spacing w:line="560" w:lineRule="exact"/>
        <w:ind w:firstLine="420" w:firstLineChars="200"/>
        <w:outlineLvl w:val="1"/>
        <w:rPr>
          <w:rFonts w:ascii="仿宋" w:hAnsi="仿宋" w:eastAsia="仿宋"/>
          <w:bCs/>
          <w:color w:val="000000"/>
          <w:sz w:val="32"/>
          <w:szCs w:val="32"/>
        </w:rPr>
      </w:pPr>
      <w:bookmarkStart w:id="20" w:name="_Toc21282"/>
      <w:r>
        <w:rPr>
          <w:rFonts w:hint="eastAsia" w:ascii="黑体" w:hAnsi="黑体" w:eastAsia="黑体"/>
        </w:rPr>
        <w:t>二、2021年重点工作</w:t>
      </w:r>
      <w:bookmarkEnd w:id="16"/>
      <w:bookmarkEnd w:id="17"/>
      <w:r>
        <w:rPr>
          <w:rFonts w:hint="eastAsia" w:ascii="黑体" w:hAnsi="黑体" w:eastAsia="黑体"/>
        </w:rPr>
        <w:t>完成情况</w:t>
      </w:r>
      <w:bookmarkEnd w:id="20"/>
    </w:p>
    <w:p>
      <w:pPr>
        <w:snapToGrid w:val="0"/>
        <w:spacing w:line="560" w:lineRule="exact"/>
        <w:ind w:firstLine="640" w:firstLineChars="200"/>
        <w:rPr>
          <w:rFonts w:ascii="宋体" w:hAnsi="宋体"/>
          <w:sz w:val="32"/>
          <w:szCs w:val="32"/>
        </w:rPr>
      </w:pPr>
      <w:r>
        <w:rPr>
          <w:rFonts w:ascii="仿宋" w:hAnsi="仿宋" w:eastAsia="仿宋"/>
          <w:bCs/>
          <w:color w:val="000000"/>
          <w:sz w:val="32"/>
          <w:szCs w:val="32"/>
        </w:rPr>
        <w:t>20</w:t>
      </w:r>
      <w:r>
        <w:rPr>
          <w:rFonts w:hint="eastAsia" w:ascii="仿宋" w:hAnsi="仿宋" w:eastAsia="仿宋"/>
          <w:bCs/>
          <w:color w:val="000000"/>
          <w:sz w:val="32"/>
          <w:szCs w:val="32"/>
        </w:rPr>
        <w:t>21年重点工作完成情况。</w:t>
      </w:r>
      <w:r>
        <w:rPr>
          <w:rFonts w:hint="eastAsia" w:ascii="宋体" w:hAnsi="宋体"/>
          <w:sz w:val="32"/>
          <w:szCs w:val="32"/>
        </w:rPr>
        <w:t>为了确保2021年部门决算工作的顺利完成，镇党委、政府高度重视，指派党委副书记监督指导，并圆满完成了2021年我镇部门决算工作，其主要做了以下工作：</w:t>
      </w:r>
    </w:p>
    <w:p>
      <w:pPr>
        <w:snapToGrid w:val="0"/>
        <w:spacing w:line="560" w:lineRule="exact"/>
        <w:ind w:firstLine="640" w:firstLineChars="200"/>
        <w:rPr>
          <w:rFonts w:ascii="宋体" w:hAnsi="宋体"/>
          <w:sz w:val="32"/>
          <w:szCs w:val="32"/>
        </w:rPr>
      </w:pPr>
      <w:r>
        <w:rPr>
          <w:rFonts w:hint="eastAsia" w:ascii="宋体" w:hAnsi="宋体"/>
          <w:sz w:val="32"/>
          <w:szCs w:val="32"/>
        </w:rPr>
        <w:t>1、加强领导，抓好镇镇零散税收，并在非税收入上下功夫，取得了一定的成绩。</w:t>
      </w:r>
    </w:p>
    <w:p>
      <w:pPr>
        <w:snapToGrid w:val="0"/>
        <w:spacing w:line="560" w:lineRule="exact"/>
        <w:ind w:firstLine="640" w:firstLineChars="200"/>
        <w:rPr>
          <w:rFonts w:ascii="宋体" w:hAnsi="宋体"/>
          <w:sz w:val="32"/>
          <w:szCs w:val="32"/>
        </w:rPr>
      </w:pPr>
      <w:r>
        <w:rPr>
          <w:rFonts w:hint="eastAsia" w:ascii="宋体" w:hAnsi="宋体"/>
          <w:sz w:val="32"/>
          <w:szCs w:val="32"/>
        </w:rPr>
        <w:t>2、严格按照年初预算，确保了一般公共服务支出和村社干部工资发放。</w:t>
      </w:r>
    </w:p>
    <w:p>
      <w:pPr>
        <w:snapToGrid w:val="0"/>
        <w:spacing w:line="560" w:lineRule="exact"/>
        <w:ind w:firstLine="640" w:firstLineChars="200"/>
        <w:rPr>
          <w:rFonts w:ascii="宋体" w:hAnsi="宋体"/>
          <w:sz w:val="32"/>
          <w:szCs w:val="32"/>
        </w:rPr>
      </w:pPr>
      <w:r>
        <w:rPr>
          <w:rFonts w:hint="eastAsia" w:ascii="宋体" w:hAnsi="宋体"/>
          <w:sz w:val="32"/>
          <w:szCs w:val="32"/>
        </w:rPr>
        <w:t>3、对项目资金严格按照工作进度拨付资金，做到了公平、公正、公开的原则，不挪用和截留项目资金。</w:t>
      </w:r>
    </w:p>
    <w:p>
      <w:pPr>
        <w:pStyle w:val="3"/>
        <w:outlineLvl w:val="9"/>
      </w:pPr>
    </w:p>
    <w:p>
      <w:pPr>
        <w:pStyle w:val="3"/>
        <w:outlineLvl w:val="9"/>
        <w:rPr>
          <w:rFonts w:ascii="黑体" w:hAnsi="黑体" w:eastAsia="黑体"/>
          <w:b w:val="0"/>
        </w:rPr>
      </w:pPr>
    </w:p>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4"/>
          <w:rFonts w:ascii="黑体" w:hAnsi="黑体" w:eastAsia="黑体"/>
          <w:b w:val="0"/>
          <w:bCs/>
        </w:rPr>
      </w:pPr>
      <w:bookmarkStart w:id="21" w:name="_Toc15377204"/>
      <w:bookmarkStart w:id="22" w:name="_Toc9098"/>
      <w:bookmarkStart w:id="23" w:name="_Toc15396602"/>
      <w:r>
        <w:rPr>
          <w:rFonts w:hint="eastAsia" w:ascii="黑体" w:hAnsi="黑体" w:eastAsia="黑体"/>
          <w:b w:val="0"/>
        </w:rPr>
        <w:t>第二部分 2021年度</w:t>
      </w:r>
      <w:r>
        <w:rPr>
          <w:rStyle w:val="24"/>
          <w:rFonts w:hint="eastAsia" w:ascii="黑体" w:hAnsi="黑体" w:eastAsia="黑体"/>
          <w:b w:val="0"/>
          <w:bCs/>
        </w:rPr>
        <w:t>单位决算情况说明</w:t>
      </w:r>
      <w:bookmarkEnd w:id="21"/>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22173"/>
      <w:bookmarkStart w:id="26"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4"/>
      <w:bookmarkEnd w:id="25"/>
      <w:bookmarkEnd w:id="26"/>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2021年度收、支总计1180.13万元。与2020年946.08万元相比，收、支总计各增加234.05万元，增长24.74</w:t>
      </w:r>
      <w:r>
        <w:rPr>
          <w:rFonts w:ascii="仿宋" w:hAnsi="仿宋" w:eastAsia="仿宋"/>
          <w:sz w:val="32"/>
          <w:szCs w:val="32"/>
        </w:rPr>
        <w:t>%</w:t>
      </w:r>
      <w:r>
        <w:rPr>
          <w:rFonts w:hint="eastAsia" w:ascii="仿宋" w:hAnsi="仿宋" w:eastAsia="仿宋"/>
          <w:sz w:val="32"/>
          <w:szCs w:val="32"/>
        </w:rPr>
        <w:t>。主要变动原因是2021年机构改革，农业服务中心人员经费下划。</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157480</wp:posOffset>
            </wp:positionH>
            <wp:positionV relativeFrom="paragraph">
              <wp:posOffset>153035</wp:posOffset>
            </wp:positionV>
            <wp:extent cx="4855210" cy="3119755"/>
            <wp:effectExtent l="4445" t="4445" r="17145" b="19050"/>
            <wp:wrapNone/>
            <wp:docPr id="2" name="图表 2" title="收、支决算总计变动情况图"/>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7" w:name="_Toc15377206"/>
      <w:bookmarkStart w:id="28" w:name="_Toc22192"/>
      <w:bookmarkStart w:id="29" w:name="_Toc15396604"/>
      <w:r>
        <w:rPr>
          <w:rFonts w:hint="eastAsia" w:ascii="黑体" w:hAnsi="黑体" w:eastAsia="黑体"/>
          <w:sz w:val="32"/>
          <w:szCs w:val="32"/>
        </w:rPr>
        <w:t>收</w:t>
      </w:r>
      <w:r>
        <w:rPr>
          <w:rStyle w:val="25"/>
          <w:rFonts w:hint="eastAsia" w:ascii="黑体" w:hAnsi="黑体" w:eastAsia="黑体"/>
          <w:b w:val="0"/>
        </w:rPr>
        <w:t>入决算情况说明</w:t>
      </w:r>
      <w:bookmarkEnd w:id="27"/>
      <w:bookmarkEnd w:id="28"/>
      <w:bookmarkEnd w:id="29"/>
    </w:p>
    <w:p>
      <w:pPr>
        <w:spacing w:line="600" w:lineRule="exact"/>
        <w:ind w:firstLine="640" w:firstLineChars="200"/>
        <w:outlineLvl w:val="1"/>
        <w:rPr>
          <w:rFonts w:hint="eastAsia" w:ascii="仿宋" w:hAnsi="仿宋" w:eastAsia="仿宋"/>
          <w:sz w:val="32"/>
          <w:szCs w:val="32"/>
        </w:rPr>
      </w:pPr>
      <w:bookmarkStart w:id="30" w:name="_Toc14338"/>
      <w:r>
        <w:rPr>
          <w:rFonts w:ascii="仿宋" w:hAnsi="仿宋" w:eastAsia="仿宋"/>
          <w:sz w:val="32"/>
          <w:szCs w:val="32"/>
        </w:rPr>
        <w:t>20</w:t>
      </w:r>
      <w:r>
        <w:rPr>
          <w:rFonts w:hint="eastAsia" w:ascii="仿宋" w:hAnsi="仿宋" w:eastAsia="仿宋"/>
          <w:sz w:val="32"/>
          <w:szCs w:val="32"/>
        </w:rPr>
        <w:t>21年本年收入合计1180.13万元，其中：一般公共预算财政拨款收入1148.83万元，占97.35</w:t>
      </w:r>
      <w:r>
        <w:rPr>
          <w:rFonts w:ascii="仿宋" w:hAnsi="仿宋" w:eastAsia="仿宋"/>
          <w:sz w:val="32"/>
          <w:szCs w:val="32"/>
        </w:rPr>
        <w:t>%</w:t>
      </w:r>
      <w:r>
        <w:rPr>
          <w:rFonts w:hint="eastAsia" w:ascii="仿宋" w:hAnsi="仿宋" w:eastAsia="仿宋"/>
          <w:sz w:val="32"/>
          <w:szCs w:val="32"/>
        </w:rPr>
        <w:t>；政府性基金预算财政拨款收入31.3万元，占2.65</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30"/>
    </w:p>
    <w:p>
      <w:pPr>
        <w:spacing w:line="600" w:lineRule="exact"/>
        <w:outlineLvl w:val="9"/>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347345</wp:posOffset>
            </wp:positionH>
            <wp:positionV relativeFrom="paragraph">
              <wp:posOffset>50165</wp:posOffset>
            </wp:positionV>
            <wp:extent cx="4084955" cy="2839720"/>
            <wp:effectExtent l="4445" t="4445" r="6350" b="13335"/>
            <wp:wrapTight wrapText="bothSides">
              <wp:wrapPolygon>
                <wp:start x="-24" y="-34"/>
                <wp:lineTo x="-24" y="21557"/>
                <wp:lineTo x="21533" y="21557"/>
                <wp:lineTo x="21533" y="-34"/>
                <wp:lineTo x="-24" y="-34"/>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9"/>
        <w:rPr>
          <w:rFonts w:ascii="仿宋" w:hAnsi="仿宋" w:eastAsia="仿宋"/>
          <w:sz w:val="32"/>
          <w:szCs w:val="32"/>
        </w:rPr>
      </w:pPr>
    </w:p>
    <w:p>
      <w:pPr>
        <w:spacing w:line="600" w:lineRule="exact"/>
        <w:ind w:firstLine="640" w:firstLineChars="200"/>
        <w:outlineLvl w:val="9"/>
        <w:rPr>
          <w:rFonts w:ascii="仿宋" w:hAnsi="仿宋" w:eastAsia="仿宋"/>
          <w:sz w:val="32"/>
          <w:szCs w:val="32"/>
        </w:rPr>
      </w:pPr>
    </w:p>
    <w:p>
      <w:pPr>
        <w:spacing w:line="600" w:lineRule="exact"/>
        <w:ind w:firstLine="640" w:firstLineChars="200"/>
        <w:outlineLvl w:val="9"/>
        <w:rPr>
          <w:rFonts w:ascii="仿宋" w:hAnsi="仿宋" w:eastAsia="仿宋"/>
          <w:sz w:val="32"/>
          <w:szCs w:val="32"/>
        </w:rPr>
      </w:pPr>
    </w:p>
    <w:p>
      <w:pPr>
        <w:spacing w:line="600" w:lineRule="exact"/>
        <w:ind w:firstLine="640" w:firstLineChars="200"/>
        <w:outlineLvl w:val="9"/>
        <w:rPr>
          <w:rFonts w:ascii="仿宋" w:hAnsi="仿宋" w:eastAsia="仿宋"/>
          <w:sz w:val="32"/>
          <w:szCs w:val="32"/>
        </w:rPr>
      </w:pPr>
    </w:p>
    <w:p>
      <w:pPr>
        <w:spacing w:line="600" w:lineRule="exact"/>
        <w:ind w:firstLine="640" w:firstLineChars="200"/>
        <w:outlineLvl w:val="9"/>
        <w:rPr>
          <w:rFonts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lang w:eastAsia="zh-CN"/>
        </w:rPr>
        <w:t>（</w:t>
      </w:r>
      <w:r>
        <w:rPr>
          <w:rFonts w:hint="eastAsia" w:ascii="仿宋" w:hAnsi="仿宋" w:eastAsia="仿宋"/>
          <w:sz w:val="32"/>
          <w:szCs w:val="32"/>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31" w:name="_Toc15396605"/>
      <w:bookmarkStart w:id="32" w:name="_Toc10013"/>
      <w:bookmarkStart w:id="33" w:name="_Toc15377207"/>
      <w:r>
        <w:rPr>
          <w:rFonts w:hint="eastAsia" w:ascii="黑体" w:hAnsi="黑体" w:eastAsia="黑体"/>
          <w:sz w:val="32"/>
          <w:szCs w:val="32"/>
        </w:rPr>
        <w:t>支</w:t>
      </w:r>
      <w:r>
        <w:rPr>
          <w:rStyle w:val="25"/>
          <w:rFonts w:hint="eastAsia" w:ascii="黑体" w:hAnsi="黑体" w:eastAsia="黑体"/>
          <w:b w:val="0"/>
        </w:rPr>
        <w:t>出决算情况说明</w:t>
      </w:r>
      <w:bookmarkEnd w:id="31"/>
      <w:bookmarkEnd w:id="32"/>
      <w:bookmarkEnd w:id="33"/>
    </w:p>
    <w:p>
      <w:pPr>
        <w:spacing w:line="600" w:lineRule="exact"/>
        <w:ind w:firstLine="640" w:firstLineChars="200"/>
        <w:outlineLvl w:val="1"/>
        <w:rPr>
          <w:rFonts w:ascii="仿宋" w:hAnsi="仿宋" w:eastAsia="仿宋"/>
          <w:sz w:val="32"/>
          <w:szCs w:val="32"/>
        </w:rPr>
      </w:pPr>
      <w:bookmarkStart w:id="34" w:name="_Toc14728"/>
      <w:r>
        <w:rPr>
          <w:rFonts w:ascii="仿宋" w:hAnsi="仿宋" w:eastAsia="仿宋"/>
          <w:sz w:val="32"/>
          <w:szCs w:val="32"/>
        </w:rPr>
        <w:t>20</w:t>
      </w:r>
      <w:r>
        <w:rPr>
          <w:rFonts w:hint="eastAsia" w:ascii="仿宋" w:hAnsi="仿宋" w:eastAsia="仿宋"/>
          <w:sz w:val="32"/>
          <w:szCs w:val="32"/>
        </w:rPr>
        <w:t>21年本年支出合计1180.13万元，其中：基本支出884.56万元，占74.95</w:t>
      </w:r>
      <w:r>
        <w:rPr>
          <w:rFonts w:ascii="仿宋" w:hAnsi="仿宋" w:eastAsia="仿宋"/>
          <w:sz w:val="32"/>
          <w:szCs w:val="32"/>
        </w:rPr>
        <w:t>%</w:t>
      </w:r>
      <w:r>
        <w:rPr>
          <w:rFonts w:hint="eastAsia" w:ascii="仿宋" w:hAnsi="仿宋" w:eastAsia="仿宋"/>
          <w:sz w:val="32"/>
          <w:szCs w:val="32"/>
        </w:rPr>
        <w:t>；项目支出295.57万元，占25.05</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34"/>
    </w:p>
    <w:p>
      <w:pPr>
        <w:spacing w:line="600" w:lineRule="exact"/>
        <w:ind w:firstLine="640"/>
        <w:rPr>
          <w:rFonts w:hint="eastAsia" w:ascii="仿宋" w:hAnsi="仿宋" w:eastAsia="仿宋"/>
          <w:sz w:val="32"/>
          <w:szCs w:val="32"/>
          <w:shd w:val="pct10" w:color="auto" w:fill="FFFFFF"/>
          <w:lang w:eastAsia="zh-CN"/>
        </w:rPr>
      </w:pPr>
      <w:r>
        <w:rPr>
          <w:rFonts w:hint="eastAsia" w:ascii="仿宋" w:hAnsi="仿宋" w:eastAsia="仿宋"/>
          <w:sz w:val="32"/>
          <w:szCs w:val="32"/>
          <w:shd w:val="pct10" w:color="auto" w:fill="FFFFFF"/>
          <w:lang w:eastAsia="zh-CN"/>
        </w:rPr>
        <w:drawing>
          <wp:anchor distT="0" distB="0" distL="114300" distR="114300" simplePos="0" relativeHeight="251661312" behindDoc="1" locked="0" layoutInCell="1" allowOverlap="1">
            <wp:simplePos x="0" y="0"/>
            <wp:positionH relativeFrom="column">
              <wp:posOffset>664845</wp:posOffset>
            </wp:positionH>
            <wp:positionV relativeFrom="paragraph">
              <wp:posOffset>118745</wp:posOffset>
            </wp:positionV>
            <wp:extent cx="3883025" cy="2632075"/>
            <wp:effectExtent l="4445" t="4445" r="74930" b="68580"/>
            <wp:wrapTight wrapText="bothSides">
              <wp:wrapPolygon>
                <wp:start x="-25" y="-36"/>
                <wp:lineTo x="-25" y="21537"/>
                <wp:lineTo x="21487" y="21537"/>
                <wp:lineTo x="21487" y="-36"/>
                <wp:lineTo x="-25" y="-36"/>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5"/>
          <w:rFonts w:ascii="黑体" w:hAnsi="黑体" w:eastAsia="黑体"/>
          <w:b w:val="0"/>
        </w:rPr>
      </w:pPr>
      <w:bookmarkStart w:id="35" w:name="_Toc15377208"/>
      <w:bookmarkStart w:id="36" w:name="_Toc15396606"/>
      <w:bookmarkStart w:id="37" w:name="_Toc2259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35"/>
      <w:bookmarkEnd w:id="36"/>
      <w:bookmarkEnd w:id="37"/>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21年财政拨款收、支总计1180.13万元。与</w:t>
      </w:r>
      <w:r>
        <w:rPr>
          <w:rFonts w:ascii="仿宋" w:hAnsi="仿宋" w:eastAsia="仿宋"/>
          <w:sz w:val="32"/>
          <w:szCs w:val="32"/>
        </w:rPr>
        <w:t>20</w:t>
      </w:r>
      <w:r>
        <w:rPr>
          <w:rFonts w:hint="eastAsia" w:ascii="仿宋" w:hAnsi="仿宋" w:eastAsia="仿宋"/>
          <w:sz w:val="32"/>
          <w:szCs w:val="32"/>
        </w:rPr>
        <w:t>20年946.08万元相比，财政拨款收、支总计各增加234.05万元，增长24.74</w:t>
      </w:r>
      <w:r>
        <w:rPr>
          <w:rFonts w:ascii="仿宋" w:hAnsi="仿宋" w:eastAsia="仿宋"/>
          <w:sz w:val="32"/>
          <w:szCs w:val="32"/>
        </w:rPr>
        <w:t>%</w:t>
      </w:r>
      <w:r>
        <w:rPr>
          <w:rFonts w:hint="eastAsia" w:ascii="仿宋" w:hAnsi="仿宋" w:eastAsia="仿宋"/>
          <w:sz w:val="32"/>
          <w:szCs w:val="32"/>
        </w:rPr>
        <w:t>。主要变动原因是2021年机构改革，农业服务中心人员经费下划。</w:t>
      </w:r>
    </w:p>
    <w:p>
      <w:pPr>
        <w:spacing w:line="600" w:lineRule="exact"/>
        <w:rPr>
          <w:rFonts w:ascii="仿宋" w:hAnsi="仿宋" w:eastAsia="仿宋"/>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3983990</wp:posOffset>
                </wp:positionH>
                <wp:positionV relativeFrom="paragraph">
                  <wp:posOffset>206375</wp:posOffset>
                </wp:positionV>
                <wp:extent cx="852805" cy="255270"/>
                <wp:effectExtent l="0" t="0" r="4445" b="11430"/>
                <wp:wrapNone/>
                <wp:docPr id="3" name="文本框 3"/>
                <wp:cNvGraphicFramePr/>
                <a:graphic xmlns:a="http://schemas.openxmlformats.org/drawingml/2006/main">
                  <a:graphicData uri="http://schemas.microsoft.com/office/word/2010/wordprocessingShape">
                    <wps:wsp>
                      <wps:cNvSpPr txBox="1"/>
                      <wps:spPr>
                        <a:xfrm>
                          <a:off x="0" y="0"/>
                          <a:ext cx="852805" cy="255270"/>
                        </a:xfrm>
                        <a:prstGeom prst="rect">
                          <a:avLst/>
                        </a:prstGeom>
                        <a:solidFill>
                          <a:srgbClr val="FFFFFF"/>
                        </a:solidFill>
                        <a:ln>
                          <a:noFill/>
                        </a:ln>
                      </wps:spPr>
                      <wps:txbx>
                        <w:txbxContent>
                          <w:p>
                            <w:pPr>
                              <w:rPr>
                                <w:rFonts w:hint="default" w:eastAsia="宋体"/>
                                <w:sz w:val="18"/>
                                <w:szCs w:val="18"/>
                                <w:lang w:val="en-US" w:eastAsia="zh-CN"/>
                              </w:rPr>
                            </w:pPr>
                            <w:r>
                              <w:rPr>
                                <w:rFonts w:hint="eastAsia"/>
                                <w:sz w:val="18"/>
                                <w:szCs w:val="18"/>
                                <w:lang w:val="en-US" w:eastAsia="zh-CN"/>
                              </w:rPr>
                              <w:t>单位：万元</w:t>
                            </w:r>
                          </w:p>
                        </w:txbxContent>
                      </wps:txbx>
                      <wps:bodyPr upright="1"/>
                    </wps:wsp>
                  </a:graphicData>
                </a:graphic>
              </wp:anchor>
            </w:drawing>
          </mc:Choice>
          <mc:Fallback>
            <w:pict>
              <v:shape id="_x0000_s1026" o:spid="_x0000_s1026" o:spt="202" type="#_x0000_t202" style="position:absolute;left:0pt;margin-left:313.7pt;margin-top:16.25pt;height:20.1pt;width:67.15pt;z-index:251664384;mso-width-relative:page;mso-height-relative:page;" fillcolor="#FFFFFF" filled="t" stroked="f" coordsize="21600,21600" o:gfxdata="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7CHstgAAAAJAQAADwAAAAAAAAABACAAAAAiAAAAZHJzL2Rvd25yZXYu&#10;eG1sUEsBAhQAFAAAAAgAh07iQH5UFkTCAQAAdgMAAA4AAAAAAAAAAQAgAAAAJwEAAGRycy9lMm9E&#10;b2MueG1sUEsFBgAAAAAGAAYAWQEAAFsFAAAAAA==&#10;">
                <v:fill on="t" focussize="0,0"/>
                <v:stroke on="f"/>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ascii="仿宋" w:hAnsi="仿宋" w:eastAsia="仿宋"/>
          <w:sz w:val="32"/>
          <w:szCs w:val="32"/>
          <w:lang w:eastAsia="zh-CN"/>
        </w:rPr>
        <w:drawing>
          <wp:anchor distT="0" distB="0" distL="114300" distR="114300" simplePos="0" relativeHeight="251662336" behindDoc="1" locked="0" layoutInCell="1" allowOverlap="1">
            <wp:simplePos x="0" y="0"/>
            <wp:positionH relativeFrom="column">
              <wp:posOffset>249555</wp:posOffset>
            </wp:positionH>
            <wp:positionV relativeFrom="paragraph">
              <wp:posOffset>190500</wp:posOffset>
            </wp:positionV>
            <wp:extent cx="4671695" cy="3194050"/>
            <wp:effectExtent l="4445" t="5080" r="10160" b="20320"/>
            <wp:wrapTight wrapText="bothSides">
              <wp:wrapPolygon>
                <wp:start x="-21" y="-34"/>
                <wp:lineTo x="-21" y="21480"/>
                <wp:lineTo x="21559" y="21480"/>
                <wp:lineTo x="21559" y="-34"/>
                <wp:lineTo x="-21" y="-34"/>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sz w:val="32"/>
        </w:rPr>
        <mc:AlternateContent>
          <mc:Choice Requires="wps">
            <w:drawing>
              <wp:anchor distT="0" distB="0" distL="114300" distR="114300" simplePos="0" relativeHeight="251663360" behindDoc="0" locked="0" layoutInCell="1" allowOverlap="1">
                <wp:simplePos x="0" y="0"/>
                <wp:positionH relativeFrom="column">
                  <wp:posOffset>-1142365</wp:posOffset>
                </wp:positionH>
                <wp:positionV relativeFrom="paragraph">
                  <wp:posOffset>44450</wp:posOffset>
                </wp:positionV>
                <wp:extent cx="914400" cy="244475"/>
                <wp:effectExtent l="0" t="0" r="0" b="3175"/>
                <wp:wrapNone/>
                <wp:docPr id="1" name="文本框 2"/>
                <wp:cNvGraphicFramePr/>
                <a:graphic xmlns:a="http://schemas.openxmlformats.org/drawingml/2006/main">
                  <a:graphicData uri="http://schemas.microsoft.com/office/word/2010/wordprocessingShape">
                    <wps:wsp>
                      <wps:cNvSpPr txBox="1"/>
                      <wps:spPr>
                        <a:xfrm>
                          <a:off x="0" y="0"/>
                          <a:ext cx="914400" cy="244475"/>
                        </a:xfrm>
                        <a:prstGeom prst="rect">
                          <a:avLst/>
                        </a:prstGeom>
                        <a:solidFill>
                          <a:srgbClr val="FFFFFF"/>
                        </a:solidFill>
                        <a:ln>
                          <a:noFill/>
                        </a:ln>
                      </wps:spPr>
                      <wps:txbx>
                        <w:txbxContent>
                          <w:p>
                            <w:pPr>
                              <w:rPr>
                                <w:rFonts w:hint="default" w:eastAsia="宋体"/>
                                <w:lang w:val="en-US" w:eastAsia="zh-CN"/>
                              </w:rPr>
                            </w:pPr>
                            <w:r>
                              <w:rPr>
                                <w:rFonts w:hint="eastAsia"/>
                                <w:lang w:val="en-US" w:eastAsia="zh-CN"/>
                              </w:rPr>
                              <w:t>单位：万元</w:t>
                            </w:r>
                          </w:p>
                        </w:txbxContent>
                      </wps:txbx>
                      <wps:bodyPr upright="1"/>
                    </wps:wsp>
                  </a:graphicData>
                </a:graphic>
              </wp:anchor>
            </w:drawing>
          </mc:Choice>
          <mc:Fallback>
            <w:pict>
              <v:shape id="文本框 2" o:spid="_x0000_s1026" o:spt="202" type="#_x0000_t202" style="position:absolute;left:0pt;margin-left:-89.95pt;margin-top:3.5pt;height:19.25pt;width:72pt;z-index:251663360;mso-width-relative:page;mso-height-relative:page;" fillcolor="#FFFFFF" filled="t" stroked="f" coordsize="21600,21600" o:gfxdata="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b25T9YAAAAJAQAADwAAAAAAAAABACAAAAAiAAAAZHJzL2Rvd25yZXYueG1sUEsB&#10;AhQAFAAAAAgAh07iQOfIolW+AQAAdgMAAA4AAAAAAAAAAQAgAAAAJQEAAGRycy9lMm9Eb2MueG1s&#10;UEsFBgAAAAAGAAYAWQEAAFUFAAAAAA==&#10;">
                <v:fill on="t" focussize="0,0"/>
                <v:stroke on="f"/>
                <v:imagedata o:title=""/>
                <o:lock v:ext="edit" aspectratio="f"/>
                <v:textbox>
                  <w:txbxContent>
                    <w:p>
                      <w:pPr>
                        <w:rPr>
                          <w:rFonts w:hint="default" w:eastAsia="宋体"/>
                          <w:lang w:val="en-US" w:eastAsia="zh-CN"/>
                        </w:rPr>
                      </w:pPr>
                      <w:r>
                        <w:rPr>
                          <w:rFonts w:hint="eastAsia"/>
                          <w:lang w:val="en-US" w:eastAsia="zh-CN"/>
                        </w:rPr>
                        <w:t>单位：万元</w:t>
                      </w:r>
                    </w:p>
                  </w:txbxContent>
                </v:textbox>
              </v:shape>
            </w:pict>
          </mc:Fallback>
        </mc:AlternateContent>
      </w: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38" w:name="_Toc23177"/>
      <w:bookmarkStart w:id="39" w:name="_Toc15377209"/>
      <w:bookmarkStart w:id="40"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sz w:val="32"/>
          <w:szCs w:val="32"/>
        </w:rPr>
      </w:pPr>
      <w:bookmarkStart w:id="41" w:name="_Toc22273"/>
      <w:bookmarkStart w:id="42" w:name="_Toc15377210"/>
      <w:r>
        <w:rPr>
          <w:rFonts w:hint="eastAsia" w:ascii="仿宋" w:hAnsi="仿宋" w:eastAsia="仿宋"/>
          <w:b/>
          <w:sz w:val="32"/>
          <w:szCs w:val="32"/>
        </w:rPr>
        <w:t>（一）一般公共预算财政拨款支出决算总体情况</w:t>
      </w:r>
      <w:bookmarkEnd w:id="41"/>
      <w:bookmarkEnd w:id="4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21年一般公共预算财政拨款支出1148.83万元，占本年支出合计的97.35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20年865.34万元相比，一般公共预算财政拨款支出增加283.49万元，增长32.76</w:t>
      </w:r>
      <w:r>
        <w:rPr>
          <w:rFonts w:ascii="仿宋" w:hAnsi="仿宋" w:eastAsia="仿宋"/>
          <w:sz w:val="32"/>
          <w:szCs w:val="32"/>
        </w:rPr>
        <w:t>%</w:t>
      </w:r>
      <w:r>
        <w:rPr>
          <w:rFonts w:hint="eastAsia" w:ascii="仿宋" w:hAnsi="仿宋" w:eastAsia="仿宋"/>
          <w:sz w:val="32"/>
          <w:szCs w:val="32"/>
        </w:rPr>
        <w:t>。主要变动原因是2021年机构改革，农业服务中心人员经费下划。</w:t>
      </w:r>
    </w:p>
    <w:p>
      <w:pPr>
        <w:spacing w:line="600" w:lineRule="exact"/>
        <w:ind w:firstLine="640" w:firstLineChars="200"/>
        <w:rPr>
          <w:rFonts w:hint="eastAsia" w:ascii="仿宋" w:hAnsi="仿宋" w:eastAsia="仿宋"/>
          <w:sz w:val="32"/>
          <w:szCs w:val="32"/>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-962660</wp:posOffset>
                </wp:positionH>
                <wp:positionV relativeFrom="paragraph">
                  <wp:posOffset>172720</wp:posOffset>
                </wp:positionV>
                <wp:extent cx="861695" cy="281305"/>
                <wp:effectExtent l="0" t="0" r="14605" b="4445"/>
                <wp:wrapNone/>
                <wp:docPr id="5" name="文本框 4"/>
                <wp:cNvGraphicFramePr/>
                <a:graphic xmlns:a="http://schemas.openxmlformats.org/drawingml/2006/main">
                  <a:graphicData uri="http://schemas.microsoft.com/office/word/2010/wordprocessingShape">
                    <wps:wsp>
                      <wps:cNvSpPr txBox="1"/>
                      <wps:spPr>
                        <a:xfrm>
                          <a:off x="0" y="0"/>
                          <a:ext cx="861695" cy="281305"/>
                        </a:xfrm>
                        <a:prstGeom prst="rect">
                          <a:avLst/>
                        </a:prstGeom>
                        <a:solidFill>
                          <a:srgbClr val="FFFFFF"/>
                        </a:solidFill>
                        <a:ln>
                          <a:noFill/>
                        </a:ln>
                      </wps:spPr>
                      <wps:txbx>
                        <w:txbxContent>
                          <w:p>
                            <w:pPr>
                              <w:rPr>
                                <w:rFonts w:hint="default" w:eastAsia="宋体"/>
                                <w:sz w:val="18"/>
                                <w:szCs w:val="18"/>
                                <w:lang w:val="en-US" w:eastAsia="zh-CN"/>
                              </w:rPr>
                            </w:pPr>
                            <w:r>
                              <w:rPr>
                                <w:rFonts w:hint="eastAsia"/>
                                <w:sz w:val="18"/>
                                <w:szCs w:val="18"/>
                                <w:lang w:val="en-US" w:eastAsia="zh-CN"/>
                              </w:rPr>
                              <w:t>单位：万元</w:t>
                            </w:r>
                          </w:p>
                        </w:txbxContent>
                      </wps:txbx>
                      <wps:bodyPr upright="1"/>
                    </wps:wsp>
                  </a:graphicData>
                </a:graphic>
              </wp:anchor>
            </w:drawing>
          </mc:Choice>
          <mc:Fallback>
            <w:pict>
              <v:shape id="文本框 4" o:spid="_x0000_s1026" o:spt="202" type="#_x0000_t202" style="position:absolute;left:0pt;margin-left:-75.8pt;margin-top:13.6pt;height:22.15pt;width:67.85pt;z-index:251664384;mso-width-relative:page;mso-height-relative:page;" fillcolor="#FFFFFF" filled="t" stroked="f" coordsize="21600,21600" o:gfxdata="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AiUi9gAAAAKAQAADwAAAAAAAAABACAAAAAiAAAAZHJzL2Rvd25yZXYueG1s&#10;UEsBAhQAFAAAAAgAh07iQIy+6tm/AQAAdgMAAA4AAAAAAAAAAQAgAAAAJwEAAGRycy9lMm9Eb2Mu&#10;eG1sUEsFBgAAAAAGAAYAWQEAAFgFAAAAAA==&#10;">
                <v:fill on="t" focussize="0,0"/>
                <v:stroke on="f"/>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ascii="仿宋" w:hAnsi="仿宋" w:eastAsia="仿宋"/>
          <w:sz w:val="32"/>
          <w:szCs w:val="32"/>
          <w:lang w:eastAsia="zh-CN"/>
        </w:rPr>
        <w:drawing>
          <wp:anchor distT="0" distB="0" distL="114300" distR="114300" simplePos="0" relativeHeight="251663360" behindDoc="1" locked="0" layoutInCell="1" allowOverlap="1">
            <wp:simplePos x="0" y="0"/>
            <wp:positionH relativeFrom="column">
              <wp:posOffset>-60325</wp:posOffset>
            </wp:positionH>
            <wp:positionV relativeFrom="paragraph">
              <wp:posOffset>115570</wp:posOffset>
            </wp:positionV>
            <wp:extent cx="4944110" cy="3130550"/>
            <wp:effectExtent l="4445" t="4445" r="61595" b="8255"/>
            <wp:wrapTight wrapText="bothSides">
              <wp:wrapPolygon>
                <wp:start x="-19" y="-31"/>
                <wp:lineTo x="-19" y="21526"/>
                <wp:lineTo x="21536" y="21526"/>
                <wp:lineTo x="21536" y="-31"/>
                <wp:lineTo x="-19" y="-31"/>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9"/>
        <w:rPr>
          <w:rFonts w:hint="eastAsia" w:ascii="仿宋" w:hAnsi="仿宋" w:eastAsia="仿宋"/>
          <w:b/>
          <w:sz w:val="32"/>
          <w:szCs w:val="32"/>
        </w:rPr>
      </w:pPr>
      <w:bookmarkStart w:id="43" w:name="_Toc15377211"/>
    </w:p>
    <w:p>
      <w:pPr>
        <w:spacing w:line="600" w:lineRule="exact"/>
        <w:ind w:firstLine="643" w:firstLineChars="200"/>
        <w:outlineLvl w:val="2"/>
        <w:rPr>
          <w:rFonts w:ascii="仿宋" w:hAnsi="仿宋" w:eastAsia="仿宋"/>
          <w:b/>
          <w:sz w:val="32"/>
          <w:szCs w:val="32"/>
        </w:rPr>
      </w:pPr>
      <w:bookmarkStart w:id="44" w:name="_Toc15280"/>
      <w:r>
        <w:rPr>
          <w:rFonts w:hint="eastAsia" w:ascii="仿宋" w:hAnsi="仿宋" w:eastAsia="仿宋"/>
          <w:b/>
          <w:sz w:val="32"/>
          <w:szCs w:val="32"/>
        </w:rPr>
        <w:t>（二）一般公共预算财政拨款支出决算结构情况</w:t>
      </w:r>
      <w:bookmarkEnd w:id="43"/>
      <w:bookmarkEnd w:id="44"/>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21年一般公共预算财政拨款支出1148.83万元，主要用于以下方面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支出630.17万元，占54.85</w:t>
      </w:r>
      <w:r>
        <w:rPr>
          <w:rFonts w:ascii="仿宋" w:hAnsi="仿宋" w:eastAsia="仿宋"/>
          <w:sz w:val="32"/>
          <w:szCs w:val="32"/>
        </w:rPr>
        <w:t>%</w:t>
      </w:r>
      <w:r>
        <w:rPr>
          <w:rFonts w:hint="eastAsia" w:ascii="仿宋" w:hAnsi="仿宋" w:eastAsia="仿宋"/>
          <w:sz w:val="32"/>
          <w:szCs w:val="32"/>
        </w:rPr>
        <w:t>；公共安全支出12.66万元，占1.10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0.5万元，占0.04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文化旅游体育与传媒（类）支出5万元，占0.44</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支出105万元，占9.14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47.92万元，占4.17</w:t>
      </w:r>
      <w:r>
        <w:rPr>
          <w:rFonts w:ascii="仿宋" w:hAnsi="仿宋" w:eastAsia="仿宋"/>
          <w:sz w:val="32"/>
          <w:szCs w:val="32"/>
        </w:rPr>
        <w:t>%</w:t>
      </w:r>
      <w:r>
        <w:rPr>
          <w:rFonts w:hint="eastAsia" w:ascii="仿宋" w:hAnsi="仿宋" w:eastAsia="仿宋"/>
          <w:sz w:val="32"/>
          <w:szCs w:val="32"/>
        </w:rPr>
        <w:t>；城乡社区支出6.5万元，占0.57</w:t>
      </w:r>
      <w:r>
        <w:rPr>
          <w:rFonts w:ascii="仿宋" w:hAnsi="仿宋" w:eastAsia="仿宋"/>
          <w:sz w:val="32"/>
          <w:szCs w:val="32"/>
        </w:rPr>
        <w:t>%</w:t>
      </w:r>
      <w:r>
        <w:rPr>
          <w:rFonts w:hint="eastAsia" w:ascii="仿宋" w:hAnsi="仿宋" w:eastAsia="仿宋"/>
          <w:sz w:val="32"/>
          <w:szCs w:val="32"/>
        </w:rPr>
        <w:t>；农林水支出293.16万元，占25.52</w:t>
      </w:r>
      <w:r>
        <w:rPr>
          <w:rFonts w:ascii="仿宋" w:hAnsi="仿宋" w:eastAsia="仿宋"/>
          <w:sz w:val="32"/>
          <w:szCs w:val="32"/>
        </w:rPr>
        <w:t>%</w:t>
      </w:r>
      <w:r>
        <w:rPr>
          <w:rFonts w:hint="eastAsia" w:ascii="仿宋" w:hAnsi="仿宋" w:eastAsia="仿宋"/>
          <w:sz w:val="32"/>
          <w:szCs w:val="32"/>
        </w:rPr>
        <w:t>；住房保障支出47.91万元，占4.17</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5408" behindDoc="1" locked="0" layoutInCell="1" allowOverlap="1">
            <wp:simplePos x="0" y="0"/>
            <wp:positionH relativeFrom="column">
              <wp:posOffset>-433070</wp:posOffset>
            </wp:positionH>
            <wp:positionV relativeFrom="paragraph">
              <wp:posOffset>-31115</wp:posOffset>
            </wp:positionV>
            <wp:extent cx="5769610" cy="2704465"/>
            <wp:effectExtent l="4445" t="4445" r="17145" b="53340"/>
            <wp:wrapTight wrapText="bothSides">
              <wp:wrapPolygon>
                <wp:start x="-17" y="-36"/>
                <wp:lineTo x="-17" y="21417"/>
                <wp:lineTo x="21522" y="21417"/>
                <wp:lineTo x="21522" y="-36"/>
                <wp:lineTo x="-17" y="-36"/>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5" w:name="_Toc15377212"/>
      <w:bookmarkStart w:id="46" w:name="_Toc5006"/>
      <w:r>
        <w:rPr>
          <w:rFonts w:hint="eastAsia" w:ascii="仿宋" w:hAnsi="仿宋" w:eastAsia="仿宋"/>
          <w:b/>
          <w:sz w:val="32"/>
          <w:szCs w:val="32"/>
        </w:rPr>
        <w:t>（三）一般公共预算财政拨款支出决算具体情况</w:t>
      </w:r>
      <w:bookmarkEnd w:id="45"/>
      <w:bookmarkEnd w:id="46"/>
    </w:p>
    <w:p>
      <w:pPr>
        <w:spacing w:line="600" w:lineRule="exact"/>
        <w:ind w:firstLine="643" w:firstLineChars="200"/>
        <w:outlineLvl w:val="1"/>
        <w:rPr>
          <w:rFonts w:ascii="仿宋" w:hAnsi="仿宋" w:eastAsia="仿宋"/>
          <w:sz w:val="32"/>
          <w:szCs w:val="32"/>
        </w:rPr>
      </w:pPr>
      <w:bookmarkStart w:id="47" w:name="_Toc15377213"/>
      <w:bookmarkStart w:id="48" w:name="_Toc15377444"/>
      <w:bookmarkStart w:id="49" w:name="_Toc15378460"/>
      <w:bookmarkStart w:id="50" w:name="_Toc32167"/>
      <w:r>
        <w:rPr>
          <w:rFonts w:hint="eastAsia" w:ascii="仿宋" w:hAnsi="仿宋" w:eastAsia="仿宋"/>
          <w:b/>
          <w:sz w:val="32"/>
          <w:szCs w:val="32"/>
        </w:rPr>
        <w:t>2021年一般公共预算支出决算数为1148.83万元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47"/>
      <w:bookmarkEnd w:id="48"/>
      <w:bookmarkEnd w:id="49"/>
      <w:bookmarkEnd w:id="50"/>
    </w:p>
    <w:p>
      <w:pPr>
        <w:spacing w:line="600" w:lineRule="exact"/>
        <w:ind w:firstLine="643" w:firstLineChars="200"/>
        <w:rPr>
          <w:rStyle w:val="14"/>
          <w:rFonts w:ascii="仿宋" w:hAnsi="仿宋" w:eastAsia="仿宋"/>
          <w:b w:val="0"/>
          <w:bCs/>
          <w:sz w:val="32"/>
          <w:szCs w:val="32"/>
        </w:rPr>
      </w:pPr>
      <w:r>
        <w:rPr>
          <w:rStyle w:val="14"/>
          <w:rFonts w:ascii="仿宋" w:hAnsi="仿宋" w:eastAsia="仿宋"/>
          <w:bCs/>
          <w:sz w:val="32"/>
          <w:szCs w:val="32"/>
        </w:rPr>
        <w:t>1.</w:t>
      </w:r>
      <w:r>
        <w:rPr>
          <w:rStyle w:val="14"/>
          <w:rFonts w:hint="eastAsia" w:ascii="仿宋" w:hAnsi="仿宋" w:eastAsia="仿宋"/>
          <w:bCs/>
          <w:sz w:val="32"/>
          <w:szCs w:val="32"/>
        </w:rPr>
        <w:t>一般公共服务类630.17万元，（1）政府办公厅（室）及相关机构事务款626.11万元：行政运行项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支出决算为357.73万元，完成预算100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；一般行政管理事务项357.73万元，完成预算100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；信访事务5万元，完成预算100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；其他政府办公厅（室）及相关机构事务支出193.23万元，完成预算100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。（2）纪检监察事务款，其他纪检监察事务支出项4.06万元，完成预算100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2．公共安全支出类，公安款，执法办案支出项支出决算为12.66万元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教育（类）其他教育支出款，其他教育支出项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支出决算为0.5万元，完成预算100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4.</w:t>
      </w:r>
      <w:r>
        <w:rPr>
          <w:rStyle w:val="14"/>
          <w:rFonts w:hint="eastAsia" w:ascii="仿宋" w:hAnsi="仿宋" w:eastAsia="仿宋"/>
          <w:bCs/>
          <w:sz w:val="32"/>
          <w:szCs w:val="32"/>
        </w:rPr>
        <w:t>文化旅游体育与传媒（类）其他文化旅游体育与传媒（款）宣传文化发展专项支出（项）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ascii="仿宋" w:hAnsi="仿宋" w:eastAsia="仿宋"/>
          <w:bCs/>
          <w:sz w:val="32"/>
          <w:szCs w:val="32"/>
        </w:rPr>
        <w:t>5.</w:t>
      </w:r>
      <w:r>
        <w:rPr>
          <w:rStyle w:val="14"/>
          <w:rFonts w:hint="eastAsia" w:ascii="仿宋" w:hAnsi="仿宋" w:eastAsia="仿宋"/>
          <w:bCs/>
          <w:sz w:val="32"/>
          <w:szCs w:val="32"/>
        </w:rPr>
        <w:t>社会保障和就业类行政事业单位养老支出款：（1）行政单位离退休项</w:t>
      </w:r>
      <w:r>
        <w:rPr>
          <w:rStyle w:val="14"/>
          <w:rFonts w:hint="eastAsia" w:ascii="仿宋" w:hAnsi="仿宋" w:eastAsia="仿宋"/>
          <w:b w:val="0"/>
          <w:bCs/>
          <w:sz w:val="32"/>
          <w:szCs w:val="32"/>
        </w:rPr>
        <w:t>支出决算为6.62万元，完成预算100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；（2）机关事业单位基本养老保险缴费支出项，支出决算为60.53万元，完成预算100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；（3）机关事业单位职业年金缴费支出项，支出决算为8.16万元，完成预算100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；（4）其他行政事业单位养老支出项，支出决算为15.1万元，完成预算100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社会保障和就业类抚恤款死亡抚恤项，支出决算为14.59万元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ascii="仿宋" w:hAnsi="仿宋" w:eastAsia="仿宋"/>
          <w:bCs/>
          <w:sz w:val="32"/>
          <w:szCs w:val="32"/>
        </w:rPr>
        <w:t>6.</w:t>
      </w:r>
      <w:r>
        <w:rPr>
          <w:rFonts w:hint="eastAsia" w:ascii="仿宋" w:hAnsi="仿宋" w:eastAsia="仿宋"/>
          <w:b/>
          <w:bCs/>
          <w:sz w:val="32"/>
          <w:szCs w:val="32"/>
        </w:rPr>
        <w:t>卫生健康支出</w:t>
      </w:r>
      <w:r>
        <w:rPr>
          <w:rStyle w:val="14"/>
          <w:rFonts w:hint="eastAsia" w:ascii="仿宋" w:hAnsi="仿宋" w:eastAsia="仿宋"/>
          <w:bCs/>
          <w:sz w:val="32"/>
          <w:szCs w:val="32"/>
        </w:rPr>
        <w:t>类公共卫生款重大公共卫生服务项</w:t>
      </w:r>
      <w:r>
        <w:rPr>
          <w:rStyle w:val="14"/>
          <w:rFonts w:ascii="仿宋" w:hAnsi="仿宋" w:eastAsia="仿宋"/>
          <w:bCs/>
          <w:sz w:val="32"/>
          <w:szCs w:val="32"/>
        </w:rPr>
        <w:t>:</w:t>
      </w:r>
      <w:r>
        <w:rPr>
          <w:rStyle w:val="14"/>
          <w:rFonts w:hint="eastAsia" w:ascii="仿宋" w:hAnsi="仿宋" w:eastAsia="仿宋"/>
          <w:b w:val="0"/>
          <w:bCs/>
          <w:sz w:val="32"/>
          <w:szCs w:val="32"/>
        </w:rPr>
        <w:t>支出决算为8万元，完成预算100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b/>
          <w:bCs/>
          <w:sz w:val="32"/>
          <w:szCs w:val="32"/>
        </w:rPr>
        <w:t>卫生健康支出</w:t>
      </w:r>
      <w:r>
        <w:rPr>
          <w:rStyle w:val="14"/>
          <w:rFonts w:hint="eastAsia" w:ascii="仿宋" w:hAnsi="仿宋" w:eastAsia="仿宋"/>
          <w:bCs/>
          <w:sz w:val="32"/>
          <w:szCs w:val="32"/>
        </w:rPr>
        <w:t>类行政事业单位医疗款：（1）行政单位医疗项，支出</w:t>
      </w:r>
      <w:r>
        <w:rPr>
          <w:rStyle w:val="14"/>
          <w:rFonts w:hint="eastAsia" w:ascii="仿宋" w:hAnsi="仿宋" w:eastAsia="仿宋"/>
          <w:b w:val="0"/>
          <w:bCs/>
          <w:sz w:val="32"/>
          <w:szCs w:val="32"/>
        </w:rPr>
        <w:t>决算数为23.8万，完成预算100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sz w:val="32"/>
          <w:szCs w:val="32"/>
        </w:rPr>
        <w:t>（2）事业单位医疗项，支出决算数为12.01万元，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；（3）公务员医疗补助项，</w:t>
      </w:r>
      <w:r>
        <w:rPr>
          <w:rFonts w:hint="eastAsia" w:ascii="仿宋" w:hAnsi="仿宋" w:eastAsia="仿宋"/>
          <w:sz w:val="32"/>
          <w:szCs w:val="32"/>
        </w:rPr>
        <w:t>支出决算数为4.11万元，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Style w:val="14"/>
          <w:rFonts w:ascii="仿宋" w:hAnsi="仿宋" w:eastAsia="仿宋"/>
          <w:b w:val="0"/>
          <w:bCs/>
          <w:sz w:val="32"/>
          <w:szCs w:val="32"/>
        </w:rPr>
      </w:pPr>
      <w:r>
        <w:rPr>
          <w:rStyle w:val="14"/>
          <w:rFonts w:hint="eastAsia" w:ascii="仿宋" w:hAnsi="仿宋" w:eastAsia="仿宋"/>
          <w:b w:val="0"/>
          <w:bCs/>
          <w:sz w:val="32"/>
          <w:szCs w:val="32"/>
        </w:rPr>
        <w:t>7.城乡社区支出类，城乡社区管理事务款，其他城乡社区管理事务项，</w:t>
      </w:r>
      <w:r>
        <w:rPr>
          <w:rFonts w:hint="eastAsia" w:ascii="仿宋" w:hAnsi="仿宋" w:eastAsia="仿宋"/>
          <w:sz w:val="32"/>
          <w:szCs w:val="32"/>
        </w:rPr>
        <w:t>支出决算数为6.5万元，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Style w:val="14"/>
          <w:rFonts w:ascii="仿宋" w:hAnsi="仿宋" w:eastAsia="仿宋"/>
          <w:b w:val="0"/>
          <w:bCs/>
          <w:sz w:val="32"/>
          <w:szCs w:val="32"/>
        </w:rPr>
      </w:pPr>
      <w:r>
        <w:rPr>
          <w:rStyle w:val="14"/>
          <w:rFonts w:hint="eastAsia" w:ascii="仿宋" w:hAnsi="仿宋" w:eastAsia="仿宋"/>
          <w:b w:val="0"/>
          <w:bCs/>
          <w:sz w:val="32"/>
          <w:szCs w:val="32"/>
        </w:rPr>
        <w:t>8.农林水支出类农业农村款农村社会事业项，</w:t>
      </w:r>
      <w:r>
        <w:rPr>
          <w:rFonts w:hint="eastAsia" w:ascii="仿宋" w:hAnsi="仿宋" w:eastAsia="仿宋"/>
          <w:sz w:val="32"/>
          <w:szCs w:val="32"/>
        </w:rPr>
        <w:t>支出决算数为7万元，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。农林水支出类扶贫款，（1）农村基础设施决算项，</w:t>
      </w:r>
      <w:r>
        <w:rPr>
          <w:rFonts w:hint="eastAsia" w:ascii="仿宋" w:hAnsi="仿宋" w:eastAsia="仿宋"/>
          <w:sz w:val="32"/>
          <w:szCs w:val="32"/>
        </w:rPr>
        <w:t>支出决算数为110万元，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。（2）其他扶贫支出项，</w:t>
      </w:r>
      <w:r>
        <w:rPr>
          <w:rFonts w:hint="eastAsia" w:ascii="仿宋" w:hAnsi="仿宋" w:eastAsia="仿宋"/>
          <w:sz w:val="32"/>
          <w:szCs w:val="32"/>
        </w:rPr>
        <w:t>支出决算数为14.18万元，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。农村综合改革款对村民委员会和党支部的补助项，</w:t>
      </w:r>
      <w:r>
        <w:rPr>
          <w:rFonts w:hint="eastAsia" w:ascii="仿宋" w:hAnsi="仿宋" w:eastAsia="仿宋"/>
          <w:sz w:val="32"/>
          <w:szCs w:val="32"/>
        </w:rPr>
        <w:t>支出决算数为161.98万元，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Style w:val="14"/>
          <w:rFonts w:ascii="仿宋" w:hAnsi="仿宋" w:eastAsia="仿宋"/>
          <w:b w:val="0"/>
          <w:bCs/>
          <w:sz w:val="32"/>
          <w:szCs w:val="32"/>
        </w:rPr>
      </w:pPr>
      <w:r>
        <w:rPr>
          <w:rStyle w:val="14"/>
          <w:rFonts w:hint="eastAsia" w:ascii="仿宋" w:hAnsi="仿宋" w:eastAsia="仿宋"/>
          <w:b w:val="0"/>
          <w:bCs/>
          <w:sz w:val="32"/>
          <w:szCs w:val="32"/>
        </w:rPr>
        <w:t>9.住房保障支出类住房改革支出款住房公积金项，</w:t>
      </w:r>
      <w:r>
        <w:rPr>
          <w:rFonts w:hint="eastAsia" w:ascii="仿宋" w:hAnsi="仿宋" w:eastAsia="仿宋"/>
          <w:sz w:val="32"/>
          <w:szCs w:val="32"/>
        </w:rPr>
        <w:t>支出决算数为47.91万元，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1-1表和财决08表，仅罗列本单位涉及的全部功能分类科目，至项级。上述“预算”口径为调整预算数。增减变动原因为决算数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和调整预算数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5"/>
        </w:rPr>
      </w:pPr>
      <w:bookmarkStart w:id="51" w:name="_Toc15377214"/>
      <w:bookmarkStart w:id="52" w:name="_Toc15396608"/>
      <w:bookmarkStart w:id="53" w:name="_Toc818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51"/>
      <w:bookmarkEnd w:id="52"/>
      <w:bookmarkEnd w:id="53"/>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21年一般公共预算财政拨款基本支出1148.83万元，其中：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826.19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322.64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54" w:name="_Toc15396609"/>
      <w:bookmarkStart w:id="55" w:name="_Toc13862"/>
      <w:bookmarkStart w:id="56" w:name="_Toc15377215"/>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54"/>
      <w:bookmarkEnd w:id="55"/>
      <w:bookmarkEnd w:id="56"/>
    </w:p>
    <w:p>
      <w:pPr>
        <w:spacing w:line="600" w:lineRule="exact"/>
        <w:ind w:firstLine="640"/>
        <w:outlineLvl w:val="2"/>
        <w:rPr>
          <w:rFonts w:ascii="仿宋" w:hAnsi="仿宋" w:eastAsia="仿宋"/>
          <w:b/>
          <w:sz w:val="32"/>
          <w:szCs w:val="32"/>
        </w:rPr>
      </w:pPr>
      <w:bookmarkStart w:id="57" w:name="_Toc15377216"/>
      <w:bookmarkStart w:id="58" w:name="_Toc24426"/>
      <w:r>
        <w:rPr>
          <w:rFonts w:hint="eastAsia" w:ascii="仿宋" w:hAnsi="仿宋" w:eastAsia="仿宋"/>
          <w:b/>
          <w:sz w:val="32"/>
          <w:szCs w:val="32"/>
        </w:rPr>
        <w:t>（一）“三公”经费财政拨款支出决算总体情况说明</w:t>
      </w:r>
      <w:bookmarkEnd w:id="57"/>
      <w:bookmarkEnd w:id="5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21年“三公”经费财政拨款支出决算为2.6万元，完成预算100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59" w:name="_Toc15377217"/>
      <w:bookmarkStart w:id="60" w:name="_Toc13974"/>
      <w:r>
        <w:rPr>
          <w:rFonts w:hint="eastAsia" w:ascii="仿宋" w:hAnsi="仿宋" w:eastAsia="仿宋"/>
          <w:b/>
          <w:sz w:val="32"/>
          <w:szCs w:val="32"/>
        </w:rPr>
        <w:t>（二）“三公”经费财政拨款支出决算具体情况说明</w:t>
      </w:r>
      <w:bookmarkEnd w:id="59"/>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；公务接待费支出决算2.6万元，占100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6432" behindDoc="1" locked="0" layoutInCell="1" allowOverlap="1">
            <wp:simplePos x="0" y="0"/>
            <wp:positionH relativeFrom="column">
              <wp:posOffset>419735</wp:posOffset>
            </wp:positionH>
            <wp:positionV relativeFrom="paragraph">
              <wp:posOffset>83185</wp:posOffset>
            </wp:positionV>
            <wp:extent cx="4318635" cy="2512695"/>
            <wp:effectExtent l="4445" t="4445" r="58420" b="54610"/>
            <wp:wrapTight wrapText="bothSides">
              <wp:wrapPolygon>
                <wp:start x="-22" y="-38"/>
                <wp:lineTo x="-22" y="21414"/>
                <wp:lineTo x="21511" y="21414"/>
                <wp:lineTo x="21511" y="-38"/>
                <wp:lineTo x="-22" y="-38"/>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。主要原因本单位没有安排因公出国（境）预算。</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。主要原因是本单位没有公务用车。</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2.6万元，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20年减少0.05万元，下降1.89</w:t>
      </w:r>
      <w:r>
        <w:rPr>
          <w:rFonts w:ascii="仿宋_GB2312" w:eastAsia="仿宋_GB2312"/>
          <w:sz w:val="32"/>
          <w:szCs w:val="32"/>
        </w:rPr>
        <w:t>%</w:t>
      </w:r>
      <w:r>
        <w:rPr>
          <w:rFonts w:hint="eastAsia" w:ascii="仿宋_GB2312" w:eastAsia="仿宋_GB2312"/>
          <w:sz w:val="32"/>
          <w:szCs w:val="32"/>
        </w:rPr>
        <w:t>。主要原因是按要求厉行勤俭节约。</w:t>
      </w:r>
    </w:p>
    <w:p>
      <w:pPr>
        <w:spacing w:line="600" w:lineRule="exact"/>
        <w:ind w:firstLine="640"/>
        <w:rPr>
          <w:rFonts w:ascii="仿宋_GB2312" w:eastAsia="仿宋_GB2312"/>
          <w:color w:val="000000"/>
          <w:sz w:val="32"/>
          <w:szCs w:val="32"/>
        </w:rPr>
      </w:pPr>
      <w:r>
        <w:rPr>
          <w:rFonts w:hint="eastAsia" w:ascii="仿宋" w:hAnsi="仿宋" w:eastAsia="仿宋"/>
          <w:b/>
          <w:sz w:val="32"/>
          <w:szCs w:val="32"/>
        </w:rPr>
        <w:t>国内公务接待支出</w:t>
      </w:r>
      <w:r>
        <w:rPr>
          <w:rFonts w:hint="eastAsia" w:ascii="仿宋" w:hAnsi="仿宋" w:eastAsia="仿宋"/>
          <w:sz w:val="32"/>
          <w:szCs w:val="32"/>
        </w:rPr>
        <w:t>2.6</w:t>
      </w:r>
      <w:r>
        <w:rPr>
          <w:rFonts w:hint="eastAsia" w:ascii="仿宋_GB2312" w:eastAsia="仿宋_GB2312"/>
          <w:sz w:val="32"/>
          <w:szCs w:val="32"/>
        </w:rPr>
        <w:t>万元，</w:t>
      </w:r>
      <w:r>
        <w:rPr>
          <w:rFonts w:hint="eastAsia" w:ascii="仿宋_GB2312" w:eastAsia="仿宋_GB2312"/>
          <w:color w:val="000000"/>
          <w:sz w:val="32"/>
          <w:szCs w:val="32"/>
        </w:rPr>
        <w:t>主要用于开展业务活动开支的交通费、住宿费、用餐费等</w:t>
      </w:r>
      <w:r>
        <w:rPr>
          <w:rFonts w:hint="eastAsia" w:ascii="仿宋_GB2312" w:eastAsia="仿宋_GB2312"/>
          <w:sz w:val="32"/>
          <w:szCs w:val="32"/>
        </w:rPr>
        <w:t>。国内公务接待104批次，502人次，共计支出2.6万元。具体内容包括：</w:t>
      </w:r>
      <w:r>
        <w:rPr>
          <w:rFonts w:hint="eastAsia" w:ascii="仿宋_GB2312" w:eastAsia="仿宋_GB2312"/>
          <w:color w:val="000000"/>
          <w:sz w:val="32"/>
          <w:szCs w:val="32"/>
        </w:rPr>
        <w:t>接待上级检查考核18次1.2万元；精准扶贫方面支出14次1.1万元；信访维稳支出10次0.3万元。</w:t>
      </w:r>
    </w:p>
    <w:p>
      <w:pPr>
        <w:spacing w:line="600" w:lineRule="exact"/>
        <w:ind w:firstLine="64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9"/>
        <w:rPr>
          <w:rFonts w:ascii="黑体" w:eastAsia="黑体"/>
          <w:sz w:val="32"/>
          <w:szCs w:val="32"/>
        </w:rPr>
      </w:pPr>
      <w:bookmarkStart w:id="61" w:name="_Toc15396610"/>
      <w:bookmarkStart w:id="62" w:name="_Toc15377218"/>
    </w:p>
    <w:p>
      <w:pPr>
        <w:spacing w:line="600" w:lineRule="exact"/>
        <w:ind w:firstLine="640"/>
        <w:outlineLvl w:val="1"/>
        <w:rPr>
          <w:rStyle w:val="25"/>
          <w:rFonts w:ascii="黑体" w:hAnsi="黑体" w:eastAsia="黑体"/>
        </w:rPr>
      </w:pPr>
      <w:bookmarkStart w:id="63" w:name="_Toc13530"/>
      <w:r>
        <w:rPr>
          <w:rFonts w:hint="eastAsia" w:ascii="黑体" w:eastAsia="黑体"/>
          <w:sz w:val="32"/>
          <w:szCs w:val="32"/>
        </w:rPr>
        <w:t>八、</w:t>
      </w:r>
      <w:r>
        <w:rPr>
          <w:rStyle w:val="25"/>
          <w:rFonts w:hint="eastAsia" w:ascii="黑体" w:hAnsi="黑体" w:eastAsia="黑体"/>
          <w:b w:val="0"/>
        </w:rPr>
        <w:t>政府性基金预算支出决算情况说明</w:t>
      </w:r>
      <w:bookmarkEnd w:id="61"/>
      <w:bookmarkEnd w:id="62"/>
      <w:bookmarkEnd w:id="6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21年政府性基金预算财政拨款支出31.3万元。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5"/>
          <w:rFonts w:ascii="黑体" w:hAnsi="黑体" w:eastAsia="黑体"/>
          <w:b w:val="0"/>
        </w:rPr>
      </w:pPr>
      <w:bookmarkStart w:id="64" w:name="_Toc15377219"/>
      <w:bookmarkStart w:id="65" w:name="_Toc15396611"/>
      <w:bookmarkStart w:id="66" w:name="_Toc30881"/>
      <w:r>
        <w:rPr>
          <w:rStyle w:val="25"/>
          <w:rFonts w:hint="eastAsia" w:ascii="黑体" w:hAnsi="黑体" w:eastAsia="黑体"/>
          <w:b w:val="0"/>
        </w:rPr>
        <w:t>国有资本经营预算支出决算情况说明</w:t>
      </w:r>
      <w:bookmarkEnd w:id="64"/>
      <w:bookmarkEnd w:id="65"/>
      <w:bookmarkEnd w:id="6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5"/>
          <w:rFonts w:ascii="黑体" w:hAnsi="黑体" w:eastAsia="黑体"/>
          <w:b w:val="0"/>
        </w:rPr>
      </w:pPr>
      <w:bookmarkStart w:id="67" w:name="_Toc15377221"/>
      <w:bookmarkStart w:id="68" w:name="_Toc15396612"/>
      <w:bookmarkStart w:id="69" w:name="_Toc21445"/>
      <w:r>
        <w:rPr>
          <w:rStyle w:val="25"/>
          <w:rFonts w:hint="eastAsia" w:ascii="黑体" w:hAnsi="黑体" w:eastAsia="黑体"/>
          <w:b w:val="0"/>
        </w:rPr>
        <w:t>其他重要事项的情况说明</w:t>
      </w:r>
      <w:bookmarkEnd w:id="67"/>
      <w:bookmarkEnd w:id="68"/>
      <w:bookmarkEnd w:id="69"/>
    </w:p>
    <w:p>
      <w:pPr>
        <w:spacing w:line="600" w:lineRule="exact"/>
        <w:ind w:firstLine="643" w:firstLineChars="200"/>
        <w:outlineLvl w:val="2"/>
        <w:rPr>
          <w:rFonts w:ascii="仿宋" w:hAnsi="仿宋" w:eastAsia="仿宋"/>
          <w:sz w:val="32"/>
          <w:szCs w:val="32"/>
        </w:rPr>
      </w:pPr>
      <w:bookmarkStart w:id="70" w:name="_Toc15377222"/>
      <w:bookmarkStart w:id="71" w:name="_Toc26723"/>
      <w:r>
        <w:rPr>
          <w:rFonts w:hint="eastAsia" w:ascii="仿宋" w:hAnsi="仿宋" w:eastAsia="仿宋"/>
          <w:b/>
          <w:sz w:val="32"/>
          <w:szCs w:val="32"/>
        </w:rPr>
        <w:t>（一）机关运行经费支出情况</w:t>
      </w:r>
      <w:bookmarkEnd w:id="70"/>
      <w:bookmarkEnd w:id="7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21年，塔河镇人民政府机关运行经费支出</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，与</w:t>
      </w:r>
      <w:r>
        <w:rPr>
          <w:rFonts w:ascii="仿宋_GB2312" w:eastAsia="仿宋_GB2312"/>
          <w:sz w:val="32"/>
          <w:szCs w:val="32"/>
        </w:rPr>
        <w:t>20</w:t>
      </w:r>
      <w:r>
        <w:rPr>
          <w:rFonts w:hint="eastAsia" w:ascii="仿宋_GB2312" w:eastAsia="仿宋_GB2312"/>
          <w:sz w:val="32"/>
          <w:szCs w:val="32"/>
        </w:rPr>
        <w:t>20年决算数持平。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2" w:name="_Toc15377223"/>
      <w:bookmarkStart w:id="73" w:name="_Toc11293"/>
      <w:r>
        <w:rPr>
          <w:rFonts w:hint="eastAsia" w:ascii="仿宋" w:hAnsi="仿宋" w:eastAsia="仿宋"/>
          <w:b/>
          <w:sz w:val="32"/>
          <w:szCs w:val="32"/>
        </w:rPr>
        <w:t>（二）政府采购支出情况</w:t>
      </w:r>
      <w:bookmarkEnd w:id="72"/>
      <w:bookmarkEnd w:id="7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21年，宣汉县塔河镇人民政府采购支出总额0万元，其中：政府采购货物支出0万元、政府采购工程支出0万元、政府采购服务支出0万元。授予中小企业合同金额0万元，占政府采购支出总额的0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4" w:name="_Toc15377224"/>
      <w:bookmarkStart w:id="75" w:name="_Toc16672"/>
      <w:r>
        <w:rPr>
          <w:rFonts w:hint="eastAsia" w:ascii="仿宋" w:hAnsi="仿宋" w:eastAsia="仿宋"/>
          <w:b/>
          <w:sz w:val="32"/>
          <w:szCs w:val="32"/>
        </w:rPr>
        <w:t>（三）国有资产占有使用情况</w:t>
      </w:r>
      <w:bookmarkEnd w:id="74"/>
      <w:bookmarkEnd w:id="7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日，宣汉塔河镇人民政府共有车辆0辆，其中：主要领导干部用车0辆、机要通信用车0辆、应急保障用车0辆、其他用车0辆。单价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方正粗黑宋简体" w:hAnsi="方正粗黑宋简体" w:eastAsia="方正粗黑宋简体"/>
          <w:b/>
          <w:sz w:val="32"/>
          <w:szCs w:val="32"/>
        </w:rPr>
      </w:pPr>
      <w:bookmarkStart w:id="76" w:name="_Toc29359"/>
      <w:r>
        <w:rPr>
          <w:rFonts w:hint="eastAsia" w:ascii="仿宋" w:hAnsi="仿宋" w:eastAsia="仿宋"/>
          <w:b/>
          <w:sz w:val="32"/>
          <w:szCs w:val="32"/>
        </w:rPr>
        <w:t>（</w:t>
      </w:r>
      <w:r>
        <w:rPr>
          <w:rFonts w:hint="eastAsia" w:ascii="方正粗黑宋简体" w:hAnsi="方正粗黑宋简体" w:eastAsia="方正粗黑宋简体"/>
          <w:b/>
          <w:sz w:val="32"/>
          <w:szCs w:val="32"/>
        </w:rPr>
        <w:t>四）预算绩效管理情况</w:t>
      </w:r>
      <w:bookmarkEnd w:id="76"/>
    </w:p>
    <w:p>
      <w:pPr>
        <w:autoSpaceDE w:val="0"/>
        <w:autoSpaceDN w:val="0"/>
        <w:adjustRightInd w:val="0"/>
        <w:spacing w:line="600" w:lineRule="exact"/>
        <w:ind w:firstLine="643" w:firstLineChars="200"/>
        <w:jc w:val="left"/>
        <w:outlineLvl w:val="3"/>
        <w:rPr>
          <w:rFonts w:ascii="仿宋" w:hAnsi="仿宋" w:eastAsia="仿宋" w:cs="楷体_GB2312"/>
          <w:b/>
          <w:bCs/>
          <w:sz w:val="32"/>
          <w:szCs w:val="32"/>
        </w:rPr>
      </w:pPr>
      <w:r>
        <w:rPr>
          <w:rFonts w:hint="eastAsia" w:ascii="仿宋" w:hAnsi="仿宋" w:eastAsia="仿宋" w:cs="楷体_GB2312"/>
          <w:b/>
          <w:bCs/>
          <w:sz w:val="32"/>
          <w:szCs w:val="32"/>
        </w:rPr>
        <w:t>1，预算绩效管理工作开展情况。</w:t>
      </w:r>
    </w:p>
    <w:p>
      <w:pPr>
        <w:spacing w:line="580" w:lineRule="exact"/>
        <w:ind w:firstLine="640" w:firstLineChars="200"/>
        <w:rPr>
          <w:rFonts w:eastAsia="仿宋_GB2312" w:asciiTheme="minorHAnsi" w:hAnsiTheme="minorHAnsi" w:cstheme="minorHAnsi"/>
          <w:color w:val="000000"/>
          <w:sz w:val="32"/>
          <w:szCs w:val="32"/>
        </w:rPr>
      </w:pPr>
      <w:r>
        <w:rPr>
          <w:rFonts w:hAnsi="仿宋_GB2312" w:eastAsia="仿宋_GB2312" w:asciiTheme="minorHAnsi" w:cstheme="minorHAnsi"/>
          <w:color w:val="000000"/>
          <w:sz w:val="32"/>
          <w:szCs w:val="32"/>
        </w:rPr>
        <w:t>根据预算绩效管理要求，本部门（单位）在年初预算编制阶段，组织对</w:t>
      </w:r>
      <w:r>
        <w:rPr>
          <w:rFonts w:eastAsia="仿宋_GB2312" w:asciiTheme="minorHAnsi" w:hAnsiTheme="minorHAnsi" w:cstheme="minorHAnsi"/>
          <w:color w:val="000000"/>
          <w:sz w:val="32"/>
          <w:szCs w:val="32"/>
        </w:rPr>
        <w:t>4</w:t>
      </w:r>
      <w:r>
        <w:rPr>
          <w:rFonts w:hAnsi="仿宋_GB2312" w:eastAsia="仿宋_GB2312" w:asciiTheme="minorHAnsi" w:cstheme="minorHAnsi"/>
          <w:color w:val="000000"/>
          <w:sz w:val="32"/>
          <w:szCs w:val="32"/>
        </w:rPr>
        <w:t>个项目开展了预算事前绩效评估，对</w:t>
      </w:r>
      <w:r>
        <w:rPr>
          <w:rFonts w:eastAsia="仿宋_GB2312" w:asciiTheme="minorHAnsi" w:hAnsiTheme="minorHAnsi" w:cstheme="minorHAnsi"/>
          <w:color w:val="000000"/>
          <w:sz w:val="32"/>
          <w:szCs w:val="32"/>
        </w:rPr>
        <w:t>4</w:t>
      </w:r>
      <w:r>
        <w:rPr>
          <w:rFonts w:hAnsi="仿宋_GB2312" w:eastAsia="仿宋_GB2312" w:asciiTheme="minorHAnsi" w:cstheme="minorHAnsi"/>
          <w:color w:val="000000"/>
          <w:sz w:val="32"/>
          <w:szCs w:val="32"/>
        </w:rPr>
        <w:t>个项目编制了绩效目标，预算执行过程中对</w:t>
      </w:r>
      <w:r>
        <w:rPr>
          <w:rFonts w:eastAsia="仿宋_GB2312" w:asciiTheme="minorHAnsi" w:hAnsiTheme="minorHAnsi" w:cstheme="minorHAnsi"/>
          <w:color w:val="000000"/>
          <w:sz w:val="32"/>
          <w:szCs w:val="32"/>
        </w:rPr>
        <w:t>4</w:t>
      </w:r>
      <w:r>
        <w:rPr>
          <w:rFonts w:hAnsi="仿宋_GB2312" w:eastAsia="仿宋_GB2312" w:asciiTheme="minorHAnsi" w:cstheme="minorHAnsi"/>
          <w:color w:val="000000"/>
          <w:sz w:val="32"/>
          <w:szCs w:val="32"/>
        </w:rPr>
        <w:t>个项目开展绩效监控，年终执行完毕后，对</w:t>
      </w:r>
      <w:r>
        <w:rPr>
          <w:rFonts w:eastAsia="仿宋_GB2312" w:asciiTheme="minorHAnsi" w:hAnsiTheme="minorHAnsi" w:cstheme="minorHAnsi"/>
          <w:color w:val="000000"/>
          <w:sz w:val="32"/>
          <w:szCs w:val="32"/>
        </w:rPr>
        <w:t>4</w:t>
      </w:r>
      <w:r>
        <w:rPr>
          <w:rFonts w:hAnsi="仿宋_GB2312" w:eastAsia="仿宋_GB2312" w:asciiTheme="minorHAnsi" w:cstheme="minorHAnsi"/>
          <w:color w:val="000000"/>
          <w:sz w:val="32"/>
          <w:szCs w:val="32"/>
        </w:rPr>
        <w:t>个项目开展了绩效目标完成情况梳理填报。</w:t>
      </w:r>
    </w:p>
    <w:p>
      <w:pPr>
        <w:spacing w:line="579" w:lineRule="exact"/>
        <w:ind w:firstLine="640" w:firstLineChars="200"/>
        <w:rPr>
          <w:rFonts w:eastAsia="仿宋_GB2312" w:asciiTheme="minorHAnsi" w:hAnsiTheme="minorHAnsi" w:cstheme="minorHAnsi"/>
          <w:color w:val="000000"/>
          <w:sz w:val="32"/>
          <w:szCs w:val="32"/>
        </w:rPr>
      </w:pPr>
      <w:r>
        <w:rPr>
          <w:rFonts w:hAnsi="仿宋_GB2312" w:eastAsia="仿宋_GB2312" w:asciiTheme="minorHAnsi" w:cstheme="minorHAnsi"/>
          <w:color w:val="000000"/>
          <w:sz w:val="32"/>
          <w:szCs w:val="32"/>
        </w:rPr>
        <w:t>本部门按要求对</w:t>
      </w:r>
      <w:r>
        <w:rPr>
          <w:rFonts w:eastAsia="仿宋_GB2312" w:asciiTheme="minorHAnsi" w:hAnsiTheme="minorHAnsi" w:cstheme="minorHAnsi"/>
          <w:color w:val="000000"/>
          <w:sz w:val="32"/>
          <w:szCs w:val="32"/>
        </w:rPr>
        <w:t>2020</w:t>
      </w:r>
      <w:r>
        <w:rPr>
          <w:rFonts w:hAnsi="仿宋_GB2312" w:eastAsia="仿宋_GB2312" w:asciiTheme="minorHAnsi" w:cstheme="minorHAnsi"/>
          <w:color w:val="000000"/>
          <w:sz w:val="32"/>
          <w:szCs w:val="32"/>
        </w:rPr>
        <w:t>年部门整体支出开展绩效自评，从评价情况来看，</w:t>
      </w:r>
      <w:r>
        <w:rPr>
          <w:rFonts w:eastAsia="仿宋_GB2312" w:asciiTheme="minorHAnsi" w:hAnsiTheme="minorHAnsi" w:cstheme="minorHAnsi"/>
          <w:color w:val="000000"/>
          <w:sz w:val="32"/>
          <w:szCs w:val="32"/>
        </w:rPr>
        <w:t>4</w:t>
      </w:r>
      <w:r>
        <w:rPr>
          <w:rFonts w:hAnsi="仿宋_GB2312" w:eastAsia="仿宋_GB2312" w:asciiTheme="minorHAnsi" w:cstheme="minorHAnsi"/>
          <w:color w:val="000000"/>
          <w:sz w:val="32"/>
          <w:szCs w:val="32"/>
        </w:rPr>
        <w:t>个评价项目平均得分</w:t>
      </w:r>
      <w:r>
        <w:rPr>
          <w:rFonts w:eastAsia="仿宋_GB2312" w:asciiTheme="minorHAnsi" w:hAnsiTheme="minorHAnsi" w:cstheme="minorHAnsi"/>
          <w:color w:val="000000"/>
          <w:sz w:val="32"/>
          <w:szCs w:val="32"/>
        </w:rPr>
        <w:t>95</w:t>
      </w:r>
      <w:r>
        <w:rPr>
          <w:rFonts w:hAnsi="仿宋_GB2312" w:eastAsia="仿宋_GB2312" w:asciiTheme="minorHAnsi" w:cstheme="minorHAnsi"/>
          <w:color w:val="000000"/>
          <w:sz w:val="32"/>
          <w:szCs w:val="32"/>
        </w:rPr>
        <w:t>分，最高得分</w:t>
      </w:r>
      <w:r>
        <w:rPr>
          <w:rFonts w:eastAsia="仿宋_GB2312" w:asciiTheme="minorHAnsi" w:hAnsiTheme="minorHAnsi" w:cstheme="minorHAnsi"/>
          <w:color w:val="000000"/>
          <w:sz w:val="32"/>
          <w:szCs w:val="32"/>
        </w:rPr>
        <w:t>97</w:t>
      </w:r>
      <w:r>
        <w:rPr>
          <w:rFonts w:hAnsi="仿宋_GB2312" w:eastAsia="仿宋_GB2312" w:asciiTheme="minorHAnsi" w:cstheme="minorHAnsi"/>
          <w:color w:val="000000"/>
          <w:sz w:val="32"/>
          <w:szCs w:val="32"/>
        </w:rPr>
        <w:t>分，最低得分</w:t>
      </w:r>
      <w:r>
        <w:rPr>
          <w:rFonts w:eastAsia="仿宋_GB2312" w:asciiTheme="minorHAnsi" w:hAnsiTheme="minorHAnsi" w:cstheme="minorHAnsi"/>
          <w:color w:val="000000"/>
          <w:sz w:val="32"/>
          <w:szCs w:val="32"/>
        </w:rPr>
        <w:t>92</w:t>
      </w:r>
      <w:r>
        <w:rPr>
          <w:rFonts w:hAnsi="仿宋_GB2312" w:eastAsia="仿宋_GB2312" w:asciiTheme="minorHAnsi" w:cstheme="minorHAnsi"/>
          <w:color w:val="000000"/>
          <w:sz w:val="32"/>
          <w:szCs w:val="32"/>
        </w:rPr>
        <w:t>分。被评价项目总体绩效目标明确，决策依据充分，资金分配科学合理，项目管理较规范，项目完成良好，基本达到了预期效果</w:t>
      </w:r>
      <w:r>
        <w:rPr>
          <w:rFonts w:hAnsi="宋体" w:asciiTheme="minorHAnsi" w:cstheme="minorHAnsi"/>
          <w:color w:val="000000"/>
          <w:sz w:val="36"/>
          <w:szCs w:val="36"/>
          <w:shd w:val="clear" w:color="auto" w:fill="FFFFFF"/>
        </w:rPr>
        <w:t>。</w:t>
      </w:r>
      <w:r>
        <w:rPr>
          <w:rFonts w:hAnsi="仿宋_GB2312" w:eastAsia="仿宋_GB2312" w:asciiTheme="minorHAnsi" w:cstheme="minorHAnsi"/>
          <w:color w:val="000000"/>
          <w:sz w:val="32"/>
          <w:szCs w:val="32"/>
        </w:rPr>
        <w:t>本部门还自行组织了</w:t>
      </w:r>
      <w:r>
        <w:rPr>
          <w:rFonts w:eastAsia="仿宋_GB2312" w:asciiTheme="minorHAnsi" w:hAnsiTheme="minorHAnsi" w:cstheme="minorHAnsi"/>
          <w:color w:val="000000"/>
          <w:sz w:val="32"/>
          <w:szCs w:val="32"/>
        </w:rPr>
        <w:t>4</w:t>
      </w:r>
      <w:r>
        <w:rPr>
          <w:rFonts w:hAnsi="仿宋_GB2312" w:eastAsia="仿宋_GB2312" w:asciiTheme="minorHAnsi" w:cstheme="minorHAnsi"/>
          <w:color w:val="000000"/>
          <w:sz w:val="32"/>
          <w:szCs w:val="32"/>
        </w:rPr>
        <w:t>个项目绩效评价，从评价情况来看，</w:t>
      </w:r>
      <w:r>
        <w:rPr>
          <w:rFonts w:eastAsia="仿宋_GB2312" w:asciiTheme="minorHAnsi" w:hAnsiTheme="minorHAnsi" w:cstheme="minorHAnsi"/>
          <w:color w:val="000000"/>
          <w:sz w:val="36"/>
          <w:szCs w:val="36"/>
          <w:shd w:val="clear" w:color="auto" w:fill="FFFFFF"/>
        </w:rPr>
        <w:t>预算编制质量较好，预算信息公开符合要求；预算执行进度良好，年末无结转结余；财务制度健全，会计核算总体规范、准确；项目在实施过程中严格执行有关制度规定，基本达到了预期效果。</w:t>
      </w:r>
    </w:p>
    <w:p>
      <w:pPr>
        <w:spacing w:line="579" w:lineRule="exact"/>
        <w:ind w:firstLine="643" w:firstLineChars="200"/>
        <w:outlineLvl w:val="2"/>
        <w:rPr>
          <w:rFonts w:hint="eastAsia" w:ascii="仿宋" w:hAnsi="仿宋" w:eastAsia="仿宋" w:cs="楷体_GB2312"/>
          <w:b/>
          <w:bCs/>
          <w:color w:val="000000"/>
          <w:sz w:val="32"/>
          <w:szCs w:val="32"/>
          <w:lang w:eastAsia="zh-CN"/>
        </w:rPr>
      </w:pPr>
      <w:r>
        <w:rPr>
          <w:rFonts w:hint="eastAsia" w:ascii="仿宋" w:hAnsi="仿宋" w:eastAsia="仿宋" w:cs="楷体_GB2312"/>
          <w:b/>
          <w:bCs/>
          <w:color w:val="000000"/>
          <w:sz w:val="32"/>
          <w:szCs w:val="32"/>
        </w:rPr>
        <w:t xml:space="preserve">    </w:t>
      </w:r>
      <w:bookmarkStart w:id="77" w:name="_Toc6314"/>
      <w:r>
        <w:rPr>
          <w:rFonts w:hint="eastAsia" w:ascii="仿宋" w:hAnsi="仿宋" w:eastAsia="仿宋" w:cs="楷体_GB2312"/>
          <w:b/>
          <w:bCs/>
          <w:color w:val="000000"/>
          <w:sz w:val="32"/>
          <w:szCs w:val="32"/>
        </w:rPr>
        <w:t>（二）项目绩效目标完成情况。</w:t>
      </w:r>
      <w:bookmarkEnd w:id="77"/>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本部门在2021年度部门决算中反映4个项目均完成绩效目标。本单位部门选取4个项目进行公开，</w:t>
      </w:r>
      <w:r>
        <w:rPr>
          <w:rFonts w:hint="eastAsia" w:ascii="仿宋_GB2312" w:hAnsi="宋体" w:eastAsia="仿宋_GB2312" w:cs="仿宋_GB2312"/>
          <w:color w:val="000000"/>
          <w:sz w:val="36"/>
          <w:szCs w:val="36"/>
          <w:shd w:val="clear" w:color="auto" w:fill="FFFFFF"/>
        </w:rPr>
        <w:t>基本达到了预期效果。</w:t>
      </w:r>
    </w:p>
    <w:p>
      <w:pPr>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宋体" w:eastAsia="仿宋_GB2312"/>
          <w:sz w:val="32"/>
          <w:szCs w:val="32"/>
        </w:rPr>
        <w:t xml:space="preserve"> 乡镇涉老组织工作经费</w:t>
      </w:r>
      <w:r>
        <w:rPr>
          <w:rFonts w:hint="eastAsia" w:ascii="仿宋_GB2312" w:hAnsi="仿宋_GB2312" w:eastAsia="仿宋_GB2312" w:cs="仿宋_GB2312"/>
          <w:color w:val="000000"/>
          <w:sz w:val="32"/>
          <w:szCs w:val="32"/>
        </w:rPr>
        <w:t>项目绩效目标完成情况综述。项目全年预算数7万元，执行数为7万元，完成预算的100%。通过项目实施，组织老同志开展丰富健康的活动，开展镇对青少年、退休老干部的关心关怀行动，保障其合法利益。</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441"/>
        <w:gridCol w:w="1316"/>
        <w:gridCol w:w="1025"/>
        <w:gridCol w:w="218"/>
        <w:gridCol w:w="2174"/>
        <w:gridCol w:w="2394"/>
        <w:gridCol w:w="2392"/>
      </w:tblGrid>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30"/>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30"/>
              <w:widowControl/>
              <w:ind w:left="4173" w:leftChars="1310" w:hanging="1422" w:hangingChars="395"/>
              <w:textAlignment w:val="center"/>
              <w:rPr>
                <w:rFonts w:ascii="宋体" w:hAnsi="宋体" w:cs="宋体"/>
                <w:color w:val="000000"/>
                <w:sz w:val="36"/>
                <w:szCs w:val="36"/>
              </w:rPr>
            </w:pPr>
            <w:r>
              <w:rPr>
                <w:rFonts w:hint="eastAsia" w:ascii="宋体" w:hAnsi="宋体" w:cs="宋体"/>
                <w:color w:val="000000"/>
                <w:kern w:val="0"/>
                <w:sz w:val="36"/>
                <w:szCs w:val="36"/>
              </w:rPr>
              <w:t>(2021年度)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sz w:val="32"/>
                <w:szCs w:val="32"/>
              </w:rPr>
              <w:t>乡镇涉老组织工作经费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宣汉县镇人民政府</w:t>
            </w:r>
          </w:p>
        </w:tc>
      </w:tr>
      <w:tr>
        <w:tblPrEx>
          <w:tblCellMar>
            <w:top w:w="0" w:type="dxa"/>
            <w:left w:w="0" w:type="dxa"/>
            <w:bottom w:w="0" w:type="dxa"/>
            <w:right w:w="0" w:type="dxa"/>
          </w:tblCellMar>
        </w:tblPrEx>
        <w:trPr>
          <w:trHeight w:val="276" w:hRule="atLeast"/>
        </w:trPr>
        <w:tc>
          <w:tcPr>
            <w:tcW w:w="44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r>
      <w:tr>
        <w:tblPrEx>
          <w:tblCellMar>
            <w:top w:w="0" w:type="dxa"/>
            <w:left w:w="0" w:type="dxa"/>
            <w:bottom w:w="0" w:type="dxa"/>
            <w:right w:w="0" w:type="dxa"/>
          </w:tblCellMar>
        </w:tblPrEx>
        <w:trPr>
          <w:trHeight w:val="276"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r>
      <w:tr>
        <w:tblPrEx>
          <w:tblCellMar>
            <w:top w:w="0" w:type="dxa"/>
            <w:left w:w="0" w:type="dxa"/>
            <w:bottom w:w="0" w:type="dxa"/>
            <w:right w:w="0" w:type="dxa"/>
          </w:tblCellMar>
        </w:tblPrEx>
        <w:trPr>
          <w:trHeight w:val="1511"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44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3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3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color w:val="000000"/>
                <w:sz w:val="24"/>
              </w:rPr>
            </w:pPr>
            <w:r>
              <w:rPr>
                <w:rFonts w:hint="eastAsia" w:cs="仿宋_GB2312" w:asciiTheme="majorEastAsia" w:hAnsiTheme="majorEastAsia" w:eastAsiaTheme="majorEastAsia"/>
                <w:color w:val="000000"/>
                <w:sz w:val="24"/>
              </w:rPr>
              <w:t>组织老同志开展丰富健康的活动，开展镇对青少年、退休老干部的关心关怀行动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保障老同志，青少年合法权益</w:t>
            </w:r>
          </w:p>
        </w:tc>
      </w:tr>
      <w:tr>
        <w:tblPrEx>
          <w:tblCellMar>
            <w:top w:w="0" w:type="dxa"/>
            <w:left w:w="0" w:type="dxa"/>
            <w:bottom w:w="0" w:type="dxa"/>
            <w:right w:w="0" w:type="dxa"/>
          </w:tblCellMar>
        </w:tblPrEx>
        <w:trPr>
          <w:trHeight w:val="1042" w:hRule="atLeast"/>
        </w:trPr>
        <w:tc>
          <w:tcPr>
            <w:tcW w:w="44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2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2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科学决策</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必要性、可行性</w:t>
            </w:r>
          </w:p>
          <w:p>
            <w:pPr>
              <w:widowControl/>
              <w:jc w:val="center"/>
              <w:textAlignment w:val="center"/>
              <w:rPr>
                <w:rFonts w:hint="eastAsia" w:ascii="宋体" w:hAnsi="宋体" w:eastAsia="宋体" w:cs="宋体"/>
                <w:color w:val="000000"/>
                <w:kern w:val="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符合国家政策，符合当前经济发展需要。</w:t>
            </w:r>
          </w:p>
        </w:tc>
      </w:tr>
      <w:tr>
        <w:tblPrEx>
          <w:tblCellMar>
            <w:top w:w="0" w:type="dxa"/>
            <w:left w:w="0" w:type="dxa"/>
            <w:bottom w:w="0" w:type="dxa"/>
            <w:right w:w="0" w:type="dxa"/>
          </w:tblCellMar>
        </w:tblPrEx>
        <w:trPr>
          <w:trHeight w:val="129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2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绩效目标 </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明确性、合理性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符合实际需求</w:t>
            </w:r>
          </w:p>
        </w:tc>
      </w:tr>
      <w:tr>
        <w:tblPrEx>
          <w:tblCellMar>
            <w:top w:w="0" w:type="dxa"/>
            <w:left w:w="0" w:type="dxa"/>
            <w:bottom w:w="0" w:type="dxa"/>
            <w:right w:w="0" w:type="dxa"/>
          </w:tblCellMar>
        </w:tblPrEx>
        <w:trPr>
          <w:trHeight w:val="1042"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2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资金管理</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资金使用规范</w:t>
            </w:r>
          </w:p>
        </w:tc>
      </w:tr>
      <w:tr>
        <w:tblPrEx>
          <w:tblCellMar>
            <w:top w:w="0" w:type="dxa"/>
            <w:left w:w="0" w:type="dxa"/>
            <w:bottom w:w="0" w:type="dxa"/>
            <w:right w:w="0" w:type="dxa"/>
          </w:tblCellMar>
        </w:tblPrEx>
        <w:trPr>
          <w:trHeight w:val="1042"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2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项目执行</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执行规范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管理制度健全，管理过程科学规范</w:t>
            </w:r>
          </w:p>
        </w:tc>
      </w:tr>
      <w:tr>
        <w:tblPrEx>
          <w:tblCellMar>
            <w:top w:w="0" w:type="dxa"/>
            <w:left w:w="0" w:type="dxa"/>
            <w:bottom w:w="0" w:type="dxa"/>
            <w:right w:w="0" w:type="dxa"/>
          </w:tblCellMar>
        </w:tblPrEx>
        <w:trPr>
          <w:trHeight w:val="1042"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2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完成质量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符合绩效目标</w:t>
            </w:r>
          </w:p>
        </w:tc>
      </w:tr>
      <w:tr>
        <w:tblPrEx>
          <w:tblCellMar>
            <w:top w:w="0" w:type="dxa"/>
            <w:left w:w="0" w:type="dxa"/>
            <w:bottom w:w="0" w:type="dxa"/>
            <w:right w:w="0" w:type="dxa"/>
          </w:tblCellMar>
        </w:tblPrEx>
        <w:trPr>
          <w:trHeight w:val="1042"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2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保障运输安全</w:t>
            </w:r>
          </w:p>
        </w:tc>
      </w:tr>
      <w:tr>
        <w:tblPrEx>
          <w:tblCellMar>
            <w:top w:w="0" w:type="dxa"/>
            <w:left w:w="0" w:type="dxa"/>
            <w:bottom w:w="0" w:type="dxa"/>
            <w:right w:w="0" w:type="dxa"/>
          </w:tblCellMar>
        </w:tblPrEx>
        <w:trPr>
          <w:trHeight w:val="129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2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使用效率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保障正常运行</w:t>
            </w:r>
          </w:p>
        </w:tc>
      </w:tr>
      <w:tr>
        <w:tblPrEx>
          <w:tblCellMar>
            <w:top w:w="0" w:type="dxa"/>
            <w:left w:w="0" w:type="dxa"/>
            <w:bottom w:w="0" w:type="dxa"/>
            <w:right w:w="0" w:type="dxa"/>
          </w:tblCellMar>
        </w:tblPrEx>
        <w:trPr>
          <w:trHeight w:val="105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2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1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r>
    </w:tbl>
    <w:p>
      <w:pPr>
        <w:rPr>
          <w:rFonts w:ascii="Calibri" w:hAnsi="Calibri"/>
          <w:color w:val="000000"/>
        </w:rPr>
      </w:pPr>
    </w:p>
    <w:p>
      <w:pPr>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镇村社区人大联络站运行经费项目绩效目标完成情况综述。项目全年预算数5.4万元，执行数为5.4万元，完成预算的100%。通过项目实施，保障了各村社区人大联络站正常开展人大工作，代表履职尽责，促进了地方经济社会健康发展，提高选民的满意度。发现的主要问题：个别镇人大代表接访不到位。下一步改进措施：按照县人大的要求，坚持到岗到位，认真履行代表职责。</w:t>
      </w:r>
    </w:p>
    <w:tbl>
      <w:tblPr>
        <w:tblStyle w:val="12"/>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198"/>
        <w:gridCol w:w="2194"/>
        <w:gridCol w:w="2394"/>
        <w:gridCol w:w="2392"/>
      </w:tblGrid>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30"/>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30"/>
              <w:widowControl/>
              <w:ind w:left="4173" w:leftChars="1310" w:hanging="1422" w:hangingChars="395"/>
              <w:textAlignment w:val="center"/>
              <w:rPr>
                <w:rFonts w:ascii="宋体" w:hAnsi="宋体" w:cs="宋体"/>
                <w:color w:val="000000"/>
                <w:sz w:val="36"/>
                <w:szCs w:val="36"/>
              </w:rPr>
            </w:pPr>
            <w:r>
              <w:rPr>
                <w:rFonts w:hint="eastAsia" w:ascii="宋体" w:hAnsi="宋体" w:cs="宋体"/>
                <w:color w:val="000000"/>
                <w:kern w:val="0"/>
                <w:sz w:val="36"/>
                <w:szCs w:val="36"/>
              </w:rPr>
              <w:t>(2021年度)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镇村社区人大联络站运行经费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5.4万元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保障代表认真履职尽责，接访选民。</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代表履职尽责，做到认真接访选民，解决选民合理述求。</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2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2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科学决策</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必要性、可行性</w:t>
            </w:r>
          </w:p>
          <w:p>
            <w:pPr>
              <w:widowControl/>
              <w:jc w:val="center"/>
              <w:textAlignment w:val="center"/>
              <w:rPr>
                <w:rFonts w:hint="eastAsia" w:ascii="宋体" w:hAnsi="宋体" w:eastAsia="宋体" w:cs="宋体"/>
                <w:color w:val="000000"/>
                <w:kern w:val="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符合国家政策，符合当前经济发展需要。</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2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绩效目标 </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明确性、合理性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符合实际需求</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2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资金管理</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资金使用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资金使用规范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2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项目执行</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执行规范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管理制度健全，管理过程科学规范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2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符合绩效目标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2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推动村社区人大工作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2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使用效率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人大代表联络工作有序推进</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2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r>
    </w:tbl>
    <w:p>
      <w:pPr>
        <w:rPr>
          <w:rFonts w:ascii="Calibri" w:hAnsi="Calibri"/>
          <w:color w:val="000000"/>
        </w:rPr>
      </w:pPr>
    </w:p>
    <w:p>
      <w:pPr>
        <w:numPr>
          <w:ilvl w:val="0"/>
          <w:numId w:val="3"/>
        </w:numPr>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镇脱贫村第一书记工作经费项目绩效目标完成情况综述。项目全年预算数10万元，执行数为10万元，完成预算的100%。通过项目实施，保障了脱贫村第一书记到村开展工作，认真履行第一书记职责，促进了脱贫村脱贫成果巩固，进一步提高了人民群众的满意度。发现的主要问题：个别第一书记履职不到位。下一步改进措施：加强对第一书记的管理。</w:t>
      </w:r>
    </w:p>
    <w:tbl>
      <w:tblPr>
        <w:tblStyle w:val="12"/>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320"/>
        <w:gridCol w:w="2072"/>
        <w:gridCol w:w="2394"/>
        <w:gridCol w:w="2392"/>
      </w:tblGrid>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30"/>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30"/>
              <w:widowControl/>
              <w:ind w:left="4173" w:leftChars="1310" w:hanging="1422" w:hangingChars="395"/>
              <w:textAlignment w:val="center"/>
              <w:rPr>
                <w:rFonts w:ascii="宋体" w:hAnsi="宋体" w:cs="宋体"/>
                <w:color w:val="000000"/>
                <w:sz w:val="36"/>
                <w:szCs w:val="36"/>
              </w:rPr>
            </w:pPr>
            <w:r>
              <w:rPr>
                <w:rFonts w:hint="eastAsia" w:ascii="宋体" w:hAnsi="宋体" w:cs="宋体"/>
                <w:color w:val="000000"/>
                <w:kern w:val="0"/>
                <w:sz w:val="36"/>
                <w:szCs w:val="36"/>
              </w:rPr>
              <w:t>(2021年度)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镇脱贫村第一书记工作经费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保障脱贫村第一书记到村开展工作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第一书记履职尽责，脱贫村项目监管到位，群众满意。</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0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科学决策</w:t>
            </w:r>
          </w:p>
        </w:tc>
        <w:tc>
          <w:tcPr>
            <w:tcW w:w="20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必要性、可行性</w:t>
            </w:r>
          </w:p>
          <w:p>
            <w:pPr>
              <w:widowControl/>
              <w:jc w:val="center"/>
              <w:textAlignment w:val="center"/>
              <w:rPr>
                <w:rFonts w:hint="eastAsia" w:ascii="宋体" w:hAnsi="宋体" w:eastAsia="宋体" w:cs="宋体"/>
                <w:color w:val="000000"/>
                <w:kern w:val="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符合当前经济社会发展需要</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绩效目标 </w:t>
            </w:r>
          </w:p>
        </w:tc>
        <w:tc>
          <w:tcPr>
            <w:tcW w:w="20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明确性、合理性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符合实际需求，合理可行</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资金管理</w:t>
            </w:r>
          </w:p>
        </w:tc>
        <w:tc>
          <w:tcPr>
            <w:tcW w:w="20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资金使用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资金使用规范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3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项目执行</w:t>
            </w:r>
          </w:p>
        </w:tc>
        <w:tc>
          <w:tcPr>
            <w:tcW w:w="20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执行规范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管理制度健全，管理过程科学规范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w:t>
            </w:r>
          </w:p>
        </w:tc>
        <w:tc>
          <w:tcPr>
            <w:tcW w:w="20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推动脱贫攻坚工作顺利开展</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0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脱贫攻坚工作强力推进</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0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使用效率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全力保障第一书记工作经费</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3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0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r>
    </w:tbl>
    <w:p>
      <w:pPr>
        <w:rPr>
          <w:rFonts w:ascii="Calibri" w:hAnsi="Calibri"/>
          <w:color w:val="000000"/>
        </w:rPr>
      </w:pPr>
    </w:p>
    <w:p>
      <w:pPr>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镇农村道路安全管理经费项目绩效目标完成情况综述。项目全年预算数4.00万元，执行数为4.00万元，完成预算的100%。通过项目实施，保障了道路交通安全，减少了交通事故，提高了群众的幸福指数。发现的主要问题：个别道路交通劝导员不到位。下一步改进措施：加强道路交通劝导员教育管理，增强责任心。</w:t>
      </w:r>
    </w:p>
    <w:tbl>
      <w:tblPr>
        <w:tblStyle w:val="12"/>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300"/>
        <w:gridCol w:w="2092"/>
        <w:gridCol w:w="2394"/>
        <w:gridCol w:w="2392"/>
      </w:tblGrid>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30"/>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30"/>
              <w:widowControl/>
              <w:ind w:left="4173" w:leftChars="1310" w:hanging="1422" w:hangingChars="395"/>
              <w:textAlignment w:val="center"/>
              <w:rPr>
                <w:rFonts w:ascii="宋体" w:hAnsi="宋体" w:cs="宋体"/>
                <w:color w:val="000000"/>
                <w:sz w:val="36"/>
                <w:szCs w:val="36"/>
              </w:rPr>
            </w:pPr>
            <w:r>
              <w:rPr>
                <w:rFonts w:hint="eastAsia" w:ascii="宋体" w:hAnsi="宋体" w:cs="宋体"/>
                <w:color w:val="000000"/>
                <w:kern w:val="0"/>
                <w:sz w:val="36"/>
                <w:szCs w:val="36"/>
              </w:rPr>
              <w:t>(2021年度)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镇农村道路安全管理经费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确保农村道路安全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农村道路安全，辖区无重大交通事故。</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科学决策</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必要性、可行性</w:t>
            </w:r>
          </w:p>
          <w:p>
            <w:pPr>
              <w:widowControl/>
              <w:jc w:val="center"/>
              <w:textAlignment w:val="center"/>
              <w:rPr>
                <w:rFonts w:hint="eastAsia" w:ascii="宋体" w:hAnsi="宋体" w:eastAsia="宋体" w:cs="宋体"/>
                <w:color w:val="000000"/>
                <w:kern w:val="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符合国家政策，符合当前经济发展需要。</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绩效目标 </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明确性、合理性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符合实际需求</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资金管理</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资金使用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资金使用规范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项目执行</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执行规范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管理制度健全，管理过程科学规范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符合绩效目标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保障群众安全出行</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使用效率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足额保障农村道路安全监管经费</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r>
    </w:tbl>
    <w:p>
      <w:pPr>
        <w:rPr>
          <w:rFonts w:ascii="Calibri" w:hAnsi="Calibri"/>
          <w:color w:val="000000"/>
        </w:rPr>
      </w:pP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本部门按要求对2021年部门整体支出绩效评价情况开展自评，《镇2021年部门整体支出绩效评价报告》见附件。</w:t>
      </w:r>
    </w:p>
    <w:p>
      <w:pPr>
        <w:spacing w:line="580" w:lineRule="exact"/>
        <w:ind w:firstLine="640" w:firstLineChars="200"/>
        <w:rPr>
          <w:rFonts w:ascii="方正小标宋简体" w:hAnsi="方正小标宋简体" w:eastAsia="方正小标宋简体" w:cs="方正小标宋简体"/>
          <w:color w:val="000000"/>
          <w:sz w:val="44"/>
          <w:szCs w:val="44"/>
        </w:rPr>
      </w:pPr>
      <w:r>
        <w:rPr>
          <w:rFonts w:hint="eastAsia" w:ascii="仿宋_GB2312" w:hAnsi="仿宋_GB2312" w:eastAsia="仿宋_GB2312" w:cs="仿宋_GB2312"/>
          <w:color w:val="000000"/>
          <w:sz w:val="32"/>
          <w:szCs w:val="32"/>
        </w:rPr>
        <w:t>本部门自行组织对4项目开展了绩效评价，完成了绩效目标，基本达到了预期目标，提高了人民群众的满意度，推动了地方经济社会健康发展。</w:t>
      </w:r>
    </w:p>
    <w:p>
      <w:pPr>
        <w:autoSpaceDE w:val="0"/>
        <w:autoSpaceDN w:val="0"/>
        <w:adjustRightInd w:val="0"/>
        <w:spacing w:line="600" w:lineRule="exact"/>
        <w:ind w:firstLine="643" w:firstLineChars="200"/>
        <w:rPr>
          <w:rFonts w:ascii="仿宋" w:hAnsi="仿宋" w:eastAsia="仿宋"/>
          <w:b/>
          <w:sz w:val="32"/>
          <w:szCs w:val="32"/>
        </w:rPr>
      </w:pPr>
      <w:r>
        <w:rPr>
          <w:rFonts w:hint="eastAsia" w:ascii="仿宋" w:hAnsi="仿宋" w:eastAsia="仿宋"/>
          <w:b/>
          <w:sz w:val="32"/>
          <w:szCs w:val="32"/>
        </w:rPr>
        <w:t>（注：单位</w:t>
      </w:r>
      <w:r>
        <w:rPr>
          <w:rFonts w:hint="eastAsia" w:ascii="仿宋_GB2312" w:hAnsi="仿宋_GB2312" w:eastAsia="仿宋_GB2312" w:cs="仿宋_GB2312"/>
          <w:b/>
          <w:sz w:val="32"/>
          <w:szCs w:val="32"/>
        </w:rPr>
        <w:t>2021年特定目标类部门预算项目绩效目标自评表为本部门2021年部门整体支出绩效评价报告中涉及本单位的附表</w:t>
      </w:r>
      <w:r>
        <w:rPr>
          <w:rFonts w:hint="eastAsia" w:ascii="仿宋" w:hAnsi="仿宋" w:eastAsia="仿宋"/>
          <w:b/>
          <w:sz w:val="32"/>
          <w:szCs w:val="32"/>
        </w:rPr>
        <w:t>）</w:t>
      </w:r>
    </w:p>
    <w:p>
      <w:pPr>
        <w:pStyle w:val="5"/>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78" w:name="_Toc15396613"/>
      <w:bookmarkStart w:id="79" w:name="_Toc15377225"/>
      <w:bookmarkStart w:id="80" w:name="_Toc4469"/>
      <w:r>
        <w:rPr>
          <w:rFonts w:hint="eastAsia" w:ascii="黑体" w:hAnsi="黑体" w:eastAsia="黑体"/>
          <w:sz w:val="44"/>
          <w:szCs w:val="44"/>
        </w:rPr>
        <w:t>名</w:t>
      </w:r>
      <w:r>
        <w:rPr>
          <w:rStyle w:val="24"/>
          <w:rFonts w:hint="eastAsia" w:ascii="黑体" w:hAnsi="黑体" w:eastAsia="黑体"/>
          <w:b w:val="0"/>
        </w:rPr>
        <w:t>词解释</w:t>
      </w:r>
      <w:bookmarkEnd w:id="78"/>
      <w:bookmarkEnd w:id="79"/>
      <w:bookmarkEnd w:id="80"/>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一般公共服务（类）政府办公厅（室）及相关机构事务（款）行政运行（项）：指反映行政单位的基本支出；一般公共服务（类）政府办公厅（室）及相关机构事务（款）一般行政管理事务（项）：反映行政单位未单独设置项级科目的其他项目支出；信访事务项反映各级政府用于群众来信来访方面的支出。</w:t>
      </w:r>
    </w:p>
    <w:p>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公共安全类公安款执法办案项：指执法办案支出。</w:t>
      </w:r>
    </w:p>
    <w:p>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教育类其他教育支出款其他教育支出项：指用于其他教育方面的支出。</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文化体育与传媒类款其他文化旅游体育与传媒支出款宣传文化发展专项支出项：指反映按照国家有关政策支持宣传文化单位发展的专项支出。</w:t>
      </w:r>
    </w:p>
    <w:p>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社会保障和就业类行政事业单位养老支出款行政单位离退休项：指反映行政单位开支的离退休非；社会保障和就业类行政事业单位养老支出款机关事业单位基本养老保险缴费支出项指反映机关事业单位实施养老保险制度有单位缴纳的基本养老保险费支出；</w:t>
      </w:r>
      <w:r>
        <w:rPr>
          <w:rFonts w:ascii="仿宋_GB2312" w:eastAsia="仿宋_GB2312"/>
          <w:sz w:val="32"/>
          <w:szCs w:val="32"/>
        </w:rPr>
        <w:t>.</w:t>
      </w:r>
      <w:r>
        <w:rPr>
          <w:rFonts w:hint="eastAsia" w:ascii="仿宋_GB2312" w:eastAsia="仿宋_GB2312"/>
          <w:sz w:val="32"/>
          <w:szCs w:val="32"/>
        </w:rPr>
        <w:t>社会保障和就业类行政事业单位养老支出款机关事业单位职业年金缴费支出在，指反映机关事业单位实施养老保险制度由单位实际缴纳的职业年金支出。社会保障和就业类抚恤款死亡抚恤项，指反映按规定用于烈士和牺牲、病故人员家属的一次性定期抚恤金以及丧葬补助费。</w:t>
      </w:r>
    </w:p>
    <w:p>
      <w:pPr>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支出类公共卫生款重大公共卫生服务项：指反映重大疾病预防控制等重大公共卫生服务项目支出。卫生健康支出类行政事业单位医疗款行政单位医疗项，反映行政单位基本医疗保险缴费经费；卫生健康支出类行政事业单位医疗款事业单位医疗项，反映事业单位基本医疗保险缴费经费；卫生健康支出类行政事业单位医疗款公务员医疗补助，反映财政部门集中安排的公务员医疗补助经费。</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城乡社区支出类城乡社区管理事务款其他城乡社区管理事务支出项：指反映其他用于城乡社区管理事务方面的支出。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农林水支出类农业农村款农村社会事业项：指对农村公益事业，公益设施及农村能源综合建设等方面的补助资金。农林水支出类扶贫款农村基础设施建设指反映对农村基础设施建设的补助资金；农林水支出类扶贫款其他扶贫支出指反映其他用于扶贫方面的支出。农林水支出类农村综合改革类对村民委员会和党支部的补助指反映各级财政对村民委员会和党支部的补助支出，以及支持建立县级基本财力保障机制安排的村级组织运转奖补资金。</w:t>
      </w:r>
    </w:p>
    <w:p>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住房保障（类）住房改革支出款住房公积金项：指反映行政事业单位按规定的基本工资和津补贴以及规定比例为职工缴纳的住房公积金。</w:t>
      </w:r>
    </w:p>
    <w:p>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w:t>
      </w:r>
      <w:r>
        <w:rPr>
          <w:rFonts w:ascii="仿宋" w:hAnsi="仿宋" w:eastAsia="仿宋"/>
          <w:b/>
          <w:sz w:val="32"/>
          <w:szCs w:val="32"/>
        </w:rPr>
        <w:t>20</w:t>
      </w:r>
      <w:r>
        <w:rPr>
          <w:rFonts w:hint="eastAsia" w:ascii="仿宋" w:hAnsi="仿宋" w:eastAsia="仿宋"/>
          <w:b/>
          <w:sz w:val="32"/>
          <w:szCs w:val="32"/>
        </w:rPr>
        <w:t>21年政府收支分类科目》增减内容。）</w:t>
      </w:r>
    </w:p>
    <w:p>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4"/>
          <w:rFonts w:ascii="黑体" w:hAnsi="黑体" w:eastAsia="黑体"/>
          <w:b w:val="0"/>
        </w:rPr>
      </w:pPr>
      <w:bookmarkStart w:id="81" w:name="_Toc15377226"/>
      <w:r>
        <w:rPr>
          <w:rFonts w:ascii="宋体"/>
          <w:b/>
          <w:sz w:val="44"/>
          <w:szCs w:val="44"/>
        </w:rPr>
        <w:br w:type="page"/>
      </w:r>
      <w:bookmarkStart w:id="82" w:name="_Toc15396614"/>
      <w:bookmarkStart w:id="83" w:name="_Toc22225"/>
      <w:r>
        <w:rPr>
          <w:rFonts w:hint="eastAsia" w:ascii="黑体" w:hAnsi="黑体" w:eastAsia="黑体"/>
          <w:sz w:val="44"/>
          <w:szCs w:val="44"/>
        </w:rPr>
        <w:t>第</w:t>
      </w:r>
      <w:r>
        <w:rPr>
          <w:rStyle w:val="24"/>
          <w:rFonts w:hint="eastAsia" w:ascii="黑体" w:hAnsi="黑体" w:eastAsia="黑体"/>
          <w:b w:val="0"/>
        </w:rPr>
        <w:t xml:space="preserve">四部分 </w:t>
      </w:r>
      <w:bookmarkEnd w:id="82"/>
      <w:bookmarkEnd w:id="83"/>
    </w:p>
    <w:p>
      <w:pPr>
        <w:spacing w:line="572" w:lineRule="exact"/>
        <w:jc w:val="left"/>
        <w:outlineLvl w:val="1"/>
        <w:rPr>
          <w:rFonts w:ascii="仿宋_GB2312" w:hAnsi="仿宋_GB2312" w:eastAsia="仿宋_GB2312" w:cs="仿宋_GB2312"/>
          <w:sz w:val="32"/>
          <w:szCs w:val="32"/>
        </w:rPr>
      </w:pPr>
      <w:bookmarkStart w:id="84" w:name="_Toc26546"/>
      <w:r>
        <w:rPr>
          <w:rFonts w:hint="eastAsia" w:ascii="黑体" w:hAnsi="黑体" w:eastAsia="黑体" w:cs="黑体"/>
          <w:sz w:val="32"/>
          <w:szCs w:val="32"/>
        </w:rPr>
        <w:t>附件</w:t>
      </w:r>
      <w:bookmarkEnd w:id="84"/>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textAlignment w:val="center"/>
              <w:rPr>
                <w:rFonts w:ascii="宋体" w:hAnsi="宋体" w:cs="宋体"/>
                <w:b/>
                <w:sz w:val="32"/>
                <w:szCs w:val="32"/>
              </w:rPr>
            </w:pPr>
            <w:bookmarkStart w:id="85" w:name="_Toc15396618"/>
            <w:r>
              <w:rPr>
                <w:rFonts w:hint="eastAsia" w:ascii="宋体" w:hAnsi="宋体" w:cs="宋体"/>
                <w:b/>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宣汉县塔河镇人民政府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宣汉县塔河镇人民政府</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110万元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110万元</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宋体" w:hAnsi="宋体" w:eastAsia="宋体" w:cs="宋体"/>
                <w:sz w:val="24"/>
                <w:lang w:val="en-US" w:eastAsia="zh-CN"/>
              </w:rPr>
            </w:pPr>
            <w:r>
              <w:rPr>
                <w:rFonts w:hint="eastAsia" w:ascii="宋体" w:hAnsi="宋体" w:cs="宋体"/>
                <w:sz w:val="24"/>
                <w:lang w:val="en-US" w:eastAsia="zh-CN"/>
              </w:rPr>
              <w:t>110万元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ascii="宋体" w:hAnsi="宋体" w:eastAsia="宋体" w:cs="宋体"/>
                <w:sz w:val="24"/>
                <w:lang w:val="en-US" w:eastAsia="zh-CN"/>
              </w:rPr>
            </w:pPr>
            <w:r>
              <w:rPr>
                <w:rFonts w:hint="eastAsia" w:ascii="宋体" w:hAnsi="宋体" w:cs="宋体"/>
                <w:sz w:val="24"/>
                <w:lang w:val="en-US" w:eastAsia="zh-CN"/>
              </w:rPr>
              <w:t>110万元</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sz w:val="24"/>
                <w:lang w:val="en-US" w:eastAsia="zh-CN"/>
              </w:rPr>
            </w:pPr>
            <w:r>
              <w:rPr>
                <w:rFonts w:hint="eastAsia" w:ascii="宋体" w:hAnsi="宋体" w:cs="宋体"/>
                <w:sz w:val="24"/>
                <w:lang w:val="en-US" w:eastAsia="zh-CN"/>
              </w:rPr>
              <w:t>完成宝塔社区河堤建设100米，80万元，石峡村公路建设30万元</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lang w:val="en-US" w:eastAsia="zh-CN"/>
              </w:rPr>
              <w:t>已完成宝塔社区河堤建设100米，80万元，石峡村公路建设30万元</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必要性、可行性</w:t>
            </w:r>
          </w:p>
          <w:p>
            <w:pPr>
              <w:widowControl/>
              <w:jc w:val="center"/>
              <w:textAlignment w:val="center"/>
              <w:rPr>
                <w:rFonts w:hint="eastAsia" w:ascii="宋体" w:hAnsi="宋体" w:eastAsia="宋体" w:cs="宋体"/>
                <w:color w:val="000000"/>
                <w:kern w:val="0"/>
                <w:sz w:val="24"/>
                <w:szCs w:val="24"/>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符合国家政策，符合当前经济发展需要。</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明确性、合理性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符合实际需求</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资金使用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资金使用规范</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执行规范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管理制度健全，管理过程科学规范</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完成质量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符合绩效目标</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社会效益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推动地方的发展</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使用效率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仲裁发挥效益</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管理机制健全性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优</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服务对象满意度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w:t>
            </w:r>
          </w:p>
        </w:tc>
      </w:tr>
    </w:tbl>
    <w:p>
      <w:pPr>
        <w:spacing w:line="600" w:lineRule="exact"/>
        <w:jc w:val="center"/>
        <w:outlineLvl w:val="9"/>
        <w:rPr>
          <w:rFonts w:ascii="黑体" w:hAnsi="黑体" w:eastAsia="黑体"/>
          <w:sz w:val="44"/>
          <w:szCs w:val="44"/>
        </w:rPr>
      </w:pPr>
    </w:p>
    <w:p>
      <w:pPr>
        <w:widowControl/>
        <w:adjustRightInd w:val="0"/>
        <w:snapToGrid w:val="0"/>
        <w:spacing w:line="580" w:lineRule="exact"/>
        <w:contextualSpacing/>
        <w:jc w:val="left"/>
      </w:pPr>
      <w:r>
        <w:rPr>
          <w:rFonts w:hint="eastAsia" w:ascii="仿宋_GB2312" w:hAnsi="宋体" w:eastAsia="仿宋_GB2312" w:cs="宋体"/>
          <w:color w:val="000000"/>
          <w:kern w:val="0"/>
          <w:sz w:val="32"/>
          <w:szCs w:val="32"/>
          <w:shd w:val="clear" w:color="auto" w:fill="FFFFFF"/>
        </w:rPr>
        <w:t>（注：有两个及以上100万元以上（含）特定目标类部门预算项目的，需分别开展绩效目标自评并填写附表）</w:t>
      </w:r>
    </w:p>
    <w:p>
      <w:pPr>
        <w:spacing w:line="600" w:lineRule="exact"/>
        <w:jc w:val="center"/>
        <w:outlineLvl w:val="9"/>
        <w:rPr>
          <w:rFonts w:ascii="黑体" w:hAnsi="黑体" w:eastAsia="黑体"/>
          <w:sz w:val="44"/>
          <w:szCs w:val="44"/>
        </w:rPr>
      </w:pPr>
    </w:p>
    <w:p>
      <w:pPr>
        <w:spacing w:line="600" w:lineRule="exact"/>
        <w:jc w:val="center"/>
        <w:outlineLvl w:val="0"/>
        <w:rPr>
          <w:rFonts w:ascii="仿宋" w:hAnsi="仿宋" w:eastAsia="仿宋"/>
        </w:rPr>
      </w:pPr>
      <w:bookmarkStart w:id="86" w:name="_Toc417"/>
      <w:r>
        <w:rPr>
          <w:rFonts w:hint="eastAsia" w:ascii="黑体" w:hAnsi="黑体" w:eastAsia="黑体"/>
          <w:sz w:val="44"/>
          <w:szCs w:val="44"/>
        </w:rPr>
        <w:t>第</w:t>
      </w:r>
      <w:r>
        <w:rPr>
          <w:rStyle w:val="24"/>
          <w:rFonts w:hint="eastAsia" w:ascii="黑体" w:hAnsi="黑体" w:eastAsia="黑体"/>
          <w:b w:val="0"/>
        </w:rPr>
        <w:t>五部分 附表</w:t>
      </w:r>
      <w:bookmarkEnd w:id="81"/>
      <w:bookmarkEnd w:id="85"/>
      <w:bookmarkEnd w:id="86"/>
      <w:bookmarkStart w:id="87" w:name="_Toc15396619"/>
    </w:p>
    <w:p>
      <w:pPr>
        <w:pStyle w:val="3"/>
        <w:rPr>
          <w:rFonts w:ascii="仿宋" w:hAnsi="仿宋" w:eastAsia="仿宋"/>
        </w:rPr>
      </w:pPr>
      <w:bookmarkStart w:id="88" w:name="_Toc16339"/>
      <w:r>
        <w:rPr>
          <w:rFonts w:hint="eastAsia" w:ascii="仿宋" w:hAnsi="仿宋" w:eastAsia="仿宋"/>
          <w:b w:val="0"/>
        </w:rPr>
        <w:t>一、收</w:t>
      </w:r>
      <w:r>
        <w:rPr>
          <w:rStyle w:val="25"/>
          <w:rFonts w:hint="eastAsia" w:ascii="仿宋" w:hAnsi="仿宋" w:eastAsia="仿宋"/>
          <w:b w:val="0"/>
          <w:bCs w:val="0"/>
        </w:rPr>
        <w:t>入支出决算总表</w:t>
      </w:r>
      <w:bookmarkEnd w:id="87"/>
      <w:bookmarkEnd w:id="88"/>
    </w:p>
    <w:p>
      <w:pPr>
        <w:pStyle w:val="3"/>
        <w:rPr>
          <w:rFonts w:ascii="仿宋" w:hAnsi="仿宋" w:eastAsia="仿宋"/>
        </w:rPr>
      </w:pPr>
      <w:bookmarkStart w:id="89" w:name="_Toc15396620"/>
      <w:bookmarkStart w:id="90" w:name="_Toc19506"/>
      <w:r>
        <w:rPr>
          <w:rFonts w:hint="eastAsia" w:ascii="仿宋" w:hAnsi="仿宋" w:eastAsia="仿宋"/>
          <w:b w:val="0"/>
        </w:rPr>
        <w:t>二、收</w:t>
      </w:r>
      <w:r>
        <w:rPr>
          <w:rStyle w:val="25"/>
          <w:rFonts w:hint="eastAsia" w:ascii="仿宋" w:hAnsi="仿宋" w:eastAsia="仿宋"/>
          <w:b w:val="0"/>
          <w:bCs w:val="0"/>
        </w:rPr>
        <w:t>入决算表</w:t>
      </w:r>
      <w:bookmarkEnd w:id="89"/>
      <w:bookmarkEnd w:id="90"/>
    </w:p>
    <w:p>
      <w:pPr>
        <w:pStyle w:val="3"/>
        <w:rPr>
          <w:rFonts w:ascii="仿宋" w:hAnsi="仿宋" w:eastAsia="仿宋"/>
        </w:rPr>
      </w:pPr>
      <w:bookmarkStart w:id="91" w:name="_Toc20834"/>
      <w:bookmarkStart w:id="92"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91"/>
      <w:bookmarkEnd w:id="92"/>
    </w:p>
    <w:p>
      <w:pPr>
        <w:pStyle w:val="3"/>
        <w:rPr>
          <w:rFonts w:ascii="仿宋" w:hAnsi="仿宋" w:eastAsia="仿宋"/>
          <w:b w:val="0"/>
        </w:rPr>
      </w:pPr>
      <w:bookmarkStart w:id="93" w:name="_Toc15396622"/>
      <w:bookmarkStart w:id="94" w:name="_Toc1367"/>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93"/>
      <w:bookmarkEnd w:id="94"/>
    </w:p>
    <w:p>
      <w:pPr>
        <w:pStyle w:val="3"/>
        <w:rPr>
          <w:rStyle w:val="25"/>
          <w:rFonts w:ascii="仿宋" w:hAnsi="仿宋" w:eastAsia="仿宋"/>
          <w:b w:val="0"/>
          <w:bCs w:val="0"/>
        </w:rPr>
      </w:pPr>
      <w:bookmarkStart w:id="95" w:name="_Toc15396623"/>
      <w:bookmarkStart w:id="96" w:name="_Toc6037"/>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95"/>
      <w:bookmarkEnd w:id="96"/>
      <w:bookmarkStart w:id="97" w:name="_Toc15396624"/>
    </w:p>
    <w:p>
      <w:pPr>
        <w:pStyle w:val="3"/>
        <w:rPr>
          <w:rFonts w:ascii="仿宋" w:hAnsi="仿宋" w:eastAsia="仿宋"/>
        </w:rPr>
      </w:pPr>
      <w:bookmarkStart w:id="98" w:name="_Toc11382"/>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97"/>
      <w:bookmarkEnd w:id="98"/>
    </w:p>
    <w:p>
      <w:pPr>
        <w:pStyle w:val="3"/>
        <w:rPr>
          <w:rFonts w:ascii="仿宋" w:hAnsi="仿宋" w:eastAsia="仿宋"/>
        </w:rPr>
      </w:pPr>
      <w:bookmarkStart w:id="99" w:name="_Toc15396625"/>
      <w:bookmarkStart w:id="100" w:name="_Toc18742"/>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99"/>
      <w:bookmarkEnd w:id="100"/>
    </w:p>
    <w:p>
      <w:pPr>
        <w:pStyle w:val="3"/>
        <w:rPr>
          <w:rFonts w:ascii="仿宋" w:hAnsi="仿宋" w:eastAsia="仿宋"/>
        </w:rPr>
      </w:pPr>
      <w:bookmarkStart w:id="101" w:name="_Toc26174"/>
      <w:bookmarkStart w:id="102"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101"/>
      <w:bookmarkEnd w:id="102"/>
    </w:p>
    <w:p>
      <w:pPr>
        <w:pStyle w:val="3"/>
        <w:rPr>
          <w:rFonts w:ascii="仿宋" w:hAnsi="仿宋" w:eastAsia="仿宋"/>
        </w:rPr>
      </w:pPr>
      <w:bookmarkStart w:id="103" w:name="_Toc25853"/>
      <w:bookmarkStart w:id="104"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103"/>
      <w:bookmarkEnd w:id="104"/>
    </w:p>
    <w:p>
      <w:pPr>
        <w:pStyle w:val="3"/>
        <w:rPr>
          <w:rFonts w:ascii="仿宋" w:hAnsi="仿宋" w:eastAsia="仿宋"/>
        </w:rPr>
      </w:pPr>
      <w:bookmarkStart w:id="105" w:name="_Toc15396628"/>
      <w:bookmarkStart w:id="106" w:name="_Toc6186"/>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105"/>
      <w:bookmarkEnd w:id="106"/>
    </w:p>
    <w:p>
      <w:pPr>
        <w:pStyle w:val="3"/>
        <w:rPr>
          <w:rFonts w:ascii="仿宋" w:hAnsi="仿宋" w:eastAsia="仿宋"/>
        </w:rPr>
      </w:pPr>
      <w:bookmarkStart w:id="107" w:name="_Toc15396629"/>
      <w:bookmarkStart w:id="108" w:name="_Toc7574"/>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107"/>
      <w:bookmarkEnd w:id="108"/>
    </w:p>
    <w:p>
      <w:pPr>
        <w:pStyle w:val="3"/>
        <w:rPr>
          <w:rFonts w:ascii="仿宋" w:hAnsi="仿宋" w:eastAsia="仿宋"/>
        </w:rPr>
      </w:pPr>
      <w:bookmarkStart w:id="109" w:name="_Toc15396630"/>
      <w:bookmarkStart w:id="110" w:name="_Toc26856"/>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109"/>
      <w:bookmarkEnd w:id="110"/>
    </w:p>
    <w:p>
      <w:pPr>
        <w:pStyle w:val="3"/>
        <w:rPr>
          <w:rStyle w:val="25"/>
          <w:rFonts w:ascii="仿宋" w:hAnsi="仿宋" w:eastAsia="仿宋"/>
          <w:b w:val="0"/>
          <w:bCs w:val="0"/>
        </w:rPr>
      </w:pPr>
      <w:bookmarkStart w:id="111" w:name="_Toc15396631"/>
      <w:bookmarkStart w:id="112" w:name="_Toc2786"/>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111"/>
      <w:bookmarkEnd w:id="112"/>
    </w:p>
    <w:p>
      <w:pPr>
        <w:rPr>
          <w:rFonts w:eastAsia="仿宋"/>
        </w:rPr>
      </w:pPr>
      <w:bookmarkStart w:id="113" w:name="_Toc5400"/>
      <w:r>
        <w:rPr>
          <w:rStyle w:val="25"/>
          <w:rFonts w:hint="eastAsia" w:ascii="仿宋" w:hAnsi="仿宋" w:eastAsia="仿宋"/>
          <w:b w:val="0"/>
          <w:bCs w:val="0"/>
        </w:rPr>
        <w:t>十四、国有资本经营预算财政拨款支出决算表</w:t>
      </w:r>
      <w:bookmarkEnd w:id="11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26</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D664F08"/>
    <w:multiLevelType w:val="singleLevel"/>
    <w:tmpl w:val="5D664F08"/>
    <w:lvl w:ilvl="0" w:tentative="0">
      <w:start w:val="3"/>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NWMzMDhmMTVkZDAwZjg4NmJkZjM4Y2YxMTBmMDAifQ=="/>
  </w:docVars>
  <w:rsids>
    <w:rsidRoot w:val="00F1361C"/>
    <w:rsid w:val="000222C6"/>
    <w:rsid w:val="0002549F"/>
    <w:rsid w:val="000468DB"/>
    <w:rsid w:val="00063404"/>
    <w:rsid w:val="0006487A"/>
    <w:rsid w:val="00065F8F"/>
    <w:rsid w:val="00070A43"/>
    <w:rsid w:val="000768F2"/>
    <w:rsid w:val="00090EC7"/>
    <w:rsid w:val="0009184B"/>
    <w:rsid w:val="00094236"/>
    <w:rsid w:val="000950D3"/>
    <w:rsid w:val="0009593C"/>
    <w:rsid w:val="00097322"/>
    <w:rsid w:val="000A6A92"/>
    <w:rsid w:val="000B047F"/>
    <w:rsid w:val="000B5923"/>
    <w:rsid w:val="000B5A48"/>
    <w:rsid w:val="000B6CB1"/>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6024"/>
    <w:rsid w:val="001D7531"/>
    <w:rsid w:val="001E737D"/>
    <w:rsid w:val="001F0592"/>
    <w:rsid w:val="001F7506"/>
    <w:rsid w:val="002006CD"/>
    <w:rsid w:val="00202B36"/>
    <w:rsid w:val="00204B7A"/>
    <w:rsid w:val="00204CDE"/>
    <w:rsid w:val="0021101A"/>
    <w:rsid w:val="00220536"/>
    <w:rsid w:val="00232D5A"/>
    <w:rsid w:val="00235629"/>
    <w:rsid w:val="00260C38"/>
    <w:rsid w:val="002616C0"/>
    <w:rsid w:val="00265372"/>
    <w:rsid w:val="002662AA"/>
    <w:rsid w:val="00280496"/>
    <w:rsid w:val="00294DC9"/>
    <w:rsid w:val="00295495"/>
    <w:rsid w:val="002A31DE"/>
    <w:rsid w:val="002A5E8C"/>
    <w:rsid w:val="002B2613"/>
    <w:rsid w:val="002D6D05"/>
    <w:rsid w:val="002F1818"/>
    <w:rsid w:val="002F567B"/>
    <w:rsid w:val="003216A9"/>
    <w:rsid w:val="00332E19"/>
    <w:rsid w:val="00335A74"/>
    <w:rsid w:val="0036561B"/>
    <w:rsid w:val="0037013F"/>
    <w:rsid w:val="00380C92"/>
    <w:rsid w:val="003A484F"/>
    <w:rsid w:val="003A4883"/>
    <w:rsid w:val="003B0BE0"/>
    <w:rsid w:val="003B0C1B"/>
    <w:rsid w:val="003B688C"/>
    <w:rsid w:val="003C0291"/>
    <w:rsid w:val="003C39AE"/>
    <w:rsid w:val="003C3BEE"/>
    <w:rsid w:val="003C7B60"/>
    <w:rsid w:val="003D0C0F"/>
    <w:rsid w:val="003D1FB2"/>
    <w:rsid w:val="003D66DA"/>
    <w:rsid w:val="003E1310"/>
    <w:rsid w:val="003E6F55"/>
    <w:rsid w:val="00406254"/>
    <w:rsid w:val="004148D3"/>
    <w:rsid w:val="004223DE"/>
    <w:rsid w:val="00434489"/>
    <w:rsid w:val="00437085"/>
    <w:rsid w:val="00443880"/>
    <w:rsid w:val="00443D37"/>
    <w:rsid w:val="004464F4"/>
    <w:rsid w:val="00471401"/>
    <w:rsid w:val="00473F31"/>
    <w:rsid w:val="0047489E"/>
    <w:rsid w:val="0048263A"/>
    <w:rsid w:val="00487E5D"/>
    <w:rsid w:val="00491A86"/>
    <w:rsid w:val="004A711F"/>
    <w:rsid w:val="004B199D"/>
    <w:rsid w:val="004B4690"/>
    <w:rsid w:val="004C6C22"/>
    <w:rsid w:val="004E0A2D"/>
    <w:rsid w:val="004E206B"/>
    <w:rsid w:val="004E6DF7"/>
    <w:rsid w:val="004F00BB"/>
    <w:rsid w:val="004F0FBD"/>
    <w:rsid w:val="00505A47"/>
    <w:rsid w:val="00507090"/>
    <w:rsid w:val="00512FDA"/>
    <w:rsid w:val="00520DA0"/>
    <w:rsid w:val="005473AC"/>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5C30"/>
    <w:rsid w:val="006068EB"/>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A07"/>
    <w:rsid w:val="006A3141"/>
    <w:rsid w:val="006A5E34"/>
    <w:rsid w:val="006B2422"/>
    <w:rsid w:val="006B2B9A"/>
    <w:rsid w:val="006C1937"/>
    <w:rsid w:val="006F020C"/>
    <w:rsid w:val="007127B7"/>
    <w:rsid w:val="0071798E"/>
    <w:rsid w:val="007416B6"/>
    <w:rsid w:val="00746F48"/>
    <w:rsid w:val="0075404D"/>
    <w:rsid w:val="0076182A"/>
    <w:rsid w:val="00767B7E"/>
    <w:rsid w:val="007739FE"/>
    <w:rsid w:val="007770C3"/>
    <w:rsid w:val="00784D24"/>
    <w:rsid w:val="00785FBA"/>
    <w:rsid w:val="00786E4A"/>
    <w:rsid w:val="007875EB"/>
    <w:rsid w:val="0079426B"/>
    <w:rsid w:val="007A510E"/>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67A1"/>
    <w:rsid w:val="008816FE"/>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6295"/>
    <w:rsid w:val="0097099F"/>
    <w:rsid w:val="00971997"/>
    <w:rsid w:val="00971FFC"/>
    <w:rsid w:val="0098660A"/>
    <w:rsid w:val="009931C3"/>
    <w:rsid w:val="009B2C43"/>
    <w:rsid w:val="009B4EAE"/>
    <w:rsid w:val="009B7573"/>
    <w:rsid w:val="009C22F4"/>
    <w:rsid w:val="009C2A4B"/>
    <w:rsid w:val="009C2E98"/>
    <w:rsid w:val="009D3447"/>
    <w:rsid w:val="009D4711"/>
    <w:rsid w:val="009E232C"/>
    <w:rsid w:val="009F1185"/>
    <w:rsid w:val="009F18CD"/>
    <w:rsid w:val="009F2A13"/>
    <w:rsid w:val="009F7527"/>
    <w:rsid w:val="00A04EB0"/>
    <w:rsid w:val="00A13CC1"/>
    <w:rsid w:val="00A16847"/>
    <w:rsid w:val="00A237D8"/>
    <w:rsid w:val="00A268C4"/>
    <w:rsid w:val="00A307CD"/>
    <w:rsid w:val="00A331C8"/>
    <w:rsid w:val="00A37959"/>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3DC4"/>
    <w:rsid w:val="00C65438"/>
    <w:rsid w:val="00C87FD8"/>
    <w:rsid w:val="00C91381"/>
    <w:rsid w:val="00C91CBB"/>
    <w:rsid w:val="00C94328"/>
    <w:rsid w:val="00CB4E70"/>
    <w:rsid w:val="00CC09B6"/>
    <w:rsid w:val="00CC666F"/>
    <w:rsid w:val="00CD1E3F"/>
    <w:rsid w:val="00CE44F6"/>
    <w:rsid w:val="00CE49DA"/>
    <w:rsid w:val="00CE7B61"/>
    <w:rsid w:val="00CF7BD5"/>
    <w:rsid w:val="00D00095"/>
    <w:rsid w:val="00D114F0"/>
    <w:rsid w:val="00D20620"/>
    <w:rsid w:val="00D254F7"/>
    <w:rsid w:val="00D26091"/>
    <w:rsid w:val="00D2685C"/>
    <w:rsid w:val="00D34E7C"/>
    <w:rsid w:val="00D35489"/>
    <w:rsid w:val="00D365CD"/>
    <w:rsid w:val="00D36AFE"/>
    <w:rsid w:val="00D51276"/>
    <w:rsid w:val="00D51BF6"/>
    <w:rsid w:val="00D7035F"/>
    <w:rsid w:val="00DA634F"/>
    <w:rsid w:val="00DA65AC"/>
    <w:rsid w:val="00DB1913"/>
    <w:rsid w:val="00DC410D"/>
    <w:rsid w:val="00DC5304"/>
    <w:rsid w:val="00DC5A81"/>
    <w:rsid w:val="00DC68CA"/>
    <w:rsid w:val="00DC7CBA"/>
    <w:rsid w:val="00DD73B7"/>
    <w:rsid w:val="00DF28BC"/>
    <w:rsid w:val="00DF34B9"/>
    <w:rsid w:val="00E01053"/>
    <w:rsid w:val="00E07ACF"/>
    <w:rsid w:val="00E25F0E"/>
    <w:rsid w:val="00E331A1"/>
    <w:rsid w:val="00E33202"/>
    <w:rsid w:val="00E336A9"/>
    <w:rsid w:val="00E33875"/>
    <w:rsid w:val="00E472B1"/>
    <w:rsid w:val="00E50624"/>
    <w:rsid w:val="00E568DF"/>
    <w:rsid w:val="00E64269"/>
    <w:rsid w:val="00E82267"/>
    <w:rsid w:val="00E82B1D"/>
    <w:rsid w:val="00E853CE"/>
    <w:rsid w:val="00E867B6"/>
    <w:rsid w:val="00EA010F"/>
    <w:rsid w:val="00ED1B63"/>
    <w:rsid w:val="00ED223E"/>
    <w:rsid w:val="00ED29BD"/>
    <w:rsid w:val="00ED3C1F"/>
    <w:rsid w:val="00ED4085"/>
    <w:rsid w:val="00ED420E"/>
    <w:rsid w:val="00ED6FBE"/>
    <w:rsid w:val="00EE2F57"/>
    <w:rsid w:val="00EE6D4B"/>
    <w:rsid w:val="00EF4C34"/>
    <w:rsid w:val="00EF77C6"/>
    <w:rsid w:val="00F05438"/>
    <w:rsid w:val="00F1361C"/>
    <w:rsid w:val="00F156F0"/>
    <w:rsid w:val="00F160C7"/>
    <w:rsid w:val="00F2408F"/>
    <w:rsid w:val="00F240E9"/>
    <w:rsid w:val="00F36D8F"/>
    <w:rsid w:val="00F36F4D"/>
    <w:rsid w:val="00F417B1"/>
    <w:rsid w:val="00F45853"/>
    <w:rsid w:val="00F55088"/>
    <w:rsid w:val="00F602DF"/>
    <w:rsid w:val="00F754A1"/>
    <w:rsid w:val="00F81FD9"/>
    <w:rsid w:val="00F841AA"/>
    <w:rsid w:val="00F84A94"/>
    <w:rsid w:val="00F87E96"/>
    <w:rsid w:val="00FA23E8"/>
    <w:rsid w:val="00FD3CC1"/>
    <w:rsid w:val="00FF1E02"/>
    <w:rsid w:val="00FF30B4"/>
    <w:rsid w:val="05500102"/>
    <w:rsid w:val="08747CDD"/>
    <w:rsid w:val="0A2032A3"/>
    <w:rsid w:val="0B8A37D8"/>
    <w:rsid w:val="0CBB102F"/>
    <w:rsid w:val="10C055FF"/>
    <w:rsid w:val="118107EC"/>
    <w:rsid w:val="11DD6519"/>
    <w:rsid w:val="16BB723D"/>
    <w:rsid w:val="18015F3F"/>
    <w:rsid w:val="1BE8440E"/>
    <w:rsid w:val="1D155CEE"/>
    <w:rsid w:val="20F57F95"/>
    <w:rsid w:val="21CB37A5"/>
    <w:rsid w:val="240371BF"/>
    <w:rsid w:val="24051F93"/>
    <w:rsid w:val="25C741E6"/>
    <w:rsid w:val="27842671"/>
    <w:rsid w:val="29FD04D3"/>
    <w:rsid w:val="2ABE7A3E"/>
    <w:rsid w:val="2EFA178C"/>
    <w:rsid w:val="30B46D73"/>
    <w:rsid w:val="319F7F4E"/>
    <w:rsid w:val="33E058E7"/>
    <w:rsid w:val="33F25EC6"/>
    <w:rsid w:val="39AE70AB"/>
    <w:rsid w:val="3B3B3E93"/>
    <w:rsid w:val="3C0C0783"/>
    <w:rsid w:val="3D5C670B"/>
    <w:rsid w:val="3F9F3A96"/>
    <w:rsid w:val="45F268A3"/>
    <w:rsid w:val="480D2C24"/>
    <w:rsid w:val="48222517"/>
    <w:rsid w:val="493C27E9"/>
    <w:rsid w:val="496F39ED"/>
    <w:rsid w:val="49FF41D3"/>
    <w:rsid w:val="4BE068DB"/>
    <w:rsid w:val="4BF6002B"/>
    <w:rsid w:val="4E3961C9"/>
    <w:rsid w:val="4ECE2238"/>
    <w:rsid w:val="51DB4B86"/>
    <w:rsid w:val="531D3476"/>
    <w:rsid w:val="53920995"/>
    <w:rsid w:val="55333C3E"/>
    <w:rsid w:val="60737099"/>
    <w:rsid w:val="636B5619"/>
    <w:rsid w:val="64CA39A1"/>
    <w:rsid w:val="65C854C3"/>
    <w:rsid w:val="6C4A05C8"/>
    <w:rsid w:val="6CF21125"/>
    <w:rsid w:val="72734D90"/>
    <w:rsid w:val="737F73DD"/>
    <w:rsid w:val="79E7B28D"/>
    <w:rsid w:val="7CB37552"/>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2020年</c:v>
                </c:pt>
                <c:pt idx="1">
                  <c:v>2021年</c:v>
                </c:pt>
              </c:strCache>
            </c:strRef>
          </c:cat>
          <c:val>
            <c:numRef>
              <c:f>Sheet1!$B$2:$C$2</c:f>
              <c:numCache>
                <c:formatCode>General</c:formatCode>
                <c:ptCount val="2"/>
                <c:pt idx="0">
                  <c:v>946.08</c:v>
                </c:pt>
                <c:pt idx="1">
                  <c:v>1180.13</c:v>
                </c:pt>
              </c:numCache>
            </c:numRef>
          </c:val>
        </c:ser>
        <c:dLbls>
          <c:showLegendKey val="0"/>
          <c:showVal val="1"/>
          <c:showCatName val="0"/>
          <c:showSerName val="0"/>
          <c:showPercent val="0"/>
          <c:showBubbleSize val="0"/>
        </c:dLbls>
        <c:gapWidth val="300"/>
        <c:overlap val="0"/>
        <c:axId val="25231081"/>
        <c:axId val="767905888"/>
      </c:barChart>
      <c:catAx>
        <c:axId val="2523108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7905888"/>
        <c:crosses val="autoZero"/>
        <c:auto val="1"/>
        <c:lblAlgn val="ctr"/>
        <c:lblOffset val="100"/>
        <c:noMultiLvlLbl val="0"/>
      </c:catAx>
      <c:valAx>
        <c:axId val="7679058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773112636253533"/>
              <c:y val="0.037732041969330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3108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2021年收入合计</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500" b="0" i="0" u="none" strike="noStrike" kern="1200" baseline="0">
                    <a:solidFill>
                      <a:schemeClr val="tx1">
                        <a:lumMod val="65000"/>
                        <a:lumOff val="3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一般公共预算收入</c:v>
                </c:pt>
                <c:pt idx="1">
                  <c:v>政府性基金预算收入</c:v>
                </c:pt>
              </c:strCache>
            </c:strRef>
          </c:cat>
          <c:val>
            <c:numRef>
              <c:f>Sheet1!$B$2:$B$3</c:f>
              <c:numCache>
                <c:formatCode>General</c:formatCode>
                <c:ptCount val="2"/>
                <c:pt idx="0">
                  <c:v>1148.83</c:v>
                </c:pt>
                <c:pt idx="1">
                  <c:v>31.3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2021年支出合计</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500" b="0" i="0" u="none" strike="noStrike" kern="1200" baseline="0">
                    <a:solidFill>
                      <a:schemeClr val="tx1">
                        <a:lumMod val="65000"/>
                        <a:lumOff val="35000"/>
                      </a:schemeClr>
                    </a:solidFill>
                    <a:latin typeface="+mn-lt"/>
                    <a:ea typeface="+mn-ea"/>
                    <a:cs typeface="+mn-cs"/>
                  </a:defRPr>
                </a:pPr>
              </a:p>
            </c:txPr>
            <c:dLblPos val="ctr"/>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884.56</c:v>
                </c:pt>
                <c:pt idx="1">
                  <c:v>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946.08</c:v>
                </c:pt>
                <c:pt idx="1">
                  <c:v>1180.13</c:v>
                </c:pt>
              </c:numCache>
            </c:numRef>
          </c:val>
        </c:ser>
        <c:dLbls>
          <c:showLegendKey val="0"/>
          <c:showVal val="1"/>
          <c:showCatName val="0"/>
          <c:showSerName val="0"/>
          <c:showPercent val="0"/>
          <c:showBubbleSize val="0"/>
        </c:dLbls>
        <c:gapWidth val="219"/>
        <c:overlap val="-27"/>
        <c:axId val="720463687"/>
        <c:axId val="80776564"/>
      </c:barChart>
      <c:catAx>
        <c:axId val="7204636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76564"/>
        <c:crosses val="autoZero"/>
        <c:auto val="1"/>
        <c:lblAlgn val="ctr"/>
        <c:lblOffset val="100"/>
        <c:noMultiLvlLbl val="0"/>
      </c:catAx>
      <c:valAx>
        <c:axId val="807765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4636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4075"/>
          <c:y val="0.124666666666667"/>
          <c:w val="0.8938"/>
          <c:h val="0.7169"/>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865.34</c:v>
                </c:pt>
                <c:pt idx="1">
                  <c:v>1148.83</c:v>
                </c:pt>
              </c:numCache>
            </c:numRef>
          </c:val>
        </c:ser>
        <c:dLbls>
          <c:showLegendKey val="0"/>
          <c:showVal val="1"/>
          <c:showCatName val="0"/>
          <c:showSerName val="0"/>
          <c:showPercent val="0"/>
          <c:showBubbleSize val="0"/>
        </c:dLbls>
        <c:gapWidth val="219"/>
        <c:overlap val="-27"/>
        <c:axId val="143268196"/>
        <c:axId val="292725379"/>
      </c:barChart>
      <c:catAx>
        <c:axId val="1432681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2725379"/>
        <c:crosses val="autoZero"/>
        <c:auto val="1"/>
        <c:lblAlgn val="ctr"/>
        <c:lblOffset val="100"/>
        <c:noMultiLvlLbl val="0"/>
      </c:catAx>
      <c:valAx>
        <c:axId val="2927253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2681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40000"/>
                  <a:lumOff val="60000"/>
                </a:schemeClr>
              </a:solidFill>
              <a:ln w="19050">
                <a:solidFill>
                  <a:schemeClr val="lt1"/>
                </a:solidFill>
              </a:ln>
              <a:effectLst/>
            </c:spPr>
          </c:dPt>
          <c:dPt>
            <c:idx val="8"/>
            <c:bubble3D val="0"/>
            <c:spPr>
              <a:solidFill>
                <a:schemeClr val="accent3">
                  <a:lumMod val="40000"/>
                  <a:lumOff val="60000"/>
                </a:schemeClr>
              </a:solidFill>
              <a:ln w="19050">
                <a:solidFill>
                  <a:schemeClr val="lt1"/>
                </a:solidFill>
              </a:ln>
              <a:effectLst/>
            </c:spPr>
          </c:dPt>
          <c:dLbls>
            <c:dLbl>
              <c:idx val="1"/>
              <c:layout>
                <c:manualLayout>
                  <c:x val="0.0889062779715951"/>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2"/>
              <c:layout>
                <c:manualLayout>
                  <c:x val="0.0155375079271331"/>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3"/>
              <c:layout>
                <c:manualLayout>
                  <c:x val="-0.0629195765158238"/>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4"/>
              <c:layout>
                <c:manualLayout>
                  <c:x val="0.0695378297100572"/>
                  <c:y val="-0.121433042310362"/>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6"/>
              <c:layout>
                <c:manualLayout>
                  <c:x val="0"/>
                  <c:y val="-0.0165422480761514"/>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一般公共服务（类）支出</c:v>
                </c:pt>
                <c:pt idx="1">
                  <c:v>公共安全支出</c:v>
                </c:pt>
                <c:pt idx="2">
                  <c:v>教育支出（类）</c:v>
                </c:pt>
                <c:pt idx="3">
                  <c:v>文化旅游体育与传媒（类）支出</c:v>
                </c:pt>
                <c:pt idx="4">
                  <c:v>社会保障和就业（类）支出</c:v>
                </c:pt>
                <c:pt idx="5">
                  <c:v>卫生健康支出</c:v>
                </c:pt>
                <c:pt idx="6">
                  <c:v>城乡社区支出</c:v>
                </c:pt>
                <c:pt idx="7">
                  <c:v>农林水支出</c:v>
                </c:pt>
                <c:pt idx="8">
                  <c:v>住房保障支出</c:v>
                </c:pt>
              </c:strCache>
            </c:strRef>
          </c:cat>
          <c:val>
            <c:numRef>
              <c:f>Sheet1!$B$2:$B$10</c:f>
              <c:numCache>
                <c:formatCode>General</c:formatCode>
                <c:ptCount val="9"/>
                <c:pt idx="0">
                  <c:v>630.17</c:v>
                </c:pt>
                <c:pt idx="1">
                  <c:v>12.66</c:v>
                </c:pt>
                <c:pt idx="2">
                  <c:v>0.5</c:v>
                </c:pt>
                <c:pt idx="3">
                  <c:v>5</c:v>
                </c:pt>
                <c:pt idx="4">
                  <c:v>105</c:v>
                </c:pt>
                <c:pt idx="5">
                  <c:v>47.92</c:v>
                </c:pt>
                <c:pt idx="6">
                  <c:v>6.5</c:v>
                </c:pt>
                <c:pt idx="7">
                  <c:v>293.16</c:v>
                </c:pt>
                <c:pt idx="8">
                  <c:v>47.91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9845</Words>
  <Characters>10623</Characters>
  <Lines>78</Lines>
  <Paragraphs>22</Paragraphs>
  <TotalTime>3</TotalTime>
  <ScaleCrop>false</ScaleCrop>
  <LinksUpToDate>false</LinksUpToDate>
  <CharactersWithSpaces>11081</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2022-11-28T01:06:35Z</dcterms:modified>
  <dc:title>四川省***</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365ADFFD36494678A9E8AA4A64954DAA</vt:lpwstr>
  </property>
</Properties>
</file>