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cs="Times New Roman" w:eastAsiaTheme="minorEastAsia"/>
          <w:color w:val="auto"/>
          <w:sz w:val="72"/>
          <w:szCs w:val="72"/>
          <w:highlight w:val="none"/>
          <w:lang w:val="en-US" w:eastAsia="zh-CN"/>
        </w:rPr>
      </w:pPr>
      <w:bookmarkStart w:id="0" w:name="_Toc15306267"/>
    </w:p>
    <w:p>
      <w:pPr>
        <w:spacing w:line="600" w:lineRule="exact"/>
        <w:jc w:val="center"/>
        <w:outlineLvl w:val="0"/>
        <w:rPr>
          <w:rFonts w:hint="default" w:ascii="Times New Roman" w:hAnsi="Times New Roman" w:cs="Times New Roman" w:eastAsiaTheme="minorEastAsia"/>
          <w:color w:val="auto"/>
          <w:sz w:val="72"/>
          <w:szCs w:val="72"/>
          <w:highlight w:val="none"/>
        </w:rPr>
      </w:pPr>
    </w:p>
    <w:p>
      <w:pPr>
        <w:spacing w:line="600" w:lineRule="exact"/>
        <w:jc w:val="center"/>
        <w:outlineLvl w:val="0"/>
        <w:rPr>
          <w:rFonts w:hint="default" w:ascii="Times New Roman" w:hAnsi="Times New Roman" w:cs="Times New Roman" w:eastAsiaTheme="minorEastAsia"/>
          <w:color w:val="auto"/>
          <w:sz w:val="72"/>
          <w:szCs w:val="72"/>
          <w:highlight w:val="none"/>
        </w:rPr>
      </w:pPr>
    </w:p>
    <w:p>
      <w:pPr>
        <w:spacing w:line="600" w:lineRule="exact"/>
        <w:jc w:val="center"/>
        <w:outlineLvl w:val="0"/>
        <w:rPr>
          <w:rFonts w:hint="default" w:ascii="Times New Roman" w:hAnsi="Times New Roman" w:cs="Times New Roman" w:eastAsiaTheme="minorEastAsia"/>
          <w:color w:val="auto"/>
          <w:sz w:val="72"/>
          <w:szCs w:val="72"/>
          <w:highlight w:val="none"/>
        </w:rPr>
      </w:pPr>
    </w:p>
    <w:p>
      <w:pPr>
        <w:adjustRightInd w:val="0"/>
        <w:snapToGrid w:val="0"/>
        <w:spacing w:line="360" w:lineRule="auto"/>
        <w:jc w:val="center"/>
        <w:outlineLvl w:val="0"/>
        <w:rPr>
          <w:rFonts w:hint="default" w:ascii="Times New Roman" w:hAnsi="Times New Roman" w:cs="Times New Roman" w:eastAsiaTheme="minorEastAsia"/>
          <w:color w:val="auto"/>
          <w:sz w:val="72"/>
          <w:szCs w:val="72"/>
          <w:highlight w:val="none"/>
        </w:rPr>
      </w:pPr>
      <w:bookmarkStart w:id="1" w:name="_Toc15377425"/>
      <w:bookmarkStart w:id="2" w:name="_Toc15378441"/>
      <w:bookmarkStart w:id="3" w:name="_Toc15396597"/>
      <w:bookmarkStart w:id="4" w:name="_Toc15377193"/>
      <w:bookmarkStart w:id="5" w:name="_Toc15396475"/>
      <w:bookmarkStart w:id="69" w:name="_GoBack"/>
      <w:r>
        <w:rPr>
          <w:rFonts w:hint="default" w:ascii="Times New Roman" w:hAnsi="Times New Roman" w:cs="Times New Roman" w:eastAsiaTheme="minorEastAsia"/>
          <w:color w:val="auto"/>
          <w:sz w:val="72"/>
          <w:szCs w:val="72"/>
          <w:highlight w:val="none"/>
        </w:rPr>
        <w:t>20</w:t>
      </w:r>
      <w:r>
        <w:rPr>
          <w:rFonts w:hint="default" w:ascii="Times New Roman" w:hAnsi="Times New Roman" w:cs="Times New Roman" w:eastAsiaTheme="minorEastAsia"/>
          <w:color w:val="auto"/>
          <w:sz w:val="72"/>
          <w:szCs w:val="72"/>
          <w:highlight w:val="none"/>
          <w:lang w:val="en-US" w:eastAsia="zh-CN"/>
        </w:rPr>
        <w:t>21</w:t>
      </w:r>
      <w:r>
        <w:rPr>
          <w:rFonts w:hint="default" w:ascii="Times New Roman" w:hAnsi="Times New Roman" w:cs="Times New Roman" w:eastAsiaTheme="minorEastAsia"/>
          <w:color w:val="auto"/>
          <w:sz w:val="72"/>
          <w:szCs w:val="72"/>
          <w:highlight w:val="none"/>
        </w:rPr>
        <w:t>年度</w:t>
      </w:r>
      <w:bookmarkEnd w:id="1"/>
      <w:bookmarkEnd w:id="2"/>
      <w:bookmarkEnd w:id="3"/>
      <w:bookmarkEnd w:id="4"/>
      <w:bookmarkEnd w:id="5"/>
    </w:p>
    <w:bookmarkEnd w:id="0"/>
    <w:p>
      <w:pPr>
        <w:adjustRightInd w:val="0"/>
        <w:snapToGrid w:val="0"/>
        <w:spacing w:line="360" w:lineRule="auto"/>
        <w:jc w:val="center"/>
        <w:outlineLvl w:val="0"/>
        <w:rPr>
          <w:rFonts w:hint="default" w:ascii="Times New Roman" w:hAnsi="Times New Roman" w:cs="Times New Roman" w:eastAsiaTheme="minorEastAsia"/>
          <w:color w:val="auto"/>
          <w:sz w:val="72"/>
          <w:szCs w:val="72"/>
          <w:highlight w:val="none"/>
        </w:rPr>
      </w:pPr>
      <w:bookmarkStart w:id="6" w:name="_Toc15378442"/>
      <w:bookmarkStart w:id="7" w:name="_Toc15396476"/>
      <w:bookmarkStart w:id="8" w:name="_Toc15306268"/>
      <w:bookmarkStart w:id="9" w:name="_Toc15396598"/>
      <w:bookmarkStart w:id="10" w:name="_Toc15377426"/>
      <w:bookmarkStart w:id="11" w:name="_Toc15377194"/>
      <w:r>
        <w:rPr>
          <w:rFonts w:hint="default" w:ascii="Times New Roman" w:hAnsi="Times New Roman" w:cs="Times New Roman" w:eastAsiaTheme="minorEastAsia"/>
          <w:color w:val="auto"/>
          <w:sz w:val="72"/>
          <w:szCs w:val="72"/>
          <w:highlight w:val="none"/>
          <w:lang w:eastAsia="zh-CN"/>
        </w:rPr>
        <w:t>宣汉县大成镇</w:t>
      </w:r>
      <w:r>
        <w:rPr>
          <w:rFonts w:hint="eastAsia" w:ascii="Times New Roman" w:hAnsi="Times New Roman" w:cs="Times New Roman" w:eastAsiaTheme="minorEastAsia"/>
          <w:color w:val="auto"/>
          <w:sz w:val="72"/>
          <w:szCs w:val="72"/>
          <w:highlight w:val="none"/>
          <w:lang w:eastAsia="zh-CN"/>
        </w:rPr>
        <w:t>人民政府</w:t>
      </w:r>
      <w:r>
        <w:rPr>
          <w:rFonts w:hint="default" w:ascii="Times New Roman" w:hAnsi="Times New Roman" w:cs="Times New Roman" w:eastAsiaTheme="minorEastAsia"/>
          <w:color w:val="auto"/>
          <w:sz w:val="72"/>
          <w:szCs w:val="72"/>
          <w:highlight w:val="none"/>
          <w:lang w:eastAsia="zh-CN"/>
        </w:rPr>
        <w:t>部门</w:t>
      </w:r>
      <w:r>
        <w:rPr>
          <w:rFonts w:hint="eastAsia" w:ascii="Times New Roman" w:hAnsi="Times New Roman" w:cs="Times New Roman" w:eastAsiaTheme="minorEastAsia"/>
          <w:color w:val="auto"/>
          <w:sz w:val="72"/>
          <w:szCs w:val="72"/>
          <w:highlight w:val="none"/>
          <w:lang w:eastAsia="zh-CN"/>
        </w:rPr>
        <w:t>决</w:t>
      </w:r>
      <w:r>
        <w:rPr>
          <w:rFonts w:hint="default" w:ascii="Times New Roman" w:hAnsi="Times New Roman" w:cs="Times New Roman" w:eastAsiaTheme="minorEastAsia"/>
          <w:color w:val="auto"/>
          <w:sz w:val="72"/>
          <w:szCs w:val="72"/>
          <w:highlight w:val="none"/>
          <w:lang w:eastAsia="zh-CN"/>
        </w:rPr>
        <w:t>算公开编制说明</w:t>
      </w:r>
      <w:bookmarkEnd w:id="6"/>
      <w:bookmarkEnd w:id="7"/>
      <w:bookmarkEnd w:id="8"/>
      <w:bookmarkEnd w:id="9"/>
      <w:bookmarkEnd w:id="10"/>
      <w:bookmarkEnd w:id="11"/>
    </w:p>
    <w:bookmarkEnd w:id="69"/>
    <w:p>
      <w:pPr>
        <w:adjustRightInd w:val="0"/>
        <w:snapToGrid w:val="0"/>
        <w:spacing w:line="360" w:lineRule="auto"/>
        <w:jc w:val="center"/>
        <w:outlineLvl w:val="0"/>
        <w:rPr>
          <w:rFonts w:hint="default" w:ascii="Times New Roman" w:hAnsi="Times New Roman" w:cs="Times New Roman" w:eastAsiaTheme="minorEastAsia"/>
          <w:color w:val="auto"/>
          <w:sz w:val="52"/>
          <w:szCs w:val="52"/>
          <w:highlight w:val="none"/>
        </w:rPr>
      </w:pPr>
    </w:p>
    <w:p>
      <w:pPr>
        <w:widowControl/>
        <w:jc w:val="center"/>
        <w:rPr>
          <w:rFonts w:hint="eastAsia" w:ascii="宋体" w:hAnsi="宋体" w:eastAsia="宋体" w:cs="宋体"/>
          <w:b/>
          <w:bCs/>
          <w:color w:val="auto"/>
          <w:sz w:val="32"/>
          <w:szCs w:val="32"/>
          <w:highlight w:val="none"/>
        </w:rPr>
      </w:pPr>
      <w:r>
        <w:rPr>
          <w:rFonts w:hint="default" w:ascii="Times New Roman" w:hAnsi="Times New Roman" w:cs="Times New Roman" w:eastAsiaTheme="minorEastAsia"/>
          <w:color w:val="auto"/>
          <w:sz w:val="36"/>
          <w:szCs w:val="36"/>
          <w:highlight w:val="none"/>
        </w:rPr>
        <w:br w:type="page"/>
      </w:r>
      <w:r>
        <w:rPr>
          <w:rFonts w:hint="eastAsia" w:ascii="宋体" w:hAnsi="宋体" w:eastAsia="宋体" w:cs="宋体"/>
          <w:b/>
          <w:bCs/>
          <w:color w:val="auto"/>
          <w:sz w:val="32"/>
          <w:szCs w:val="32"/>
          <w:highlight w:val="none"/>
        </w:rPr>
        <w:t>目录</w:t>
      </w:r>
    </w:p>
    <w:p>
      <w:pPr>
        <w:widowControl/>
        <w:jc w:val="center"/>
        <w:rPr>
          <w:rFonts w:hint="eastAsia" w:ascii="宋体" w:hAnsi="宋体" w:eastAsia="宋体" w:cs="宋体"/>
          <w:b/>
          <w:bCs/>
          <w:color w:val="auto"/>
          <w:sz w:val="32"/>
          <w:szCs w:val="32"/>
          <w:highlight w:val="none"/>
        </w:rPr>
      </w:pPr>
    </w:p>
    <w:p>
      <w:pPr>
        <w:pStyle w:val="1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公开时间：20</w:t>
      </w:r>
      <w:r>
        <w:rPr>
          <w:rFonts w:hint="eastAsia" w:ascii="宋体" w:hAnsi="宋体" w:eastAsia="宋体" w:cs="宋体"/>
          <w:b/>
          <w:bCs/>
          <w:color w:val="auto"/>
          <w:sz w:val="32"/>
          <w:szCs w:val="32"/>
          <w:highlight w:val="none"/>
          <w:lang w:val="en-US" w:eastAsia="zh-CN"/>
        </w:rPr>
        <w:t>22</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17</w:t>
      </w:r>
      <w:r>
        <w:rPr>
          <w:rFonts w:hint="eastAsia" w:ascii="宋体" w:hAnsi="宋体" w:eastAsia="宋体" w:cs="宋体"/>
          <w:b/>
          <w:bCs/>
          <w:color w:val="auto"/>
          <w:sz w:val="32"/>
          <w:szCs w:val="32"/>
          <w:highlight w:val="none"/>
        </w:rPr>
        <w:t>日</w:t>
      </w:r>
    </w:p>
    <w:p>
      <w:pPr>
        <w:rPr>
          <w:rFonts w:hint="eastAsia" w:ascii="宋体" w:hAnsi="宋体" w:eastAsia="宋体" w:cs="宋体"/>
          <w:b/>
          <w:bCs/>
          <w:color w:val="auto"/>
          <w:sz w:val="28"/>
          <w:szCs w:val="28"/>
          <w:highlight w:val="none"/>
        </w:rPr>
      </w:pPr>
    </w:p>
    <w:p>
      <w:pPr>
        <w:pStyle w:val="10"/>
        <w:adjustRightInd w:val="0"/>
        <w:snapToGrid w:val="0"/>
        <w:spacing w:before="0"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第一部分 </w:t>
      </w:r>
      <w:r>
        <w:rPr>
          <w:rFonts w:hint="eastAsia" w:ascii="宋体" w:hAnsi="宋体" w:eastAsia="宋体" w:cs="宋体"/>
          <w:b w:val="0"/>
          <w:bCs w:val="0"/>
          <w:color w:val="auto"/>
          <w:sz w:val="28"/>
          <w:szCs w:val="28"/>
          <w:highlight w:val="none"/>
          <w:lang w:eastAsia="zh-CN"/>
        </w:rPr>
        <w:t>单位</w:t>
      </w:r>
      <w:r>
        <w:rPr>
          <w:rFonts w:hint="eastAsia" w:ascii="宋体" w:hAnsi="宋体" w:eastAsia="宋体" w:cs="宋体"/>
          <w:b w:val="0"/>
          <w:bCs w:val="0"/>
          <w:color w:val="auto"/>
          <w:sz w:val="28"/>
          <w:szCs w:val="28"/>
          <w:highlight w:val="none"/>
        </w:rPr>
        <w:t>概况</w:t>
      </w:r>
    </w:p>
    <w:p>
      <w:pPr>
        <w:pStyle w:val="11"/>
        <w:adjustRightInd w:val="0"/>
        <w:snapToGrid w:val="0"/>
        <w:spacing w:line="440" w:lineRule="exact"/>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一、职能</w:t>
      </w:r>
      <w:r>
        <w:rPr>
          <w:rFonts w:hint="eastAsia" w:ascii="宋体" w:hAnsi="宋体" w:eastAsia="宋体" w:cs="宋体"/>
          <w:b w:val="0"/>
          <w:bCs w:val="0"/>
          <w:color w:val="auto"/>
          <w:sz w:val="28"/>
          <w:szCs w:val="28"/>
          <w:highlight w:val="none"/>
          <w:lang w:eastAsia="zh-CN"/>
        </w:rPr>
        <w:t>简介</w:t>
      </w:r>
      <w:r>
        <w:rPr>
          <w:rFonts w:hint="eastAsia" w:ascii="宋体" w:hAnsi="宋体" w:eastAsia="宋体" w:cs="宋体"/>
          <w:b w:val="0"/>
          <w:bCs w:val="0"/>
          <w:color w:val="auto"/>
          <w:sz w:val="28"/>
          <w:szCs w:val="28"/>
          <w:highlight w:val="none"/>
          <w:lang w:val="en-US" w:eastAsia="zh-CN"/>
        </w:rPr>
        <w:t>.....................................4</w:t>
      </w:r>
    </w:p>
    <w:p>
      <w:pPr>
        <w:pStyle w:val="11"/>
        <w:adjustRightInd w:val="0"/>
        <w:snapToGrid w:val="0"/>
        <w:spacing w:line="440" w:lineRule="exact"/>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eastAsia="zh-CN"/>
        </w:rPr>
        <w:t>二、</w:t>
      </w:r>
      <w:r>
        <w:rPr>
          <w:rFonts w:hint="eastAsia" w:ascii="宋体" w:hAnsi="宋体" w:eastAsia="宋体" w:cs="宋体"/>
          <w:b w:val="0"/>
          <w:bCs w:val="0"/>
          <w:color w:val="auto"/>
          <w:sz w:val="28"/>
          <w:szCs w:val="28"/>
          <w:highlight w:val="none"/>
          <w:lang w:val="en-US" w:eastAsia="zh-CN"/>
        </w:rPr>
        <w:t>2021年重点</w:t>
      </w:r>
      <w:r>
        <w:rPr>
          <w:rFonts w:hint="eastAsia" w:ascii="宋体" w:hAnsi="宋体" w:eastAsia="宋体" w:cs="宋体"/>
          <w:b w:val="0"/>
          <w:bCs w:val="0"/>
          <w:color w:val="auto"/>
          <w:sz w:val="28"/>
          <w:szCs w:val="28"/>
          <w:highlight w:val="none"/>
        </w:rPr>
        <w:t>工作</w:t>
      </w:r>
      <w:r>
        <w:rPr>
          <w:rFonts w:hint="eastAsia" w:ascii="宋体" w:hAnsi="宋体" w:eastAsia="宋体" w:cs="宋体"/>
          <w:b w:val="0"/>
          <w:bCs w:val="0"/>
          <w:color w:val="auto"/>
          <w:sz w:val="28"/>
          <w:szCs w:val="28"/>
          <w:highlight w:val="none"/>
          <w:lang w:eastAsia="zh-CN"/>
        </w:rPr>
        <w:t>完成情况</w:t>
      </w:r>
      <w:r>
        <w:rPr>
          <w:rFonts w:hint="eastAsia" w:ascii="宋体" w:hAnsi="宋体" w:eastAsia="宋体" w:cs="宋体"/>
          <w:b w:val="0"/>
          <w:bCs w:val="0"/>
          <w:color w:val="auto"/>
          <w:sz w:val="28"/>
          <w:szCs w:val="28"/>
          <w:highlight w:val="none"/>
          <w:lang w:val="en-US" w:eastAsia="zh-CN"/>
        </w:rPr>
        <w:t>.......................5</w:t>
      </w:r>
    </w:p>
    <w:p>
      <w:pPr>
        <w:pStyle w:val="10"/>
        <w:adjustRightInd w:val="0"/>
        <w:snapToGrid w:val="0"/>
        <w:spacing w:before="0"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第二部分</w:t>
      </w:r>
      <w:r>
        <w:rPr>
          <w:rFonts w:hint="eastAsia" w:ascii="宋体" w:hAnsi="宋体" w:eastAsia="宋体" w:cs="宋体"/>
          <w:b w:val="0"/>
          <w:bCs w:val="0"/>
          <w:color w:val="auto"/>
          <w:sz w:val="28"/>
          <w:szCs w:val="28"/>
          <w:highlight w:val="none"/>
          <w:lang w:val="en-US" w:eastAsia="zh-CN"/>
        </w:rPr>
        <w:t xml:space="preserve"> 2021年度</w:t>
      </w:r>
      <w:r>
        <w:rPr>
          <w:rFonts w:hint="eastAsia" w:ascii="宋体" w:hAnsi="宋体" w:eastAsia="宋体" w:cs="宋体"/>
          <w:b w:val="0"/>
          <w:bCs w:val="0"/>
          <w:color w:val="auto"/>
          <w:sz w:val="28"/>
          <w:szCs w:val="28"/>
          <w:highlight w:val="none"/>
          <w:lang w:eastAsia="zh-CN"/>
        </w:rPr>
        <w:t>单位</w:t>
      </w:r>
      <w:r>
        <w:rPr>
          <w:rFonts w:hint="eastAsia" w:ascii="宋体" w:hAnsi="宋体" w:eastAsia="宋体" w:cs="宋体"/>
          <w:b w:val="0"/>
          <w:bCs w:val="0"/>
          <w:color w:val="auto"/>
          <w:sz w:val="28"/>
          <w:szCs w:val="28"/>
          <w:highlight w:val="none"/>
        </w:rPr>
        <w:t>决算情况说明</w:t>
      </w:r>
    </w:p>
    <w:p>
      <w:pPr>
        <w:pStyle w:val="11"/>
        <w:adjustRightInd w:val="0"/>
        <w:snapToGrid w:val="0"/>
        <w:spacing w:line="440" w:lineRule="exact"/>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一、收入支出决算总体情况说明</w:t>
      </w:r>
      <w:r>
        <w:rPr>
          <w:rFonts w:hint="eastAsia" w:ascii="宋体" w:hAnsi="宋体" w:eastAsia="宋体" w:cs="宋体"/>
          <w:b w:val="0"/>
          <w:bCs w:val="0"/>
          <w:color w:val="auto"/>
          <w:sz w:val="28"/>
          <w:szCs w:val="28"/>
          <w:highlight w:val="none"/>
          <w:lang w:val="en-US" w:eastAsia="zh-CN"/>
        </w:rPr>
        <w:t>......................6</w:t>
      </w:r>
    </w:p>
    <w:p>
      <w:pPr>
        <w:pStyle w:val="11"/>
        <w:adjustRightInd w:val="0"/>
        <w:snapToGrid w:val="0"/>
        <w:spacing w:line="440" w:lineRule="exact"/>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二、收入决算情况说明</w:t>
      </w:r>
      <w:r>
        <w:rPr>
          <w:rFonts w:hint="eastAsia" w:ascii="宋体" w:hAnsi="宋体" w:eastAsia="宋体" w:cs="宋体"/>
          <w:b w:val="0"/>
          <w:bCs w:val="0"/>
          <w:color w:val="auto"/>
          <w:sz w:val="28"/>
          <w:szCs w:val="28"/>
          <w:highlight w:val="none"/>
          <w:lang w:val="en-US" w:eastAsia="zh-CN"/>
        </w:rPr>
        <w:t>..............................7</w:t>
      </w:r>
    </w:p>
    <w:p>
      <w:pPr>
        <w:pStyle w:val="11"/>
        <w:adjustRightInd w:val="0"/>
        <w:snapToGrid w:val="0"/>
        <w:spacing w:line="440" w:lineRule="exact"/>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三、支出决算情况说明</w:t>
      </w:r>
      <w:r>
        <w:rPr>
          <w:rFonts w:hint="eastAsia" w:ascii="宋体" w:hAnsi="宋体" w:eastAsia="宋体" w:cs="宋体"/>
          <w:b w:val="0"/>
          <w:bCs w:val="0"/>
          <w:color w:val="auto"/>
          <w:sz w:val="28"/>
          <w:szCs w:val="28"/>
          <w:highlight w:val="none"/>
          <w:lang w:val="en-US" w:eastAsia="zh-CN"/>
        </w:rPr>
        <w:t>..............................8</w:t>
      </w:r>
    </w:p>
    <w:p>
      <w:pPr>
        <w:pStyle w:val="11"/>
        <w:adjustRightInd w:val="0"/>
        <w:snapToGrid w:val="0"/>
        <w:spacing w:line="440" w:lineRule="exact"/>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四、财政拨款收入支出决算总体情况说明</w:t>
      </w:r>
      <w:r>
        <w:rPr>
          <w:rFonts w:hint="eastAsia" w:ascii="宋体" w:hAnsi="宋体" w:eastAsia="宋体" w:cs="宋体"/>
          <w:b w:val="0"/>
          <w:bCs w:val="0"/>
          <w:color w:val="auto"/>
          <w:sz w:val="28"/>
          <w:szCs w:val="28"/>
          <w:highlight w:val="none"/>
          <w:lang w:val="en-US" w:eastAsia="zh-CN"/>
        </w:rPr>
        <w:t>..............9</w:t>
      </w:r>
    </w:p>
    <w:p>
      <w:pPr>
        <w:pStyle w:val="11"/>
        <w:adjustRightInd w:val="0"/>
        <w:snapToGrid w:val="0"/>
        <w:spacing w:line="440" w:lineRule="exact"/>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五、一般公共预算财政拨款支出决算情况说明</w:t>
      </w:r>
      <w:r>
        <w:rPr>
          <w:rFonts w:hint="eastAsia" w:ascii="宋体" w:hAnsi="宋体" w:eastAsia="宋体" w:cs="宋体"/>
          <w:b w:val="0"/>
          <w:bCs w:val="0"/>
          <w:color w:val="auto"/>
          <w:sz w:val="28"/>
          <w:szCs w:val="28"/>
          <w:highlight w:val="none"/>
          <w:lang w:val="en-US" w:eastAsia="zh-CN"/>
        </w:rPr>
        <w:t>..........10</w:t>
      </w:r>
    </w:p>
    <w:p>
      <w:pPr>
        <w:pStyle w:val="11"/>
        <w:adjustRightInd w:val="0"/>
        <w:snapToGrid w:val="0"/>
        <w:spacing w:line="440" w:lineRule="exact"/>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六、一般公共预算财政拨款基本支出决算情况说明</w:t>
      </w:r>
      <w:r>
        <w:rPr>
          <w:rFonts w:hint="eastAsia" w:ascii="宋体" w:hAnsi="宋体" w:eastAsia="宋体" w:cs="宋体"/>
          <w:b w:val="0"/>
          <w:bCs w:val="0"/>
          <w:color w:val="auto"/>
          <w:sz w:val="28"/>
          <w:szCs w:val="28"/>
          <w:highlight w:val="none"/>
          <w:lang w:val="en-US" w:eastAsia="zh-CN"/>
        </w:rPr>
        <w:t>......16</w:t>
      </w:r>
    </w:p>
    <w:p>
      <w:pPr>
        <w:pStyle w:val="11"/>
        <w:adjustRightInd w:val="0"/>
        <w:snapToGrid w:val="0"/>
        <w:spacing w:line="440" w:lineRule="exact"/>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七、</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三公”经费财政拨款支出决算情况说明</w:t>
      </w:r>
      <w:r>
        <w:rPr>
          <w:rFonts w:hint="eastAsia" w:ascii="宋体" w:hAnsi="宋体" w:eastAsia="宋体" w:cs="宋体"/>
          <w:b w:val="0"/>
          <w:bCs w:val="0"/>
          <w:color w:val="auto"/>
          <w:sz w:val="28"/>
          <w:szCs w:val="28"/>
          <w:highlight w:val="none"/>
          <w:lang w:val="en-US" w:eastAsia="zh-CN"/>
        </w:rPr>
        <w:t>..........18</w:t>
      </w:r>
    </w:p>
    <w:p>
      <w:pPr>
        <w:pStyle w:val="11"/>
        <w:adjustRightInd w:val="0"/>
        <w:snapToGrid w:val="0"/>
        <w:spacing w:line="440" w:lineRule="exact"/>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八、政府性基金预算支出决算情况说明</w:t>
      </w:r>
      <w:r>
        <w:rPr>
          <w:rFonts w:hint="eastAsia" w:ascii="宋体" w:hAnsi="宋体" w:eastAsia="宋体" w:cs="宋体"/>
          <w:b w:val="0"/>
          <w:bCs w:val="0"/>
          <w:color w:val="auto"/>
          <w:sz w:val="28"/>
          <w:szCs w:val="28"/>
          <w:highlight w:val="none"/>
          <w:lang w:val="en-US" w:eastAsia="zh-CN"/>
        </w:rPr>
        <w:t>................20</w:t>
      </w:r>
    </w:p>
    <w:p>
      <w:pPr>
        <w:pStyle w:val="11"/>
        <w:adjustRightInd w:val="0"/>
        <w:snapToGrid w:val="0"/>
        <w:spacing w:line="440" w:lineRule="exact"/>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九、国有资本经营预算支出决算情况说明</w:t>
      </w:r>
      <w:r>
        <w:rPr>
          <w:rFonts w:hint="eastAsia" w:ascii="宋体" w:hAnsi="宋体" w:eastAsia="宋体" w:cs="宋体"/>
          <w:b w:val="0"/>
          <w:bCs w:val="0"/>
          <w:color w:val="auto"/>
          <w:sz w:val="28"/>
          <w:szCs w:val="28"/>
          <w:highlight w:val="none"/>
          <w:lang w:val="en-US" w:eastAsia="zh-CN"/>
        </w:rPr>
        <w:t>..............20</w:t>
      </w:r>
    </w:p>
    <w:p>
      <w:pPr>
        <w:pStyle w:val="11"/>
        <w:adjustRightInd w:val="0"/>
        <w:snapToGrid w:val="0"/>
        <w:spacing w:line="440" w:lineRule="exact"/>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十、其他重要事项的情况说明</w:t>
      </w:r>
      <w:r>
        <w:rPr>
          <w:rFonts w:hint="eastAsia" w:ascii="宋体" w:hAnsi="宋体" w:eastAsia="宋体" w:cs="宋体"/>
          <w:b w:val="0"/>
          <w:bCs w:val="0"/>
          <w:color w:val="auto"/>
          <w:sz w:val="28"/>
          <w:szCs w:val="28"/>
          <w:highlight w:val="none"/>
          <w:lang w:val="en-US" w:eastAsia="zh-CN"/>
        </w:rPr>
        <w:t>........................20</w:t>
      </w:r>
    </w:p>
    <w:p>
      <w:pPr>
        <w:pStyle w:val="10"/>
        <w:adjustRightInd w:val="0"/>
        <w:snapToGrid w:val="0"/>
        <w:spacing w:before="0" w:line="440" w:lineRule="exact"/>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第三部分 名词解释</w:t>
      </w:r>
      <w:r>
        <w:rPr>
          <w:rFonts w:hint="eastAsia" w:ascii="宋体" w:hAnsi="宋体" w:eastAsia="宋体" w:cs="宋体"/>
          <w:b w:val="0"/>
          <w:bCs w:val="0"/>
          <w:color w:val="auto"/>
          <w:sz w:val="28"/>
          <w:szCs w:val="28"/>
          <w:highlight w:val="none"/>
          <w:lang w:val="en-US" w:eastAsia="zh-CN"/>
        </w:rPr>
        <w:t>....................................25</w:t>
      </w:r>
    </w:p>
    <w:p>
      <w:pPr>
        <w:pStyle w:val="10"/>
        <w:adjustRightInd w:val="0"/>
        <w:snapToGrid w:val="0"/>
        <w:spacing w:before="0" w:line="440" w:lineRule="exact"/>
        <w:jc w:val="left"/>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第四部分 附件</w:t>
      </w:r>
      <w:r>
        <w:rPr>
          <w:rFonts w:hint="eastAsia" w:ascii="宋体" w:hAnsi="宋体" w:eastAsia="宋体" w:cs="宋体"/>
          <w:b w:val="0"/>
          <w:bCs w:val="0"/>
          <w:color w:val="auto"/>
          <w:sz w:val="28"/>
          <w:szCs w:val="28"/>
          <w:highlight w:val="none"/>
          <w:lang w:val="en-US" w:eastAsia="zh-CN"/>
        </w:rPr>
        <w:t>........................................28</w:t>
      </w:r>
    </w:p>
    <w:p>
      <w:pPr>
        <w:pStyle w:val="10"/>
        <w:adjustRightInd w:val="0"/>
        <w:snapToGrid w:val="0"/>
        <w:spacing w:before="0"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第五部分 附表</w:t>
      </w:r>
    </w:p>
    <w:p>
      <w:pPr>
        <w:pStyle w:val="11"/>
        <w:adjustRightInd w:val="0"/>
        <w:snapToGrid w:val="0"/>
        <w:spacing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一、收入支出决算总表</w:t>
      </w:r>
    </w:p>
    <w:p>
      <w:pPr>
        <w:pStyle w:val="11"/>
        <w:adjustRightInd w:val="0"/>
        <w:snapToGrid w:val="0"/>
        <w:spacing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二、收入决算表</w:t>
      </w:r>
    </w:p>
    <w:p>
      <w:pPr>
        <w:pStyle w:val="11"/>
        <w:adjustRightInd w:val="0"/>
        <w:snapToGrid w:val="0"/>
        <w:spacing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三、支出决算表</w:t>
      </w:r>
    </w:p>
    <w:p>
      <w:pPr>
        <w:pStyle w:val="11"/>
        <w:adjustRightInd w:val="0"/>
        <w:snapToGrid w:val="0"/>
        <w:spacing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四、财政拨款收入支出决算总表</w:t>
      </w:r>
    </w:p>
    <w:p>
      <w:pPr>
        <w:pStyle w:val="11"/>
        <w:adjustRightInd w:val="0"/>
        <w:snapToGrid w:val="0"/>
        <w:spacing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五、财政拨款支出决算明细表</w:t>
      </w:r>
    </w:p>
    <w:p>
      <w:pPr>
        <w:pStyle w:val="11"/>
        <w:adjustRightInd w:val="0"/>
        <w:snapToGrid w:val="0"/>
        <w:spacing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六、一般公共预算财政拨款支出决算表</w:t>
      </w:r>
    </w:p>
    <w:p>
      <w:pPr>
        <w:pStyle w:val="11"/>
        <w:adjustRightInd w:val="0"/>
        <w:snapToGrid w:val="0"/>
        <w:spacing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七、一般公共预算财政拨款支出决算明细表</w:t>
      </w:r>
    </w:p>
    <w:p>
      <w:pPr>
        <w:pStyle w:val="11"/>
        <w:adjustRightInd w:val="0"/>
        <w:snapToGrid w:val="0"/>
        <w:spacing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八、一般公共预算财政拨款基本支出决算表</w:t>
      </w:r>
    </w:p>
    <w:p>
      <w:pPr>
        <w:pStyle w:val="11"/>
        <w:adjustRightInd w:val="0"/>
        <w:snapToGrid w:val="0"/>
        <w:spacing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九、一般公共预算财政拨款项目支出决算表</w:t>
      </w:r>
    </w:p>
    <w:p>
      <w:pPr>
        <w:pStyle w:val="11"/>
        <w:adjustRightInd w:val="0"/>
        <w:snapToGrid w:val="0"/>
        <w:spacing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十、一般公共预算财政拨款“三公”经费支出决算表</w:t>
      </w:r>
    </w:p>
    <w:p>
      <w:pPr>
        <w:pStyle w:val="11"/>
        <w:adjustRightInd w:val="0"/>
        <w:snapToGrid w:val="0"/>
        <w:spacing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十一、政府性基金预算财政拨款收入支出决算表</w:t>
      </w:r>
    </w:p>
    <w:p>
      <w:pPr>
        <w:pStyle w:val="11"/>
        <w:adjustRightInd w:val="0"/>
        <w:snapToGrid w:val="0"/>
        <w:spacing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十二、政府性基金预算财政拨款“三公”经费支出决算表</w:t>
      </w:r>
    </w:p>
    <w:p>
      <w:pPr>
        <w:pStyle w:val="11"/>
        <w:adjustRightInd w:val="0"/>
        <w:snapToGrid w:val="0"/>
        <w:spacing w:line="440" w:lineRule="exact"/>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十三、国有资本经营预算</w:t>
      </w:r>
      <w:r>
        <w:rPr>
          <w:rFonts w:hint="eastAsia" w:ascii="宋体" w:hAnsi="宋体" w:eastAsia="宋体" w:cs="宋体"/>
          <w:b w:val="0"/>
          <w:bCs w:val="0"/>
          <w:color w:val="auto"/>
          <w:sz w:val="28"/>
          <w:szCs w:val="28"/>
          <w:highlight w:val="none"/>
          <w:lang w:eastAsia="zh-CN"/>
        </w:rPr>
        <w:t>财政拨款收入</w:t>
      </w:r>
      <w:r>
        <w:rPr>
          <w:rFonts w:hint="eastAsia" w:ascii="宋体" w:hAnsi="宋体" w:eastAsia="宋体" w:cs="宋体"/>
          <w:b w:val="0"/>
          <w:bCs w:val="0"/>
          <w:color w:val="auto"/>
          <w:sz w:val="28"/>
          <w:szCs w:val="28"/>
          <w:highlight w:val="none"/>
        </w:rPr>
        <w:t>支出决算表</w:t>
      </w:r>
    </w:p>
    <w:p>
      <w:pPr>
        <w:pStyle w:val="11"/>
        <w:adjustRightInd w:val="0"/>
        <w:snapToGrid w:val="0"/>
        <w:spacing w:line="440" w:lineRule="exact"/>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十四、国有资本经营预算财政拨款支出决算表</w:t>
      </w:r>
    </w:p>
    <w:p>
      <w:pPr>
        <w:widowControl/>
        <w:adjustRightInd w:val="0"/>
        <w:snapToGrid w:val="0"/>
        <w:spacing w:line="440" w:lineRule="exact"/>
        <w:ind w:firstLine="1540" w:firstLineChars="55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(注：请</w:t>
      </w:r>
      <w:r>
        <w:rPr>
          <w:rFonts w:hint="eastAsia" w:ascii="宋体" w:hAnsi="宋体" w:eastAsia="宋体" w:cs="宋体"/>
          <w:b w:val="0"/>
          <w:bCs w:val="0"/>
          <w:color w:val="auto"/>
          <w:sz w:val="28"/>
          <w:szCs w:val="28"/>
          <w:highlight w:val="none"/>
          <w:lang w:eastAsia="zh-CN"/>
        </w:rPr>
        <w:t>单位</w:t>
      </w:r>
      <w:r>
        <w:rPr>
          <w:rFonts w:hint="eastAsia" w:ascii="宋体" w:hAnsi="宋体" w:eastAsia="宋体" w:cs="宋体"/>
          <w:b w:val="0"/>
          <w:bCs w:val="0"/>
          <w:color w:val="auto"/>
          <w:sz w:val="28"/>
          <w:szCs w:val="28"/>
          <w:highlight w:val="none"/>
        </w:rPr>
        <w:t>根据实际注明页码)</w:t>
      </w:r>
    </w:p>
    <w:p>
      <w:pPr>
        <w:widowControl/>
        <w:spacing w:line="440" w:lineRule="exact"/>
        <w:jc w:val="left"/>
        <w:rPr>
          <w:rFonts w:hint="eastAsia" w:ascii="宋体" w:hAnsi="宋体" w:eastAsia="宋体" w:cs="宋体"/>
          <w:b w:val="0"/>
          <w:bCs w:val="0"/>
          <w:color w:val="auto"/>
          <w:kern w:val="44"/>
          <w:sz w:val="28"/>
          <w:szCs w:val="28"/>
          <w:highlight w:val="none"/>
        </w:rPr>
      </w:pPr>
      <w:bookmarkStart w:id="12" w:name="_Toc15396599"/>
      <w:bookmarkStart w:id="13" w:name="_Toc15377196"/>
      <w:r>
        <w:rPr>
          <w:rFonts w:hint="eastAsia" w:ascii="宋体" w:hAnsi="宋体" w:eastAsia="宋体" w:cs="宋体"/>
          <w:b w:val="0"/>
          <w:bCs w:val="0"/>
          <w:color w:val="auto"/>
          <w:sz w:val="28"/>
          <w:szCs w:val="28"/>
          <w:highlight w:val="none"/>
        </w:rPr>
        <w:br w:type="page"/>
      </w:r>
    </w:p>
    <w:p>
      <w:pPr>
        <w:pStyle w:val="3"/>
        <w:jc w:val="center"/>
        <w:rPr>
          <w:rStyle w:val="26"/>
          <w:rFonts w:hint="default" w:ascii="Times New Roman" w:hAnsi="Times New Roman" w:cs="Times New Roman" w:eastAsiaTheme="majorEastAsia"/>
          <w:b/>
          <w:bCs w:val="0"/>
          <w:color w:val="auto"/>
          <w:highlight w:val="none"/>
        </w:rPr>
      </w:pPr>
      <w:r>
        <w:rPr>
          <w:rFonts w:hint="default" w:ascii="Times New Roman" w:hAnsi="Times New Roman" w:cs="Times New Roman" w:eastAsiaTheme="majorEastAsia"/>
          <w:b/>
          <w:bCs w:val="0"/>
          <w:color w:val="auto"/>
          <w:highlight w:val="none"/>
        </w:rPr>
        <w:t xml:space="preserve">第一部分 </w:t>
      </w:r>
      <w:r>
        <w:rPr>
          <w:rFonts w:hint="default" w:ascii="Times New Roman" w:hAnsi="Times New Roman" w:cs="Times New Roman" w:eastAsiaTheme="majorEastAsia"/>
          <w:b/>
          <w:bCs w:val="0"/>
          <w:color w:val="auto"/>
          <w:highlight w:val="none"/>
          <w:lang w:eastAsia="zh-CN"/>
        </w:rPr>
        <w:t>单位</w:t>
      </w:r>
      <w:r>
        <w:rPr>
          <w:rStyle w:val="26"/>
          <w:rFonts w:hint="default" w:ascii="Times New Roman" w:hAnsi="Times New Roman" w:cs="Times New Roman" w:eastAsiaTheme="majorEastAsia"/>
          <w:b/>
          <w:bCs w:val="0"/>
          <w:color w:val="auto"/>
          <w:highlight w:val="none"/>
        </w:rPr>
        <w:t>概况</w:t>
      </w:r>
      <w:bookmarkEnd w:id="12"/>
      <w:bookmarkEnd w:id="13"/>
    </w:p>
    <w:p>
      <w:pPr>
        <w:widowControl/>
        <w:jc w:val="left"/>
        <w:rPr>
          <w:rFonts w:hint="default" w:ascii="Times New Roman" w:hAnsi="Times New Roman" w:cs="Times New Roman" w:eastAsiaTheme="minorEastAsia"/>
          <w:color w:val="auto"/>
          <w:sz w:val="32"/>
          <w:szCs w:val="32"/>
          <w:highlight w:val="none"/>
        </w:rPr>
      </w:pPr>
    </w:p>
    <w:p>
      <w:pPr>
        <w:snapToGrid w:val="0"/>
        <w:spacing w:line="578" w:lineRule="exact"/>
        <w:ind w:firstLine="643" w:firstLineChars="200"/>
        <w:rPr>
          <w:rStyle w:val="27"/>
          <w:rFonts w:hint="default" w:ascii="Times New Roman" w:hAnsi="Times New Roman" w:cs="Times New Roman" w:eastAsiaTheme="minorEastAsia"/>
          <w:b/>
          <w:bCs/>
          <w:color w:val="auto"/>
          <w:highlight w:val="none"/>
          <w:lang w:eastAsia="zh-CN"/>
        </w:rPr>
      </w:pPr>
      <w:bookmarkStart w:id="14" w:name="_Toc15377197"/>
      <w:bookmarkStart w:id="15" w:name="_Toc15396600"/>
      <w:r>
        <w:rPr>
          <w:rStyle w:val="27"/>
          <w:rFonts w:hint="default" w:ascii="Times New Roman" w:hAnsi="Times New Roman" w:cs="Times New Roman" w:eastAsiaTheme="minorEastAsia"/>
          <w:b/>
          <w:bCs/>
          <w:color w:val="auto"/>
          <w:highlight w:val="none"/>
          <w:lang w:eastAsia="zh-CN"/>
        </w:rPr>
        <w:t>一、</w:t>
      </w:r>
      <w:r>
        <w:rPr>
          <w:rStyle w:val="27"/>
          <w:rFonts w:hint="default" w:ascii="Times New Roman" w:hAnsi="Times New Roman" w:cs="Times New Roman" w:eastAsiaTheme="minorEastAsia"/>
          <w:b/>
          <w:bCs/>
          <w:color w:val="auto"/>
          <w:highlight w:val="none"/>
        </w:rPr>
        <w:t>职能</w:t>
      </w:r>
      <w:r>
        <w:rPr>
          <w:rStyle w:val="27"/>
          <w:rFonts w:hint="default" w:ascii="Times New Roman" w:hAnsi="Times New Roman" w:cs="Times New Roman" w:eastAsiaTheme="minorEastAsia"/>
          <w:b/>
          <w:bCs/>
          <w:color w:val="auto"/>
          <w:highlight w:val="none"/>
          <w:lang w:eastAsia="zh-CN"/>
        </w:rPr>
        <w:t>简介</w:t>
      </w:r>
      <w:bookmarkStart w:id="16" w:name="_Toc15377198"/>
      <w:bookmarkStart w:id="17" w:name="_Toc15378445"/>
    </w:p>
    <w:p>
      <w:pPr>
        <w:snapToGrid w:val="0"/>
        <w:spacing w:line="578" w:lineRule="exact"/>
        <w:ind w:firstLine="643" w:firstLineChars="200"/>
        <w:rPr>
          <w:rFonts w:hint="default" w:ascii="Times New Roman" w:hAnsi="Times New Roman" w:cs="Times New Roman" w:eastAsiaTheme="minorEastAsia"/>
          <w:color w:val="auto"/>
          <w:sz w:val="32"/>
          <w:szCs w:val="32"/>
        </w:rPr>
      </w:pPr>
      <w:r>
        <w:rPr>
          <w:rFonts w:hint="default" w:ascii="Times New Roman" w:hAnsi="Times New Roman" w:cs="Times New Roman" w:eastAsiaTheme="minorEastAsia"/>
          <w:b/>
          <w:color w:val="auto"/>
          <w:sz w:val="32"/>
          <w:szCs w:val="32"/>
        </w:rPr>
        <w:t>一是落实政策。</w:t>
      </w:r>
      <w:r>
        <w:rPr>
          <w:rFonts w:hint="default" w:ascii="Times New Roman" w:hAnsi="Times New Roman" w:cs="Times New Roman" w:eastAsiaTheme="minorEastAsia"/>
          <w:color w:val="auto"/>
          <w:sz w:val="32"/>
          <w:szCs w:val="32"/>
        </w:rPr>
        <w:t>宣传、落实好党的路线、方针、政策和国家的法律、法规，稳定农村基本经济制度，坚持依法行政，推行政务公开，加强对村(居)民委员会的指导、提高、培育村(居)民委员会自治能力。</w:t>
      </w:r>
    </w:p>
    <w:p>
      <w:pPr>
        <w:snapToGrid w:val="0"/>
        <w:spacing w:line="578" w:lineRule="exact"/>
        <w:ind w:firstLine="643" w:firstLineChars="200"/>
        <w:rPr>
          <w:rFonts w:hint="default" w:ascii="Times New Roman" w:hAnsi="Times New Roman" w:cs="Times New Roman" w:eastAsiaTheme="minorEastAsia"/>
          <w:color w:val="auto"/>
          <w:sz w:val="32"/>
          <w:szCs w:val="32"/>
        </w:rPr>
      </w:pPr>
      <w:r>
        <w:rPr>
          <w:rFonts w:hint="default" w:ascii="Times New Roman" w:hAnsi="Times New Roman" w:cs="Times New Roman" w:eastAsiaTheme="minorEastAsia"/>
          <w:b/>
          <w:color w:val="auto"/>
          <w:sz w:val="32"/>
          <w:szCs w:val="32"/>
        </w:rPr>
        <w:t>二是促进发展。</w:t>
      </w:r>
      <w:r>
        <w:rPr>
          <w:rFonts w:hint="default" w:ascii="Times New Roman" w:hAnsi="Times New Roman" w:cs="Times New Roman" w:eastAsiaTheme="minorEastAsia"/>
          <w:color w:val="auto"/>
          <w:sz w:val="32"/>
          <w:szCs w:val="32"/>
        </w:rPr>
        <w:t>科学制定发展规划，营造农村经济发展环境，加强农村市场监督、培育、提升市场功能，搞活市场流通，推广农业技术，引导农民发展现代化，调整产业结构，加强农村劳动技能培训，引导农村劳动力转移和就业。</w:t>
      </w:r>
    </w:p>
    <w:p>
      <w:pPr>
        <w:snapToGrid w:val="0"/>
        <w:spacing w:line="578" w:lineRule="exact"/>
        <w:ind w:firstLine="643" w:firstLineChars="200"/>
        <w:rPr>
          <w:rFonts w:hint="default" w:ascii="Times New Roman" w:hAnsi="Times New Roman" w:cs="Times New Roman" w:eastAsiaTheme="minorEastAsia"/>
          <w:color w:val="auto"/>
          <w:sz w:val="32"/>
          <w:szCs w:val="32"/>
        </w:rPr>
      </w:pPr>
      <w:r>
        <w:rPr>
          <w:rFonts w:hint="default" w:ascii="Times New Roman" w:hAnsi="Times New Roman" w:cs="Times New Roman" w:eastAsiaTheme="minorEastAsia"/>
          <w:b/>
          <w:color w:val="auto"/>
          <w:sz w:val="32"/>
          <w:szCs w:val="32"/>
        </w:rPr>
        <w:t>三是提供服务。</w:t>
      </w:r>
      <w:r>
        <w:rPr>
          <w:rFonts w:hint="default" w:ascii="Times New Roman" w:hAnsi="Times New Roman" w:cs="Times New Roman" w:eastAsiaTheme="minorEastAsia"/>
          <w:color w:val="auto"/>
          <w:sz w:val="32"/>
          <w:szCs w:val="32"/>
        </w:rPr>
        <w:t>进一步发展和完善农业社会化服务体系，引导各类协会和农村专业合作经济组织发展充分发挥其作用，发展农村社会公益事业和集体公益事业，加强农村基础设施建设。</w:t>
      </w:r>
    </w:p>
    <w:p>
      <w:pPr>
        <w:snapToGrid w:val="0"/>
        <w:spacing w:line="578" w:lineRule="exact"/>
        <w:ind w:firstLine="643" w:firstLineChars="200"/>
        <w:rPr>
          <w:rFonts w:hint="default" w:ascii="Times New Roman" w:hAnsi="Times New Roman" w:cs="Times New Roman" w:eastAsiaTheme="minorEastAsia"/>
          <w:color w:val="auto"/>
          <w:sz w:val="32"/>
          <w:szCs w:val="32"/>
        </w:rPr>
      </w:pPr>
      <w:r>
        <w:rPr>
          <w:rFonts w:hint="default" w:ascii="Times New Roman" w:hAnsi="Times New Roman" w:cs="Times New Roman" w:eastAsiaTheme="minorEastAsia"/>
          <w:b/>
          <w:color w:val="auto"/>
          <w:sz w:val="32"/>
          <w:szCs w:val="32"/>
        </w:rPr>
        <w:t>四是加强管理。</w:t>
      </w:r>
      <w:r>
        <w:rPr>
          <w:rFonts w:hint="default" w:ascii="Times New Roman" w:hAnsi="Times New Roman" w:cs="Times New Roman" w:eastAsiaTheme="minorEastAsia"/>
          <w:color w:val="auto"/>
          <w:sz w:val="32"/>
          <w:szCs w:val="32"/>
        </w:rPr>
        <w:t>加强民政、教育、文化、卫生、安全生产、劳动保障和乡村规划等社会管理，加强环境保护，努力改善农村人居环境，不断提高农村人口素质和农民生活质量。</w:t>
      </w:r>
    </w:p>
    <w:bookmarkEnd w:id="16"/>
    <w:bookmarkEnd w:id="17"/>
    <w:p>
      <w:pPr>
        <w:widowControl/>
        <w:shd w:val="clear" w:color="auto" w:fill="FFFFFF"/>
        <w:spacing w:line="579" w:lineRule="exact"/>
        <w:ind w:firstLine="640" w:firstLineChars="200"/>
        <w:jc w:val="left"/>
        <w:rPr>
          <w:rFonts w:hint="default" w:ascii="Times New Roman" w:hAnsi="Times New Roman" w:cs="Times New Roman" w:eastAsiaTheme="minorEastAsia"/>
          <w:b w:val="0"/>
          <w:color w:val="auto"/>
          <w:sz w:val="32"/>
          <w:szCs w:val="32"/>
          <w:highlight w:val="none"/>
          <w:lang w:val="en-US" w:eastAsia="zh-CN"/>
        </w:rPr>
      </w:pPr>
    </w:p>
    <w:p>
      <w:pPr>
        <w:widowControl/>
        <w:shd w:val="clear" w:color="auto" w:fill="FFFFFF"/>
        <w:spacing w:line="579" w:lineRule="exact"/>
        <w:ind w:firstLine="640" w:firstLineChars="200"/>
        <w:jc w:val="left"/>
        <w:rPr>
          <w:rFonts w:hint="default" w:ascii="Times New Roman" w:hAnsi="Times New Roman" w:cs="Times New Roman" w:eastAsiaTheme="minorEastAsia"/>
          <w:b w:val="0"/>
          <w:color w:val="auto"/>
          <w:sz w:val="32"/>
          <w:szCs w:val="32"/>
          <w:highlight w:val="none"/>
          <w:lang w:val="en-US" w:eastAsia="zh-CN"/>
        </w:rPr>
      </w:pPr>
    </w:p>
    <w:p>
      <w:pPr>
        <w:widowControl/>
        <w:shd w:val="clear" w:color="auto" w:fill="FFFFFF"/>
        <w:spacing w:line="579" w:lineRule="exact"/>
        <w:ind w:firstLine="640" w:firstLineChars="200"/>
        <w:jc w:val="left"/>
        <w:rPr>
          <w:rFonts w:hint="default" w:ascii="Times New Roman" w:hAnsi="Times New Roman" w:cs="Times New Roman" w:eastAsiaTheme="minorEastAsia"/>
          <w:b w:val="0"/>
          <w:color w:val="auto"/>
          <w:sz w:val="32"/>
          <w:szCs w:val="32"/>
          <w:highlight w:val="none"/>
          <w:lang w:val="en-US" w:eastAsia="zh-CN"/>
        </w:rPr>
      </w:pPr>
    </w:p>
    <w:p>
      <w:pPr>
        <w:widowControl/>
        <w:shd w:val="clear" w:color="auto" w:fill="FFFFFF"/>
        <w:spacing w:line="579" w:lineRule="exact"/>
        <w:ind w:firstLine="640" w:firstLineChars="200"/>
        <w:jc w:val="left"/>
        <w:rPr>
          <w:rFonts w:hint="default" w:ascii="Times New Roman" w:hAnsi="Times New Roman" w:cs="Times New Roman" w:eastAsiaTheme="minorEastAsia"/>
          <w:b w:val="0"/>
          <w:color w:val="auto"/>
          <w:sz w:val="32"/>
          <w:szCs w:val="32"/>
          <w:highlight w:val="none"/>
          <w:lang w:val="en-US" w:eastAsia="zh-CN"/>
        </w:rPr>
      </w:pPr>
    </w:p>
    <w:p>
      <w:pPr>
        <w:widowControl/>
        <w:shd w:val="clear" w:color="auto" w:fill="FFFFFF"/>
        <w:spacing w:line="579" w:lineRule="exact"/>
        <w:ind w:firstLine="640" w:firstLineChars="200"/>
        <w:jc w:val="left"/>
        <w:rPr>
          <w:rFonts w:hint="default" w:ascii="Times New Roman" w:hAnsi="Times New Roman" w:cs="Times New Roman" w:eastAsiaTheme="minorEastAsia"/>
          <w:b w:val="0"/>
          <w:color w:val="auto"/>
          <w:sz w:val="32"/>
          <w:szCs w:val="32"/>
          <w:highlight w:val="none"/>
          <w:lang w:val="en-US" w:eastAsia="zh-CN"/>
        </w:rPr>
      </w:pPr>
    </w:p>
    <w:p>
      <w:pPr>
        <w:widowControl/>
        <w:shd w:val="clear" w:color="auto" w:fill="FFFFFF"/>
        <w:spacing w:line="579" w:lineRule="exact"/>
        <w:ind w:firstLine="643" w:firstLineChars="200"/>
        <w:jc w:val="left"/>
        <w:rPr>
          <w:rFonts w:hint="default" w:ascii="Times New Roman" w:hAnsi="Times New Roman" w:cs="Times New Roman" w:eastAsiaTheme="minorEastAsia"/>
          <w:b/>
          <w:bCs/>
          <w:color w:val="auto"/>
          <w:sz w:val="32"/>
          <w:szCs w:val="32"/>
          <w:highlight w:val="none"/>
          <w:lang w:eastAsia="zh-CN"/>
        </w:rPr>
      </w:pPr>
      <w:r>
        <w:rPr>
          <w:rFonts w:hint="default" w:ascii="Times New Roman" w:hAnsi="Times New Roman" w:cs="Times New Roman" w:eastAsiaTheme="minorEastAsia"/>
          <w:b/>
          <w:bCs/>
          <w:color w:val="auto"/>
          <w:sz w:val="32"/>
          <w:szCs w:val="32"/>
          <w:highlight w:val="none"/>
          <w:lang w:val="en-US" w:eastAsia="zh-CN"/>
        </w:rPr>
        <w:t>二、2021年重点</w:t>
      </w:r>
      <w:r>
        <w:rPr>
          <w:rFonts w:hint="default" w:ascii="Times New Roman" w:hAnsi="Times New Roman" w:cs="Times New Roman" w:eastAsiaTheme="minorEastAsia"/>
          <w:b/>
          <w:bCs/>
          <w:color w:val="auto"/>
          <w:sz w:val="32"/>
          <w:szCs w:val="32"/>
          <w:highlight w:val="none"/>
        </w:rPr>
        <w:t>工作</w:t>
      </w:r>
      <w:bookmarkEnd w:id="14"/>
      <w:bookmarkEnd w:id="15"/>
      <w:r>
        <w:rPr>
          <w:rFonts w:hint="default" w:ascii="Times New Roman" w:hAnsi="Times New Roman" w:cs="Times New Roman" w:eastAsiaTheme="minorEastAsia"/>
          <w:b/>
          <w:bCs/>
          <w:color w:val="auto"/>
          <w:sz w:val="32"/>
          <w:szCs w:val="32"/>
          <w:highlight w:val="none"/>
          <w:lang w:eastAsia="zh-CN"/>
        </w:rPr>
        <w:t>完成情况</w:t>
      </w:r>
    </w:p>
    <w:p>
      <w:pPr>
        <w:snapToGrid w:val="0"/>
        <w:spacing w:line="580" w:lineRule="exact"/>
        <w:ind w:firstLine="643" w:firstLineChars="200"/>
        <w:rPr>
          <w:rFonts w:hint="default" w:ascii="Times New Roman" w:hAnsi="Times New Roman" w:cs="Times New Roman" w:eastAsiaTheme="minorEastAsia"/>
          <w:color w:val="auto"/>
          <w:sz w:val="32"/>
          <w:szCs w:val="32"/>
        </w:rPr>
      </w:pPr>
      <w:r>
        <w:rPr>
          <w:rFonts w:hint="default" w:ascii="Times New Roman" w:hAnsi="Times New Roman" w:cs="Times New Roman" w:eastAsiaTheme="minorEastAsia"/>
          <w:b/>
          <w:color w:val="auto"/>
          <w:sz w:val="32"/>
          <w:szCs w:val="32"/>
        </w:rPr>
        <w:t>1、抓产业，推动全镇经济快速发展。</w:t>
      </w:r>
      <w:r>
        <w:rPr>
          <w:rFonts w:hint="default" w:ascii="Times New Roman" w:hAnsi="Times New Roman" w:cs="Times New Roman" w:eastAsiaTheme="minorEastAsia"/>
          <w:color w:val="auto"/>
          <w:sz w:val="32"/>
          <w:szCs w:val="32"/>
        </w:rPr>
        <w:t>加快农业产业提质增效。积极推进土地成片流转规模化经营，共享资源信息，降低生产成本，提高农产品市场竞争力。</w:t>
      </w:r>
    </w:p>
    <w:p>
      <w:pPr>
        <w:snapToGrid w:val="0"/>
        <w:spacing w:line="580" w:lineRule="exact"/>
        <w:ind w:firstLine="643" w:firstLineChars="200"/>
        <w:rPr>
          <w:rFonts w:hint="default" w:ascii="Times New Roman" w:hAnsi="Times New Roman" w:cs="Times New Roman" w:eastAsiaTheme="minorEastAsia"/>
          <w:b w:val="0"/>
          <w:bCs w:val="0"/>
          <w:color w:val="auto"/>
          <w:sz w:val="32"/>
          <w:szCs w:val="32"/>
        </w:rPr>
      </w:pPr>
      <w:r>
        <w:rPr>
          <w:rFonts w:hint="default" w:ascii="Times New Roman" w:hAnsi="Times New Roman" w:cs="Times New Roman" w:eastAsiaTheme="minorEastAsia"/>
          <w:b/>
          <w:color w:val="auto"/>
          <w:sz w:val="32"/>
          <w:szCs w:val="32"/>
        </w:rPr>
        <w:t>2、强民生，突出社会救助体系建设。</w:t>
      </w:r>
      <w:r>
        <w:rPr>
          <w:rFonts w:hint="default" w:ascii="Times New Roman" w:hAnsi="Times New Roman" w:cs="Times New Roman" w:eastAsiaTheme="minorEastAsia"/>
          <w:b w:val="0"/>
          <w:bCs w:val="0"/>
          <w:i w:val="0"/>
          <w:iCs w:val="0"/>
          <w:caps w:val="0"/>
          <w:color w:val="auto"/>
          <w:spacing w:val="0"/>
          <w:sz w:val="32"/>
          <w:szCs w:val="32"/>
          <w:shd w:val="clear" w:fill="FFFFFF"/>
        </w:rPr>
        <w:t>今年以来，</w:t>
      </w:r>
      <w:r>
        <w:rPr>
          <w:rFonts w:hint="default" w:ascii="Times New Roman" w:hAnsi="Times New Roman" w:cs="Times New Roman" w:eastAsiaTheme="minorEastAsia"/>
          <w:b w:val="0"/>
          <w:bCs w:val="0"/>
          <w:i w:val="0"/>
          <w:iCs w:val="0"/>
          <w:caps w:val="0"/>
          <w:color w:val="auto"/>
          <w:spacing w:val="0"/>
          <w:sz w:val="32"/>
          <w:szCs w:val="32"/>
          <w:shd w:val="clear" w:fill="FFFFFF"/>
          <w:lang w:eastAsia="zh-CN"/>
        </w:rPr>
        <w:t>我们</w:t>
      </w:r>
      <w:r>
        <w:rPr>
          <w:rFonts w:hint="default" w:ascii="Times New Roman" w:hAnsi="Times New Roman" w:cs="Times New Roman" w:eastAsiaTheme="minorEastAsia"/>
          <w:b w:val="0"/>
          <w:bCs w:val="0"/>
          <w:i w:val="0"/>
          <w:iCs w:val="0"/>
          <w:caps w:val="0"/>
          <w:color w:val="auto"/>
          <w:spacing w:val="0"/>
          <w:sz w:val="32"/>
          <w:szCs w:val="32"/>
          <w:shd w:val="clear" w:fill="FFFFFF"/>
        </w:rPr>
        <w:t>认真落实社会救助各项政策，抓实抓细社会救助工作</w:t>
      </w:r>
      <w:r>
        <w:rPr>
          <w:rFonts w:hint="default" w:ascii="Times New Roman" w:hAnsi="Times New Roman" w:cs="Times New Roman" w:eastAsiaTheme="minorEastAsia"/>
          <w:b w:val="0"/>
          <w:bCs w:val="0"/>
          <w:i w:val="0"/>
          <w:iCs w:val="0"/>
          <w:caps w:val="0"/>
          <w:color w:val="auto"/>
          <w:spacing w:val="0"/>
          <w:sz w:val="32"/>
          <w:szCs w:val="32"/>
          <w:shd w:val="clear" w:fill="FFFFFF"/>
          <w:lang w:eastAsia="zh-CN"/>
        </w:rPr>
        <w:t>，</w:t>
      </w:r>
      <w:r>
        <w:rPr>
          <w:rFonts w:hint="default" w:ascii="Times New Roman" w:hAnsi="Times New Roman" w:cs="Times New Roman" w:eastAsiaTheme="minorEastAsia"/>
          <w:b w:val="0"/>
          <w:bCs w:val="0"/>
          <w:i w:val="0"/>
          <w:iCs w:val="0"/>
          <w:caps w:val="0"/>
          <w:color w:val="auto"/>
          <w:spacing w:val="0"/>
          <w:sz w:val="32"/>
          <w:szCs w:val="32"/>
          <w:shd w:val="clear" w:fill="FFFFFF"/>
        </w:rPr>
        <w:t>兜住兜牢困难群众基本生活底线。确保全镇低保、特困供养补助、残疾人两项补助、孤儿生活补助等社会救助资金足额按月发放</w:t>
      </w:r>
      <w:r>
        <w:rPr>
          <w:rFonts w:hint="default" w:ascii="Times New Roman" w:hAnsi="Times New Roman" w:cs="Times New Roman" w:eastAsiaTheme="minorEastAsia"/>
          <w:b w:val="0"/>
          <w:bCs w:val="0"/>
          <w:i w:val="0"/>
          <w:iCs w:val="0"/>
          <w:caps w:val="0"/>
          <w:color w:val="auto"/>
          <w:spacing w:val="0"/>
          <w:sz w:val="32"/>
          <w:szCs w:val="32"/>
          <w:shd w:val="clear" w:fill="FFFFFF"/>
          <w:lang w:eastAsia="zh-CN"/>
        </w:rPr>
        <w:t>。</w:t>
      </w:r>
      <w:r>
        <w:rPr>
          <w:rFonts w:hint="default" w:ascii="Times New Roman" w:hAnsi="Times New Roman" w:cs="Times New Roman" w:eastAsiaTheme="minorEastAsia"/>
          <w:b w:val="0"/>
          <w:bCs w:val="0"/>
          <w:i w:val="0"/>
          <w:iCs w:val="0"/>
          <w:caps w:val="0"/>
          <w:color w:val="auto"/>
          <w:spacing w:val="0"/>
          <w:sz w:val="32"/>
          <w:szCs w:val="32"/>
          <w:shd w:val="clear" w:fill="FFFFFF"/>
        </w:rPr>
        <w:t>加强低保核查工作，加强动态调整，在全镇范围内开展低保复核及大排查工作，及时核销不符合条件的低保户，及时将因病或者因其他意外事故造成基本生活困难的人员及时纳入救助范围，做到应保尽保，应救尽救。 </w:t>
      </w:r>
    </w:p>
    <w:p>
      <w:pPr>
        <w:snapToGrid w:val="0"/>
        <w:spacing w:line="580" w:lineRule="exact"/>
        <w:ind w:firstLine="640" w:firstLineChars="200"/>
        <w:rPr>
          <w:rFonts w:hint="default" w:ascii="Times New Roman" w:hAnsi="Times New Roman" w:cs="Times New Roman" w:eastAsiaTheme="minorEastAsia"/>
          <w:color w:val="auto"/>
          <w:sz w:val="32"/>
          <w:szCs w:val="32"/>
          <w:lang w:eastAsia="zh-CN"/>
        </w:rPr>
      </w:pPr>
      <w:r>
        <w:rPr>
          <w:rFonts w:hint="default" w:ascii="Times New Roman" w:hAnsi="Times New Roman" w:cs="Times New Roman" w:eastAsiaTheme="minorEastAsia"/>
          <w:color w:val="auto"/>
          <w:sz w:val="32"/>
          <w:szCs w:val="32"/>
          <w:lang w:val="en-US" w:eastAsia="zh-CN"/>
        </w:rPr>
        <w:t>3、</w:t>
      </w:r>
      <w:r>
        <w:rPr>
          <w:rFonts w:hint="default" w:ascii="Times New Roman" w:hAnsi="Times New Roman" w:cs="Times New Roman" w:eastAsiaTheme="minorEastAsia"/>
          <w:b/>
          <w:bCs/>
          <w:color w:val="auto"/>
          <w:sz w:val="32"/>
          <w:szCs w:val="32"/>
        </w:rPr>
        <w:t>加快农业产业提质增效</w:t>
      </w:r>
      <w:r>
        <w:rPr>
          <w:rFonts w:hint="default" w:ascii="Times New Roman" w:hAnsi="Times New Roman" w:cs="Times New Roman" w:eastAsiaTheme="minorEastAsia"/>
          <w:color w:val="auto"/>
          <w:sz w:val="32"/>
          <w:szCs w:val="32"/>
        </w:rPr>
        <w:t>。积极推进土地成片流转规模化经营，共享资源信息，降低生产成本，提高农产品市场竞争力。</w:t>
      </w:r>
      <w:r>
        <w:rPr>
          <w:rFonts w:hint="default" w:ascii="Times New Roman" w:hAnsi="Times New Roman" w:cs="Times New Roman" w:eastAsiaTheme="minorEastAsia"/>
          <w:color w:val="auto"/>
          <w:sz w:val="32"/>
          <w:szCs w:val="32"/>
          <w:lang w:eastAsia="zh-CN"/>
        </w:rPr>
        <w:t>大力发展万亩草、万头牛产业，积极推进创建省级农业产业示范园区建设。</w:t>
      </w:r>
    </w:p>
    <w:p>
      <w:pPr>
        <w:snapToGrid w:val="0"/>
        <w:spacing w:line="580" w:lineRule="exact"/>
        <w:ind w:firstLine="640" w:firstLineChars="200"/>
        <w:rPr>
          <w:rFonts w:hint="default" w:ascii="Times New Roman" w:hAnsi="Times New Roman" w:cs="Times New Roman" w:eastAsiaTheme="minorEastAsia"/>
          <w:color w:val="auto"/>
          <w:sz w:val="32"/>
          <w:szCs w:val="32"/>
        </w:rPr>
      </w:pPr>
      <w:r>
        <w:rPr>
          <w:rFonts w:hint="default" w:ascii="Times New Roman" w:hAnsi="Times New Roman" w:cs="Times New Roman" w:eastAsiaTheme="minorEastAsia"/>
          <w:color w:val="auto"/>
          <w:sz w:val="32"/>
          <w:szCs w:val="32"/>
          <w:lang w:val="en-US" w:eastAsia="zh-CN"/>
        </w:rPr>
        <w:t>4、</w:t>
      </w:r>
      <w:r>
        <w:rPr>
          <w:rFonts w:hint="default" w:ascii="Times New Roman" w:hAnsi="Times New Roman" w:cs="Times New Roman" w:eastAsiaTheme="minorEastAsia"/>
          <w:b/>
          <w:bCs/>
          <w:color w:val="auto"/>
          <w:sz w:val="32"/>
          <w:szCs w:val="32"/>
          <w:lang w:val="en-US" w:eastAsia="zh-CN"/>
        </w:rPr>
        <w:t>疫情防控保证全民安全。</w:t>
      </w:r>
      <w:r>
        <w:rPr>
          <w:rFonts w:hint="default" w:ascii="Times New Roman" w:hAnsi="Times New Roman" w:cs="Times New Roman" w:eastAsiaTheme="minorEastAsia"/>
          <w:color w:val="auto"/>
          <w:sz w:val="32"/>
          <w:szCs w:val="32"/>
        </w:rPr>
        <w:t>迅速响应保安全</w:t>
      </w:r>
      <w:r>
        <w:rPr>
          <w:rFonts w:hint="default" w:ascii="Times New Roman" w:hAnsi="Times New Roman" w:cs="Times New Roman" w:eastAsiaTheme="minorEastAsia"/>
          <w:color w:val="auto"/>
          <w:sz w:val="32"/>
          <w:szCs w:val="32"/>
          <w:lang w:eastAsia="zh-CN"/>
        </w:rPr>
        <w:t>，</w:t>
      </w:r>
      <w:r>
        <w:rPr>
          <w:rFonts w:hint="default" w:ascii="Times New Roman" w:hAnsi="Times New Roman" w:cs="Times New Roman" w:eastAsiaTheme="minorEastAsia"/>
          <w:color w:val="auto"/>
          <w:sz w:val="32"/>
          <w:szCs w:val="32"/>
        </w:rPr>
        <w:t>按照上级要求第一时间召开镇村干部大会，及时传达省市县各级对疫情防控的文件精神，迅速组织全镇</w:t>
      </w:r>
      <w:r>
        <w:rPr>
          <w:rFonts w:hint="default" w:ascii="Times New Roman" w:hAnsi="Times New Roman" w:cs="Times New Roman" w:eastAsiaTheme="minorEastAsia"/>
          <w:color w:val="auto"/>
          <w:sz w:val="32"/>
          <w:szCs w:val="32"/>
          <w:lang w:eastAsia="zh-CN"/>
        </w:rPr>
        <w:t>职工</w:t>
      </w:r>
      <w:r>
        <w:rPr>
          <w:rFonts w:hint="default" w:ascii="Times New Roman" w:hAnsi="Times New Roman" w:cs="Times New Roman" w:eastAsiaTheme="minorEastAsia"/>
          <w:color w:val="auto"/>
          <w:sz w:val="32"/>
          <w:szCs w:val="32"/>
        </w:rPr>
        <w:t>开展疫区返乡人员排查、建立台账、落实包保责任等工作；积极组织镇村社干部和党员先锋队，采取镇干部包村、村干部包社等多种方式，逐村逐户摸排外出返乡人员和来</w:t>
      </w:r>
      <w:r>
        <w:rPr>
          <w:rFonts w:hint="default" w:ascii="Times New Roman" w:hAnsi="Times New Roman" w:cs="Times New Roman" w:eastAsiaTheme="minorEastAsia"/>
          <w:color w:val="auto"/>
          <w:sz w:val="32"/>
          <w:szCs w:val="32"/>
          <w:lang w:eastAsia="zh-CN"/>
        </w:rPr>
        <w:t>大</w:t>
      </w:r>
      <w:r>
        <w:rPr>
          <w:rFonts w:hint="default" w:ascii="Times New Roman" w:hAnsi="Times New Roman" w:cs="Times New Roman" w:eastAsiaTheme="minorEastAsia"/>
          <w:color w:val="auto"/>
          <w:sz w:val="32"/>
          <w:szCs w:val="32"/>
        </w:rPr>
        <w:t>人员，全程监测、合法管控。</w:t>
      </w:r>
    </w:p>
    <w:p>
      <w:pPr>
        <w:pStyle w:val="2"/>
        <w:adjustRightInd w:val="0"/>
        <w:snapToGrid w:val="0"/>
        <w:spacing w:before="93" w:line="600" w:lineRule="exact"/>
        <w:ind w:firstLine="672" w:firstLineChars="210"/>
        <w:outlineLvl w:val="2"/>
        <w:rPr>
          <w:rFonts w:hint="default" w:ascii="Times New Roman" w:hAnsi="Times New Roman" w:cs="Times New Roman" w:eastAsiaTheme="minorEastAsia"/>
          <w:bCs/>
          <w:color w:val="auto"/>
          <w:sz w:val="32"/>
          <w:szCs w:val="32"/>
        </w:rPr>
      </w:pPr>
    </w:p>
    <w:p>
      <w:pPr>
        <w:pStyle w:val="4"/>
        <w:numPr>
          <w:ilvl w:val="0"/>
          <w:numId w:val="0"/>
        </w:numPr>
        <w:rPr>
          <w:rFonts w:hint="default" w:ascii="Times New Roman" w:hAnsi="Times New Roman" w:cs="Times New Roman" w:eastAsiaTheme="minorEastAsia"/>
          <w:b w:val="0"/>
          <w:color w:val="auto"/>
          <w:highlight w:val="none"/>
        </w:rPr>
      </w:pPr>
    </w:p>
    <w:p>
      <w:pPr>
        <w:widowControl/>
        <w:jc w:val="center"/>
        <w:rPr>
          <w:rStyle w:val="26"/>
          <w:rFonts w:hint="eastAsia" w:ascii="黑体" w:hAnsi="黑体" w:eastAsia="黑体" w:cs="黑体"/>
          <w:b w:val="0"/>
          <w:bCs/>
          <w:color w:val="auto"/>
          <w:sz w:val="44"/>
          <w:szCs w:val="44"/>
          <w:highlight w:val="none"/>
        </w:rPr>
      </w:pPr>
      <w:bookmarkStart w:id="18" w:name="_Toc15377204"/>
      <w:bookmarkStart w:id="19" w:name="_Toc15396602"/>
      <w:r>
        <w:rPr>
          <w:rFonts w:hint="eastAsia" w:ascii="黑体" w:hAnsi="黑体" w:eastAsia="黑体" w:cs="黑体"/>
          <w:b w:val="0"/>
          <w:bCs/>
          <w:color w:val="auto"/>
          <w:sz w:val="44"/>
          <w:szCs w:val="44"/>
          <w:highlight w:val="none"/>
        </w:rPr>
        <w:t xml:space="preserve">第二部分 </w:t>
      </w:r>
      <w:r>
        <w:rPr>
          <w:rFonts w:hint="eastAsia" w:ascii="黑体" w:hAnsi="黑体" w:eastAsia="黑体" w:cs="黑体"/>
          <w:b w:val="0"/>
          <w:bCs/>
          <w:color w:val="auto"/>
          <w:sz w:val="44"/>
          <w:szCs w:val="44"/>
          <w:highlight w:val="none"/>
          <w:lang w:val="en-US" w:eastAsia="zh-CN"/>
        </w:rPr>
        <w:t>2021年度</w:t>
      </w:r>
      <w:r>
        <w:rPr>
          <w:rStyle w:val="26"/>
          <w:rFonts w:hint="eastAsia" w:ascii="黑体" w:hAnsi="黑体" w:eastAsia="黑体" w:cs="黑体"/>
          <w:b w:val="0"/>
          <w:bCs/>
          <w:color w:val="auto"/>
          <w:sz w:val="44"/>
          <w:szCs w:val="44"/>
          <w:highlight w:val="none"/>
          <w:lang w:eastAsia="zh-CN"/>
        </w:rPr>
        <w:t>单位</w:t>
      </w:r>
      <w:r>
        <w:rPr>
          <w:rStyle w:val="26"/>
          <w:rFonts w:hint="eastAsia" w:ascii="黑体" w:hAnsi="黑体" w:eastAsia="黑体" w:cs="黑体"/>
          <w:b w:val="0"/>
          <w:bCs/>
          <w:color w:val="auto"/>
          <w:sz w:val="44"/>
          <w:szCs w:val="44"/>
          <w:highlight w:val="none"/>
        </w:rPr>
        <w:t>决算情况说明</w:t>
      </w:r>
      <w:bookmarkEnd w:id="18"/>
      <w:bookmarkEnd w:id="19"/>
    </w:p>
    <w:p>
      <w:pPr>
        <w:rPr>
          <w:rFonts w:hint="default" w:ascii="Times New Roman" w:hAnsi="Times New Roman" w:cs="Times New Roman" w:eastAsiaTheme="minorEastAsia"/>
          <w:color w:val="auto"/>
          <w:highlight w:val="none"/>
        </w:rPr>
      </w:pPr>
    </w:p>
    <w:p>
      <w:pPr>
        <w:pStyle w:val="25"/>
        <w:numPr>
          <w:ilvl w:val="0"/>
          <w:numId w:val="1"/>
        </w:numPr>
        <w:spacing w:line="600" w:lineRule="exact"/>
        <w:ind w:firstLineChars="0"/>
        <w:outlineLvl w:val="1"/>
        <w:rPr>
          <w:rStyle w:val="27"/>
          <w:rFonts w:hint="default" w:ascii="Times New Roman" w:hAnsi="Times New Roman" w:cs="Times New Roman" w:eastAsiaTheme="minorEastAsia"/>
          <w:b w:val="0"/>
          <w:color w:val="auto"/>
          <w:highlight w:val="none"/>
        </w:rPr>
      </w:pPr>
      <w:bookmarkStart w:id="20" w:name="_Toc15396603"/>
      <w:bookmarkStart w:id="21" w:name="_Toc15377205"/>
      <w:r>
        <w:rPr>
          <w:rFonts w:hint="default" w:ascii="Times New Roman" w:hAnsi="Times New Roman" w:cs="Times New Roman" w:eastAsiaTheme="minorEastAsia"/>
          <w:color w:val="auto"/>
          <w:sz w:val="32"/>
          <w:szCs w:val="32"/>
          <w:highlight w:val="none"/>
        </w:rPr>
        <w:t>收</w:t>
      </w:r>
      <w:r>
        <w:rPr>
          <w:rStyle w:val="27"/>
          <w:rFonts w:hint="default" w:ascii="Times New Roman" w:hAnsi="Times New Roman" w:cs="Times New Roman" w:eastAsiaTheme="minorEastAsia"/>
          <w:b w:val="0"/>
          <w:color w:val="auto"/>
          <w:highlight w:val="none"/>
        </w:rPr>
        <w:t>入支出决算总体情况说明</w:t>
      </w:r>
      <w:bookmarkEnd w:id="20"/>
      <w:bookmarkEnd w:id="21"/>
    </w:p>
    <w:p>
      <w:pPr>
        <w:spacing w:line="600" w:lineRule="exact"/>
        <w:ind w:firstLine="640" w:firstLineChars="200"/>
        <w:rPr>
          <w:rFonts w:hint="default" w:ascii="Times New Roman" w:hAnsi="Times New Roman" w:cs="Times New Roman" w:eastAsiaTheme="minorEastAsia"/>
          <w:color w:val="auto"/>
          <w:sz w:val="32"/>
          <w:szCs w:val="32"/>
        </w:rPr>
      </w:pPr>
      <w:r>
        <w:rPr>
          <w:rFonts w:hint="default" w:ascii="Times New Roman" w:hAnsi="Times New Roman" w:cs="Times New Roman" w:eastAsiaTheme="minorEastAsia"/>
          <w:color w:val="auto"/>
          <w:sz w:val="32"/>
          <w:szCs w:val="32"/>
          <w:highlight w:val="none"/>
        </w:rPr>
        <w:t>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年度收、支总计</w:t>
      </w:r>
      <w:r>
        <w:rPr>
          <w:rFonts w:hint="default" w:ascii="Times New Roman" w:hAnsi="Times New Roman" w:cs="Times New Roman" w:eastAsiaTheme="minorEastAsia"/>
          <w:color w:val="auto"/>
          <w:sz w:val="32"/>
          <w:szCs w:val="32"/>
          <w:highlight w:val="none"/>
          <w:lang w:val="en-US" w:eastAsia="zh-CN"/>
        </w:rPr>
        <w:t>1625.93</w:t>
      </w:r>
      <w:r>
        <w:rPr>
          <w:rFonts w:hint="default" w:ascii="Times New Roman" w:hAnsi="Times New Roman" w:cs="Times New Roman" w:eastAsiaTheme="minorEastAsia"/>
          <w:color w:val="auto"/>
          <w:sz w:val="32"/>
          <w:szCs w:val="32"/>
          <w:highlight w:val="none"/>
        </w:rPr>
        <w:t>万元。与20</w:t>
      </w:r>
      <w:r>
        <w:rPr>
          <w:rFonts w:hint="default" w:ascii="Times New Roman" w:hAnsi="Times New Roman" w:cs="Times New Roman" w:eastAsiaTheme="minorEastAsia"/>
          <w:color w:val="auto"/>
          <w:sz w:val="32"/>
          <w:szCs w:val="32"/>
          <w:highlight w:val="none"/>
          <w:lang w:val="en-US" w:eastAsia="zh-CN"/>
        </w:rPr>
        <w:t>20</w:t>
      </w:r>
      <w:r>
        <w:rPr>
          <w:rFonts w:hint="default" w:ascii="Times New Roman" w:hAnsi="Times New Roman" w:cs="Times New Roman" w:eastAsiaTheme="minorEastAsia"/>
          <w:color w:val="auto"/>
          <w:sz w:val="32"/>
          <w:szCs w:val="32"/>
          <w:highlight w:val="none"/>
        </w:rPr>
        <w:t>年相比，收、支总计各增加</w:t>
      </w:r>
      <w:r>
        <w:rPr>
          <w:rFonts w:hint="default" w:ascii="Times New Roman" w:hAnsi="Times New Roman" w:cs="Times New Roman" w:eastAsiaTheme="minorEastAsia"/>
          <w:color w:val="auto"/>
          <w:sz w:val="32"/>
          <w:szCs w:val="32"/>
          <w:highlight w:val="none"/>
          <w:lang w:val="en-US" w:eastAsia="zh-CN"/>
        </w:rPr>
        <w:t>436.33</w:t>
      </w:r>
      <w:r>
        <w:rPr>
          <w:rFonts w:hint="default" w:ascii="Times New Roman" w:hAnsi="Times New Roman" w:cs="Times New Roman" w:eastAsiaTheme="minorEastAsia"/>
          <w:color w:val="auto"/>
          <w:sz w:val="32"/>
          <w:szCs w:val="32"/>
          <w:highlight w:val="none"/>
        </w:rPr>
        <w:t>万元，增长</w:t>
      </w:r>
      <w:r>
        <w:rPr>
          <w:rFonts w:hint="default" w:ascii="Times New Roman" w:hAnsi="Times New Roman" w:cs="Times New Roman" w:eastAsiaTheme="minorEastAsia"/>
          <w:color w:val="auto"/>
          <w:sz w:val="32"/>
          <w:szCs w:val="32"/>
          <w:highlight w:val="none"/>
          <w:lang w:val="en-US" w:eastAsia="zh-CN"/>
        </w:rPr>
        <w:t>36.68</w:t>
      </w:r>
      <w:r>
        <w:rPr>
          <w:rFonts w:hint="default" w:ascii="Times New Roman" w:hAnsi="Times New Roman" w:cs="Times New Roman" w:eastAsiaTheme="minorEastAsia"/>
          <w:color w:val="auto"/>
          <w:sz w:val="32"/>
          <w:szCs w:val="32"/>
          <w:highlight w:val="none"/>
        </w:rPr>
        <w:t>%。主要变动原因是</w:t>
      </w:r>
      <w:r>
        <w:rPr>
          <w:rFonts w:hint="default" w:ascii="Times New Roman" w:hAnsi="Times New Roman" w:cs="Times New Roman" w:eastAsiaTheme="minorEastAsia"/>
          <w:color w:val="auto"/>
          <w:sz w:val="32"/>
          <w:szCs w:val="32"/>
          <w:lang w:eastAsia="zh-CN"/>
        </w:rPr>
        <w:t>人员增加和</w:t>
      </w:r>
      <w:r>
        <w:rPr>
          <w:rFonts w:hint="default" w:ascii="Times New Roman" w:hAnsi="Times New Roman" w:cs="Times New Roman" w:eastAsiaTheme="minorEastAsia"/>
          <w:color w:val="auto"/>
          <w:sz w:val="32"/>
          <w:szCs w:val="32"/>
        </w:rPr>
        <w:t>政策调整.</w:t>
      </w:r>
    </w:p>
    <w:p>
      <w:pPr>
        <w:spacing w:line="60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（图1：收、支决算总计变动情况图）（柱状图）</w:t>
      </w:r>
    </w:p>
    <w:p>
      <w:pPr>
        <w:ind w:firstLine="643" w:firstLineChars="200"/>
        <w:rPr>
          <w:rFonts w:hint="default" w:ascii="Times New Roman" w:hAnsi="Times New Roman" w:cs="Times New Roman" w:eastAsiaTheme="minorEastAsia"/>
          <w:color w:val="auto"/>
          <w:sz w:val="32"/>
          <w:szCs w:val="32"/>
        </w:rPr>
      </w:pPr>
      <w:r>
        <w:rPr>
          <w:rFonts w:hint="default" w:ascii="Times New Roman" w:hAnsi="Times New Roman" w:cs="Times New Roman" w:eastAsiaTheme="minorEastAsia"/>
          <w:b/>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71120</wp:posOffset>
            </wp:positionH>
            <wp:positionV relativeFrom="paragraph">
              <wp:posOffset>123190</wp:posOffset>
            </wp:positionV>
            <wp:extent cx="5080000" cy="3810000"/>
            <wp:effectExtent l="4445" t="4445" r="20955" b="1460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ind w:firstLine="640" w:firstLineChars="200"/>
        <w:rPr>
          <w:rFonts w:hint="default" w:ascii="Times New Roman" w:hAnsi="Times New Roman" w:cs="Times New Roman" w:eastAsiaTheme="minorEastAsia"/>
          <w:color w:val="auto"/>
          <w:sz w:val="32"/>
          <w:szCs w:val="32"/>
        </w:rPr>
      </w:pPr>
    </w:p>
    <w:p>
      <w:pPr>
        <w:ind w:firstLine="640" w:firstLineChars="200"/>
        <w:rPr>
          <w:rFonts w:hint="default" w:ascii="Times New Roman" w:hAnsi="Times New Roman" w:cs="Times New Roman" w:eastAsiaTheme="minorEastAsia"/>
          <w:color w:val="auto"/>
          <w:sz w:val="32"/>
          <w:szCs w:val="32"/>
        </w:rPr>
      </w:pPr>
    </w:p>
    <w:p>
      <w:pPr>
        <w:ind w:firstLine="640" w:firstLineChars="200"/>
        <w:rPr>
          <w:rFonts w:hint="default" w:ascii="Times New Roman" w:hAnsi="Times New Roman" w:cs="Times New Roman" w:eastAsiaTheme="minorEastAsia"/>
          <w:color w:val="auto"/>
          <w:sz w:val="32"/>
          <w:szCs w:val="32"/>
        </w:rPr>
      </w:pPr>
    </w:p>
    <w:p>
      <w:pPr>
        <w:ind w:firstLine="640" w:firstLineChars="200"/>
        <w:rPr>
          <w:rFonts w:hint="default" w:ascii="Times New Roman" w:hAnsi="Times New Roman" w:cs="Times New Roman" w:eastAsiaTheme="minorEastAsia"/>
          <w:color w:val="auto"/>
          <w:sz w:val="32"/>
          <w:szCs w:val="32"/>
        </w:rPr>
      </w:pPr>
    </w:p>
    <w:p>
      <w:pPr>
        <w:ind w:firstLine="640" w:firstLineChars="200"/>
        <w:rPr>
          <w:rFonts w:hint="default" w:ascii="Times New Roman" w:hAnsi="Times New Roman" w:cs="Times New Roman" w:eastAsiaTheme="minorEastAsia"/>
          <w:color w:val="auto"/>
          <w:sz w:val="32"/>
          <w:szCs w:val="32"/>
        </w:rPr>
      </w:pPr>
    </w:p>
    <w:p>
      <w:pPr>
        <w:ind w:firstLine="640" w:firstLineChars="200"/>
        <w:rPr>
          <w:rFonts w:hint="default" w:ascii="Times New Roman" w:hAnsi="Times New Roman" w:cs="Times New Roman" w:eastAsiaTheme="minorEastAsia"/>
          <w:color w:val="auto"/>
          <w:sz w:val="32"/>
          <w:szCs w:val="32"/>
        </w:rPr>
      </w:pPr>
    </w:p>
    <w:p>
      <w:pPr>
        <w:ind w:firstLine="640" w:firstLineChars="200"/>
        <w:rPr>
          <w:rFonts w:hint="default" w:ascii="Times New Roman" w:hAnsi="Times New Roman" w:cs="Times New Roman" w:eastAsiaTheme="minorEastAsia"/>
          <w:color w:val="auto"/>
          <w:sz w:val="32"/>
          <w:szCs w:val="32"/>
        </w:rPr>
      </w:pPr>
    </w:p>
    <w:p>
      <w:pPr>
        <w:ind w:firstLine="640" w:firstLineChars="200"/>
        <w:rPr>
          <w:rFonts w:hint="default" w:ascii="Times New Roman" w:hAnsi="Times New Roman" w:cs="Times New Roman" w:eastAsiaTheme="minorEastAsia"/>
          <w:color w:val="auto"/>
          <w:sz w:val="32"/>
          <w:szCs w:val="32"/>
        </w:rPr>
      </w:pPr>
    </w:p>
    <w:p>
      <w:pPr>
        <w:spacing w:line="600" w:lineRule="exact"/>
        <w:jc w:val="left"/>
        <w:rPr>
          <w:rFonts w:hint="default" w:ascii="Times New Roman" w:hAnsi="Times New Roman" w:cs="Times New Roman" w:eastAsiaTheme="minorEastAsia"/>
          <w:color w:val="auto"/>
          <w:sz w:val="32"/>
          <w:szCs w:val="32"/>
          <w:highlight w:val="none"/>
        </w:rPr>
      </w:pPr>
    </w:p>
    <w:p>
      <w:pPr>
        <w:pStyle w:val="25"/>
        <w:numPr>
          <w:ilvl w:val="0"/>
          <w:numId w:val="0"/>
        </w:numPr>
        <w:spacing w:line="600" w:lineRule="exact"/>
        <w:outlineLvl w:val="1"/>
        <w:rPr>
          <w:rStyle w:val="27"/>
          <w:rFonts w:hint="default" w:ascii="Times New Roman" w:hAnsi="Times New Roman" w:cs="Times New Roman" w:eastAsiaTheme="minorEastAsia"/>
          <w:b w:val="0"/>
          <w:color w:val="auto"/>
          <w:highlight w:val="none"/>
        </w:rPr>
      </w:pPr>
      <w:bookmarkStart w:id="22" w:name="_Toc15377206"/>
      <w:bookmarkStart w:id="23" w:name="_Toc15396604"/>
    </w:p>
    <w:p>
      <w:pPr>
        <w:pStyle w:val="25"/>
        <w:numPr>
          <w:ilvl w:val="0"/>
          <w:numId w:val="0"/>
        </w:numPr>
        <w:spacing w:line="600" w:lineRule="exact"/>
        <w:ind w:left="640" w:leftChars="0"/>
        <w:outlineLvl w:val="1"/>
        <w:rPr>
          <w:rStyle w:val="27"/>
          <w:rFonts w:hint="default" w:ascii="Times New Roman" w:hAnsi="Times New Roman" w:cs="Times New Roman" w:eastAsiaTheme="minorEastAsia"/>
          <w:b w:val="0"/>
          <w:color w:val="auto"/>
          <w:highlight w:val="none"/>
        </w:rPr>
      </w:pPr>
    </w:p>
    <w:p>
      <w:pPr>
        <w:pStyle w:val="25"/>
        <w:numPr>
          <w:ilvl w:val="0"/>
          <w:numId w:val="0"/>
        </w:numPr>
        <w:spacing w:line="600" w:lineRule="exact"/>
        <w:ind w:left="640" w:leftChars="0"/>
        <w:outlineLvl w:val="1"/>
        <w:rPr>
          <w:rStyle w:val="27"/>
          <w:rFonts w:hint="default" w:ascii="Times New Roman" w:hAnsi="Times New Roman" w:cs="Times New Roman" w:eastAsiaTheme="minorEastAsia"/>
          <w:b w:val="0"/>
          <w:color w:val="auto"/>
          <w:highlight w:val="none"/>
        </w:rPr>
      </w:pPr>
    </w:p>
    <w:p>
      <w:pPr>
        <w:pStyle w:val="25"/>
        <w:numPr>
          <w:ilvl w:val="0"/>
          <w:numId w:val="0"/>
        </w:numPr>
        <w:spacing w:line="600" w:lineRule="exact"/>
        <w:ind w:left="640" w:leftChars="0"/>
        <w:outlineLvl w:val="1"/>
        <w:rPr>
          <w:rStyle w:val="27"/>
          <w:rFonts w:hint="default" w:ascii="Times New Roman" w:hAnsi="Times New Roman" w:cs="Times New Roman" w:eastAsiaTheme="minorEastAsia"/>
          <w:b w:val="0"/>
          <w:color w:val="auto"/>
          <w:highlight w:val="none"/>
        </w:rPr>
      </w:pPr>
    </w:p>
    <w:p>
      <w:pPr>
        <w:pStyle w:val="25"/>
        <w:numPr>
          <w:ilvl w:val="0"/>
          <w:numId w:val="0"/>
        </w:numPr>
        <w:spacing w:line="600" w:lineRule="exact"/>
        <w:ind w:firstLine="640" w:firstLineChars="200"/>
        <w:outlineLvl w:val="1"/>
        <w:rPr>
          <w:rStyle w:val="27"/>
          <w:rFonts w:hint="default" w:ascii="Times New Roman" w:hAnsi="Times New Roman" w:cs="Times New Roman" w:eastAsiaTheme="minorEastAsia"/>
          <w:b w:val="0"/>
          <w:color w:val="auto"/>
          <w:highlight w:val="none"/>
        </w:rPr>
      </w:pPr>
      <w:r>
        <w:rPr>
          <w:rFonts w:hint="eastAsia" w:ascii="Times New Roman" w:hAnsi="Times New Roman" w:cs="Times New Roman" w:eastAsiaTheme="minorEastAsia"/>
          <w:color w:val="auto"/>
          <w:sz w:val="32"/>
          <w:szCs w:val="32"/>
          <w:highlight w:val="none"/>
          <w:lang w:eastAsia="zh-CN"/>
        </w:rPr>
        <w:t>二、</w:t>
      </w:r>
      <w:r>
        <w:rPr>
          <w:rFonts w:hint="default" w:ascii="Times New Roman" w:hAnsi="Times New Roman" w:cs="Times New Roman" w:eastAsiaTheme="minorEastAsia"/>
          <w:color w:val="auto"/>
          <w:sz w:val="32"/>
          <w:szCs w:val="32"/>
          <w:highlight w:val="none"/>
        </w:rPr>
        <w:t>收</w:t>
      </w:r>
      <w:r>
        <w:rPr>
          <w:rStyle w:val="27"/>
          <w:rFonts w:hint="default" w:ascii="Times New Roman" w:hAnsi="Times New Roman" w:cs="Times New Roman" w:eastAsiaTheme="minorEastAsia"/>
          <w:b w:val="0"/>
          <w:color w:val="auto"/>
          <w:highlight w:val="none"/>
        </w:rPr>
        <w:t>入决算情况说明</w:t>
      </w:r>
      <w:bookmarkEnd w:id="22"/>
      <w:bookmarkEnd w:id="23"/>
    </w:p>
    <w:p>
      <w:pPr>
        <w:spacing w:line="600" w:lineRule="exact"/>
        <w:ind w:firstLine="640" w:firstLineChars="200"/>
        <w:outlineLvl w:val="1"/>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年本年收入合计</w:t>
      </w:r>
      <w:r>
        <w:rPr>
          <w:rFonts w:hint="default" w:ascii="Times New Roman" w:hAnsi="Times New Roman" w:cs="Times New Roman" w:eastAsiaTheme="minorEastAsia"/>
          <w:color w:val="auto"/>
          <w:sz w:val="32"/>
          <w:szCs w:val="32"/>
          <w:highlight w:val="none"/>
          <w:lang w:val="en-US" w:eastAsia="zh-CN"/>
        </w:rPr>
        <w:t>1625.93</w:t>
      </w:r>
      <w:r>
        <w:rPr>
          <w:rFonts w:hint="default" w:ascii="Times New Roman" w:hAnsi="Times New Roman" w:cs="Times New Roman" w:eastAsiaTheme="minorEastAsia"/>
          <w:color w:val="auto"/>
          <w:sz w:val="32"/>
          <w:szCs w:val="32"/>
          <w:highlight w:val="none"/>
        </w:rPr>
        <w:t>万元，其中：一般公共预算财政拨款收入</w:t>
      </w:r>
      <w:r>
        <w:rPr>
          <w:rFonts w:hint="default" w:ascii="Times New Roman" w:hAnsi="Times New Roman" w:cs="Times New Roman" w:eastAsiaTheme="minorEastAsia"/>
          <w:color w:val="auto"/>
          <w:sz w:val="32"/>
          <w:szCs w:val="32"/>
          <w:highlight w:val="none"/>
          <w:lang w:val="en-US" w:eastAsia="zh-CN"/>
        </w:rPr>
        <w:t>1479.62</w:t>
      </w:r>
      <w:r>
        <w:rPr>
          <w:rFonts w:hint="default" w:ascii="Times New Roman" w:hAnsi="Times New Roman" w:cs="Times New Roman" w:eastAsiaTheme="minorEastAsia"/>
          <w:color w:val="auto"/>
          <w:sz w:val="32"/>
          <w:szCs w:val="32"/>
          <w:highlight w:val="none"/>
        </w:rPr>
        <w:t>万元，占</w:t>
      </w:r>
      <w:r>
        <w:rPr>
          <w:rFonts w:hint="default" w:ascii="Times New Roman" w:hAnsi="Times New Roman" w:cs="Times New Roman" w:eastAsiaTheme="minorEastAsia"/>
          <w:color w:val="auto"/>
          <w:sz w:val="32"/>
          <w:szCs w:val="32"/>
          <w:highlight w:val="none"/>
          <w:lang w:val="en-US" w:eastAsia="zh-CN"/>
        </w:rPr>
        <w:t>91</w:t>
      </w:r>
      <w:r>
        <w:rPr>
          <w:rFonts w:hint="default" w:ascii="Times New Roman" w:hAnsi="Times New Roman" w:cs="Times New Roman" w:eastAsiaTheme="minorEastAsia"/>
          <w:color w:val="auto"/>
          <w:sz w:val="32"/>
          <w:szCs w:val="32"/>
          <w:highlight w:val="none"/>
        </w:rPr>
        <w:t>%；政府性基金预算财政拨款收</w:t>
      </w:r>
      <w:r>
        <w:rPr>
          <w:rFonts w:hint="eastAsia" w:ascii="Times New Roman" w:hAnsi="Times New Roman" w:cs="Times New Roman" w:eastAsiaTheme="minorEastAsia"/>
          <w:color w:val="auto"/>
          <w:sz w:val="32"/>
          <w:szCs w:val="32"/>
          <w:highlight w:val="none"/>
          <w:lang w:val="en-US" w:eastAsia="zh-CN"/>
        </w:rPr>
        <w:t>146.30</w:t>
      </w:r>
      <w:r>
        <w:rPr>
          <w:rFonts w:hint="default" w:ascii="Times New Roman" w:hAnsi="Times New Roman" w:cs="Times New Roman" w:eastAsiaTheme="minorEastAsia"/>
          <w:color w:val="auto"/>
          <w:sz w:val="32"/>
          <w:szCs w:val="32"/>
          <w:highlight w:val="none"/>
        </w:rPr>
        <w:t>万元，占</w:t>
      </w:r>
      <w:r>
        <w:rPr>
          <w:rFonts w:hint="eastAsia" w:ascii="Times New Roman" w:hAnsi="Times New Roman" w:cs="Times New Roman" w:eastAsiaTheme="minorEastAsia"/>
          <w:color w:val="auto"/>
          <w:sz w:val="32"/>
          <w:szCs w:val="32"/>
          <w:highlight w:val="none"/>
          <w:lang w:val="en-US" w:eastAsia="zh-CN"/>
        </w:rPr>
        <w:t>9</w:t>
      </w:r>
      <w:r>
        <w:rPr>
          <w:rFonts w:hint="default" w:ascii="Times New Roman" w:hAnsi="Times New Roman" w:cs="Times New Roman" w:eastAsiaTheme="minorEastAsia"/>
          <w:color w:val="auto"/>
          <w:sz w:val="32"/>
          <w:szCs w:val="32"/>
          <w:highlight w:val="none"/>
        </w:rPr>
        <w:t>%；上级补助收入</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万元，占</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%；事业收入</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万元，占</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%；经营收入</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万元，占</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%；附属单位上缴收入</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万元，占</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%；其他收入</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万元，占</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w:t>
      </w:r>
    </w:p>
    <w:p>
      <w:pPr>
        <w:spacing w:line="600" w:lineRule="exact"/>
        <w:ind w:firstLine="643" w:firstLineChars="200"/>
        <w:outlineLvl w:val="1"/>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（注：数据来源于财决01表</w:t>
      </w:r>
      <w:r>
        <w:rPr>
          <w:rFonts w:hint="default" w:ascii="Times New Roman" w:hAnsi="Times New Roman" w:cs="Times New Roman" w:eastAsiaTheme="minorEastAsia"/>
          <w:b/>
          <w:color w:val="auto"/>
          <w:sz w:val="32"/>
          <w:szCs w:val="32"/>
          <w:highlight w:val="none"/>
          <w:lang w:eastAsia="zh-CN"/>
        </w:rPr>
        <w:t>，仅罗列本单位涉及的收入。</w:t>
      </w:r>
      <w:r>
        <w:rPr>
          <w:rFonts w:hint="default" w:ascii="Times New Roman" w:hAnsi="Times New Roman" w:cs="Times New Roman" w:eastAsiaTheme="minorEastAsia"/>
          <w:b/>
          <w:color w:val="auto"/>
          <w:sz w:val="32"/>
          <w:szCs w:val="32"/>
          <w:highlight w:val="none"/>
        </w:rPr>
        <w:t>）</w:t>
      </w:r>
    </w:p>
    <w:p>
      <w:pPr>
        <w:spacing w:line="600" w:lineRule="exact"/>
        <w:ind w:firstLine="640" w:firstLineChars="200"/>
        <w:outlineLvl w:val="1"/>
        <w:rPr>
          <w:rFonts w:hint="default" w:ascii="Times New Roman" w:hAnsi="Times New Roman" w:cs="Times New Roman" w:eastAsiaTheme="minorEastAsia"/>
          <w:color w:val="auto"/>
          <w:sz w:val="32"/>
          <w:szCs w:val="32"/>
          <w:highlight w:val="none"/>
        </w:rPr>
      </w:pPr>
    </w:p>
    <w:p>
      <w:pPr>
        <w:spacing w:line="60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（图2：收入决算结构图）（饼状图）</w:t>
      </w:r>
    </w:p>
    <w:p>
      <w:pPr>
        <w:pStyle w:val="2"/>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5"/>
        <w:numPr>
          <w:ilvl w:val="0"/>
          <w:numId w:val="0"/>
        </w:numPr>
        <w:spacing w:line="600" w:lineRule="exact"/>
        <w:ind w:firstLine="640" w:firstLineChars="200"/>
        <w:outlineLvl w:val="1"/>
        <w:rPr>
          <w:rFonts w:hint="eastAsia" w:ascii="Times New Roman" w:hAnsi="Times New Roman" w:cs="Times New Roman" w:eastAsiaTheme="minorEastAsia"/>
          <w:color w:val="auto"/>
          <w:sz w:val="32"/>
          <w:szCs w:val="32"/>
          <w:highlight w:val="none"/>
          <w:lang w:eastAsia="zh-CN"/>
        </w:rPr>
      </w:pPr>
      <w:bookmarkStart w:id="24" w:name="_Toc15377207"/>
      <w:bookmarkStart w:id="25" w:name="_Toc15396605"/>
    </w:p>
    <w:p>
      <w:pPr>
        <w:pStyle w:val="25"/>
        <w:numPr>
          <w:ilvl w:val="0"/>
          <w:numId w:val="0"/>
        </w:numPr>
        <w:spacing w:line="600" w:lineRule="exact"/>
        <w:ind w:firstLine="640" w:firstLineChars="200"/>
        <w:outlineLvl w:val="1"/>
        <w:rPr>
          <w:rStyle w:val="27"/>
          <w:rFonts w:hint="default" w:ascii="Times New Roman" w:hAnsi="Times New Roman" w:cs="Times New Roman" w:eastAsiaTheme="minorEastAsia"/>
          <w:b w:val="0"/>
          <w:color w:val="auto"/>
          <w:highlight w:val="none"/>
        </w:rPr>
      </w:pPr>
      <w:r>
        <w:rPr>
          <w:rFonts w:hint="eastAsia" w:ascii="Times New Roman" w:hAnsi="Times New Roman" w:cs="Times New Roman" w:eastAsiaTheme="minorEastAsia"/>
          <w:color w:val="auto"/>
          <w:sz w:val="32"/>
          <w:szCs w:val="32"/>
          <w:highlight w:val="none"/>
          <w:lang w:eastAsia="zh-CN"/>
        </w:rPr>
        <w:t>三、</w:t>
      </w:r>
      <w:r>
        <w:rPr>
          <w:rFonts w:hint="default" w:ascii="Times New Roman" w:hAnsi="Times New Roman" w:cs="Times New Roman" w:eastAsiaTheme="minorEastAsia"/>
          <w:color w:val="auto"/>
          <w:sz w:val="32"/>
          <w:szCs w:val="32"/>
          <w:highlight w:val="none"/>
        </w:rPr>
        <w:t>支</w:t>
      </w:r>
      <w:r>
        <w:rPr>
          <w:rStyle w:val="27"/>
          <w:rFonts w:hint="default" w:ascii="Times New Roman" w:hAnsi="Times New Roman" w:cs="Times New Roman" w:eastAsiaTheme="minorEastAsia"/>
          <w:b w:val="0"/>
          <w:color w:val="auto"/>
          <w:highlight w:val="none"/>
        </w:rPr>
        <w:t>出决算情况说明</w:t>
      </w:r>
      <w:bookmarkEnd w:id="24"/>
      <w:bookmarkEnd w:id="25"/>
    </w:p>
    <w:p>
      <w:pPr>
        <w:spacing w:line="600" w:lineRule="exact"/>
        <w:ind w:firstLine="640" w:firstLineChars="200"/>
        <w:outlineLvl w:val="1"/>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年本年支出合计</w:t>
      </w:r>
      <w:r>
        <w:rPr>
          <w:rFonts w:hint="default" w:ascii="Times New Roman" w:hAnsi="Times New Roman" w:cs="Times New Roman" w:eastAsiaTheme="minorEastAsia"/>
          <w:color w:val="auto"/>
          <w:sz w:val="32"/>
          <w:szCs w:val="32"/>
          <w:highlight w:val="none"/>
          <w:lang w:val="en-US" w:eastAsia="zh-CN"/>
        </w:rPr>
        <w:t>1625.93</w:t>
      </w:r>
      <w:r>
        <w:rPr>
          <w:rFonts w:hint="default" w:ascii="Times New Roman" w:hAnsi="Times New Roman" w:cs="Times New Roman" w:eastAsiaTheme="minorEastAsia"/>
          <w:color w:val="auto"/>
          <w:sz w:val="32"/>
          <w:szCs w:val="32"/>
          <w:highlight w:val="none"/>
        </w:rPr>
        <w:t>万元，其中：基本支出</w:t>
      </w:r>
      <w:r>
        <w:rPr>
          <w:rFonts w:hint="default" w:ascii="Times New Roman" w:hAnsi="Times New Roman" w:cs="Times New Roman" w:eastAsiaTheme="minorEastAsia"/>
          <w:color w:val="auto"/>
          <w:sz w:val="32"/>
          <w:szCs w:val="32"/>
          <w:highlight w:val="none"/>
          <w:lang w:val="en-US" w:eastAsia="zh-CN"/>
        </w:rPr>
        <w:t>870.13</w:t>
      </w:r>
      <w:r>
        <w:rPr>
          <w:rFonts w:hint="default" w:ascii="Times New Roman" w:hAnsi="Times New Roman" w:cs="Times New Roman" w:eastAsiaTheme="minorEastAsia"/>
          <w:color w:val="auto"/>
          <w:sz w:val="32"/>
          <w:szCs w:val="32"/>
          <w:highlight w:val="none"/>
        </w:rPr>
        <w:t>万元，占</w:t>
      </w:r>
      <w:r>
        <w:rPr>
          <w:rFonts w:hint="default" w:ascii="Times New Roman" w:hAnsi="Times New Roman" w:cs="Times New Roman" w:eastAsiaTheme="minorEastAsia"/>
          <w:color w:val="auto"/>
          <w:sz w:val="32"/>
          <w:szCs w:val="32"/>
          <w:highlight w:val="none"/>
          <w:lang w:val="en-US" w:eastAsia="zh-CN"/>
        </w:rPr>
        <w:t>53.52</w:t>
      </w:r>
      <w:r>
        <w:rPr>
          <w:rFonts w:hint="default" w:ascii="Times New Roman" w:hAnsi="Times New Roman" w:cs="Times New Roman" w:eastAsiaTheme="minorEastAsia"/>
          <w:color w:val="auto"/>
          <w:sz w:val="32"/>
          <w:szCs w:val="32"/>
          <w:highlight w:val="none"/>
        </w:rPr>
        <w:t>%；项目支出</w:t>
      </w:r>
      <w:r>
        <w:rPr>
          <w:rFonts w:hint="default" w:ascii="Times New Roman" w:hAnsi="Times New Roman" w:cs="Times New Roman" w:eastAsiaTheme="minorEastAsia"/>
          <w:color w:val="auto"/>
          <w:sz w:val="32"/>
          <w:szCs w:val="32"/>
          <w:highlight w:val="none"/>
          <w:lang w:val="en-US" w:eastAsia="zh-CN"/>
        </w:rPr>
        <w:t>755.79</w:t>
      </w:r>
      <w:r>
        <w:rPr>
          <w:rFonts w:hint="default" w:ascii="Times New Roman" w:hAnsi="Times New Roman" w:cs="Times New Roman" w:eastAsiaTheme="minorEastAsia"/>
          <w:color w:val="auto"/>
          <w:sz w:val="32"/>
          <w:szCs w:val="32"/>
          <w:highlight w:val="none"/>
        </w:rPr>
        <w:t>万元，占</w:t>
      </w:r>
      <w:r>
        <w:rPr>
          <w:rFonts w:hint="default" w:ascii="Times New Roman" w:hAnsi="Times New Roman" w:cs="Times New Roman" w:eastAsiaTheme="minorEastAsia"/>
          <w:color w:val="auto"/>
          <w:sz w:val="32"/>
          <w:szCs w:val="32"/>
          <w:highlight w:val="none"/>
          <w:lang w:val="en-US" w:eastAsia="zh-CN"/>
        </w:rPr>
        <w:t>46.48</w:t>
      </w:r>
      <w:r>
        <w:rPr>
          <w:rFonts w:hint="default" w:ascii="Times New Roman" w:hAnsi="Times New Roman" w:cs="Times New Roman" w:eastAsiaTheme="minorEastAsia"/>
          <w:color w:val="auto"/>
          <w:sz w:val="32"/>
          <w:szCs w:val="32"/>
          <w:highlight w:val="none"/>
        </w:rPr>
        <w:t>%；上缴上级支出</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万元，占</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%；经营支出</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万元，占</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%；对附属单位补助支出</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万元，占</w:t>
      </w:r>
      <w:r>
        <w:rPr>
          <w:rFonts w:hint="eastAsia"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w:t>
      </w:r>
    </w:p>
    <w:p>
      <w:pPr>
        <w:spacing w:line="600" w:lineRule="exact"/>
        <w:ind w:firstLine="643" w:firstLineChars="200"/>
        <w:outlineLvl w:val="1"/>
        <w:rPr>
          <w:rFonts w:hint="default" w:ascii="Times New Roman" w:hAnsi="Times New Roman" w:cs="Times New Roman" w:eastAsiaTheme="minorEastAsia"/>
          <w:color w:val="auto"/>
          <w:sz w:val="32"/>
          <w:szCs w:val="32"/>
          <w:highlight w:val="none"/>
          <w:shd w:val="pct10" w:color="auto" w:fill="FFFFFF"/>
        </w:rPr>
      </w:pPr>
      <w:r>
        <w:rPr>
          <w:rFonts w:hint="default" w:ascii="Times New Roman" w:hAnsi="Times New Roman" w:cs="Times New Roman" w:eastAsiaTheme="minorEastAsia"/>
          <w:b/>
          <w:color w:val="auto"/>
          <w:sz w:val="32"/>
          <w:szCs w:val="32"/>
          <w:highlight w:val="none"/>
        </w:rPr>
        <w:t>（注：数据来源于财决04表</w:t>
      </w:r>
      <w:r>
        <w:rPr>
          <w:rFonts w:hint="default" w:ascii="Times New Roman" w:hAnsi="Times New Roman" w:cs="Times New Roman" w:eastAsiaTheme="minorEastAsia"/>
          <w:b/>
          <w:color w:val="auto"/>
          <w:sz w:val="32"/>
          <w:szCs w:val="32"/>
          <w:highlight w:val="none"/>
          <w:lang w:eastAsia="zh-CN"/>
        </w:rPr>
        <w:t>，仅罗列本单位涉及的支出。</w:t>
      </w:r>
      <w:r>
        <w:rPr>
          <w:rFonts w:hint="default" w:ascii="Times New Roman" w:hAnsi="Times New Roman" w:cs="Times New Roman" w:eastAsiaTheme="minorEastAsia"/>
          <w:b/>
          <w:color w:val="auto"/>
          <w:sz w:val="32"/>
          <w:szCs w:val="32"/>
          <w:highlight w:val="none"/>
        </w:rPr>
        <w:t>）</w:t>
      </w:r>
    </w:p>
    <w:p>
      <w:pPr>
        <w:spacing w:line="60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（图3：支出决算结构图）（饼状图）</w:t>
      </w:r>
    </w:p>
    <w:p>
      <w:pPr>
        <w:pStyle w:val="2"/>
        <w:rPr>
          <w:rFonts w:hint="default" w:ascii="Times New Roman" w:hAnsi="Times New Roman" w:cs="Times New Roman" w:eastAsiaTheme="minorEastAsia"/>
          <w:color w:val="auto"/>
          <w:sz w:val="32"/>
          <w:szCs w:val="32"/>
          <w:highlight w:val="none"/>
          <w:lang w:eastAsia="zh-CN"/>
        </w:rPr>
      </w:pPr>
      <w:r>
        <w:rPr>
          <w:rFonts w:hint="default" w:ascii="Times New Roman" w:hAnsi="Times New Roman" w:cs="Times New Roman" w:eastAsiaTheme="minorEastAsia"/>
          <w:color w:val="auto"/>
          <w:sz w:val="32"/>
          <w:szCs w:val="32"/>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rPr>
          <w:rFonts w:hint="default" w:ascii="Times New Roman" w:hAnsi="Times New Roman" w:cs="Times New Roman" w:eastAsiaTheme="minorEastAsia"/>
          <w:color w:val="auto"/>
          <w:sz w:val="32"/>
          <w:szCs w:val="32"/>
          <w:highlight w:val="none"/>
        </w:rPr>
      </w:pPr>
    </w:p>
    <w:p>
      <w:pPr>
        <w:pStyle w:val="2"/>
        <w:rPr>
          <w:rFonts w:hint="default" w:ascii="Times New Roman" w:hAnsi="Times New Roman" w:cs="Times New Roman" w:eastAsiaTheme="minorEastAsia"/>
          <w:color w:val="auto"/>
          <w:sz w:val="32"/>
          <w:szCs w:val="32"/>
          <w:highlight w:val="none"/>
        </w:rPr>
      </w:pPr>
    </w:p>
    <w:p>
      <w:pPr>
        <w:pStyle w:val="2"/>
        <w:rPr>
          <w:rFonts w:hint="default" w:ascii="Times New Roman" w:hAnsi="Times New Roman" w:cs="Times New Roman" w:eastAsiaTheme="minorEastAsia"/>
          <w:color w:val="auto"/>
          <w:sz w:val="32"/>
          <w:szCs w:val="32"/>
          <w:highlight w:val="none"/>
        </w:rPr>
      </w:pPr>
    </w:p>
    <w:p>
      <w:pPr>
        <w:pStyle w:val="2"/>
        <w:rPr>
          <w:rFonts w:hint="default" w:ascii="Times New Roman" w:hAnsi="Times New Roman" w:cs="Times New Roman" w:eastAsiaTheme="minorEastAsia"/>
          <w:color w:val="auto"/>
          <w:sz w:val="32"/>
          <w:szCs w:val="32"/>
          <w:highlight w:val="none"/>
        </w:rPr>
      </w:pPr>
    </w:p>
    <w:p>
      <w:pPr>
        <w:pStyle w:val="2"/>
        <w:rPr>
          <w:rFonts w:hint="default" w:ascii="Times New Roman" w:hAnsi="Times New Roman" w:cs="Times New Roman" w:eastAsiaTheme="minorEastAsia"/>
          <w:color w:val="auto"/>
          <w:sz w:val="32"/>
          <w:szCs w:val="32"/>
          <w:highlight w:val="none"/>
          <w:lang w:val="en-US" w:eastAsia="zh-CN"/>
        </w:rPr>
      </w:pPr>
    </w:p>
    <w:p>
      <w:pPr>
        <w:spacing w:line="600" w:lineRule="exact"/>
        <w:ind w:firstLine="640" w:firstLineChars="200"/>
        <w:outlineLvl w:val="1"/>
        <w:rPr>
          <w:rStyle w:val="27"/>
          <w:rFonts w:hint="default" w:ascii="Times New Roman" w:hAnsi="Times New Roman" w:cs="Times New Roman" w:eastAsiaTheme="minorEastAsia"/>
          <w:b w:val="0"/>
          <w:color w:val="auto"/>
          <w:highlight w:val="none"/>
        </w:rPr>
      </w:pPr>
      <w:bookmarkStart w:id="26" w:name="_Toc15377208"/>
      <w:bookmarkStart w:id="27" w:name="_Toc15396606"/>
      <w:r>
        <w:rPr>
          <w:rFonts w:hint="default" w:ascii="Times New Roman" w:hAnsi="Times New Roman" w:cs="Times New Roman" w:eastAsiaTheme="minorEastAsia"/>
          <w:color w:val="auto"/>
          <w:sz w:val="32"/>
          <w:szCs w:val="32"/>
          <w:highlight w:val="none"/>
        </w:rPr>
        <w:t>四、财</w:t>
      </w:r>
      <w:r>
        <w:rPr>
          <w:rStyle w:val="27"/>
          <w:rFonts w:hint="default" w:ascii="Times New Roman" w:hAnsi="Times New Roman" w:cs="Times New Roman" w:eastAsiaTheme="minorEastAsia"/>
          <w:b w:val="0"/>
          <w:color w:val="auto"/>
          <w:highlight w:val="none"/>
        </w:rPr>
        <w:t>政拨款收入支出决算总体情况说明</w:t>
      </w:r>
      <w:bookmarkEnd w:id="26"/>
      <w:bookmarkEnd w:id="27"/>
    </w:p>
    <w:p>
      <w:pPr>
        <w:spacing w:line="60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年财政拨款收、支总计</w:t>
      </w:r>
      <w:r>
        <w:rPr>
          <w:rFonts w:hint="default" w:ascii="Times New Roman" w:hAnsi="Times New Roman" w:cs="Times New Roman" w:eastAsiaTheme="minorEastAsia"/>
          <w:color w:val="auto"/>
          <w:sz w:val="32"/>
          <w:szCs w:val="32"/>
          <w:highlight w:val="none"/>
          <w:lang w:val="en-US" w:eastAsia="zh-CN"/>
        </w:rPr>
        <w:t>1625.93</w:t>
      </w:r>
      <w:r>
        <w:rPr>
          <w:rFonts w:hint="default" w:ascii="Times New Roman" w:hAnsi="Times New Roman" w:cs="Times New Roman" w:eastAsiaTheme="minorEastAsia"/>
          <w:color w:val="auto"/>
          <w:sz w:val="32"/>
          <w:szCs w:val="32"/>
          <w:highlight w:val="none"/>
        </w:rPr>
        <w:t>万元。与20</w:t>
      </w:r>
      <w:r>
        <w:rPr>
          <w:rFonts w:hint="default" w:ascii="Times New Roman" w:hAnsi="Times New Roman" w:cs="Times New Roman" w:eastAsiaTheme="minorEastAsia"/>
          <w:color w:val="auto"/>
          <w:sz w:val="32"/>
          <w:szCs w:val="32"/>
          <w:highlight w:val="none"/>
          <w:lang w:val="en-US" w:eastAsia="zh-CN"/>
        </w:rPr>
        <w:t>20</w:t>
      </w:r>
      <w:r>
        <w:rPr>
          <w:rFonts w:hint="default" w:ascii="Times New Roman" w:hAnsi="Times New Roman" w:cs="Times New Roman" w:eastAsiaTheme="minorEastAsia"/>
          <w:color w:val="auto"/>
          <w:sz w:val="32"/>
          <w:szCs w:val="32"/>
          <w:highlight w:val="none"/>
        </w:rPr>
        <w:t>年相比，财政拨款收、支总计各增加</w:t>
      </w:r>
      <w:r>
        <w:rPr>
          <w:rFonts w:hint="default" w:ascii="Times New Roman" w:hAnsi="Times New Roman" w:cs="Times New Roman" w:eastAsiaTheme="minorEastAsia"/>
          <w:color w:val="auto"/>
          <w:sz w:val="32"/>
          <w:szCs w:val="32"/>
          <w:highlight w:val="none"/>
          <w:lang w:val="en-US" w:eastAsia="zh-CN"/>
        </w:rPr>
        <w:t>436.33</w:t>
      </w:r>
      <w:r>
        <w:rPr>
          <w:rFonts w:hint="default" w:ascii="Times New Roman" w:hAnsi="Times New Roman" w:cs="Times New Roman" w:eastAsiaTheme="minorEastAsia"/>
          <w:color w:val="auto"/>
          <w:sz w:val="32"/>
          <w:szCs w:val="32"/>
          <w:highlight w:val="none"/>
        </w:rPr>
        <w:t>万元，增长</w:t>
      </w:r>
      <w:r>
        <w:rPr>
          <w:rFonts w:hint="default" w:ascii="Times New Roman" w:hAnsi="Times New Roman" w:cs="Times New Roman" w:eastAsiaTheme="minorEastAsia"/>
          <w:color w:val="auto"/>
          <w:sz w:val="32"/>
          <w:szCs w:val="32"/>
          <w:highlight w:val="none"/>
          <w:lang w:val="en-US" w:eastAsia="zh-CN"/>
        </w:rPr>
        <w:t>36.68</w:t>
      </w:r>
      <w:r>
        <w:rPr>
          <w:rFonts w:hint="default" w:ascii="Times New Roman" w:hAnsi="Times New Roman" w:cs="Times New Roman" w:eastAsiaTheme="minorEastAsia"/>
          <w:color w:val="auto"/>
          <w:sz w:val="32"/>
          <w:szCs w:val="32"/>
          <w:highlight w:val="none"/>
        </w:rPr>
        <w:t>%。主要变动原因是</w:t>
      </w:r>
      <w:r>
        <w:rPr>
          <w:rFonts w:hint="default" w:ascii="Times New Roman" w:hAnsi="Times New Roman" w:cs="Times New Roman" w:eastAsiaTheme="minorEastAsia"/>
          <w:color w:val="auto"/>
          <w:sz w:val="32"/>
          <w:szCs w:val="32"/>
          <w:highlight w:val="none"/>
          <w:lang w:eastAsia="zh-CN"/>
        </w:rPr>
        <w:t>人员增加和政策调整</w:t>
      </w:r>
    </w:p>
    <w:p>
      <w:pPr>
        <w:spacing w:line="600" w:lineRule="exact"/>
        <w:ind w:firstLine="64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color w:val="auto"/>
          <w:sz w:val="32"/>
          <w:szCs w:val="32"/>
          <w:highlight w:val="none"/>
        </w:rPr>
        <w:t>（注：数据来源于财决01-1表）</w:t>
      </w:r>
    </w:p>
    <w:p>
      <w:pPr>
        <w:spacing w:line="60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（图4：财政拨款收、支决算总计变动情况）（柱状图）</w:t>
      </w:r>
    </w:p>
    <w:p>
      <w:pPr>
        <w:spacing w:line="600" w:lineRule="exact"/>
        <w:ind w:firstLine="64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325120</wp:posOffset>
            </wp:positionH>
            <wp:positionV relativeFrom="paragraph">
              <wp:posOffset>101600</wp:posOffset>
            </wp:positionV>
            <wp:extent cx="5080000" cy="3190875"/>
            <wp:effectExtent l="4445" t="4445" r="20955" b="508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rPr>
          <w:rFonts w:hint="default" w:ascii="Times New Roman" w:hAnsi="Times New Roman" w:cs="Times New Roman" w:eastAsiaTheme="minorEastAsia"/>
          <w:b/>
          <w:color w:val="auto"/>
          <w:sz w:val="32"/>
          <w:szCs w:val="32"/>
          <w:highlight w:val="none"/>
        </w:rPr>
      </w:pPr>
    </w:p>
    <w:p>
      <w:pPr>
        <w:pStyle w:val="2"/>
        <w:rPr>
          <w:rFonts w:hint="default" w:ascii="Times New Roman" w:hAnsi="Times New Roman" w:cs="Times New Roman" w:eastAsiaTheme="minorEastAsia"/>
          <w:b/>
          <w:color w:val="auto"/>
          <w:sz w:val="32"/>
          <w:szCs w:val="32"/>
          <w:highlight w:val="none"/>
        </w:rPr>
      </w:pPr>
    </w:p>
    <w:p>
      <w:pPr>
        <w:pStyle w:val="2"/>
        <w:rPr>
          <w:rFonts w:hint="default" w:ascii="Times New Roman" w:hAnsi="Times New Roman" w:cs="Times New Roman" w:eastAsiaTheme="minorEastAsia"/>
          <w:b/>
          <w:color w:val="auto"/>
          <w:sz w:val="32"/>
          <w:szCs w:val="32"/>
          <w:highlight w:val="none"/>
        </w:rPr>
      </w:pPr>
    </w:p>
    <w:p>
      <w:pPr>
        <w:pStyle w:val="2"/>
        <w:rPr>
          <w:rFonts w:hint="default" w:ascii="Times New Roman" w:hAnsi="Times New Roman" w:cs="Times New Roman" w:eastAsiaTheme="minorEastAsia"/>
          <w:b/>
          <w:color w:val="auto"/>
          <w:sz w:val="32"/>
          <w:szCs w:val="32"/>
          <w:highlight w:val="none"/>
        </w:rPr>
      </w:pPr>
    </w:p>
    <w:p>
      <w:pPr>
        <w:pStyle w:val="2"/>
        <w:rPr>
          <w:rFonts w:hint="default" w:ascii="Times New Roman" w:hAnsi="Times New Roman" w:cs="Times New Roman" w:eastAsiaTheme="minorEastAsia"/>
          <w:b/>
          <w:color w:val="auto"/>
          <w:sz w:val="32"/>
          <w:szCs w:val="32"/>
          <w:highlight w:val="none"/>
        </w:rPr>
      </w:pPr>
    </w:p>
    <w:p>
      <w:pPr>
        <w:pStyle w:val="2"/>
        <w:rPr>
          <w:rFonts w:hint="default" w:ascii="Times New Roman" w:hAnsi="Times New Roman" w:cs="Times New Roman" w:eastAsiaTheme="minorEastAsia"/>
          <w:b/>
          <w:color w:val="auto"/>
          <w:sz w:val="32"/>
          <w:szCs w:val="32"/>
          <w:highlight w:val="none"/>
        </w:rPr>
      </w:pPr>
    </w:p>
    <w:p>
      <w:pPr>
        <w:pStyle w:val="2"/>
        <w:rPr>
          <w:rFonts w:hint="default" w:ascii="Times New Roman" w:hAnsi="Times New Roman" w:cs="Times New Roman" w:eastAsiaTheme="minorEastAsia"/>
          <w:b/>
          <w:color w:val="auto"/>
          <w:sz w:val="32"/>
          <w:szCs w:val="32"/>
          <w:highlight w:val="none"/>
        </w:rPr>
      </w:pPr>
    </w:p>
    <w:p>
      <w:pPr>
        <w:spacing w:line="600" w:lineRule="exact"/>
        <w:ind w:firstLine="640" w:firstLineChars="200"/>
        <w:outlineLvl w:val="1"/>
        <w:rPr>
          <w:rFonts w:hint="default" w:ascii="Times New Roman" w:hAnsi="Times New Roman" w:cs="Times New Roman" w:eastAsiaTheme="minorEastAsia"/>
          <w:color w:val="auto"/>
          <w:sz w:val="32"/>
          <w:szCs w:val="32"/>
          <w:highlight w:val="none"/>
        </w:rPr>
      </w:pPr>
      <w:bookmarkStart w:id="28" w:name="_Toc15396607"/>
      <w:bookmarkStart w:id="29" w:name="_Toc15377209"/>
    </w:p>
    <w:p>
      <w:pPr>
        <w:spacing w:line="600" w:lineRule="exact"/>
        <w:ind w:firstLine="640" w:firstLineChars="200"/>
        <w:outlineLvl w:val="1"/>
        <w:rPr>
          <w:rFonts w:hint="default" w:ascii="Times New Roman" w:hAnsi="Times New Roman" w:cs="Times New Roman" w:eastAsiaTheme="minorEastAsia"/>
          <w:color w:val="auto"/>
          <w:sz w:val="32"/>
          <w:szCs w:val="32"/>
          <w:highlight w:val="none"/>
        </w:rPr>
      </w:pPr>
    </w:p>
    <w:p>
      <w:pPr>
        <w:spacing w:line="600" w:lineRule="exact"/>
        <w:ind w:firstLine="640" w:firstLineChars="200"/>
        <w:outlineLvl w:val="1"/>
        <w:rPr>
          <w:rFonts w:hint="default" w:ascii="Times New Roman" w:hAnsi="Times New Roman" w:cs="Times New Roman" w:eastAsiaTheme="minorEastAsia"/>
          <w:color w:val="auto"/>
          <w:sz w:val="32"/>
          <w:szCs w:val="32"/>
          <w:highlight w:val="none"/>
        </w:rPr>
      </w:pPr>
    </w:p>
    <w:p>
      <w:pPr>
        <w:spacing w:line="600" w:lineRule="exact"/>
        <w:ind w:firstLine="640" w:firstLineChars="200"/>
        <w:outlineLvl w:val="1"/>
        <w:rPr>
          <w:rFonts w:hint="default" w:ascii="Times New Roman" w:hAnsi="Times New Roman" w:cs="Times New Roman" w:eastAsiaTheme="minorEastAsia"/>
          <w:color w:val="auto"/>
          <w:sz w:val="32"/>
          <w:szCs w:val="32"/>
          <w:highlight w:val="none"/>
        </w:rPr>
      </w:pPr>
    </w:p>
    <w:p>
      <w:pPr>
        <w:spacing w:line="600" w:lineRule="exact"/>
        <w:ind w:firstLine="640" w:firstLineChars="200"/>
        <w:outlineLvl w:val="1"/>
        <w:rPr>
          <w:rFonts w:hint="default" w:ascii="Times New Roman" w:hAnsi="Times New Roman" w:cs="Times New Roman" w:eastAsiaTheme="minorEastAsia"/>
          <w:color w:val="auto"/>
          <w:sz w:val="32"/>
          <w:szCs w:val="32"/>
          <w:highlight w:val="none"/>
        </w:rPr>
      </w:pPr>
    </w:p>
    <w:p>
      <w:pPr>
        <w:spacing w:line="600" w:lineRule="exact"/>
        <w:ind w:firstLine="640" w:firstLineChars="200"/>
        <w:outlineLvl w:val="1"/>
        <w:rPr>
          <w:rFonts w:hint="default" w:ascii="Times New Roman" w:hAnsi="Times New Roman" w:cs="Times New Roman" w:eastAsiaTheme="minorEastAsia"/>
          <w:color w:val="auto"/>
          <w:sz w:val="32"/>
          <w:szCs w:val="32"/>
          <w:highlight w:val="none"/>
        </w:rPr>
      </w:pPr>
    </w:p>
    <w:p>
      <w:pPr>
        <w:spacing w:line="600" w:lineRule="exact"/>
        <w:ind w:firstLine="640" w:firstLineChars="200"/>
        <w:outlineLvl w:val="1"/>
        <w:rPr>
          <w:rStyle w:val="27"/>
          <w:rFonts w:hint="default" w:ascii="Times New Roman" w:hAnsi="Times New Roman" w:cs="Times New Roman" w:eastAsiaTheme="minorEastAsia"/>
          <w:b w:val="0"/>
          <w:color w:val="auto"/>
          <w:highlight w:val="none"/>
        </w:rPr>
      </w:pPr>
      <w:r>
        <w:rPr>
          <w:rFonts w:hint="default" w:ascii="Times New Roman" w:hAnsi="Times New Roman" w:cs="Times New Roman" w:eastAsiaTheme="minorEastAsia"/>
          <w:color w:val="auto"/>
          <w:sz w:val="32"/>
          <w:szCs w:val="32"/>
          <w:highlight w:val="none"/>
        </w:rPr>
        <w:t>五、</w:t>
      </w:r>
      <w:r>
        <w:rPr>
          <w:rFonts w:hint="default" w:ascii="Times New Roman" w:hAnsi="Times New Roman" w:cs="Times New Roman" w:eastAsiaTheme="minorEastAsia"/>
          <w:b/>
          <w:color w:val="auto"/>
          <w:sz w:val="32"/>
          <w:szCs w:val="32"/>
          <w:highlight w:val="none"/>
        </w:rPr>
        <w:t>一</w:t>
      </w:r>
      <w:r>
        <w:rPr>
          <w:rStyle w:val="27"/>
          <w:rFonts w:hint="default" w:ascii="Times New Roman" w:hAnsi="Times New Roman" w:cs="Times New Roman" w:eastAsiaTheme="minorEastAsia"/>
          <w:b w:val="0"/>
          <w:color w:val="auto"/>
          <w:highlight w:val="none"/>
        </w:rPr>
        <w:t>般公共预算财政拨款支出决算情况说明</w:t>
      </w:r>
      <w:bookmarkEnd w:id="28"/>
      <w:bookmarkEnd w:id="29"/>
    </w:p>
    <w:p>
      <w:pPr>
        <w:spacing w:line="600" w:lineRule="exact"/>
        <w:ind w:firstLine="643" w:firstLineChars="200"/>
        <w:outlineLvl w:val="2"/>
        <w:rPr>
          <w:rFonts w:hint="default" w:ascii="Times New Roman" w:hAnsi="Times New Roman" w:cs="Times New Roman" w:eastAsiaTheme="minorEastAsia"/>
          <w:b/>
          <w:color w:val="auto"/>
          <w:sz w:val="32"/>
          <w:szCs w:val="32"/>
          <w:highlight w:val="none"/>
        </w:rPr>
      </w:pPr>
      <w:bookmarkStart w:id="30" w:name="_Toc15377210"/>
      <w:r>
        <w:rPr>
          <w:rFonts w:hint="default" w:ascii="Times New Roman" w:hAnsi="Times New Roman" w:cs="Times New Roman" w:eastAsiaTheme="minorEastAsia"/>
          <w:b/>
          <w:color w:val="auto"/>
          <w:sz w:val="32"/>
          <w:szCs w:val="32"/>
          <w:highlight w:val="none"/>
        </w:rPr>
        <w:t>（一）一般公共预算财政拨款支出决算总体情况</w:t>
      </w:r>
      <w:bookmarkEnd w:id="30"/>
    </w:p>
    <w:p>
      <w:pPr>
        <w:spacing w:line="600" w:lineRule="exact"/>
        <w:ind w:firstLine="640" w:firstLineChars="200"/>
        <w:rPr>
          <w:rFonts w:hint="default" w:ascii="Times New Roman" w:hAnsi="Times New Roman" w:cs="Times New Roman" w:eastAsiaTheme="minorEastAsia"/>
          <w:color w:val="auto"/>
          <w:sz w:val="32"/>
          <w:szCs w:val="32"/>
          <w:highlight w:val="none"/>
          <w:lang w:val="en-US"/>
        </w:rPr>
      </w:pPr>
      <w:r>
        <w:rPr>
          <w:rFonts w:hint="default" w:ascii="Times New Roman" w:hAnsi="Times New Roman" w:cs="Times New Roman" w:eastAsiaTheme="minorEastAsia"/>
          <w:color w:val="auto"/>
          <w:sz w:val="32"/>
          <w:szCs w:val="32"/>
          <w:highlight w:val="none"/>
        </w:rPr>
        <w:t>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年一般公共预算财政拨款支出</w:t>
      </w:r>
      <w:r>
        <w:rPr>
          <w:rFonts w:hint="default" w:ascii="Times New Roman" w:hAnsi="Times New Roman" w:cs="Times New Roman" w:eastAsiaTheme="minorEastAsia"/>
          <w:color w:val="auto"/>
          <w:sz w:val="32"/>
          <w:szCs w:val="32"/>
          <w:highlight w:val="none"/>
          <w:lang w:val="en-US" w:eastAsia="zh-CN"/>
        </w:rPr>
        <w:t>1479.62</w:t>
      </w:r>
      <w:r>
        <w:rPr>
          <w:rFonts w:hint="default" w:ascii="Times New Roman" w:hAnsi="Times New Roman" w:cs="Times New Roman" w:eastAsiaTheme="minorEastAsia"/>
          <w:color w:val="auto"/>
          <w:sz w:val="32"/>
          <w:szCs w:val="32"/>
          <w:highlight w:val="none"/>
        </w:rPr>
        <w:t>万元，占本年支出合计的</w:t>
      </w:r>
      <w:r>
        <w:rPr>
          <w:rFonts w:hint="default" w:ascii="Times New Roman" w:hAnsi="Times New Roman" w:cs="Times New Roman" w:eastAsiaTheme="minorEastAsia"/>
          <w:color w:val="auto"/>
          <w:sz w:val="32"/>
          <w:szCs w:val="32"/>
          <w:highlight w:val="none"/>
          <w:lang w:val="en-US" w:eastAsia="zh-CN"/>
        </w:rPr>
        <w:t>91</w:t>
      </w:r>
      <w:r>
        <w:rPr>
          <w:rFonts w:hint="default" w:ascii="Times New Roman" w:hAnsi="Times New Roman" w:cs="Times New Roman" w:eastAsiaTheme="minorEastAsia"/>
          <w:color w:val="auto"/>
          <w:sz w:val="32"/>
          <w:szCs w:val="32"/>
          <w:highlight w:val="none"/>
        </w:rPr>
        <w:t>%。与20</w:t>
      </w:r>
      <w:r>
        <w:rPr>
          <w:rFonts w:hint="default" w:ascii="Times New Roman" w:hAnsi="Times New Roman" w:cs="Times New Roman" w:eastAsiaTheme="minorEastAsia"/>
          <w:color w:val="auto"/>
          <w:sz w:val="32"/>
          <w:szCs w:val="32"/>
          <w:highlight w:val="none"/>
          <w:lang w:val="en-US" w:eastAsia="zh-CN"/>
        </w:rPr>
        <w:t>20</w:t>
      </w:r>
      <w:r>
        <w:rPr>
          <w:rFonts w:hint="default" w:ascii="Times New Roman" w:hAnsi="Times New Roman" w:cs="Times New Roman" w:eastAsiaTheme="minorEastAsia"/>
          <w:color w:val="auto"/>
          <w:sz w:val="32"/>
          <w:szCs w:val="32"/>
          <w:highlight w:val="none"/>
        </w:rPr>
        <w:t>年相比，一般公共预算财政拨款</w:t>
      </w:r>
      <w:r>
        <w:rPr>
          <w:rFonts w:hint="default" w:ascii="Times New Roman" w:hAnsi="Times New Roman" w:cs="Times New Roman" w:eastAsiaTheme="minorEastAsia"/>
          <w:color w:val="auto"/>
          <w:sz w:val="32"/>
          <w:szCs w:val="32"/>
          <w:highlight w:val="none"/>
          <w:lang w:eastAsia="zh-CN"/>
        </w:rPr>
        <w:t>支出</w:t>
      </w:r>
      <w:r>
        <w:rPr>
          <w:rFonts w:hint="default" w:ascii="Times New Roman" w:hAnsi="Times New Roman" w:cs="Times New Roman" w:eastAsiaTheme="minorEastAsia"/>
          <w:color w:val="auto"/>
          <w:sz w:val="32"/>
          <w:szCs w:val="32"/>
          <w:highlight w:val="none"/>
        </w:rPr>
        <w:t>增加</w:t>
      </w:r>
      <w:r>
        <w:rPr>
          <w:rFonts w:hint="default" w:ascii="Times New Roman" w:hAnsi="Times New Roman" w:cs="Times New Roman" w:eastAsiaTheme="minorEastAsia"/>
          <w:color w:val="auto"/>
          <w:sz w:val="32"/>
          <w:szCs w:val="32"/>
          <w:highlight w:val="none"/>
          <w:lang w:val="en-US" w:eastAsia="zh-CN"/>
        </w:rPr>
        <w:t>325.1</w:t>
      </w:r>
      <w:r>
        <w:rPr>
          <w:rFonts w:hint="default" w:ascii="Times New Roman" w:hAnsi="Times New Roman" w:cs="Times New Roman" w:eastAsiaTheme="minorEastAsia"/>
          <w:color w:val="auto"/>
          <w:sz w:val="32"/>
          <w:szCs w:val="32"/>
          <w:highlight w:val="none"/>
        </w:rPr>
        <w:t>万元，增长</w:t>
      </w:r>
      <w:r>
        <w:rPr>
          <w:rFonts w:hint="default" w:ascii="Times New Roman" w:hAnsi="Times New Roman" w:cs="Times New Roman" w:eastAsiaTheme="minorEastAsia"/>
          <w:color w:val="auto"/>
          <w:sz w:val="32"/>
          <w:szCs w:val="32"/>
          <w:highlight w:val="none"/>
          <w:lang w:val="en-US" w:eastAsia="zh-CN"/>
        </w:rPr>
        <w:t>28.16</w:t>
      </w:r>
      <w:r>
        <w:rPr>
          <w:rFonts w:hint="default" w:ascii="Times New Roman" w:hAnsi="Times New Roman" w:cs="Times New Roman" w:eastAsiaTheme="minorEastAsia"/>
          <w:color w:val="auto"/>
          <w:sz w:val="32"/>
          <w:szCs w:val="32"/>
          <w:highlight w:val="none"/>
        </w:rPr>
        <w:t>%。主要变动原因是</w:t>
      </w:r>
      <w:r>
        <w:rPr>
          <w:rFonts w:hint="default" w:ascii="Times New Roman" w:hAnsi="Times New Roman" w:cs="Times New Roman" w:eastAsiaTheme="minorEastAsia"/>
          <w:color w:val="auto"/>
          <w:sz w:val="32"/>
          <w:szCs w:val="32"/>
          <w:highlight w:val="none"/>
          <w:lang w:eastAsia="zh-CN"/>
        </w:rPr>
        <w:t>人员增加和政策调整</w:t>
      </w:r>
      <w:r>
        <w:rPr>
          <w:rFonts w:hint="default" w:ascii="Times New Roman" w:hAnsi="Times New Roman" w:cs="Times New Roman" w:eastAsiaTheme="minorEastAsia"/>
          <w:color w:val="auto"/>
          <w:sz w:val="32"/>
          <w:szCs w:val="32"/>
          <w:highlight w:val="none"/>
          <w:lang w:val="en-US" w:eastAsia="zh-CN"/>
        </w:rPr>
        <w:t xml:space="preserve">                                 </w:t>
      </w:r>
    </w:p>
    <w:p>
      <w:pPr>
        <w:spacing w:line="60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（图5：一般公共预算财政拨款支出决算变动情况）（柱状图）</w:t>
      </w:r>
    </w:p>
    <w:p>
      <w:pPr>
        <w:spacing w:line="600" w:lineRule="exact"/>
        <w:ind w:firstLine="643"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206375</wp:posOffset>
            </wp:positionH>
            <wp:positionV relativeFrom="paragraph">
              <wp:posOffset>291465</wp:posOffset>
            </wp:positionV>
            <wp:extent cx="5080000" cy="3190875"/>
            <wp:effectExtent l="4445" t="4445" r="20955" b="508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rPr>
          <w:rFonts w:hint="default" w:ascii="Times New Roman" w:hAnsi="Times New Roman" w:cs="Times New Roman" w:eastAsiaTheme="minorEastAsia"/>
          <w:color w:val="auto"/>
          <w:sz w:val="32"/>
          <w:szCs w:val="32"/>
          <w:highlight w:val="none"/>
        </w:rPr>
      </w:pPr>
    </w:p>
    <w:p>
      <w:pPr>
        <w:pStyle w:val="2"/>
        <w:rPr>
          <w:rFonts w:hint="default" w:ascii="Times New Roman" w:hAnsi="Times New Roman" w:cs="Times New Roman" w:eastAsiaTheme="minorEastAsia"/>
          <w:color w:val="auto"/>
          <w:sz w:val="32"/>
          <w:szCs w:val="32"/>
          <w:highlight w:val="none"/>
        </w:rPr>
      </w:pPr>
    </w:p>
    <w:p>
      <w:pPr>
        <w:pStyle w:val="2"/>
        <w:rPr>
          <w:rFonts w:hint="default" w:ascii="Times New Roman" w:hAnsi="Times New Roman" w:cs="Times New Roman" w:eastAsiaTheme="minorEastAsia"/>
          <w:color w:val="auto"/>
          <w:sz w:val="32"/>
          <w:szCs w:val="32"/>
          <w:highlight w:val="none"/>
        </w:rPr>
      </w:pPr>
    </w:p>
    <w:p>
      <w:pPr>
        <w:pStyle w:val="2"/>
        <w:rPr>
          <w:rFonts w:hint="default" w:ascii="Times New Roman" w:hAnsi="Times New Roman" w:cs="Times New Roman" w:eastAsiaTheme="minorEastAsia"/>
          <w:color w:val="auto"/>
          <w:sz w:val="32"/>
          <w:szCs w:val="32"/>
          <w:highlight w:val="none"/>
        </w:rPr>
      </w:pPr>
    </w:p>
    <w:p>
      <w:pPr>
        <w:pStyle w:val="2"/>
        <w:rPr>
          <w:rFonts w:hint="default" w:ascii="Times New Roman" w:hAnsi="Times New Roman" w:cs="Times New Roman" w:eastAsiaTheme="minorEastAsia"/>
          <w:color w:val="auto"/>
          <w:sz w:val="32"/>
          <w:szCs w:val="32"/>
          <w:highlight w:val="none"/>
        </w:rPr>
      </w:pPr>
    </w:p>
    <w:p>
      <w:pPr>
        <w:spacing w:line="600" w:lineRule="exact"/>
        <w:ind w:firstLine="643" w:firstLineChars="200"/>
        <w:outlineLvl w:val="2"/>
        <w:rPr>
          <w:rFonts w:hint="default" w:ascii="Times New Roman" w:hAnsi="Times New Roman" w:cs="Times New Roman" w:eastAsiaTheme="minorEastAsia"/>
          <w:b/>
          <w:color w:val="auto"/>
          <w:sz w:val="32"/>
          <w:szCs w:val="32"/>
          <w:highlight w:val="none"/>
        </w:rPr>
      </w:pPr>
      <w:bookmarkStart w:id="31" w:name="_Toc15377211"/>
    </w:p>
    <w:p>
      <w:pPr>
        <w:spacing w:line="600" w:lineRule="exact"/>
        <w:ind w:firstLine="643" w:firstLineChars="200"/>
        <w:outlineLvl w:val="2"/>
        <w:rPr>
          <w:rFonts w:hint="default" w:ascii="Times New Roman" w:hAnsi="Times New Roman" w:cs="Times New Roman" w:eastAsiaTheme="minorEastAsia"/>
          <w:b/>
          <w:color w:val="auto"/>
          <w:sz w:val="32"/>
          <w:szCs w:val="32"/>
          <w:highlight w:val="none"/>
        </w:rPr>
      </w:pPr>
    </w:p>
    <w:p>
      <w:pPr>
        <w:spacing w:line="600" w:lineRule="exact"/>
        <w:ind w:firstLine="643" w:firstLineChars="200"/>
        <w:outlineLvl w:val="2"/>
        <w:rPr>
          <w:rFonts w:hint="default" w:ascii="Times New Roman" w:hAnsi="Times New Roman" w:cs="Times New Roman" w:eastAsiaTheme="minorEastAsia"/>
          <w:b/>
          <w:color w:val="auto"/>
          <w:sz w:val="32"/>
          <w:szCs w:val="32"/>
          <w:highlight w:val="none"/>
        </w:rPr>
      </w:pPr>
    </w:p>
    <w:p>
      <w:pPr>
        <w:spacing w:line="600" w:lineRule="exact"/>
        <w:ind w:firstLine="643" w:firstLineChars="200"/>
        <w:outlineLvl w:val="2"/>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（二）一般公共预算财政拨款支出决算结构情况</w:t>
      </w:r>
      <w:bookmarkEnd w:id="31"/>
    </w:p>
    <w:p>
      <w:pPr>
        <w:spacing w:line="600" w:lineRule="exact"/>
        <w:ind w:firstLine="640"/>
        <w:rPr>
          <w:rFonts w:hint="default" w:ascii="Times New Roman" w:hAnsi="Times New Roman" w:cs="Times New Roman" w:eastAsiaTheme="minorEastAsia"/>
          <w:b/>
          <w:color w:val="auto"/>
          <w:sz w:val="32"/>
          <w:szCs w:val="32"/>
          <w:highlight w:val="none"/>
          <w:lang w:eastAsia="zh-CN"/>
        </w:rPr>
      </w:pPr>
      <w:r>
        <w:rPr>
          <w:rFonts w:hint="default" w:ascii="Times New Roman" w:hAnsi="Times New Roman" w:cs="Times New Roman" w:eastAsiaTheme="minorEastAsia"/>
          <w:color w:val="auto"/>
          <w:sz w:val="32"/>
          <w:szCs w:val="32"/>
          <w:highlight w:val="none"/>
        </w:rPr>
        <w:t>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年一般公共预算财政拨款支出</w:t>
      </w:r>
      <w:r>
        <w:rPr>
          <w:rFonts w:hint="default" w:ascii="Times New Roman" w:hAnsi="Times New Roman" w:cs="Times New Roman" w:eastAsiaTheme="minorEastAsia"/>
          <w:color w:val="auto"/>
          <w:sz w:val="32"/>
          <w:szCs w:val="32"/>
          <w:highlight w:val="none"/>
          <w:lang w:val="en-US" w:eastAsia="zh-CN"/>
        </w:rPr>
        <w:t>1625.93</w:t>
      </w:r>
      <w:r>
        <w:rPr>
          <w:rFonts w:hint="default" w:ascii="Times New Roman" w:hAnsi="Times New Roman" w:cs="Times New Roman" w:eastAsiaTheme="minorEastAsia"/>
          <w:color w:val="auto"/>
          <w:sz w:val="32"/>
          <w:szCs w:val="32"/>
          <w:highlight w:val="none"/>
        </w:rPr>
        <w:t>万元，主要用于以下方面:</w:t>
      </w:r>
      <w:r>
        <w:rPr>
          <w:rFonts w:hint="default" w:ascii="Times New Roman" w:hAnsi="Times New Roman" w:cs="Times New Roman" w:eastAsiaTheme="minorEastAsia"/>
          <w:b/>
          <w:color w:val="auto"/>
          <w:sz w:val="32"/>
          <w:szCs w:val="32"/>
          <w:highlight w:val="none"/>
        </w:rPr>
        <w:t>一般公共服务（类）</w:t>
      </w:r>
      <w:r>
        <w:rPr>
          <w:rFonts w:hint="default" w:ascii="Times New Roman" w:hAnsi="Times New Roman" w:cs="Times New Roman" w:eastAsiaTheme="minorEastAsia"/>
          <w:color w:val="auto"/>
          <w:sz w:val="32"/>
          <w:szCs w:val="32"/>
          <w:highlight w:val="none"/>
        </w:rPr>
        <w:t>支出</w:t>
      </w:r>
      <w:r>
        <w:rPr>
          <w:rFonts w:hint="default" w:ascii="Times New Roman" w:hAnsi="Times New Roman" w:cs="Times New Roman" w:eastAsiaTheme="minorEastAsia"/>
          <w:color w:val="auto"/>
          <w:sz w:val="32"/>
          <w:szCs w:val="32"/>
          <w:highlight w:val="none"/>
          <w:lang w:val="en-US" w:eastAsia="zh-CN"/>
        </w:rPr>
        <w:t>846.51</w:t>
      </w:r>
      <w:r>
        <w:rPr>
          <w:rFonts w:hint="default" w:ascii="Times New Roman" w:hAnsi="Times New Roman" w:cs="Times New Roman" w:eastAsiaTheme="minorEastAsia"/>
          <w:color w:val="auto"/>
          <w:sz w:val="32"/>
          <w:szCs w:val="32"/>
          <w:highlight w:val="none"/>
        </w:rPr>
        <w:t>万元，占</w:t>
      </w:r>
      <w:r>
        <w:rPr>
          <w:rFonts w:hint="default" w:ascii="Times New Roman" w:hAnsi="Times New Roman" w:cs="Times New Roman" w:eastAsiaTheme="minorEastAsia"/>
          <w:color w:val="auto"/>
          <w:sz w:val="32"/>
          <w:szCs w:val="32"/>
          <w:highlight w:val="none"/>
          <w:lang w:val="en-US" w:eastAsia="zh-CN"/>
        </w:rPr>
        <w:t>52.06</w:t>
      </w:r>
      <w:r>
        <w:rPr>
          <w:rFonts w:hint="default" w:ascii="Times New Roman" w:hAnsi="Times New Roman" w:cs="Times New Roman" w:eastAsiaTheme="minorEastAsia"/>
          <w:color w:val="auto"/>
          <w:sz w:val="32"/>
          <w:szCs w:val="32"/>
          <w:highlight w:val="none"/>
        </w:rPr>
        <w:t>%；</w:t>
      </w:r>
      <w:r>
        <w:rPr>
          <w:rFonts w:hint="default" w:ascii="Times New Roman" w:hAnsi="Times New Roman" w:cs="Times New Roman" w:eastAsiaTheme="minorEastAsia"/>
          <w:b/>
          <w:bCs/>
          <w:color w:val="auto"/>
          <w:sz w:val="32"/>
          <w:szCs w:val="32"/>
          <w:highlight w:val="none"/>
          <w:lang w:eastAsia="zh-CN"/>
        </w:rPr>
        <w:t>国防支出（类）支出</w:t>
      </w:r>
      <w:r>
        <w:rPr>
          <w:rFonts w:hint="default" w:ascii="Times New Roman" w:hAnsi="Times New Roman" w:cs="Times New Roman" w:eastAsiaTheme="minorEastAsia"/>
          <w:b/>
          <w:bCs/>
          <w:color w:val="auto"/>
          <w:sz w:val="32"/>
          <w:szCs w:val="32"/>
          <w:highlight w:val="none"/>
          <w:lang w:val="en-US" w:eastAsia="zh-CN"/>
        </w:rPr>
        <w:t>4.05万元，占</w:t>
      </w:r>
      <w:r>
        <w:rPr>
          <w:rFonts w:hint="default" w:ascii="Times New Roman" w:hAnsi="Times New Roman" w:cs="Times New Roman" w:eastAsiaTheme="minorEastAsia"/>
          <w:color w:val="auto"/>
          <w:sz w:val="32"/>
          <w:szCs w:val="32"/>
          <w:highlight w:val="none"/>
          <w:lang w:val="en-US" w:eastAsia="zh-CN"/>
        </w:rPr>
        <w:t>0.25</w:t>
      </w:r>
      <w:r>
        <w:rPr>
          <w:rFonts w:hint="default" w:ascii="Times New Roman" w:hAnsi="Times New Roman" w:cs="Times New Roman" w:eastAsiaTheme="minorEastAsia"/>
          <w:color w:val="auto"/>
          <w:sz w:val="32"/>
          <w:szCs w:val="32"/>
          <w:highlight w:val="none"/>
        </w:rPr>
        <w:t>%；</w:t>
      </w:r>
      <w:r>
        <w:rPr>
          <w:rFonts w:hint="default" w:ascii="Times New Roman" w:hAnsi="Times New Roman" w:cs="Times New Roman" w:eastAsiaTheme="minorEastAsia"/>
          <w:b/>
          <w:color w:val="auto"/>
          <w:sz w:val="32"/>
          <w:szCs w:val="32"/>
          <w:highlight w:val="none"/>
        </w:rPr>
        <w:t>教育支出（类）</w:t>
      </w:r>
      <w:r>
        <w:rPr>
          <w:rFonts w:hint="default" w:ascii="Times New Roman" w:hAnsi="Times New Roman" w:cs="Times New Roman" w:eastAsiaTheme="minorEastAsia"/>
          <w:color w:val="auto"/>
          <w:sz w:val="32"/>
          <w:szCs w:val="32"/>
          <w:highlight w:val="none"/>
          <w:lang w:val="en-US" w:eastAsia="zh-CN"/>
        </w:rPr>
        <w:t>10.5</w:t>
      </w:r>
      <w:r>
        <w:rPr>
          <w:rFonts w:hint="default" w:ascii="Times New Roman" w:hAnsi="Times New Roman" w:cs="Times New Roman" w:eastAsiaTheme="minorEastAsia"/>
          <w:color w:val="auto"/>
          <w:sz w:val="32"/>
          <w:szCs w:val="32"/>
          <w:highlight w:val="none"/>
        </w:rPr>
        <w:t>万元，占</w:t>
      </w:r>
      <w:r>
        <w:rPr>
          <w:rFonts w:hint="default" w:ascii="Times New Roman" w:hAnsi="Times New Roman" w:cs="Times New Roman" w:eastAsiaTheme="minorEastAsia"/>
          <w:color w:val="auto"/>
          <w:sz w:val="32"/>
          <w:szCs w:val="32"/>
          <w:highlight w:val="none"/>
          <w:lang w:val="en-US" w:eastAsia="zh-CN"/>
        </w:rPr>
        <w:t>0.65</w:t>
      </w:r>
      <w:r>
        <w:rPr>
          <w:rFonts w:hint="default" w:ascii="Times New Roman" w:hAnsi="Times New Roman" w:cs="Times New Roman" w:eastAsiaTheme="minorEastAsia"/>
          <w:color w:val="auto"/>
          <w:sz w:val="32"/>
          <w:szCs w:val="32"/>
          <w:highlight w:val="none"/>
        </w:rPr>
        <w:t>%；</w:t>
      </w:r>
      <w:r>
        <w:rPr>
          <w:rFonts w:hint="default" w:ascii="Times New Roman" w:hAnsi="Times New Roman" w:cs="Times New Roman" w:eastAsiaTheme="minorEastAsia"/>
          <w:b/>
          <w:bCs/>
          <w:color w:val="auto"/>
          <w:sz w:val="32"/>
          <w:szCs w:val="32"/>
          <w:highlight w:val="none"/>
        </w:rPr>
        <w:t>文化旅游体育与传媒（类）支出</w:t>
      </w:r>
      <w:r>
        <w:rPr>
          <w:rFonts w:hint="default" w:ascii="Times New Roman" w:hAnsi="Times New Roman" w:cs="Times New Roman" w:eastAsiaTheme="minorEastAsia"/>
          <w:b/>
          <w:bCs/>
          <w:color w:val="auto"/>
          <w:sz w:val="32"/>
          <w:szCs w:val="32"/>
          <w:highlight w:val="none"/>
          <w:lang w:val="en-US" w:eastAsia="zh-CN"/>
        </w:rPr>
        <w:t>6</w:t>
      </w:r>
      <w:r>
        <w:rPr>
          <w:rFonts w:hint="default" w:ascii="Times New Roman" w:hAnsi="Times New Roman" w:cs="Times New Roman" w:eastAsiaTheme="minorEastAsia"/>
          <w:b/>
          <w:bCs/>
          <w:color w:val="auto"/>
          <w:sz w:val="32"/>
          <w:szCs w:val="32"/>
          <w:highlight w:val="none"/>
        </w:rPr>
        <w:t>万元，占</w:t>
      </w:r>
      <w:r>
        <w:rPr>
          <w:rFonts w:hint="default" w:ascii="Times New Roman" w:hAnsi="Times New Roman" w:cs="Times New Roman" w:eastAsiaTheme="minorEastAsia"/>
          <w:b w:val="0"/>
          <w:bCs w:val="0"/>
          <w:color w:val="auto"/>
          <w:sz w:val="32"/>
          <w:szCs w:val="32"/>
          <w:highlight w:val="none"/>
          <w:lang w:val="en-US" w:eastAsia="zh-CN"/>
        </w:rPr>
        <w:t>0.37</w:t>
      </w:r>
      <w:r>
        <w:rPr>
          <w:rFonts w:hint="default" w:ascii="Times New Roman" w:hAnsi="Times New Roman" w:cs="Times New Roman" w:eastAsiaTheme="minorEastAsia"/>
          <w:b/>
          <w:bCs/>
          <w:color w:val="auto"/>
          <w:sz w:val="32"/>
          <w:szCs w:val="32"/>
          <w:highlight w:val="none"/>
        </w:rPr>
        <w:t>%</w:t>
      </w:r>
      <w:r>
        <w:rPr>
          <w:rFonts w:hint="default" w:ascii="Times New Roman" w:hAnsi="Times New Roman" w:cs="Times New Roman" w:eastAsiaTheme="minorEastAsia"/>
          <w:color w:val="auto"/>
          <w:sz w:val="32"/>
          <w:szCs w:val="32"/>
          <w:highlight w:val="none"/>
        </w:rPr>
        <w:t>；</w:t>
      </w:r>
      <w:r>
        <w:rPr>
          <w:rFonts w:hint="default" w:ascii="Times New Roman" w:hAnsi="Times New Roman" w:cs="Times New Roman" w:eastAsiaTheme="minorEastAsia"/>
          <w:b/>
          <w:color w:val="auto"/>
          <w:sz w:val="32"/>
          <w:szCs w:val="32"/>
          <w:highlight w:val="none"/>
        </w:rPr>
        <w:t>社会保障和就业（类）</w:t>
      </w:r>
      <w:r>
        <w:rPr>
          <w:rFonts w:hint="default" w:ascii="Times New Roman" w:hAnsi="Times New Roman" w:cs="Times New Roman" w:eastAsiaTheme="minorEastAsia"/>
          <w:color w:val="auto"/>
          <w:sz w:val="32"/>
          <w:szCs w:val="32"/>
          <w:highlight w:val="none"/>
        </w:rPr>
        <w:t>支出</w:t>
      </w:r>
      <w:r>
        <w:rPr>
          <w:rFonts w:hint="default" w:ascii="Times New Roman" w:hAnsi="Times New Roman" w:cs="Times New Roman" w:eastAsiaTheme="minorEastAsia"/>
          <w:color w:val="auto"/>
          <w:sz w:val="32"/>
          <w:szCs w:val="32"/>
          <w:highlight w:val="none"/>
          <w:lang w:val="en-US" w:eastAsia="zh-CN"/>
        </w:rPr>
        <w:t>86.30</w:t>
      </w:r>
      <w:r>
        <w:rPr>
          <w:rFonts w:hint="default" w:ascii="Times New Roman" w:hAnsi="Times New Roman" w:cs="Times New Roman" w:eastAsiaTheme="minorEastAsia"/>
          <w:color w:val="auto"/>
          <w:sz w:val="32"/>
          <w:szCs w:val="32"/>
          <w:highlight w:val="none"/>
        </w:rPr>
        <w:t>万元，占</w:t>
      </w:r>
      <w:r>
        <w:rPr>
          <w:rFonts w:hint="default" w:ascii="Times New Roman" w:hAnsi="Times New Roman" w:cs="Times New Roman" w:eastAsiaTheme="minorEastAsia"/>
          <w:color w:val="auto"/>
          <w:sz w:val="32"/>
          <w:szCs w:val="32"/>
          <w:highlight w:val="none"/>
          <w:lang w:val="en-US" w:eastAsia="zh-CN"/>
        </w:rPr>
        <w:t>5.30</w:t>
      </w:r>
      <w:r>
        <w:rPr>
          <w:rFonts w:hint="default" w:ascii="Times New Roman" w:hAnsi="Times New Roman" w:cs="Times New Roman" w:eastAsiaTheme="minorEastAsia"/>
          <w:color w:val="auto"/>
          <w:sz w:val="32"/>
          <w:szCs w:val="32"/>
          <w:highlight w:val="none"/>
        </w:rPr>
        <w:t>%；</w:t>
      </w:r>
      <w:r>
        <w:rPr>
          <w:rFonts w:hint="default" w:ascii="Times New Roman" w:hAnsi="Times New Roman" w:cs="Times New Roman" w:eastAsiaTheme="minorEastAsia"/>
          <w:b/>
          <w:bCs/>
          <w:color w:val="auto"/>
          <w:sz w:val="32"/>
          <w:szCs w:val="32"/>
          <w:highlight w:val="none"/>
        </w:rPr>
        <w:t>卫生健康支出</w:t>
      </w:r>
      <w:r>
        <w:rPr>
          <w:rFonts w:hint="default" w:ascii="Times New Roman" w:hAnsi="Times New Roman" w:cs="Times New Roman" w:eastAsiaTheme="minorEastAsia"/>
          <w:color w:val="auto"/>
          <w:sz w:val="32"/>
          <w:szCs w:val="32"/>
          <w:highlight w:val="none"/>
          <w:lang w:val="en-US" w:eastAsia="zh-CN"/>
        </w:rPr>
        <w:t>50.59</w:t>
      </w:r>
      <w:r>
        <w:rPr>
          <w:rFonts w:hint="default" w:ascii="Times New Roman" w:hAnsi="Times New Roman" w:cs="Times New Roman" w:eastAsiaTheme="minorEastAsia"/>
          <w:color w:val="auto"/>
          <w:sz w:val="32"/>
          <w:szCs w:val="32"/>
          <w:highlight w:val="none"/>
        </w:rPr>
        <w:t>万元，占</w:t>
      </w:r>
      <w:r>
        <w:rPr>
          <w:rFonts w:hint="default" w:ascii="Times New Roman" w:hAnsi="Times New Roman" w:cs="Times New Roman" w:eastAsiaTheme="minorEastAsia"/>
          <w:color w:val="auto"/>
          <w:sz w:val="32"/>
          <w:szCs w:val="32"/>
          <w:highlight w:val="none"/>
          <w:lang w:val="en-US" w:eastAsia="zh-CN"/>
        </w:rPr>
        <w:t>3.11</w:t>
      </w:r>
      <w:r>
        <w:rPr>
          <w:rFonts w:hint="default" w:ascii="Times New Roman" w:hAnsi="Times New Roman" w:cs="Times New Roman" w:eastAsiaTheme="minorEastAsia"/>
          <w:color w:val="auto"/>
          <w:sz w:val="32"/>
          <w:szCs w:val="32"/>
          <w:highlight w:val="none"/>
        </w:rPr>
        <w:t>%；</w:t>
      </w:r>
      <w:r>
        <w:rPr>
          <w:rFonts w:hint="default" w:ascii="Times New Roman" w:hAnsi="Times New Roman" w:cs="Times New Roman" w:eastAsiaTheme="minorEastAsia"/>
          <w:b/>
          <w:bCs/>
          <w:color w:val="auto"/>
          <w:sz w:val="32"/>
          <w:szCs w:val="32"/>
          <w:highlight w:val="none"/>
          <w:lang w:eastAsia="zh-CN"/>
        </w:rPr>
        <w:t>节能环保（类）</w:t>
      </w:r>
      <w:r>
        <w:rPr>
          <w:rFonts w:hint="default" w:ascii="Times New Roman" w:hAnsi="Times New Roman" w:cs="Times New Roman" w:eastAsiaTheme="minorEastAsia"/>
          <w:b w:val="0"/>
          <w:bCs w:val="0"/>
          <w:color w:val="auto"/>
          <w:sz w:val="32"/>
          <w:szCs w:val="32"/>
          <w:highlight w:val="none"/>
          <w:lang w:eastAsia="zh-CN"/>
        </w:rPr>
        <w:t>支出</w:t>
      </w:r>
      <w:r>
        <w:rPr>
          <w:rFonts w:hint="default" w:ascii="Times New Roman" w:hAnsi="Times New Roman" w:cs="Times New Roman" w:eastAsiaTheme="minorEastAsia"/>
          <w:b w:val="0"/>
          <w:bCs w:val="0"/>
          <w:color w:val="auto"/>
          <w:sz w:val="32"/>
          <w:szCs w:val="32"/>
          <w:highlight w:val="none"/>
          <w:lang w:val="en-US" w:eastAsia="zh-CN"/>
        </w:rPr>
        <w:t>3万元，</w:t>
      </w:r>
      <w:r>
        <w:rPr>
          <w:rFonts w:hint="default" w:ascii="Times New Roman" w:hAnsi="Times New Roman" w:cs="Times New Roman" w:eastAsiaTheme="minorEastAsia"/>
          <w:color w:val="auto"/>
          <w:sz w:val="32"/>
          <w:szCs w:val="32"/>
          <w:highlight w:val="none"/>
        </w:rPr>
        <w:t>占</w:t>
      </w:r>
      <w:r>
        <w:rPr>
          <w:rFonts w:hint="default" w:ascii="Times New Roman" w:hAnsi="Times New Roman" w:cs="Times New Roman" w:eastAsiaTheme="minorEastAsia"/>
          <w:color w:val="auto"/>
          <w:sz w:val="32"/>
          <w:szCs w:val="32"/>
          <w:highlight w:val="none"/>
          <w:lang w:val="en-US" w:eastAsia="zh-CN"/>
        </w:rPr>
        <w:t>0.18</w:t>
      </w:r>
      <w:r>
        <w:rPr>
          <w:rFonts w:hint="default" w:ascii="Times New Roman" w:hAnsi="Times New Roman" w:cs="Times New Roman" w:eastAsiaTheme="minorEastAsia"/>
          <w:color w:val="auto"/>
          <w:sz w:val="32"/>
          <w:szCs w:val="32"/>
          <w:highlight w:val="none"/>
        </w:rPr>
        <w:t>%；</w:t>
      </w:r>
      <w:r>
        <w:rPr>
          <w:rFonts w:hint="default" w:ascii="Times New Roman" w:hAnsi="Times New Roman" w:cs="Times New Roman" w:eastAsiaTheme="minorEastAsia"/>
          <w:b/>
          <w:bCs/>
          <w:color w:val="auto"/>
          <w:sz w:val="32"/>
          <w:szCs w:val="32"/>
          <w:highlight w:val="none"/>
          <w:lang w:eastAsia="zh-CN"/>
        </w:rPr>
        <w:t>城乡社区（类）</w:t>
      </w:r>
      <w:r>
        <w:rPr>
          <w:rFonts w:hint="default" w:ascii="Times New Roman" w:hAnsi="Times New Roman" w:cs="Times New Roman" w:eastAsiaTheme="minorEastAsia"/>
          <w:color w:val="auto"/>
          <w:sz w:val="32"/>
          <w:szCs w:val="32"/>
          <w:highlight w:val="none"/>
        </w:rPr>
        <w:t>支出</w:t>
      </w:r>
      <w:r>
        <w:rPr>
          <w:rFonts w:hint="default" w:ascii="Times New Roman" w:hAnsi="Times New Roman" w:cs="Times New Roman" w:eastAsiaTheme="minorEastAsia"/>
          <w:color w:val="auto"/>
          <w:sz w:val="32"/>
          <w:szCs w:val="32"/>
          <w:highlight w:val="none"/>
          <w:lang w:val="en-US" w:eastAsia="zh-CN"/>
        </w:rPr>
        <w:t>147.80</w:t>
      </w:r>
      <w:r>
        <w:rPr>
          <w:rFonts w:hint="default" w:ascii="Times New Roman" w:hAnsi="Times New Roman" w:cs="Times New Roman" w:eastAsiaTheme="minorEastAsia"/>
          <w:color w:val="auto"/>
          <w:sz w:val="32"/>
          <w:szCs w:val="32"/>
          <w:highlight w:val="none"/>
        </w:rPr>
        <w:t>万元，占</w:t>
      </w:r>
      <w:r>
        <w:rPr>
          <w:rFonts w:hint="default" w:ascii="Times New Roman" w:hAnsi="Times New Roman" w:cs="Times New Roman" w:eastAsiaTheme="minorEastAsia"/>
          <w:color w:val="auto"/>
          <w:sz w:val="32"/>
          <w:szCs w:val="32"/>
          <w:highlight w:val="none"/>
          <w:lang w:val="en-US" w:eastAsia="zh-CN"/>
        </w:rPr>
        <w:t>9.1</w:t>
      </w:r>
      <w:r>
        <w:rPr>
          <w:rFonts w:hint="default" w:ascii="Times New Roman" w:hAnsi="Times New Roman" w:cs="Times New Roman" w:eastAsiaTheme="minorEastAsia"/>
          <w:color w:val="auto"/>
          <w:sz w:val="32"/>
          <w:szCs w:val="32"/>
          <w:highlight w:val="none"/>
        </w:rPr>
        <w:t>%；</w:t>
      </w:r>
      <w:r>
        <w:rPr>
          <w:rFonts w:hint="default" w:ascii="Times New Roman" w:hAnsi="Times New Roman" w:cs="Times New Roman" w:eastAsiaTheme="minorEastAsia"/>
          <w:b/>
          <w:bCs/>
          <w:color w:val="auto"/>
          <w:sz w:val="32"/>
          <w:szCs w:val="32"/>
          <w:highlight w:val="none"/>
          <w:lang w:eastAsia="zh-CN"/>
        </w:rPr>
        <w:t>农林水</w:t>
      </w:r>
      <w:r>
        <w:rPr>
          <w:rFonts w:hint="default" w:ascii="Times New Roman" w:hAnsi="Times New Roman" w:cs="Times New Roman" w:eastAsiaTheme="minorEastAsia"/>
          <w:color w:val="auto"/>
          <w:sz w:val="32"/>
          <w:szCs w:val="32"/>
          <w:highlight w:val="none"/>
          <w:lang w:eastAsia="zh-CN"/>
        </w:rPr>
        <w:t>（类）</w:t>
      </w:r>
      <w:r>
        <w:rPr>
          <w:rFonts w:hint="default" w:ascii="Times New Roman" w:hAnsi="Times New Roman" w:cs="Times New Roman" w:eastAsiaTheme="minorEastAsia"/>
          <w:color w:val="auto"/>
          <w:sz w:val="32"/>
          <w:szCs w:val="32"/>
          <w:highlight w:val="none"/>
        </w:rPr>
        <w:t>支出</w:t>
      </w:r>
      <w:r>
        <w:rPr>
          <w:rFonts w:hint="default" w:ascii="Times New Roman" w:hAnsi="Times New Roman" w:cs="Times New Roman" w:eastAsiaTheme="minorEastAsia"/>
          <w:color w:val="auto"/>
          <w:sz w:val="32"/>
          <w:szCs w:val="32"/>
          <w:highlight w:val="none"/>
          <w:lang w:val="en-US" w:eastAsia="zh-CN"/>
        </w:rPr>
        <w:t>415.52</w:t>
      </w:r>
      <w:r>
        <w:rPr>
          <w:rFonts w:hint="default" w:ascii="Times New Roman" w:hAnsi="Times New Roman" w:cs="Times New Roman" w:eastAsiaTheme="minorEastAsia"/>
          <w:color w:val="auto"/>
          <w:sz w:val="32"/>
          <w:szCs w:val="32"/>
          <w:highlight w:val="none"/>
        </w:rPr>
        <w:t>万元，占</w:t>
      </w:r>
      <w:r>
        <w:rPr>
          <w:rFonts w:hint="default" w:ascii="Times New Roman" w:hAnsi="Times New Roman" w:cs="Times New Roman" w:eastAsiaTheme="minorEastAsia"/>
          <w:color w:val="auto"/>
          <w:sz w:val="32"/>
          <w:szCs w:val="32"/>
          <w:highlight w:val="none"/>
          <w:lang w:val="en-US" w:eastAsia="zh-CN"/>
        </w:rPr>
        <w:t>25.56</w:t>
      </w:r>
      <w:r>
        <w:rPr>
          <w:rFonts w:hint="default" w:ascii="Times New Roman" w:hAnsi="Times New Roman" w:cs="Times New Roman" w:eastAsiaTheme="minorEastAsia"/>
          <w:color w:val="auto"/>
          <w:sz w:val="32"/>
          <w:szCs w:val="32"/>
          <w:highlight w:val="none"/>
        </w:rPr>
        <w:t>%；</w:t>
      </w:r>
      <w:r>
        <w:rPr>
          <w:rFonts w:hint="default" w:ascii="Times New Roman" w:hAnsi="Times New Roman" w:cs="Times New Roman" w:eastAsiaTheme="minorEastAsia"/>
          <w:b/>
          <w:bCs/>
          <w:color w:val="auto"/>
          <w:sz w:val="32"/>
          <w:szCs w:val="32"/>
          <w:highlight w:val="none"/>
        </w:rPr>
        <w:t>住房保障</w:t>
      </w:r>
      <w:r>
        <w:rPr>
          <w:rFonts w:hint="default" w:ascii="Times New Roman" w:hAnsi="Times New Roman" w:cs="Times New Roman" w:eastAsiaTheme="minorEastAsia"/>
          <w:b/>
          <w:bCs/>
          <w:color w:val="auto"/>
          <w:sz w:val="32"/>
          <w:szCs w:val="32"/>
          <w:highlight w:val="none"/>
          <w:lang w:eastAsia="zh-CN"/>
        </w:rPr>
        <w:t>（类）</w:t>
      </w:r>
      <w:r>
        <w:rPr>
          <w:rFonts w:hint="default" w:ascii="Times New Roman" w:hAnsi="Times New Roman" w:cs="Times New Roman" w:eastAsiaTheme="minorEastAsia"/>
          <w:color w:val="auto"/>
          <w:sz w:val="32"/>
          <w:szCs w:val="32"/>
          <w:highlight w:val="none"/>
        </w:rPr>
        <w:t>支出</w:t>
      </w:r>
      <w:r>
        <w:rPr>
          <w:rFonts w:hint="default" w:ascii="Times New Roman" w:hAnsi="Times New Roman" w:cs="Times New Roman" w:eastAsiaTheme="minorEastAsia"/>
          <w:color w:val="auto"/>
          <w:sz w:val="32"/>
          <w:szCs w:val="32"/>
          <w:highlight w:val="none"/>
          <w:lang w:val="en-US" w:eastAsia="zh-CN"/>
        </w:rPr>
        <w:t>50.65</w:t>
      </w:r>
      <w:r>
        <w:rPr>
          <w:rFonts w:hint="default" w:ascii="Times New Roman" w:hAnsi="Times New Roman" w:cs="Times New Roman" w:eastAsiaTheme="minorEastAsia"/>
          <w:color w:val="auto"/>
          <w:sz w:val="32"/>
          <w:szCs w:val="32"/>
          <w:highlight w:val="none"/>
        </w:rPr>
        <w:t>万元，占</w:t>
      </w:r>
      <w:r>
        <w:rPr>
          <w:rFonts w:hint="default" w:ascii="Times New Roman" w:hAnsi="Times New Roman" w:cs="Times New Roman" w:eastAsiaTheme="minorEastAsia"/>
          <w:color w:val="auto"/>
          <w:sz w:val="32"/>
          <w:szCs w:val="32"/>
          <w:highlight w:val="none"/>
          <w:lang w:val="en-US" w:eastAsia="zh-CN"/>
        </w:rPr>
        <w:t>3.12</w:t>
      </w:r>
      <w:r>
        <w:rPr>
          <w:rFonts w:hint="default" w:ascii="Times New Roman" w:hAnsi="Times New Roman" w:cs="Times New Roman" w:eastAsiaTheme="minorEastAsia"/>
          <w:color w:val="auto"/>
          <w:sz w:val="32"/>
          <w:szCs w:val="32"/>
          <w:highlight w:val="none"/>
        </w:rPr>
        <w:t>%；</w:t>
      </w:r>
      <w:r>
        <w:rPr>
          <w:rFonts w:hint="default" w:ascii="Times New Roman" w:hAnsi="Times New Roman" w:cs="Times New Roman" w:eastAsiaTheme="minorEastAsia"/>
          <w:b/>
          <w:bCs/>
          <w:color w:val="auto"/>
          <w:sz w:val="32"/>
          <w:szCs w:val="32"/>
          <w:highlight w:val="none"/>
          <w:lang w:eastAsia="zh-CN"/>
        </w:rPr>
        <w:t>其他支出（类）</w:t>
      </w:r>
      <w:r>
        <w:rPr>
          <w:rFonts w:hint="default" w:ascii="Times New Roman" w:hAnsi="Times New Roman" w:cs="Times New Roman" w:eastAsiaTheme="minorEastAsia"/>
          <w:color w:val="auto"/>
          <w:sz w:val="32"/>
          <w:szCs w:val="32"/>
          <w:highlight w:val="none"/>
        </w:rPr>
        <w:t>支出</w:t>
      </w:r>
      <w:r>
        <w:rPr>
          <w:rFonts w:hint="default" w:ascii="Times New Roman" w:hAnsi="Times New Roman" w:cs="Times New Roman" w:eastAsiaTheme="minorEastAsia"/>
          <w:color w:val="auto"/>
          <w:sz w:val="32"/>
          <w:szCs w:val="32"/>
          <w:highlight w:val="none"/>
          <w:lang w:val="en-US" w:eastAsia="zh-CN"/>
        </w:rPr>
        <w:t>5</w:t>
      </w:r>
      <w:r>
        <w:rPr>
          <w:rFonts w:hint="default" w:ascii="Times New Roman" w:hAnsi="Times New Roman" w:cs="Times New Roman" w:eastAsiaTheme="minorEastAsia"/>
          <w:color w:val="auto"/>
          <w:sz w:val="32"/>
          <w:szCs w:val="32"/>
          <w:highlight w:val="none"/>
        </w:rPr>
        <w:t>万元，占</w:t>
      </w:r>
      <w:r>
        <w:rPr>
          <w:rFonts w:hint="default" w:ascii="Times New Roman" w:hAnsi="Times New Roman" w:cs="Times New Roman" w:eastAsiaTheme="minorEastAsia"/>
          <w:color w:val="auto"/>
          <w:sz w:val="32"/>
          <w:szCs w:val="32"/>
          <w:highlight w:val="none"/>
          <w:lang w:val="en-US" w:eastAsia="zh-CN"/>
        </w:rPr>
        <w:t>0.3</w:t>
      </w:r>
      <w:r>
        <w:rPr>
          <w:rFonts w:hint="default" w:ascii="Times New Roman" w:hAnsi="Times New Roman" w:cs="Times New Roman" w:eastAsiaTheme="minorEastAsia"/>
          <w:color w:val="auto"/>
          <w:sz w:val="32"/>
          <w:szCs w:val="32"/>
          <w:highlight w:val="none"/>
        </w:rPr>
        <w:t>%。</w:t>
      </w:r>
    </w:p>
    <w:p>
      <w:pPr>
        <w:spacing w:line="600" w:lineRule="exact"/>
        <w:ind w:firstLine="64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w:t>
      </w:r>
      <w:r>
        <w:rPr>
          <w:rFonts w:hint="default" w:ascii="Times New Roman" w:hAnsi="Times New Roman" w:cs="Times New Roman" w:eastAsiaTheme="minorEastAsia"/>
          <w:b/>
          <w:color w:val="auto"/>
          <w:sz w:val="32"/>
          <w:szCs w:val="32"/>
          <w:highlight w:val="none"/>
          <w:lang w:eastAsia="zh-CN"/>
        </w:rPr>
        <w:t>注：数据来源于财决</w:t>
      </w:r>
      <w:r>
        <w:rPr>
          <w:rFonts w:hint="default" w:ascii="Times New Roman" w:hAnsi="Times New Roman" w:cs="Times New Roman" w:eastAsiaTheme="minorEastAsia"/>
          <w:b/>
          <w:color w:val="auto"/>
          <w:sz w:val="32"/>
          <w:szCs w:val="32"/>
          <w:highlight w:val="none"/>
          <w:lang w:val="en-US" w:eastAsia="zh-CN"/>
        </w:rPr>
        <w:t>01-1表，仅</w:t>
      </w:r>
      <w:r>
        <w:rPr>
          <w:rFonts w:hint="default" w:ascii="Times New Roman" w:hAnsi="Times New Roman" w:cs="Times New Roman" w:eastAsiaTheme="minorEastAsia"/>
          <w:b/>
          <w:color w:val="auto"/>
          <w:sz w:val="32"/>
          <w:szCs w:val="32"/>
          <w:highlight w:val="none"/>
        </w:rPr>
        <w:t>罗列</w:t>
      </w:r>
      <w:r>
        <w:rPr>
          <w:rFonts w:hint="default" w:ascii="Times New Roman" w:hAnsi="Times New Roman" w:cs="Times New Roman" w:eastAsiaTheme="minorEastAsia"/>
          <w:b/>
          <w:color w:val="auto"/>
          <w:sz w:val="32"/>
          <w:szCs w:val="32"/>
          <w:highlight w:val="none"/>
          <w:lang w:eastAsia="zh-CN"/>
        </w:rPr>
        <w:t>本单位涉及的</w:t>
      </w:r>
      <w:r>
        <w:rPr>
          <w:rFonts w:hint="default" w:ascii="Times New Roman" w:hAnsi="Times New Roman" w:cs="Times New Roman" w:eastAsiaTheme="minorEastAsia"/>
          <w:b/>
          <w:color w:val="auto"/>
          <w:sz w:val="32"/>
          <w:szCs w:val="32"/>
          <w:highlight w:val="none"/>
        </w:rPr>
        <w:t>全部功能分类科目，至类级。）</w:t>
      </w:r>
    </w:p>
    <w:p>
      <w:pPr>
        <w:spacing w:line="600" w:lineRule="exact"/>
        <w:ind w:firstLine="640"/>
        <w:rPr>
          <w:rFonts w:hint="default" w:ascii="Times New Roman" w:hAnsi="Times New Roman" w:cs="Times New Roman" w:eastAsiaTheme="minorEastAsia"/>
          <w:color w:val="auto"/>
          <w:sz w:val="32"/>
          <w:szCs w:val="32"/>
          <w:highlight w:val="none"/>
        </w:rPr>
      </w:pPr>
    </w:p>
    <w:p>
      <w:pPr>
        <w:spacing w:line="60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（图6：一般公共预算财政拨款支出决算结构）（饼状图）</w:t>
      </w:r>
    </w:p>
    <w:p>
      <w:pPr>
        <w:spacing w:line="600" w:lineRule="exact"/>
        <w:ind w:firstLine="640" w:firstLineChars="200"/>
        <w:rPr>
          <w:rFonts w:hint="default" w:ascii="Times New Roman" w:hAnsi="Times New Roman" w:cs="Times New Roman" w:eastAsiaTheme="minorEastAsia"/>
          <w:color w:val="auto"/>
          <w:sz w:val="32"/>
          <w:szCs w:val="32"/>
          <w:highlight w:val="none"/>
        </w:rPr>
      </w:pPr>
    </w:p>
    <w:p>
      <w:pPr>
        <w:pStyle w:val="2"/>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hint="default" w:ascii="Times New Roman" w:hAnsi="Times New Roman" w:cs="Times New Roman" w:eastAsiaTheme="minorEastAsia"/>
          <w:b/>
          <w:color w:val="auto"/>
          <w:sz w:val="32"/>
          <w:szCs w:val="32"/>
          <w:highlight w:val="none"/>
        </w:rPr>
      </w:pPr>
      <w:bookmarkStart w:id="32" w:name="_Toc15377212"/>
      <w:r>
        <w:rPr>
          <w:rFonts w:hint="default" w:ascii="Times New Roman" w:hAnsi="Times New Roman" w:cs="Times New Roman" w:eastAsiaTheme="minorEastAsia"/>
          <w:b/>
          <w:color w:val="auto"/>
          <w:sz w:val="32"/>
          <w:szCs w:val="32"/>
          <w:highlight w:val="none"/>
        </w:rPr>
        <w:t>（三）一般公共预算财政拨款支出决算具体情况</w:t>
      </w:r>
      <w:bookmarkEnd w:id="32"/>
    </w:p>
    <w:p>
      <w:pPr>
        <w:spacing w:line="600" w:lineRule="exact"/>
        <w:ind w:firstLine="643" w:firstLineChars="200"/>
        <w:outlineLvl w:val="2"/>
        <w:rPr>
          <w:rFonts w:hint="default" w:ascii="Times New Roman" w:hAnsi="Times New Roman" w:cs="Times New Roman" w:eastAsiaTheme="minorEastAsia"/>
          <w:color w:val="auto"/>
          <w:sz w:val="32"/>
          <w:szCs w:val="32"/>
          <w:highlight w:val="none"/>
        </w:rPr>
      </w:pPr>
      <w:bookmarkStart w:id="33" w:name="_Toc15378460"/>
      <w:bookmarkStart w:id="34" w:name="_Toc15377213"/>
      <w:bookmarkStart w:id="35" w:name="_Toc15377444"/>
      <w:r>
        <w:rPr>
          <w:rFonts w:hint="default" w:ascii="Times New Roman" w:hAnsi="Times New Roman" w:cs="Times New Roman" w:eastAsiaTheme="minorEastAsia"/>
          <w:b/>
          <w:color w:val="auto"/>
          <w:sz w:val="32"/>
          <w:szCs w:val="32"/>
          <w:highlight w:val="none"/>
        </w:rPr>
        <w:t>20</w:t>
      </w:r>
      <w:r>
        <w:rPr>
          <w:rFonts w:hint="default" w:ascii="Times New Roman" w:hAnsi="Times New Roman" w:cs="Times New Roman" w:eastAsiaTheme="minorEastAsia"/>
          <w:b/>
          <w:color w:val="auto"/>
          <w:sz w:val="32"/>
          <w:szCs w:val="32"/>
          <w:highlight w:val="none"/>
          <w:lang w:val="en-US" w:eastAsia="zh-CN"/>
        </w:rPr>
        <w:t>21</w:t>
      </w:r>
      <w:r>
        <w:rPr>
          <w:rFonts w:hint="default" w:ascii="Times New Roman" w:hAnsi="Times New Roman" w:cs="Times New Roman" w:eastAsiaTheme="minorEastAsia"/>
          <w:b/>
          <w:color w:val="auto"/>
          <w:sz w:val="32"/>
          <w:szCs w:val="32"/>
          <w:highlight w:val="none"/>
        </w:rPr>
        <w:t>年</w:t>
      </w:r>
      <w:r>
        <w:rPr>
          <w:rFonts w:hint="default" w:ascii="Times New Roman" w:hAnsi="Times New Roman" w:cs="Times New Roman" w:eastAsiaTheme="minorEastAsia"/>
          <w:b/>
          <w:color w:val="auto"/>
          <w:sz w:val="32"/>
          <w:szCs w:val="32"/>
          <w:highlight w:val="none"/>
          <w:lang w:eastAsia="zh-CN"/>
        </w:rPr>
        <w:t>一</w:t>
      </w:r>
      <w:r>
        <w:rPr>
          <w:rFonts w:hint="default" w:ascii="Times New Roman" w:hAnsi="Times New Roman" w:cs="Times New Roman" w:eastAsiaTheme="minorEastAsia"/>
          <w:b/>
          <w:color w:val="auto"/>
          <w:sz w:val="32"/>
          <w:szCs w:val="32"/>
          <w:highlight w:val="none"/>
        </w:rPr>
        <w:t>般公共预算支出决算数为</w:t>
      </w:r>
      <w:r>
        <w:rPr>
          <w:rFonts w:hint="default" w:ascii="Times New Roman" w:hAnsi="Times New Roman" w:cs="Times New Roman" w:eastAsiaTheme="minorEastAsia"/>
          <w:b/>
          <w:color w:val="auto"/>
          <w:sz w:val="32"/>
          <w:szCs w:val="32"/>
          <w:highlight w:val="none"/>
          <w:lang w:val="en-US" w:eastAsia="zh-CN"/>
        </w:rPr>
        <w:t>1479.62</w:t>
      </w:r>
      <w:r>
        <w:rPr>
          <w:rFonts w:hint="default" w:ascii="Times New Roman" w:hAnsi="Times New Roman" w:cs="Times New Roman" w:eastAsiaTheme="minorEastAsia"/>
          <w:color w:val="auto"/>
          <w:sz w:val="32"/>
          <w:szCs w:val="32"/>
          <w:highlight w:val="none"/>
        </w:rPr>
        <w:t>，</w:t>
      </w:r>
      <w:r>
        <w:rPr>
          <w:rStyle w:val="14"/>
          <w:rFonts w:hint="default" w:ascii="Times New Roman" w:hAnsi="Times New Roman" w:cs="Times New Roman" w:eastAsiaTheme="minorEastAsia"/>
          <w:bCs/>
          <w:color w:val="auto"/>
          <w:sz w:val="32"/>
          <w:szCs w:val="32"/>
          <w:highlight w:val="none"/>
        </w:rPr>
        <w:t>完成预算</w:t>
      </w:r>
      <w:r>
        <w:rPr>
          <w:rStyle w:val="14"/>
          <w:rFonts w:hint="default" w:ascii="Times New Roman" w:hAnsi="Times New Roman" w:cs="Times New Roman" w:eastAsiaTheme="minorEastAsia"/>
          <w:bCs/>
          <w:color w:val="auto"/>
          <w:sz w:val="32"/>
          <w:szCs w:val="32"/>
          <w:highlight w:val="none"/>
          <w:lang w:val="en-US"/>
        </w:rPr>
        <w:t>100</w:t>
      </w:r>
      <w:r>
        <w:rPr>
          <w:rStyle w:val="14"/>
          <w:rFonts w:hint="default" w:ascii="Times New Roman" w:hAnsi="Times New Roman" w:cs="Times New Roman" w:eastAsiaTheme="minorEastAsia"/>
          <w:bCs/>
          <w:color w:val="auto"/>
          <w:sz w:val="32"/>
          <w:szCs w:val="32"/>
          <w:highlight w:val="none"/>
        </w:rPr>
        <w:t>%。其中：</w:t>
      </w:r>
      <w:bookmarkEnd w:id="33"/>
      <w:bookmarkEnd w:id="34"/>
      <w:bookmarkEnd w:id="35"/>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1.一般</w:t>
      </w:r>
      <w:r>
        <w:rPr>
          <w:rStyle w:val="14"/>
          <w:rFonts w:hint="default" w:ascii="Times New Roman" w:hAnsi="Times New Roman" w:cs="Times New Roman" w:eastAsiaTheme="minorEastAsia"/>
          <w:b/>
          <w:bCs w:val="0"/>
          <w:color w:val="auto"/>
          <w:sz w:val="32"/>
          <w:szCs w:val="32"/>
          <w:highlight w:val="none"/>
        </w:rPr>
        <w:t>公共服务支出</w:t>
      </w:r>
      <w:r>
        <w:rPr>
          <w:rStyle w:val="14"/>
          <w:rFonts w:hint="default" w:ascii="Times New Roman" w:hAnsi="Times New Roman" w:cs="Times New Roman" w:eastAsiaTheme="minorEastAsia"/>
          <w:bCs/>
          <w:color w:val="auto"/>
          <w:sz w:val="32"/>
          <w:szCs w:val="32"/>
          <w:highlight w:val="none"/>
        </w:rPr>
        <w:t>（类）人大事务（款） 人大代表履职能力提升（项）: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4.75</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2.一般</w:t>
      </w:r>
      <w:r>
        <w:rPr>
          <w:rStyle w:val="14"/>
          <w:rFonts w:hint="default" w:ascii="Times New Roman" w:hAnsi="Times New Roman" w:cs="Times New Roman" w:eastAsiaTheme="minorEastAsia"/>
          <w:b/>
          <w:bCs w:val="0"/>
          <w:color w:val="auto"/>
          <w:sz w:val="32"/>
          <w:szCs w:val="32"/>
          <w:highlight w:val="none"/>
        </w:rPr>
        <w:t>公共服务支出</w:t>
      </w:r>
      <w:r>
        <w:rPr>
          <w:rStyle w:val="14"/>
          <w:rFonts w:hint="default" w:ascii="Times New Roman" w:hAnsi="Times New Roman" w:cs="Times New Roman" w:eastAsiaTheme="minorEastAsia"/>
          <w:bCs/>
          <w:color w:val="auto"/>
          <w:sz w:val="32"/>
          <w:szCs w:val="32"/>
          <w:highlight w:val="none"/>
        </w:rPr>
        <w:t>（类） 政府办公厅（室）及相关机构事务（款） 行政运行（项）: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442</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3.一般</w:t>
      </w:r>
      <w:r>
        <w:rPr>
          <w:rStyle w:val="14"/>
          <w:rFonts w:hint="default" w:ascii="Times New Roman" w:hAnsi="Times New Roman" w:cs="Times New Roman" w:eastAsiaTheme="minorEastAsia"/>
          <w:b/>
          <w:bCs w:val="0"/>
          <w:color w:val="auto"/>
          <w:sz w:val="32"/>
          <w:szCs w:val="32"/>
          <w:highlight w:val="none"/>
        </w:rPr>
        <w:t>公共服务支出</w:t>
      </w:r>
      <w:r>
        <w:rPr>
          <w:rStyle w:val="14"/>
          <w:rFonts w:hint="default" w:ascii="Times New Roman" w:hAnsi="Times New Roman" w:cs="Times New Roman" w:eastAsiaTheme="minorEastAsia"/>
          <w:bCs/>
          <w:color w:val="auto"/>
          <w:sz w:val="32"/>
          <w:szCs w:val="32"/>
          <w:highlight w:val="none"/>
        </w:rPr>
        <w:t>（类） 政府办公厅（室）及相关机构事务（款） 一般行政管理事务（项）: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116.3</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4.一般</w:t>
      </w:r>
      <w:r>
        <w:rPr>
          <w:rStyle w:val="14"/>
          <w:rFonts w:hint="default" w:ascii="Times New Roman" w:hAnsi="Times New Roman" w:cs="Times New Roman" w:eastAsiaTheme="minorEastAsia"/>
          <w:b/>
          <w:bCs w:val="0"/>
          <w:color w:val="auto"/>
          <w:sz w:val="32"/>
          <w:szCs w:val="32"/>
          <w:highlight w:val="none"/>
        </w:rPr>
        <w:t>公共服务支出</w:t>
      </w:r>
      <w:r>
        <w:rPr>
          <w:rStyle w:val="14"/>
          <w:rFonts w:hint="default" w:ascii="Times New Roman" w:hAnsi="Times New Roman" w:cs="Times New Roman" w:eastAsiaTheme="minorEastAsia"/>
          <w:bCs/>
          <w:color w:val="auto"/>
          <w:sz w:val="32"/>
          <w:szCs w:val="32"/>
          <w:highlight w:val="none"/>
        </w:rPr>
        <w:t>（类） 政府办公厅（室）及相关机构事务（款） 信访事务（项）: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5</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5.一般</w:t>
      </w:r>
      <w:r>
        <w:rPr>
          <w:rStyle w:val="14"/>
          <w:rFonts w:hint="default" w:ascii="Times New Roman" w:hAnsi="Times New Roman" w:cs="Times New Roman" w:eastAsiaTheme="minorEastAsia"/>
          <w:b/>
          <w:bCs w:val="0"/>
          <w:color w:val="auto"/>
          <w:sz w:val="32"/>
          <w:szCs w:val="32"/>
          <w:highlight w:val="none"/>
        </w:rPr>
        <w:t>公共服务支出</w:t>
      </w:r>
      <w:r>
        <w:rPr>
          <w:rStyle w:val="14"/>
          <w:rFonts w:hint="default" w:ascii="Times New Roman" w:hAnsi="Times New Roman" w:cs="Times New Roman" w:eastAsiaTheme="minorEastAsia"/>
          <w:bCs/>
          <w:color w:val="auto"/>
          <w:sz w:val="32"/>
          <w:szCs w:val="32"/>
          <w:highlight w:val="none"/>
        </w:rPr>
        <w:t>（类） 政府办公厅（室）及相关机构事务（款）其他政府办公厅（室）及相关机构事务支出（项）: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256.59</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6.一般</w:t>
      </w:r>
      <w:r>
        <w:rPr>
          <w:rStyle w:val="14"/>
          <w:rFonts w:hint="default" w:ascii="Times New Roman" w:hAnsi="Times New Roman" w:cs="Times New Roman" w:eastAsiaTheme="minorEastAsia"/>
          <w:b/>
          <w:bCs w:val="0"/>
          <w:color w:val="auto"/>
          <w:sz w:val="32"/>
          <w:szCs w:val="32"/>
          <w:highlight w:val="none"/>
        </w:rPr>
        <w:t>公共服务支出</w:t>
      </w:r>
      <w:r>
        <w:rPr>
          <w:rStyle w:val="14"/>
          <w:rFonts w:hint="default" w:ascii="Times New Roman" w:hAnsi="Times New Roman" w:cs="Times New Roman" w:eastAsiaTheme="minorEastAsia"/>
          <w:bCs/>
          <w:color w:val="auto"/>
          <w:sz w:val="32"/>
          <w:szCs w:val="32"/>
          <w:highlight w:val="none"/>
        </w:rPr>
        <w:t>（类）纪检监察事务（款）其他纪检监察事务支出（项）: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3.86</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7.一般</w:t>
      </w:r>
      <w:r>
        <w:rPr>
          <w:rStyle w:val="14"/>
          <w:rFonts w:hint="default" w:ascii="Times New Roman" w:hAnsi="Times New Roman" w:cs="Times New Roman" w:eastAsiaTheme="minorEastAsia"/>
          <w:b/>
          <w:bCs w:val="0"/>
          <w:color w:val="auto"/>
          <w:sz w:val="32"/>
          <w:szCs w:val="32"/>
          <w:highlight w:val="none"/>
        </w:rPr>
        <w:t>公共服务支出</w:t>
      </w:r>
      <w:r>
        <w:rPr>
          <w:rStyle w:val="14"/>
          <w:rFonts w:hint="default" w:ascii="Times New Roman" w:hAnsi="Times New Roman" w:cs="Times New Roman" w:eastAsiaTheme="minorEastAsia"/>
          <w:bCs/>
          <w:color w:val="auto"/>
          <w:sz w:val="32"/>
          <w:szCs w:val="32"/>
          <w:highlight w:val="none"/>
        </w:rPr>
        <w:t>（类） 组织事务（款）其他组织事务支出（项）: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3</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b/>
          <w:bCs/>
          <w:color w:val="auto"/>
          <w:sz w:val="32"/>
          <w:szCs w:val="32"/>
          <w:highlight w:val="none"/>
          <w:lang w:val="en-US" w:eastAsia="zh-CN"/>
        </w:rPr>
        <w:t>8.一般</w:t>
      </w:r>
      <w:r>
        <w:rPr>
          <w:rStyle w:val="14"/>
          <w:rFonts w:hint="default" w:ascii="Times New Roman" w:hAnsi="Times New Roman" w:cs="Times New Roman" w:eastAsiaTheme="minorEastAsia"/>
          <w:b/>
          <w:bCs w:val="0"/>
          <w:color w:val="auto"/>
          <w:sz w:val="32"/>
          <w:szCs w:val="32"/>
          <w:highlight w:val="none"/>
        </w:rPr>
        <w:t>公共服务支出</w:t>
      </w:r>
      <w:r>
        <w:rPr>
          <w:rStyle w:val="14"/>
          <w:rFonts w:hint="default" w:ascii="Times New Roman" w:hAnsi="Times New Roman" w:cs="Times New Roman" w:eastAsiaTheme="minorEastAsia"/>
          <w:bCs/>
          <w:color w:val="auto"/>
          <w:sz w:val="32"/>
          <w:szCs w:val="32"/>
          <w:highlight w:val="none"/>
        </w:rPr>
        <w:t>（类） 其他一般公共服务支出（款）  其他一般公共服务支出（项）: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15</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9.教</w:t>
      </w:r>
      <w:r>
        <w:rPr>
          <w:rStyle w:val="14"/>
          <w:rFonts w:hint="default" w:ascii="Times New Roman" w:hAnsi="Times New Roman" w:cs="Times New Roman" w:eastAsiaTheme="minorEastAsia"/>
          <w:b/>
          <w:bCs w:val="0"/>
          <w:color w:val="auto"/>
          <w:sz w:val="32"/>
          <w:szCs w:val="32"/>
          <w:highlight w:val="none"/>
        </w:rPr>
        <w:t>育支出</w:t>
      </w:r>
      <w:r>
        <w:rPr>
          <w:rStyle w:val="14"/>
          <w:rFonts w:hint="default" w:ascii="Times New Roman" w:hAnsi="Times New Roman" w:cs="Times New Roman" w:eastAsiaTheme="minorEastAsia"/>
          <w:bCs/>
          <w:color w:val="auto"/>
          <w:sz w:val="32"/>
          <w:szCs w:val="32"/>
          <w:highlight w:val="none"/>
        </w:rPr>
        <w:t>（类）进修及培训（款）干部教育（项）: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10</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b/>
          <w:bCs/>
          <w:color w:val="auto"/>
          <w:sz w:val="32"/>
          <w:szCs w:val="32"/>
          <w:highlight w:val="none"/>
          <w:lang w:val="en-US" w:eastAsia="zh-CN"/>
        </w:rPr>
        <w:t>10.教</w:t>
      </w:r>
      <w:r>
        <w:rPr>
          <w:rStyle w:val="14"/>
          <w:rFonts w:hint="default" w:ascii="Times New Roman" w:hAnsi="Times New Roman" w:cs="Times New Roman" w:eastAsiaTheme="minorEastAsia"/>
          <w:b/>
          <w:bCs w:val="0"/>
          <w:color w:val="auto"/>
          <w:sz w:val="32"/>
          <w:szCs w:val="32"/>
          <w:highlight w:val="none"/>
        </w:rPr>
        <w:t>育支出</w:t>
      </w:r>
      <w:r>
        <w:rPr>
          <w:rStyle w:val="14"/>
          <w:rFonts w:hint="default" w:ascii="Times New Roman" w:hAnsi="Times New Roman" w:cs="Times New Roman" w:eastAsiaTheme="minorEastAsia"/>
          <w:bCs/>
          <w:color w:val="auto"/>
          <w:sz w:val="32"/>
          <w:szCs w:val="32"/>
          <w:highlight w:val="none"/>
        </w:rPr>
        <w:t>（类）其他教育支出（款） 其他教育支出（项）: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0.5</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b/>
          <w:bCs/>
          <w:color w:val="auto"/>
          <w:sz w:val="32"/>
          <w:szCs w:val="32"/>
          <w:highlight w:val="none"/>
          <w:lang w:val="en-US" w:eastAsia="zh-CN"/>
        </w:rPr>
        <w:t>11.国防支出</w:t>
      </w:r>
      <w:r>
        <w:rPr>
          <w:rStyle w:val="14"/>
          <w:rFonts w:hint="default" w:ascii="Times New Roman" w:hAnsi="Times New Roman" w:cs="Times New Roman" w:eastAsiaTheme="minorEastAsia"/>
          <w:bCs/>
          <w:color w:val="auto"/>
          <w:sz w:val="32"/>
          <w:szCs w:val="32"/>
          <w:highlight w:val="none"/>
        </w:rPr>
        <w:t>（类）国防动员（款） 预备役部队（项）: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4.05</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12.文化</w:t>
      </w:r>
      <w:r>
        <w:rPr>
          <w:rStyle w:val="14"/>
          <w:rFonts w:hint="default" w:ascii="Times New Roman" w:hAnsi="Times New Roman" w:cs="Times New Roman" w:eastAsiaTheme="minorEastAsia"/>
          <w:b/>
          <w:bCs w:val="0"/>
          <w:color w:val="auto"/>
          <w:sz w:val="32"/>
          <w:szCs w:val="32"/>
          <w:highlight w:val="none"/>
        </w:rPr>
        <w:t>旅游体育与传媒支出</w:t>
      </w:r>
      <w:r>
        <w:rPr>
          <w:rStyle w:val="14"/>
          <w:rFonts w:hint="default" w:ascii="Times New Roman" w:hAnsi="Times New Roman" w:cs="Times New Roman" w:eastAsiaTheme="minorEastAsia"/>
          <w:bCs/>
          <w:color w:val="auto"/>
          <w:sz w:val="32"/>
          <w:szCs w:val="32"/>
          <w:highlight w:val="none"/>
        </w:rPr>
        <w:t>（类）其他文化旅游体育与传媒支出（款） 宣传文化发展专项支出（项）: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6</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13.社会</w:t>
      </w:r>
      <w:r>
        <w:rPr>
          <w:rStyle w:val="14"/>
          <w:rFonts w:hint="default" w:ascii="Times New Roman" w:hAnsi="Times New Roman" w:cs="Times New Roman" w:eastAsiaTheme="minorEastAsia"/>
          <w:b/>
          <w:bCs w:val="0"/>
          <w:color w:val="auto"/>
          <w:sz w:val="32"/>
          <w:szCs w:val="32"/>
          <w:highlight w:val="none"/>
        </w:rPr>
        <w:t>保障和就业支出</w:t>
      </w:r>
      <w:r>
        <w:rPr>
          <w:rStyle w:val="14"/>
          <w:rFonts w:hint="default" w:ascii="Times New Roman" w:hAnsi="Times New Roman" w:cs="Times New Roman" w:eastAsiaTheme="minorEastAsia"/>
          <w:bCs/>
          <w:color w:val="auto"/>
          <w:sz w:val="32"/>
          <w:szCs w:val="32"/>
          <w:highlight w:val="none"/>
        </w:rPr>
        <w:t>（类）行政事业单位养老支出（款）  行政单位离退休（项）: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4.59</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14.社</w:t>
      </w:r>
      <w:r>
        <w:rPr>
          <w:rStyle w:val="14"/>
          <w:rFonts w:hint="default" w:ascii="Times New Roman" w:hAnsi="Times New Roman" w:cs="Times New Roman" w:eastAsiaTheme="minorEastAsia"/>
          <w:b/>
          <w:bCs w:val="0"/>
          <w:color w:val="auto"/>
          <w:sz w:val="32"/>
          <w:szCs w:val="32"/>
          <w:highlight w:val="none"/>
        </w:rPr>
        <w:t>会保障和就业支出</w:t>
      </w:r>
      <w:r>
        <w:rPr>
          <w:rStyle w:val="14"/>
          <w:rFonts w:hint="default" w:ascii="Times New Roman" w:hAnsi="Times New Roman" w:cs="Times New Roman" w:eastAsiaTheme="minorEastAsia"/>
          <w:bCs/>
          <w:color w:val="auto"/>
          <w:sz w:val="32"/>
          <w:szCs w:val="32"/>
          <w:highlight w:val="none"/>
        </w:rPr>
        <w:t>（类）行政事业单位养老支出（款）机关事业单位基本养老保险缴费支出（项）: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63.55</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15.社</w:t>
      </w:r>
      <w:r>
        <w:rPr>
          <w:rStyle w:val="14"/>
          <w:rFonts w:hint="default" w:ascii="Times New Roman" w:hAnsi="Times New Roman" w:cs="Times New Roman" w:eastAsiaTheme="minorEastAsia"/>
          <w:b/>
          <w:bCs w:val="0"/>
          <w:color w:val="auto"/>
          <w:sz w:val="32"/>
          <w:szCs w:val="32"/>
          <w:highlight w:val="none"/>
        </w:rPr>
        <w:t>会保障和就业支出</w:t>
      </w:r>
      <w:r>
        <w:rPr>
          <w:rStyle w:val="14"/>
          <w:rFonts w:hint="default" w:ascii="Times New Roman" w:hAnsi="Times New Roman" w:cs="Times New Roman" w:eastAsiaTheme="minorEastAsia"/>
          <w:bCs/>
          <w:color w:val="auto"/>
          <w:sz w:val="32"/>
          <w:szCs w:val="32"/>
          <w:highlight w:val="none"/>
        </w:rPr>
        <w:t>（类）行政事业单位养老支出（款）机关事业单位职业年金缴费支出（项）: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8.08</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b/>
          <w:bCs/>
          <w:color w:val="auto"/>
          <w:sz w:val="32"/>
          <w:szCs w:val="32"/>
          <w:highlight w:val="none"/>
          <w:lang w:val="en-US" w:eastAsia="zh-CN"/>
        </w:rPr>
        <w:t>16.社</w:t>
      </w:r>
      <w:r>
        <w:rPr>
          <w:rStyle w:val="14"/>
          <w:rFonts w:hint="default" w:ascii="Times New Roman" w:hAnsi="Times New Roman" w:cs="Times New Roman" w:eastAsiaTheme="minorEastAsia"/>
          <w:b/>
          <w:bCs w:val="0"/>
          <w:color w:val="auto"/>
          <w:sz w:val="32"/>
          <w:szCs w:val="32"/>
          <w:highlight w:val="none"/>
        </w:rPr>
        <w:t>会保障和就业支出</w:t>
      </w:r>
      <w:r>
        <w:rPr>
          <w:rStyle w:val="14"/>
          <w:rFonts w:hint="default" w:ascii="Times New Roman" w:hAnsi="Times New Roman" w:cs="Times New Roman" w:eastAsiaTheme="minorEastAsia"/>
          <w:bCs/>
          <w:color w:val="auto"/>
          <w:sz w:val="32"/>
          <w:szCs w:val="32"/>
          <w:highlight w:val="none"/>
        </w:rPr>
        <w:t>（类）行政事业单位养老支出（款） 其他行政事业单位养老支出（项）:</w:t>
      </w:r>
      <w:r>
        <w:rPr>
          <w:rStyle w:val="14"/>
          <w:rFonts w:hint="default" w:ascii="Times New Roman" w:hAnsi="Times New Roman" w:cs="Times New Roman" w:eastAsiaTheme="minorEastAsia"/>
          <w:b w:val="0"/>
          <w:bCs/>
          <w:color w:val="auto"/>
          <w:sz w:val="32"/>
          <w:szCs w:val="32"/>
          <w:highlight w:val="none"/>
        </w:rPr>
        <w:t xml:space="preserve"> 支出决算为</w:t>
      </w:r>
      <w:r>
        <w:rPr>
          <w:rStyle w:val="14"/>
          <w:rFonts w:hint="default" w:ascii="Times New Roman" w:hAnsi="Times New Roman" w:cs="Times New Roman" w:eastAsiaTheme="minorEastAsia"/>
          <w:b w:val="0"/>
          <w:bCs/>
          <w:color w:val="auto"/>
          <w:sz w:val="32"/>
          <w:szCs w:val="32"/>
          <w:highlight w:val="none"/>
          <w:lang w:val="en-US"/>
        </w:rPr>
        <w:t>10.08</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17.</w:t>
      </w:r>
      <w:r>
        <w:rPr>
          <w:rFonts w:hint="default" w:ascii="Times New Roman" w:hAnsi="Times New Roman" w:cs="Times New Roman" w:eastAsiaTheme="minorEastAsia"/>
          <w:b/>
          <w:bCs/>
          <w:color w:val="auto"/>
          <w:sz w:val="32"/>
          <w:szCs w:val="32"/>
          <w:highlight w:val="none"/>
        </w:rPr>
        <w:t>卫生健康支出</w:t>
      </w:r>
      <w:r>
        <w:rPr>
          <w:rStyle w:val="14"/>
          <w:rFonts w:hint="default" w:ascii="Times New Roman" w:hAnsi="Times New Roman" w:cs="Times New Roman" w:eastAsiaTheme="minorEastAsia"/>
          <w:bCs/>
          <w:color w:val="auto"/>
          <w:sz w:val="32"/>
          <w:szCs w:val="32"/>
          <w:highlight w:val="none"/>
        </w:rPr>
        <w:t>（类）公共卫生（款） 重大公共卫生服务（项）:</w:t>
      </w:r>
      <w:r>
        <w:rPr>
          <w:rStyle w:val="14"/>
          <w:rFonts w:hint="default" w:ascii="Times New Roman" w:hAnsi="Times New Roman" w:cs="Times New Roman" w:eastAsiaTheme="minorEastAsia"/>
          <w:b w:val="0"/>
          <w:bCs/>
          <w:color w:val="auto"/>
          <w:sz w:val="32"/>
          <w:szCs w:val="32"/>
          <w:highlight w:val="none"/>
        </w:rPr>
        <w:t>支出决算为</w:t>
      </w:r>
      <w:r>
        <w:rPr>
          <w:rStyle w:val="14"/>
          <w:rFonts w:hint="default" w:ascii="Times New Roman" w:hAnsi="Times New Roman" w:cs="Times New Roman" w:eastAsiaTheme="minorEastAsia"/>
          <w:b w:val="0"/>
          <w:bCs/>
          <w:color w:val="auto"/>
          <w:sz w:val="32"/>
          <w:szCs w:val="32"/>
          <w:highlight w:val="none"/>
          <w:lang w:val="en-US"/>
        </w:rPr>
        <w:t>16</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18.</w:t>
      </w:r>
      <w:r>
        <w:rPr>
          <w:rFonts w:hint="default" w:ascii="Times New Roman" w:hAnsi="Times New Roman" w:cs="Times New Roman" w:eastAsiaTheme="minorEastAsia"/>
          <w:b/>
          <w:bCs/>
          <w:color w:val="auto"/>
          <w:sz w:val="32"/>
          <w:szCs w:val="32"/>
          <w:highlight w:val="none"/>
        </w:rPr>
        <w:t>卫生健康支出</w:t>
      </w:r>
      <w:r>
        <w:rPr>
          <w:rStyle w:val="14"/>
          <w:rFonts w:hint="default" w:ascii="Times New Roman" w:hAnsi="Times New Roman" w:cs="Times New Roman" w:eastAsiaTheme="minorEastAsia"/>
          <w:bCs/>
          <w:color w:val="auto"/>
          <w:sz w:val="32"/>
          <w:szCs w:val="32"/>
          <w:highlight w:val="none"/>
        </w:rPr>
        <w:t>（类）行政事业单位医疗（款）行政事业单位医疗 （项）:</w:t>
      </w:r>
      <w:r>
        <w:rPr>
          <w:rStyle w:val="14"/>
          <w:rFonts w:hint="default" w:ascii="Times New Roman" w:hAnsi="Times New Roman" w:cs="Times New Roman" w:eastAsiaTheme="minorEastAsia"/>
          <w:b w:val="0"/>
          <w:bCs/>
          <w:color w:val="auto"/>
          <w:sz w:val="32"/>
          <w:szCs w:val="32"/>
          <w:highlight w:val="none"/>
        </w:rPr>
        <w:t>支出决算为</w:t>
      </w:r>
      <w:r>
        <w:rPr>
          <w:rStyle w:val="14"/>
          <w:rFonts w:hint="default" w:ascii="Times New Roman" w:hAnsi="Times New Roman" w:cs="Times New Roman" w:eastAsiaTheme="minorEastAsia"/>
          <w:b w:val="0"/>
          <w:bCs/>
          <w:color w:val="auto"/>
          <w:sz w:val="32"/>
          <w:szCs w:val="32"/>
          <w:highlight w:val="none"/>
          <w:lang w:val="en-US"/>
        </w:rPr>
        <w:t>15.65</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19.</w:t>
      </w:r>
      <w:r>
        <w:rPr>
          <w:rFonts w:hint="default" w:ascii="Times New Roman" w:hAnsi="Times New Roman" w:cs="Times New Roman" w:eastAsiaTheme="minorEastAsia"/>
          <w:b/>
          <w:bCs/>
          <w:color w:val="auto"/>
          <w:sz w:val="32"/>
          <w:szCs w:val="32"/>
          <w:highlight w:val="none"/>
        </w:rPr>
        <w:t>卫生健康支出</w:t>
      </w:r>
      <w:r>
        <w:rPr>
          <w:rStyle w:val="14"/>
          <w:rFonts w:hint="default" w:ascii="Times New Roman" w:hAnsi="Times New Roman" w:cs="Times New Roman" w:eastAsiaTheme="minorEastAsia"/>
          <w:bCs/>
          <w:color w:val="auto"/>
          <w:sz w:val="32"/>
          <w:szCs w:val="32"/>
          <w:highlight w:val="none"/>
        </w:rPr>
        <w:t>（类）行政事业单位医疗（款）事业单位医疗 （项）:</w:t>
      </w:r>
      <w:r>
        <w:rPr>
          <w:rStyle w:val="14"/>
          <w:rFonts w:hint="default" w:ascii="Times New Roman" w:hAnsi="Times New Roman" w:cs="Times New Roman" w:eastAsiaTheme="minorEastAsia"/>
          <w:b w:val="0"/>
          <w:bCs/>
          <w:color w:val="auto"/>
          <w:sz w:val="32"/>
          <w:szCs w:val="32"/>
          <w:highlight w:val="none"/>
        </w:rPr>
        <w:t>支出决算为</w:t>
      </w:r>
      <w:r>
        <w:rPr>
          <w:rStyle w:val="14"/>
          <w:rFonts w:hint="default" w:ascii="Times New Roman" w:hAnsi="Times New Roman" w:cs="Times New Roman" w:eastAsiaTheme="minorEastAsia"/>
          <w:b w:val="0"/>
          <w:bCs/>
          <w:color w:val="auto"/>
          <w:sz w:val="32"/>
          <w:szCs w:val="32"/>
          <w:highlight w:val="none"/>
          <w:lang w:val="en-US"/>
        </w:rPr>
        <w:t>14.75</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p>
    <w:p>
      <w:pPr>
        <w:numPr>
          <w:ilvl w:val="0"/>
          <w:numId w:val="0"/>
        </w:numPr>
        <w:spacing w:line="600" w:lineRule="exact"/>
        <w:ind w:firstLine="643" w:firstLineChars="200"/>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b/>
          <w:bCs/>
          <w:color w:val="auto"/>
          <w:sz w:val="32"/>
          <w:szCs w:val="32"/>
          <w:highlight w:val="none"/>
          <w:lang w:val="en-US" w:eastAsia="zh-CN"/>
        </w:rPr>
        <w:t>20.</w:t>
      </w:r>
      <w:r>
        <w:rPr>
          <w:rFonts w:hint="default" w:ascii="Times New Roman" w:hAnsi="Times New Roman" w:cs="Times New Roman" w:eastAsiaTheme="minorEastAsia"/>
          <w:b/>
          <w:bCs/>
          <w:color w:val="auto"/>
          <w:sz w:val="32"/>
          <w:szCs w:val="32"/>
          <w:highlight w:val="none"/>
        </w:rPr>
        <w:t>卫生健康支出</w:t>
      </w:r>
      <w:r>
        <w:rPr>
          <w:rStyle w:val="14"/>
          <w:rFonts w:hint="default" w:ascii="Times New Roman" w:hAnsi="Times New Roman" w:cs="Times New Roman" w:eastAsiaTheme="minorEastAsia"/>
          <w:bCs/>
          <w:color w:val="auto"/>
          <w:sz w:val="32"/>
          <w:szCs w:val="32"/>
          <w:highlight w:val="none"/>
        </w:rPr>
        <w:t>（类）行政事业单位医疗（款） 公务员医疗补助 （项）:</w:t>
      </w:r>
      <w:r>
        <w:rPr>
          <w:rStyle w:val="14"/>
          <w:rFonts w:hint="default" w:ascii="Times New Roman" w:hAnsi="Times New Roman" w:cs="Times New Roman" w:eastAsiaTheme="minorEastAsia"/>
          <w:b w:val="0"/>
          <w:bCs/>
          <w:color w:val="auto"/>
          <w:sz w:val="32"/>
          <w:szCs w:val="32"/>
          <w:highlight w:val="none"/>
        </w:rPr>
        <w:t>支出决算为</w:t>
      </w:r>
      <w:r>
        <w:rPr>
          <w:rStyle w:val="14"/>
          <w:rFonts w:hint="default" w:ascii="Times New Roman" w:hAnsi="Times New Roman" w:cs="Times New Roman" w:eastAsiaTheme="minorEastAsia"/>
          <w:b w:val="0"/>
          <w:bCs/>
          <w:color w:val="auto"/>
          <w:sz w:val="32"/>
          <w:szCs w:val="32"/>
          <w:highlight w:val="none"/>
          <w:lang w:val="en-US"/>
        </w:rPr>
        <w:t>4.19</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p>
    <w:p>
      <w:pPr>
        <w:numPr>
          <w:ilvl w:val="0"/>
          <w:numId w:val="0"/>
        </w:numPr>
        <w:spacing w:line="600" w:lineRule="exact"/>
        <w:ind w:firstLine="643" w:firstLineChars="20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21.</w:t>
      </w:r>
      <w:r>
        <w:rPr>
          <w:rFonts w:hint="default" w:ascii="Times New Roman" w:hAnsi="Times New Roman" w:cs="Times New Roman" w:eastAsiaTheme="minorEastAsia"/>
          <w:b/>
          <w:bCs/>
          <w:color w:val="auto"/>
          <w:sz w:val="32"/>
          <w:szCs w:val="32"/>
          <w:highlight w:val="none"/>
          <w:lang w:eastAsia="zh-CN"/>
        </w:rPr>
        <w:t>节能环保支出</w:t>
      </w:r>
      <w:r>
        <w:rPr>
          <w:rStyle w:val="14"/>
          <w:rFonts w:hint="default" w:ascii="Times New Roman" w:hAnsi="Times New Roman" w:cs="Times New Roman" w:eastAsiaTheme="minorEastAsia"/>
          <w:bCs/>
          <w:color w:val="auto"/>
          <w:sz w:val="32"/>
          <w:szCs w:val="32"/>
          <w:highlight w:val="none"/>
        </w:rPr>
        <w:t>（类）污染防治（款）  其他污染防治支出（项）:</w:t>
      </w:r>
      <w:r>
        <w:rPr>
          <w:rStyle w:val="14"/>
          <w:rFonts w:hint="default" w:ascii="Times New Roman" w:hAnsi="Times New Roman" w:cs="Times New Roman" w:eastAsiaTheme="minorEastAsia"/>
          <w:b w:val="0"/>
          <w:bCs/>
          <w:color w:val="auto"/>
          <w:sz w:val="32"/>
          <w:szCs w:val="32"/>
          <w:highlight w:val="none"/>
        </w:rPr>
        <w:t>支出决算为</w:t>
      </w:r>
      <w:r>
        <w:rPr>
          <w:rStyle w:val="14"/>
          <w:rFonts w:hint="default" w:ascii="Times New Roman" w:hAnsi="Times New Roman" w:cs="Times New Roman" w:eastAsiaTheme="minorEastAsia"/>
          <w:b w:val="0"/>
          <w:bCs/>
          <w:color w:val="auto"/>
          <w:sz w:val="32"/>
          <w:szCs w:val="32"/>
          <w:highlight w:val="none"/>
          <w:lang w:val="en-US"/>
        </w:rPr>
        <w:t>3</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22.</w:t>
      </w:r>
      <w:r>
        <w:rPr>
          <w:rFonts w:hint="default" w:ascii="Times New Roman" w:hAnsi="Times New Roman" w:cs="Times New Roman" w:eastAsiaTheme="minorEastAsia"/>
          <w:b/>
          <w:bCs/>
          <w:color w:val="auto"/>
          <w:sz w:val="32"/>
          <w:szCs w:val="32"/>
          <w:highlight w:val="none"/>
          <w:lang w:eastAsia="zh-CN"/>
        </w:rPr>
        <w:t>城乡社区支出</w:t>
      </w:r>
      <w:r>
        <w:rPr>
          <w:rStyle w:val="14"/>
          <w:rFonts w:hint="default" w:ascii="Times New Roman" w:hAnsi="Times New Roman" w:cs="Times New Roman" w:eastAsiaTheme="minorEastAsia"/>
          <w:bCs/>
          <w:color w:val="auto"/>
          <w:sz w:val="32"/>
          <w:szCs w:val="32"/>
          <w:highlight w:val="none"/>
        </w:rPr>
        <w:t>（类）城乡社区管理事务（款） 其他城乡社区管理事务支出（项）:</w:t>
      </w:r>
      <w:r>
        <w:rPr>
          <w:rStyle w:val="14"/>
          <w:rFonts w:hint="default" w:ascii="Times New Roman" w:hAnsi="Times New Roman" w:cs="Times New Roman" w:eastAsiaTheme="minorEastAsia"/>
          <w:b w:val="0"/>
          <w:bCs/>
          <w:color w:val="auto"/>
          <w:sz w:val="32"/>
          <w:szCs w:val="32"/>
          <w:highlight w:val="none"/>
        </w:rPr>
        <w:t>支出决算为</w:t>
      </w:r>
      <w:r>
        <w:rPr>
          <w:rStyle w:val="14"/>
          <w:rFonts w:hint="default" w:ascii="Times New Roman" w:hAnsi="Times New Roman" w:cs="Times New Roman" w:eastAsiaTheme="minorEastAsia"/>
          <w:b w:val="0"/>
          <w:bCs/>
          <w:color w:val="auto"/>
          <w:sz w:val="32"/>
          <w:szCs w:val="32"/>
          <w:highlight w:val="none"/>
          <w:lang w:val="en-US"/>
        </w:rPr>
        <w:t>6.5</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23.</w:t>
      </w:r>
      <w:r>
        <w:rPr>
          <w:rFonts w:hint="default" w:ascii="Times New Roman" w:hAnsi="Times New Roman" w:cs="Times New Roman" w:eastAsiaTheme="minorEastAsia"/>
          <w:b/>
          <w:bCs/>
          <w:color w:val="auto"/>
          <w:sz w:val="32"/>
          <w:szCs w:val="32"/>
          <w:highlight w:val="none"/>
          <w:lang w:eastAsia="zh-CN"/>
        </w:rPr>
        <w:t>农林水支出</w:t>
      </w:r>
      <w:r>
        <w:rPr>
          <w:rStyle w:val="14"/>
          <w:rFonts w:hint="default" w:ascii="Times New Roman" w:hAnsi="Times New Roman" w:cs="Times New Roman" w:eastAsiaTheme="minorEastAsia"/>
          <w:bCs/>
          <w:color w:val="auto"/>
          <w:sz w:val="32"/>
          <w:szCs w:val="32"/>
          <w:highlight w:val="none"/>
        </w:rPr>
        <w:t>（类）农业农村（款） 农村社会事业（项）:</w:t>
      </w:r>
      <w:r>
        <w:rPr>
          <w:rStyle w:val="14"/>
          <w:rFonts w:hint="default" w:ascii="Times New Roman" w:hAnsi="Times New Roman" w:cs="Times New Roman" w:eastAsiaTheme="minorEastAsia"/>
          <w:b w:val="0"/>
          <w:bCs/>
          <w:color w:val="auto"/>
          <w:sz w:val="32"/>
          <w:szCs w:val="32"/>
          <w:highlight w:val="none"/>
        </w:rPr>
        <w:t>支出决算为</w:t>
      </w:r>
      <w:r>
        <w:rPr>
          <w:rStyle w:val="14"/>
          <w:rFonts w:hint="default" w:ascii="Times New Roman" w:hAnsi="Times New Roman" w:cs="Times New Roman" w:eastAsiaTheme="minorEastAsia"/>
          <w:b w:val="0"/>
          <w:bCs/>
          <w:color w:val="auto"/>
          <w:sz w:val="32"/>
          <w:szCs w:val="32"/>
          <w:highlight w:val="none"/>
          <w:lang w:val="en-US"/>
        </w:rPr>
        <w:t>20</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Style w:val="14"/>
          <w:rFonts w:hint="default" w:ascii="Times New Roman" w:hAnsi="Times New Roman" w:cs="Times New Roman" w:eastAsiaTheme="minorEastAsia"/>
          <w:b w:val="0"/>
          <w:bCs/>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24.农</w:t>
      </w:r>
      <w:r>
        <w:rPr>
          <w:rFonts w:hint="default" w:ascii="Times New Roman" w:hAnsi="Times New Roman" w:cs="Times New Roman" w:eastAsiaTheme="minorEastAsia"/>
          <w:b/>
          <w:bCs/>
          <w:color w:val="auto"/>
          <w:sz w:val="32"/>
          <w:szCs w:val="32"/>
          <w:highlight w:val="none"/>
          <w:lang w:eastAsia="zh-CN"/>
        </w:rPr>
        <w:t>林水支出</w:t>
      </w:r>
      <w:r>
        <w:rPr>
          <w:rStyle w:val="14"/>
          <w:rFonts w:hint="default" w:ascii="Times New Roman" w:hAnsi="Times New Roman" w:cs="Times New Roman" w:eastAsiaTheme="minorEastAsia"/>
          <w:bCs/>
          <w:color w:val="auto"/>
          <w:sz w:val="32"/>
          <w:szCs w:val="32"/>
          <w:highlight w:val="none"/>
        </w:rPr>
        <w:t>（类）扶贫（款） 农村基础设施建设（项）:</w:t>
      </w:r>
      <w:r>
        <w:rPr>
          <w:rStyle w:val="14"/>
          <w:rFonts w:hint="default" w:ascii="Times New Roman" w:hAnsi="Times New Roman" w:cs="Times New Roman" w:eastAsiaTheme="minorEastAsia"/>
          <w:b w:val="0"/>
          <w:bCs/>
          <w:color w:val="auto"/>
          <w:sz w:val="32"/>
          <w:szCs w:val="32"/>
          <w:highlight w:val="none"/>
        </w:rPr>
        <w:t>支出决算为</w:t>
      </w:r>
      <w:r>
        <w:rPr>
          <w:rStyle w:val="14"/>
          <w:rFonts w:hint="default" w:ascii="Times New Roman" w:hAnsi="Times New Roman" w:cs="Times New Roman" w:eastAsiaTheme="minorEastAsia"/>
          <w:b w:val="0"/>
          <w:bCs/>
          <w:color w:val="auto"/>
          <w:sz w:val="32"/>
          <w:szCs w:val="32"/>
          <w:highlight w:val="none"/>
          <w:lang w:val="en-US"/>
        </w:rPr>
        <w:t>85</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Fonts w:hint="default" w:ascii="Times New Roman" w:hAnsi="Times New Roman" w:cs="Times New Roman" w:eastAsiaTheme="minorEastAsia"/>
          <w:color w:val="auto"/>
        </w:rPr>
      </w:pPr>
      <w:r>
        <w:rPr>
          <w:rFonts w:hint="default" w:ascii="Times New Roman" w:hAnsi="Times New Roman" w:cs="Times New Roman" w:eastAsiaTheme="minorEastAsia"/>
          <w:b/>
          <w:bCs/>
          <w:color w:val="auto"/>
          <w:sz w:val="32"/>
          <w:szCs w:val="32"/>
          <w:highlight w:val="none"/>
          <w:lang w:val="en-US" w:eastAsia="zh-CN"/>
        </w:rPr>
        <w:t>25.农</w:t>
      </w:r>
      <w:r>
        <w:rPr>
          <w:rFonts w:hint="default" w:ascii="Times New Roman" w:hAnsi="Times New Roman" w:cs="Times New Roman" w:eastAsiaTheme="minorEastAsia"/>
          <w:b/>
          <w:bCs/>
          <w:color w:val="auto"/>
          <w:sz w:val="32"/>
          <w:szCs w:val="32"/>
          <w:highlight w:val="none"/>
          <w:lang w:eastAsia="zh-CN"/>
        </w:rPr>
        <w:t>林水支出</w:t>
      </w:r>
      <w:r>
        <w:rPr>
          <w:rStyle w:val="14"/>
          <w:rFonts w:hint="default" w:ascii="Times New Roman" w:hAnsi="Times New Roman" w:cs="Times New Roman" w:eastAsiaTheme="minorEastAsia"/>
          <w:bCs/>
          <w:color w:val="auto"/>
          <w:sz w:val="32"/>
          <w:szCs w:val="32"/>
          <w:highlight w:val="none"/>
        </w:rPr>
        <w:t>（类）扶贫（款）其他扶贫支出 （项）:</w:t>
      </w:r>
      <w:r>
        <w:rPr>
          <w:rStyle w:val="14"/>
          <w:rFonts w:hint="default" w:ascii="Times New Roman" w:hAnsi="Times New Roman" w:cs="Times New Roman" w:eastAsiaTheme="minorEastAsia"/>
          <w:b w:val="0"/>
          <w:bCs/>
          <w:color w:val="auto"/>
          <w:sz w:val="32"/>
          <w:szCs w:val="32"/>
          <w:highlight w:val="none"/>
        </w:rPr>
        <w:t>支出决算为</w:t>
      </w:r>
      <w:r>
        <w:rPr>
          <w:rStyle w:val="14"/>
          <w:rFonts w:hint="default" w:ascii="Times New Roman" w:hAnsi="Times New Roman" w:cs="Times New Roman" w:eastAsiaTheme="minorEastAsia"/>
          <w:b w:val="0"/>
          <w:bCs/>
          <w:color w:val="auto"/>
          <w:sz w:val="32"/>
          <w:szCs w:val="32"/>
          <w:highlight w:val="none"/>
          <w:lang w:val="en-US"/>
        </w:rPr>
        <w:t>37.39</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Fonts w:hint="default" w:ascii="Times New Roman" w:hAnsi="Times New Roman" w:cs="Times New Roman" w:eastAsiaTheme="minorEastAsia"/>
          <w:color w:val="auto"/>
          <w:sz w:val="32"/>
          <w:szCs w:val="32"/>
          <w:highlight w:val="none"/>
          <w:lang w:eastAsia="zh-CN"/>
        </w:rPr>
      </w:pPr>
      <w:r>
        <w:rPr>
          <w:rFonts w:hint="default" w:ascii="Times New Roman" w:hAnsi="Times New Roman" w:cs="Times New Roman" w:eastAsiaTheme="minorEastAsia"/>
          <w:b/>
          <w:bCs/>
          <w:color w:val="auto"/>
          <w:sz w:val="32"/>
          <w:szCs w:val="32"/>
          <w:highlight w:val="none"/>
          <w:lang w:val="en-US" w:eastAsia="zh-CN"/>
        </w:rPr>
        <w:t>26.</w:t>
      </w:r>
      <w:r>
        <w:rPr>
          <w:rFonts w:hint="default" w:ascii="Times New Roman" w:hAnsi="Times New Roman" w:cs="Times New Roman" w:eastAsiaTheme="minorEastAsia"/>
          <w:b/>
          <w:bCs/>
          <w:color w:val="auto"/>
          <w:sz w:val="32"/>
          <w:szCs w:val="32"/>
          <w:highlight w:val="none"/>
          <w:lang w:eastAsia="zh-CN"/>
        </w:rPr>
        <w:t>农林水支出</w:t>
      </w:r>
      <w:r>
        <w:rPr>
          <w:rStyle w:val="14"/>
          <w:rFonts w:hint="default" w:ascii="Times New Roman" w:hAnsi="Times New Roman" w:cs="Times New Roman" w:eastAsiaTheme="minorEastAsia"/>
          <w:bCs/>
          <w:color w:val="auto"/>
          <w:sz w:val="32"/>
          <w:szCs w:val="32"/>
          <w:highlight w:val="none"/>
        </w:rPr>
        <w:t>（类）农村综合改革（款） 对村民委员会和村党支部的补助（项）:</w:t>
      </w:r>
      <w:r>
        <w:rPr>
          <w:rStyle w:val="14"/>
          <w:rFonts w:hint="default" w:ascii="Times New Roman" w:hAnsi="Times New Roman" w:cs="Times New Roman" w:eastAsiaTheme="minorEastAsia"/>
          <w:b w:val="0"/>
          <w:bCs/>
          <w:color w:val="auto"/>
          <w:sz w:val="32"/>
          <w:szCs w:val="32"/>
          <w:highlight w:val="none"/>
        </w:rPr>
        <w:t>支出决算为</w:t>
      </w:r>
      <w:r>
        <w:rPr>
          <w:rStyle w:val="14"/>
          <w:rFonts w:hint="default" w:ascii="Times New Roman" w:hAnsi="Times New Roman" w:cs="Times New Roman" w:eastAsiaTheme="minorEastAsia"/>
          <w:b w:val="0"/>
          <w:bCs/>
          <w:color w:val="auto"/>
          <w:sz w:val="32"/>
          <w:szCs w:val="32"/>
          <w:highlight w:val="none"/>
          <w:lang w:val="en-US"/>
        </w:rPr>
        <w:t>273.13</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numPr>
          <w:ilvl w:val="0"/>
          <w:numId w:val="0"/>
        </w:numPr>
        <w:spacing w:line="600" w:lineRule="exact"/>
        <w:ind w:firstLine="643" w:firstLineChars="20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bCs/>
          <w:color w:val="auto"/>
          <w:sz w:val="32"/>
          <w:szCs w:val="32"/>
          <w:highlight w:val="none"/>
          <w:lang w:val="en-US" w:eastAsia="zh-CN"/>
        </w:rPr>
        <w:t>27.</w:t>
      </w:r>
      <w:r>
        <w:rPr>
          <w:rFonts w:hint="default" w:ascii="Times New Roman" w:hAnsi="Times New Roman" w:cs="Times New Roman" w:eastAsiaTheme="minorEastAsia"/>
          <w:b/>
          <w:bCs/>
          <w:color w:val="auto"/>
          <w:sz w:val="32"/>
          <w:szCs w:val="32"/>
          <w:highlight w:val="none"/>
          <w:lang w:eastAsia="zh-CN"/>
        </w:rPr>
        <w:t>住房保障支出（类）</w:t>
      </w:r>
      <w:r>
        <w:rPr>
          <w:rStyle w:val="14"/>
          <w:rFonts w:hint="default" w:ascii="Times New Roman" w:hAnsi="Times New Roman" w:cs="Times New Roman" w:eastAsiaTheme="minorEastAsia"/>
          <w:bCs/>
          <w:color w:val="auto"/>
          <w:sz w:val="32"/>
          <w:szCs w:val="32"/>
          <w:highlight w:val="none"/>
          <w:lang w:val="en-US"/>
        </w:rPr>
        <w:t>住房改革支出</w:t>
      </w:r>
      <w:r>
        <w:rPr>
          <w:rStyle w:val="14"/>
          <w:rFonts w:hint="default" w:ascii="Times New Roman" w:hAnsi="Times New Roman" w:cs="Times New Roman" w:eastAsiaTheme="minorEastAsia"/>
          <w:bCs/>
          <w:color w:val="auto"/>
          <w:sz w:val="32"/>
          <w:szCs w:val="32"/>
          <w:highlight w:val="none"/>
        </w:rPr>
        <w:t>（款） 住房公积金（项）:</w:t>
      </w:r>
      <w:r>
        <w:rPr>
          <w:rStyle w:val="14"/>
          <w:rFonts w:hint="default" w:ascii="Times New Roman" w:hAnsi="Times New Roman" w:cs="Times New Roman" w:eastAsiaTheme="minorEastAsia"/>
          <w:b w:val="0"/>
          <w:bCs/>
          <w:color w:val="auto"/>
          <w:sz w:val="32"/>
          <w:szCs w:val="32"/>
          <w:highlight w:val="none"/>
        </w:rPr>
        <w:t>支出决算为</w:t>
      </w:r>
      <w:r>
        <w:rPr>
          <w:rStyle w:val="14"/>
          <w:rFonts w:hint="default" w:ascii="Times New Roman" w:hAnsi="Times New Roman" w:cs="Times New Roman" w:eastAsiaTheme="minorEastAsia"/>
          <w:b w:val="0"/>
          <w:bCs/>
          <w:color w:val="auto"/>
          <w:sz w:val="32"/>
          <w:szCs w:val="32"/>
          <w:highlight w:val="none"/>
          <w:lang w:val="en-US"/>
        </w:rPr>
        <w:t>50.65</w:t>
      </w:r>
      <w:r>
        <w:rPr>
          <w:rStyle w:val="14"/>
          <w:rFonts w:hint="default" w:ascii="Times New Roman" w:hAnsi="Times New Roman" w:cs="Times New Roman" w:eastAsiaTheme="minorEastAsia"/>
          <w:b w:val="0"/>
          <w:bCs/>
          <w:color w:val="auto"/>
          <w:sz w:val="32"/>
          <w:szCs w:val="32"/>
          <w:highlight w:val="none"/>
        </w:rPr>
        <w:t>万元，完成预算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p>
    <w:p>
      <w:pPr>
        <w:spacing w:line="600" w:lineRule="exact"/>
        <w:ind w:firstLine="643" w:firstLineChars="20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（注：数据来源于财决01-1表</w:t>
      </w:r>
      <w:r>
        <w:rPr>
          <w:rFonts w:hint="default" w:ascii="Times New Roman" w:hAnsi="Times New Roman" w:cs="Times New Roman" w:eastAsiaTheme="minorEastAsia"/>
          <w:b/>
          <w:color w:val="auto"/>
          <w:sz w:val="32"/>
          <w:szCs w:val="32"/>
          <w:highlight w:val="none"/>
          <w:lang w:eastAsia="zh-CN"/>
        </w:rPr>
        <w:t>和财决</w:t>
      </w:r>
      <w:r>
        <w:rPr>
          <w:rFonts w:hint="default" w:ascii="Times New Roman" w:hAnsi="Times New Roman" w:cs="Times New Roman" w:eastAsiaTheme="minorEastAsia"/>
          <w:b/>
          <w:color w:val="auto"/>
          <w:sz w:val="32"/>
          <w:szCs w:val="32"/>
          <w:highlight w:val="none"/>
          <w:lang w:val="en-US" w:eastAsia="zh-CN"/>
        </w:rPr>
        <w:t>08表</w:t>
      </w:r>
      <w:r>
        <w:rPr>
          <w:rFonts w:hint="default" w:ascii="Times New Roman" w:hAnsi="Times New Roman" w:cs="Times New Roman" w:eastAsiaTheme="minorEastAsia"/>
          <w:b/>
          <w:color w:val="auto"/>
          <w:sz w:val="32"/>
          <w:szCs w:val="32"/>
          <w:highlight w:val="none"/>
        </w:rPr>
        <w:t>，</w:t>
      </w:r>
      <w:r>
        <w:rPr>
          <w:rFonts w:hint="default" w:ascii="Times New Roman" w:hAnsi="Times New Roman" w:cs="Times New Roman" w:eastAsiaTheme="minorEastAsia"/>
          <w:b/>
          <w:color w:val="auto"/>
          <w:sz w:val="32"/>
          <w:szCs w:val="32"/>
          <w:highlight w:val="none"/>
          <w:lang w:eastAsia="zh-CN"/>
        </w:rPr>
        <w:t>仅</w:t>
      </w:r>
      <w:r>
        <w:rPr>
          <w:rFonts w:hint="default" w:ascii="Times New Roman" w:hAnsi="Times New Roman" w:cs="Times New Roman" w:eastAsiaTheme="minorEastAsia"/>
          <w:b/>
          <w:color w:val="auto"/>
          <w:sz w:val="32"/>
          <w:szCs w:val="32"/>
          <w:highlight w:val="none"/>
        </w:rPr>
        <w:t>罗列</w:t>
      </w:r>
      <w:r>
        <w:rPr>
          <w:rFonts w:hint="default" w:ascii="Times New Roman" w:hAnsi="Times New Roman" w:cs="Times New Roman" w:eastAsiaTheme="minorEastAsia"/>
          <w:b/>
          <w:color w:val="auto"/>
          <w:sz w:val="32"/>
          <w:szCs w:val="32"/>
          <w:highlight w:val="none"/>
          <w:lang w:eastAsia="zh-CN"/>
        </w:rPr>
        <w:t>本单位涉及的</w:t>
      </w:r>
      <w:r>
        <w:rPr>
          <w:rFonts w:hint="default" w:ascii="Times New Roman" w:hAnsi="Times New Roman" w:cs="Times New Roman" w:eastAsiaTheme="minorEastAsia"/>
          <w:b/>
          <w:color w:val="auto"/>
          <w:sz w:val="32"/>
          <w:szCs w:val="32"/>
          <w:highlight w:val="none"/>
        </w:rPr>
        <w:t>全部功能分类科目</w:t>
      </w:r>
      <w:r>
        <w:rPr>
          <w:rFonts w:hint="default" w:ascii="Times New Roman" w:hAnsi="Times New Roman" w:cs="Times New Roman" w:eastAsiaTheme="minorEastAsia"/>
          <w:b/>
          <w:color w:val="auto"/>
          <w:sz w:val="32"/>
          <w:szCs w:val="32"/>
          <w:highlight w:val="none"/>
          <w:lang w:eastAsia="zh-CN"/>
        </w:rPr>
        <w:t>，</w:t>
      </w:r>
      <w:r>
        <w:rPr>
          <w:rFonts w:hint="default" w:ascii="Times New Roman" w:hAnsi="Times New Roman" w:cs="Times New Roman" w:eastAsiaTheme="minorEastAsia"/>
          <w:b/>
          <w:color w:val="auto"/>
          <w:sz w:val="32"/>
          <w:szCs w:val="32"/>
          <w:highlight w:val="none"/>
        </w:rPr>
        <w:t>至项级。上述“预算”口径为调整预算数。增减变动原因为决算数&lt;项级&gt;和调整预算数&lt;项级&gt;比较，与预算数持平可以不写原因。）</w:t>
      </w: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bookmarkStart w:id="36" w:name="_Toc15377214"/>
      <w:bookmarkStart w:id="37" w:name="_Toc15396608"/>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Fonts w:hint="default" w:ascii="Times New Roman" w:hAnsi="Times New Roman" w:cs="Times New Roman" w:eastAsiaTheme="minorEastAsia"/>
          <w:color w:val="auto"/>
          <w:sz w:val="32"/>
          <w:szCs w:val="32"/>
          <w:highlight w:val="none"/>
        </w:rPr>
      </w:pPr>
    </w:p>
    <w:p>
      <w:pPr>
        <w:tabs>
          <w:tab w:val="right" w:pos="8306"/>
        </w:tabs>
        <w:spacing w:line="600" w:lineRule="exact"/>
        <w:ind w:firstLine="640"/>
        <w:outlineLvl w:val="1"/>
        <w:rPr>
          <w:rStyle w:val="27"/>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32"/>
          <w:szCs w:val="32"/>
          <w:highlight w:val="none"/>
        </w:rPr>
        <w:t>六</w:t>
      </w:r>
      <w:r>
        <w:rPr>
          <w:rFonts w:hint="default" w:ascii="Times New Roman" w:hAnsi="Times New Roman" w:cs="Times New Roman" w:eastAsiaTheme="minorEastAsia"/>
          <w:b/>
          <w:color w:val="auto"/>
          <w:sz w:val="32"/>
          <w:szCs w:val="32"/>
          <w:highlight w:val="none"/>
        </w:rPr>
        <w:t>、一</w:t>
      </w:r>
      <w:r>
        <w:rPr>
          <w:rStyle w:val="27"/>
          <w:rFonts w:hint="default" w:ascii="Times New Roman" w:hAnsi="Times New Roman" w:cs="Times New Roman" w:eastAsiaTheme="minorEastAsia"/>
          <w:b w:val="0"/>
          <w:color w:val="auto"/>
          <w:highlight w:val="none"/>
        </w:rPr>
        <w:t>般公共预算财政拨款基本支出决算情况说明</w:t>
      </w:r>
      <w:bookmarkEnd w:id="36"/>
      <w:bookmarkEnd w:id="37"/>
      <w:r>
        <w:rPr>
          <w:rStyle w:val="27"/>
          <w:rFonts w:hint="default" w:ascii="Times New Roman" w:hAnsi="Times New Roman" w:cs="Times New Roman" w:eastAsiaTheme="minorEastAsia"/>
          <w:b w:val="0"/>
          <w:color w:val="auto"/>
          <w:highlight w:val="none"/>
        </w:rPr>
        <w:tab/>
      </w:r>
    </w:p>
    <w:p>
      <w:pPr>
        <w:spacing w:line="600" w:lineRule="exact"/>
        <w:ind w:firstLine="645"/>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年一般公共预算财政拨款基本支出</w:t>
      </w:r>
      <w:r>
        <w:rPr>
          <w:rFonts w:hint="default" w:ascii="Times New Roman" w:hAnsi="Times New Roman" w:cs="Times New Roman" w:eastAsiaTheme="minorEastAsia"/>
          <w:color w:val="auto"/>
          <w:sz w:val="32"/>
          <w:szCs w:val="32"/>
          <w:highlight w:val="none"/>
          <w:lang w:val="en-US" w:eastAsia="zh-CN"/>
        </w:rPr>
        <w:t>870.13</w:t>
      </w:r>
      <w:r>
        <w:rPr>
          <w:rFonts w:hint="default" w:ascii="Times New Roman" w:hAnsi="Times New Roman" w:cs="Times New Roman" w:eastAsiaTheme="minorEastAsia"/>
          <w:color w:val="auto"/>
          <w:sz w:val="32"/>
          <w:szCs w:val="32"/>
          <w:highlight w:val="none"/>
        </w:rPr>
        <w:t>万元，其中：</w:t>
      </w:r>
    </w:p>
    <w:p>
      <w:pPr>
        <w:spacing w:line="600" w:lineRule="exact"/>
        <w:ind w:firstLine="645"/>
        <w:rPr>
          <w:rFonts w:hint="default" w:ascii="Times New Roman" w:hAnsi="Times New Roman" w:cs="Times New Roman" w:eastAsiaTheme="minorEastAsia"/>
          <w:color w:val="auto"/>
          <w:sz w:val="32"/>
          <w:szCs w:val="32"/>
          <w:highlight w:val="none"/>
          <w:lang w:val="en-US" w:eastAsia="zh-CN"/>
        </w:rPr>
      </w:pPr>
      <w:r>
        <w:rPr>
          <w:rFonts w:hint="default" w:ascii="Times New Roman" w:hAnsi="Times New Roman" w:cs="Times New Roman" w:eastAsiaTheme="minorEastAsia"/>
          <w:color w:val="auto"/>
          <w:sz w:val="32"/>
          <w:szCs w:val="32"/>
          <w:highlight w:val="none"/>
        </w:rPr>
        <w:t>人员经费</w:t>
      </w:r>
      <w:r>
        <w:rPr>
          <w:rFonts w:hint="default" w:ascii="Times New Roman" w:hAnsi="Times New Roman" w:cs="Times New Roman" w:eastAsiaTheme="minorEastAsia"/>
          <w:color w:val="auto"/>
          <w:sz w:val="32"/>
          <w:szCs w:val="32"/>
          <w:highlight w:val="none"/>
          <w:lang w:val="en-US" w:eastAsia="zh-CN"/>
        </w:rPr>
        <w:t>780.04</w:t>
      </w:r>
      <w:r>
        <w:rPr>
          <w:rFonts w:hint="default" w:ascii="Times New Roman" w:hAnsi="Times New Roman" w:cs="Times New Roman" w:eastAsiaTheme="minorEastAsia"/>
          <w:color w:val="auto"/>
          <w:sz w:val="32"/>
          <w:szCs w:val="32"/>
          <w:highlight w:val="none"/>
        </w:rPr>
        <w:t>万元，主要包括：</w:t>
      </w:r>
      <w:r>
        <w:rPr>
          <w:rFonts w:hint="default" w:ascii="Times New Roman" w:hAnsi="Times New Roman" w:cs="Times New Roman" w:eastAsiaTheme="minorEastAsia"/>
          <w:color w:val="auto"/>
          <w:sz w:val="32"/>
          <w:szCs w:val="32"/>
          <w:highlight w:val="none"/>
          <w:lang w:eastAsia="zh-CN"/>
        </w:rPr>
        <w:t>工资福利支出</w:t>
      </w:r>
      <w:r>
        <w:rPr>
          <w:rFonts w:hint="default" w:ascii="Times New Roman" w:hAnsi="Times New Roman" w:cs="Times New Roman" w:eastAsiaTheme="minorEastAsia"/>
          <w:color w:val="auto"/>
          <w:sz w:val="32"/>
          <w:szCs w:val="32"/>
          <w:highlight w:val="none"/>
          <w:lang w:val="en-US" w:eastAsia="zh-CN"/>
        </w:rPr>
        <w:t>587.32万元.其中：</w:t>
      </w:r>
      <w:r>
        <w:rPr>
          <w:rFonts w:hint="default" w:ascii="Times New Roman" w:hAnsi="Times New Roman" w:cs="Times New Roman" w:eastAsiaTheme="minorEastAsia"/>
          <w:color w:val="auto"/>
          <w:sz w:val="32"/>
          <w:szCs w:val="32"/>
          <w:highlight w:val="none"/>
        </w:rPr>
        <w:t>基本工资</w:t>
      </w:r>
      <w:r>
        <w:rPr>
          <w:rFonts w:hint="default" w:ascii="Times New Roman" w:hAnsi="Times New Roman" w:cs="Times New Roman" w:eastAsiaTheme="minorEastAsia"/>
          <w:color w:val="auto"/>
          <w:sz w:val="32"/>
          <w:szCs w:val="32"/>
          <w:highlight w:val="none"/>
          <w:lang w:val="en-US" w:eastAsia="zh-CN"/>
        </w:rPr>
        <w:t>223.11万元；</w:t>
      </w:r>
      <w:r>
        <w:rPr>
          <w:rFonts w:hint="default" w:ascii="Times New Roman" w:hAnsi="Times New Roman" w:cs="Times New Roman" w:eastAsiaTheme="minorEastAsia"/>
          <w:color w:val="auto"/>
          <w:sz w:val="32"/>
          <w:szCs w:val="32"/>
          <w:highlight w:val="none"/>
        </w:rPr>
        <w:t>津贴补贴</w:t>
      </w:r>
      <w:r>
        <w:rPr>
          <w:rFonts w:hint="default" w:ascii="Times New Roman" w:hAnsi="Times New Roman" w:cs="Times New Roman" w:eastAsiaTheme="minorEastAsia"/>
          <w:color w:val="auto"/>
          <w:sz w:val="32"/>
          <w:szCs w:val="32"/>
          <w:highlight w:val="none"/>
          <w:lang w:val="en-US" w:eastAsia="zh-CN"/>
        </w:rPr>
        <w:t>118.97万元；</w:t>
      </w:r>
      <w:r>
        <w:rPr>
          <w:rFonts w:hint="default" w:ascii="Times New Roman" w:hAnsi="Times New Roman" w:cs="Times New Roman" w:eastAsiaTheme="minorEastAsia"/>
          <w:color w:val="auto"/>
          <w:sz w:val="32"/>
          <w:szCs w:val="32"/>
          <w:highlight w:val="none"/>
        </w:rPr>
        <w:t>奖金</w:t>
      </w:r>
      <w:r>
        <w:rPr>
          <w:rFonts w:hint="default" w:ascii="Times New Roman" w:hAnsi="Times New Roman" w:cs="Times New Roman" w:eastAsiaTheme="minorEastAsia"/>
          <w:color w:val="auto"/>
          <w:sz w:val="32"/>
          <w:szCs w:val="32"/>
          <w:highlight w:val="none"/>
          <w:lang w:val="en-US" w:eastAsia="zh-CN"/>
        </w:rPr>
        <w:t>9.92万元；</w:t>
      </w:r>
      <w:r>
        <w:rPr>
          <w:rFonts w:hint="default" w:ascii="Times New Roman" w:hAnsi="Times New Roman" w:cs="Times New Roman" w:eastAsiaTheme="minorEastAsia"/>
          <w:color w:val="auto"/>
          <w:sz w:val="32"/>
          <w:szCs w:val="32"/>
          <w:highlight w:val="none"/>
        </w:rPr>
        <w:t>绩效工资</w:t>
      </w:r>
      <w:r>
        <w:rPr>
          <w:rFonts w:hint="default" w:ascii="Times New Roman" w:hAnsi="Times New Roman" w:cs="Times New Roman" w:eastAsiaTheme="minorEastAsia"/>
          <w:color w:val="auto"/>
          <w:sz w:val="32"/>
          <w:szCs w:val="32"/>
          <w:highlight w:val="none"/>
          <w:lang w:val="en-US" w:eastAsia="zh-CN"/>
        </w:rPr>
        <w:t>78.45万元；</w:t>
      </w:r>
      <w:r>
        <w:rPr>
          <w:rFonts w:hint="default" w:ascii="Times New Roman" w:hAnsi="Times New Roman" w:cs="Times New Roman" w:eastAsiaTheme="minorEastAsia"/>
          <w:color w:val="auto"/>
          <w:sz w:val="32"/>
          <w:szCs w:val="32"/>
          <w:highlight w:val="none"/>
        </w:rPr>
        <w:t>机关事业单位基本养老保险缴费</w:t>
      </w:r>
      <w:r>
        <w:rPr>
          <w:rFonts w:hint="default" w:ascii="Times New Roman" w:hAnsi="Times New Roman" w:cs="Times New Roman" w:eastAsiaTheme="minorEastAsia"/>
          <w:color w:val="auto"/>
          <w:sz w:val="32"/>
          <w:szCs w:val="32"/>
          <w:highlight w:val="none"/>
          <w:lang w:val="en-US" w:eastAsia="zh-CN"/>
        </w:rPr>
        <w:t>63.55万元；</w:t>
      </w:r>
      <w:r>
        <w:rPr>
          <w:rFonts w:hint="default" w:ascii="Times New Roman" w:hAnsi="Times New Roman" w:cs="Times New Roman" w:eastAsiaTheme="minorEastAsia"/>
          <w:color w:val="auto"/>
          <w:sz w:val="32"/>
          <w:szCs w:val="32"/>
          <w:highlight w:val="none"/>
        </w:rPr>
        <w:t>职业年金缴费</w:t>
      </w:r>
      <w:r>
        <w:rPr>
          <w:rFonts w:hint="default" w:ascii="Times New Roman" w:hAnsi="Times New Roman" w:cs="Times New Roman" w:eastAsiaTheme="minorEastAsia"/>
          <w:color w:val="auto"/>
          <w:sz w:val="32"/>
          <w:szCs w:val="32"/>
          <w:highlight w:val="none"/>
          <w:lang w:val="en-US" w:eastAsia="zh-CN"/>
        </w:rPr>
        <w:t>8.08万元；职工基本医疗保险缴费29.77万元；公务员</w:t>
      </w:r>
      <w:r>
        <w:rPr>
          <w:rFonts w:hint="default" w:ascii="Times New Roman" w:hAnsi="Times New Roman" w:cs="Times New Roman" w:eastAsiaTheme="minorEastAsia"/>
          <w:color w:val="auto"/>
          <w:sz w:val="32"/>
          <w:szCs w:val="32"/>
          <w:highlight w:val="none"/>
        </w:rPr>
        <w:t>医疗费补助</w:t>
      </w:r>
      <w:r>
        <w:rPr>
          <w:rFonts w:hint="default" w:ascii="Times New Roman" w:hAnsi="Times New Roman" w:cs="Times New Roman" w:eastAsiaTheme="minorEastAsia"/>
          <w:color w:val="auto"/>
          <w:sz w:val="32"/>
          <w:szCs w:val="32"/>
          <w:highlight w:val="none"/>
          <w:lang w:val="en-US" w:eastAsia="zh-CN"/>
        </w:rPr>
        <w:t>4.19万元；其他社会保障缴费0.62万元；</w:t>
      </w:r>
      <w:r>
        <w:rPr>
          <w:rFonts w:hint="default" w:ascii="Times New Roman" w:hAnsi="Times New Roman" w:cs="Times New Roman" w:eastAsiaTheme="minorEastAsia"/>
          <w:color w:val="auto"/>
          <w:sz w:val="32"/>
          <w:szCs w:val="32"/>
          <w:highlight w:val="none"/>
        </w:rPr>
        <w:t>住房公积金</w:t>
      </w:r>
      <w:r>
        <w:rPr>
          <w:rFonts w:hint="default" w:ascii="Times New Roman" w:hAnsi="Times New Roman" w:cs="Times New Roman" w:eastAsiaTheme="minorEastAsia"/>
          <w:color w:val="auto"/>
          <w:sz w:val="32"/>
          <w:szCs w:val="32"/>
          <w:highlight w:val="none"/>
          <w:lang w:val="en-US" w:eastAsia="zh-CN"/>
        </w:rPr>
        <w:t>50.65万元。</w:t>
      </w:r>
      <w:r>
        <w:rPr>
          <w:rFonts w:hint="default" w:ascii="Times New Roman" w:hAnsi="Times New Roman" w:cs="Times New Roman" w:eastAsiaTheme="minorEastAsia"/>
          <w:color w:val="auto"/>
          <w:sz w:val="32"/>
          <w:szCs w:val="32"/>
          <w:highlight w:val="none"/>
        </w:rPr>
        <w:t>对个人和家庭的补助</w:t>
      </w:r>
      <w:r>
        <w:rPr>
          <w:rFonts w:hint="default" w:ascii="Times New Roman" w:hAnsi="Times New Roman" w:cs="Times New Roman" w:eastAsiaTheme="minorEastAsia"/>
          <w:color w:val="auto"/>
          <w:sz w:val="32"/>
          <w:szCs w:val="32"/>
          <w:highlight w:val="none"/>
          <w:lang w:val="en-US" w:eastAsia="zh-CN"/>
        </w:rPr>
        <w:t>192.72万元</w:t>
      </w:r>
      <w:r>
        <w:rPr>
          <w:rFonts w:hint="default" w:ascii="Times New Roman" w:hAnsi="Times New Roman" w:cs="Times New Roman" w:eastAsiaTheme="minorEastAsia"/>
          <w:color w:val="auto"/>
          <w:sz w:val="32"/>
          <w:szCs w:val="32"/>
          <w:highlight w:val="none"/>
        </w:rPr>
        <w:t>。</w:t>
      </w:r>
      <w:r>
        <w:rPr>
          <w:rFonts w:hint="default" w:ascii="Times New Roman" w:hAnsi="Times New Roman" w:cs="Times New Roman" w:eastAsiaTheme="minorEastAsia"/>
          <w:color w:val="auto"/>
          <w:sz w:val="32"/>
          <w:szCs w:val="32"/>
          <w:highlight w:val="none"/>
          <w:lang w:eastAsia="zh-CN"/>
        </w:rPr>
        <w:t>其中：生活补助</w:t>
      </w:r>
      <w:r>
        <w:rPr>
          <w:rFonts w:hint="default" w:ascii="Times New Roman" w:hAnsi="Times New Roman" w:cs="Times New Roman" w:eastAsiaTheme="minorEastAsia"/>
          <w:color w:val="auto"/>
          <w:sz w:val="32"/>
          <w:szCs w:val="32"/>
          <w:highlight w:val="none"/>
          <w:lang w:val="en-US" w:eastAsia="zh-CN"/>
        </w:rPr>
        <w:t>5.04万元；医疗费补助2.61万元；奖励金182.91万元；其他个人和对家庭的补助2.16万元。</w:t>
      </w:r>
    </w:p>
    <w:tbl>
      <w:tblPr>
        <w:tblStyle w:val="17"/>
        <w:tblW w:w="6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66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sz w:val="22"/>
                <w:szCs w:val="22"/>
                <w:u w:val="none"/>
              </w:rPr>
            </w:pPr>
            <w:r>
              <w:rPr>
                <w:rFonts w:hint="default" w:ascii="Times New Roman" w:hAnsi="Times New Roman" w:cs="Times New Roman" w:eastAsiaTheme="minorEastAsia"/>
                <w:b/>
                <w:bCs/>
                <w:i w:val="0"/>
                <w:iCs w:val="0"/>
                <w:color w:val="auto"/>
                <w:kern w:val="0"/>
                <w:sz w:val="22"/>
                <w:szCs w:val="22"/>
                <w:u w:val="none"/>
                <w:lang w:val="en-US" w:eastAsia="zh-CN" w:bidi="ar"/>
              </w:rPr>
              <w:t>301</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sz w:val="22"/>
                <w:szCs w:val="22"/>
                <w:u w:val="none"/>
              </w:rPr>
            </w:pPr>
            <w:r>
              <w:rPr>
                <w:rFonts w:hint="default" w:ascii="Times New Roman" w:hAnsi="Times New Roman" w:cs="Times New Roman" w:eastAsiaTheme="minorEastAsia"/>
                <w:b/>
                <w:bCs/>
                <w:i w:val="0"/>
                <w:iCs w:val="0"/>
                <w:color w:val="auto"/>
                <w:kern w:val="0"/>
                <w:sz w:val="22"/>
                <w:szCs w:val="22"/>
                <w:u w:val="none"/>
                <w:lang w:val="en-US" w:eastAsia="zh-CN" w:bidi="ar"/>
              </w:rPr>
              <w:t>工资福利支出</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587.32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30101</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基本工资</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223.11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30102</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津贴补贴</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118.97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30103</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奖金</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30107</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绩效工资</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78.45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30108</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机关事业单位基本养老保险费</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63.55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30109</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职业年金缴费</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30110</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职工基本医疗保险缴费</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30111</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公务员医疗补助缴费</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30112</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其他社会保障缴费</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30113</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住房公积金</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50.65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sz w:val="22"/>
                <w:szCs w:val="22"/>
                <w:u w:val="none"/>
              </w:rPr>
            </w:pPr>
            <w:r>
              <w:rPr>
                <w:rFonts w:hint="default" w:ascii="Times New Roman" w:hAnsi="Times New Roman" w:cs="Times New Roman" w:eastAsiaTheme="minorEastAsia"/>
                <w:b/>
                <w:bCs/>
                <w:i w:val="0"/>
                <w:iCs w:val="0"/>
                <w:color w:val="auto"/>
                <w:kern w:val="0"/>
                <w:sz w:val="22"/>
                <w:szCs w:val="22"/>
                <w:u w:val="none"/>
                <w:lang w:val="en-US" w:eastAsia="zh-CN" w:bidi="ar"/>
              </w:rPr>
              <w:t>303</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sz w:val="22"/>
                <w:szCs w:val="22"/>
                <w:u w:val="none"/>
              </w:rPr>
            </w:pPr>
            <w:r>
              <w:rPr>
                <w:rFonts w:hint="default" w:ascii="Times New Roman" w:hAnsi="Times New Roman" w:cs="Times New Roman" w:eastAsiaTheme="minorEastAsia"/>
                <w:b/>
                <w:bCs/>
                <w:i w:val="0"/>
                <w:iCs w:val="0"/>
                <w:color w:val="auto"/>
                <w:kern w:val="0"/>
                <w:sz w:val="22"/>
                <w:szCs w:val="22"/>
                <w:u w:val="none"/>
                <w:lang w:val="en-US" w:eastAsia="zh-CN" w:bidi="ar"/>
              </w:rPr>
              <w:t>对个人和家庭的补助</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192.72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30305</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生活补助</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30307</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医疗费补助</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30309</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奖励金</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182.91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30399</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其他个人和家庭的补助支出</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2.16</w:t>
            </w:r>
          </w:p>
        </w:tc>
      </w:tr>
    </w:tbl>
    <w:p>
      <w:pPr>
        <w:spacing w:line="60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公用经费</w:t>
      </w:r>
      <w:r>
        <w:rPr>
          <w:rFonts w:hint="default" w:ascii="Times New Roman" w:hAnsi="Times New Roman" w:cs="Times New Roman" w:eastAsiaTheme="minorEastAsia"/>
          <w:color w:val="auto"/>
          <w:sz w:val="32"/>
          <w:szCs w:val="32"/>
          <w:highlight w:val="none"/>
          <w:lang w:val="en-US" w:eastAsia="zh-CN"/>
        </w:rPr>
        <w:t>90.09</w:t>
      </w:r>
      <w:r>
        <w:rPr>
          <w:rFonts w:hint="default" w:ascii="Times New Roman" w:hAnsi="Times New Roman" w:cs="Times New Roman" w:eastAsiaTheme="minorEastAsia"/>
          <w:color w:val="auto"/>
          <w:sz w:val="32"/>
          <w:szCs w:val="32"/>
          <w:highlight w:val="none"/>
        </w:rPr>
        <w:t>万元，主要包括：办公费</w:t>
      </w:r>
      <w:r>
        <w:rPr>
          <w:rFonts w:hint="default" w:ascii="Times New Roman" w:hAnsi="Times New Roman" w:cs="Times New Roman" w:eastAsiaTheme="minorEastAsia"/>
          <w:color w:val="auto"/>
          <w:sz w:val="32"/>
          <w:szCs w:val="32"/>
          <w:highlight w:val="none"/>
          <w:lang w:val="en-US" w:eastAsia="zh-CN"/>
        </w:rPr>
        <w:t>13.45万元；</w:t>
      </w:r>
      <w:r>
        <w:rPr>
          <w:rFonts w:hint="default" w:ascii="Times New Roman" w:hAnsi="Times New Roman" w:cs="Times New Roman" w:eastAsiaTheme="minorEastAsia"/>
          <w:color w:val="auto"/>
          <w:sz w:val="32"/>
          <w:szCs w:val="32"/>
          <w:highlight w:val="none"/>
        </w:rPr>
        <w:t>水费</w:t>
      </w:r>
      <w:r>
        <w:rPr>
          <w:rFonts w:hint="default" w:ascii="Times New Roman" w:hAnsi="Times New Roman" w:cs="Times New Roman" w:eastAsiaTheme="minorEastAsia"/>
          <w:color w:val="auto"/>
          <w:sz w:val="32"/>
          <w:szCs w:val="32"/>
          <w:highlight w:val="none"/>
          <w:lang w:val="en-US" w:eastAsia="zh-CN"/>
        </w:rPr>
        <w:t>1万元；</w:t>
      </w:r>
      <w:r>
        <w:rPr>
          <w:rFonts w:hint="default" w:ascii="Times New Roman" w:hAnsi="Times New Roman" w:cs="Times New Roman" w:eastAsiaTheme="minorEastAsia"/>
          <w:color w:val="auto"/>
          <w:sz w:val="32"/>
          <w:szCs w:val="32"/>
          <w:highlight w:val="none"/>
        </w:rPr>
        <w:t>电费</w:t>
      </w:r>
      <w:r>
        <w:rPr>
          <w:rFonts w:hint="default" w:ascii="Times New Roman" w:hAnsi="Times New Roman" w:cs="Times New Roman" w:eastAsiaTheme="minorEastAsia"/>
          <w:color w:val="auto"/>
          <w:sz w:val="32"/>
          <w:szCs w:val="32"/>
          <w:highlight w:val="none"/>
          <w:lang w:val="en-US" w:eastAsia="zh-CN"/>
        </w:rPr>
        <w:t>4.5万元；</w:t>
      </w:r>
      <w:r>
        <w:rPr>
          <w:rFonts w:hint="default" w:ascii="Times New Roman" w:hAnsi="Times New Roman" w:cs="Times New Roman" w:eastAsiaTheme="minorEastAsia"/>
          <w:color w:val="auto"/>
          <w:sz w:val="32"/>
          <w:szCs w:val="32"/>
          <w:highlight w:val="none"/>
        </w:rPr>
        <w:t>邮电费</w:t>
      </w:r>
      <w:r>
        <w:rPr>
          <w:rFonts w:hint="default" w:ascii="Times New Roman" w:hAnsi="Times New Roman" w:cs="Times New Roman" w:eastAsiaTheme="minorEastAsia"/>
          <w:color w:val="auto"/>
          <w:sz w:val="32"/>
          <w:szCs w:val="32"/>
          <w:highlight w:val="none"/>
          <w:lang w:val="en-US" w:eastAsia="zh-CN"/>
        </w:rPr>
        <w:t>3万元；</w:t>
      </w:r>
      <w:r>
        <w:rPr>
          <w:rFonts w:hint="default" w:ascii="Times New Roman" w:hAnsi="Times New Roman" w:cs="Times New Roman" w:eastAsiaTheme="minorEastAsia"/>
          <w:color w:val="auto"/>
          <w:sz w:val="32"/>
          <w:szCs w:val="32"/>
          <w:highlight w:val="none"/>
        </w:rPr>
        <w:t>公务接待费</w:t>
      </w:r>
      <w:r>
        <w:rPr>
          <w:rFonts w:hint="default" w:ascii="Times New Roman" w:hAnsi="Times New Roman" w:cs="Times New Roman" w:eastAsiaTheme="minorEastAsia"/>
          <w:color w:val="auto"/>
          <w:sz w:val="32"/>
          <w:szCs w:val="32"/>
          <w:highlight w:val="none"/>
          <w:lang w:val="en-US" w:eastAsia="zh-CN"/>
        </w:rPr>
        <w:t>11万元；</w:t>
      </w:r>
      <w:r>
        <w:rPr>
          <w:rFonts w:hint="default" w:ascii="Times New Roman" w:hAnsi="Times New Roman" w:cs="Times New Roman" w:eastAsiaTheme="minorEastAsia"/>
          <w:color w:val="auto"/>
          <w:sz w:val="32"/>
          <w:szCs w:val="32"/>
          <w:highlight w:val="none"/>
        </w:rPr>
        <w:t>劳务费</w:t>
      </w:r>
      <w:r>
        <w:rPr>
          <w:rFonts w:hint="default" w:ascii="Times New Roman" w:hAnsi="Times New Roman" w:cs="Times New Roman" w:eastAsiaTheme="minorEastAsia"/>
          <w:color w:val="auto"/>
          <w:sz w:val="32"/>
          <w:szCs w:val="32"/>
          <w:highlight w:val="none"/>
          <w:lang w:val="en-US" w:eastAsia="zh-CN"/>
        </w:rPr>
        <w:t>7万元</w:t>
      </w:r>
      <w:r>
        <w:rPr>
          <w:rFonts w:hint="default" w:ascii="Times New Roman" w:hAnsi="Times New Roman" w:cs="Times New Roman" w:eastAsiaTheme="minorEastAsia"/>
          <w:color w:val="auto"/>
          <w:sz w:val="32"/>
          <w:szCs w:val="32"/>
          <w:highlight w:val="none"/>
        </w:rPr>
        <w:t>委托业务费、工会经费</w:t>
      </w:r>
      <w:r>
        <w:rPr>
          <w:rFonts w:hint="default" w:ascii="Times New Roman" w:hAnsi="Times New Roman" w:cs="Times New Roman" w:eastAsiaTheme="minorEastAsia"/>
          <w:color w:val="auto"/>
          <w:sz w:val="32"/>
          <w:szCs w:val="32"/>
          <w:highlight w:val="none"/>
          <w:lang w:val="en-US" w:eastAsia="zh-CN"/>
        </w:rPr>
        <w:t>2.14万元；</w:t>
      </w:r>
      <w:r>
        <w:rPr>
          <w:rFonts w:hint="default" w:ascii="Times New Roman" w:hAnsi="Times New Roman" w:cs="Times New Roman" w:eastAsiaTheme="minorEastAsia"/>
          <w:color w:val="auto"/>
          <w:sz w:val="32"/>
          <w:szCs w:val="32"/>
          <w:highlight w:val="none"/>
        </w:rPr>
        <w:t>其他交通费</w:t>
      </w:r>
      <w:r>
        <w:rPr>
          <w:rFonts w:hint="default" w:ascii="Times New Roman" w:hAnsi="Times New Roman" w:cs="Times New Roman" w:eastAsiaTheme="minorEastAsia"/>
          <w:color w:val="auto"/>
          <w:sz w:val="32"/>
          <w:szCs w:val="32"/>
          <w:highlight w:val="none"/>
          <w:lang w:val="en-US" w:eastAsia="zh-CN"/>
        </w:rPr>
        <w:t>12.69万元；</w:t>
      </w:r>
      <w:r>
        <w:rPr>
          <w:rFonts w:hint="default" w:ascii="Times New Roman" w:hAnsi="Times New Roman" w:cs="Times New Roman" w:eastAsiaTheme="minorEastAsia"/>
          <w:color w:val="auto"/>
          <w:sz w:val="32"/>
          <w:szCs w:val="32"/>
          <w:highlight w:val="none"/>
        </w:rPr>
        <w:t>其他商品和服务支出</w:t>
      </w:r>
      <w:r>
        <w:rPr>
          <w:rFonts w:hint="default" w:ascii="Times New Roman" w:hAnsi="Times New Roman" w:cs="Times New Roman" w:eastAsiaTheme="minorEastAsia"/>
          <w:color w:val="auto"/>
          <w:sz w:val="32"/>
          <w:szCs w:val="32"/>
          <w:highlight w:val="none"/>
          <w:lang w:val="en-US" w:eastAsia="zh-CN"/>
        </w:rPr>
        <w:t>11.3万元。</w:t>
      </w:r>
    </w:p>
    <w:tbl>
      <w:tblPr>
        <w:tblStyle w:val="17"/>
        <w:tblW w:w="59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66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7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sz w:val="22"/>
                <w:szCs w:val="22"/>
                <w:u w:val="none"/>
              </w:rPr>
            </w:pPr>
            <w:r>
              <w:rPr>
                <w:rFonts w:hint="default" w:ascii="Times New Roman" w:hAnsi="Times New Roman" w:cs="Times New Roman" w:eastAsiaTheme="minorEastAsia"/>
                <w:b/>
                <w:bCs/>
                <w:i w:val="0"/>
                <w:iCs w:val="0"/>
                <w:color w:val="auto"/>
                <w:kern w:val="0"/>
                <w:sz w:val="22"/>
                <w:szCs w:val="22"/>
                <w:u w:val="none"/>
                <w:lang w:val="en-US" w:eastAsia="zh-CN" w:bidi="ar"/>
              </w:rPr>
              <w:t>302</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sz w:val="22"/>
                <w:szCs w:val="22"/>
                <w:u w:val="none"/>
              </w:rPr>
            </w:pPr>
            <w:r>
              <w:rPr>
                <w:rFonts w:hint="default" w:ascii="Times New Roman" w:hAnsi="Times New Roman" w:cs="Times New Roman" w:eastAsiaTheme="minorEastAsia"/>
                <w:b/>
                <w:bCs/>
                <w:i w:val="0"/>
                <w:iCs w:val="0"/>
                <w:color w:val="auto"/>
                <w:kern w:val="0"/>
                <w:sz w:val="22"/>
                <w:szCs w:val="22"/>
                <w:u w:val="none"/>
                <w:lang w:val="en-US" w:eastAsia="zh-CN" w:bidi="ar"/>
              </w:rPr>
              <w:t>商品和服务支出</w:t>
            </w:r>
          </w:p>
        </w:tc>
        <w:tc>
          <w:tcPr>
            <w:tcW w:w="15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90.09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30201</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办公费</w:t>
            </w:r>
          </w:p>
        </w:tc>
        <w:tc>
          <w:tcPr>
            <w:tcW w:w="15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13.45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30205</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水费</w:t>
            </w:r>
          </w:p>
        </w:tc>
        <w:tc>
          <w:tcPr>
            <w:tcW w:w="15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30206</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电费</w:t>
            </w:r>
          </w:p>
        </w:tc>
        <w:tc>
          <w:tcPr>
            <w:tcW w:w="15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30207</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邮电费</w:t>
            </w:r>
          </w:p>
        </w:tc>
        <w:tc>
          <w:tcPr>
            <w:tcW w:w="15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30211</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差旅费</w:t>
            </w:r>
          </w:p>
        </w:tc>
        <w:tc>
          <w:tcPr>
            <w:tcW w:w="15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30215</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会议费</w:t>
            </w:r>
          </w:p>
        </w:tc>
        <w:tc>
          <w:tcPr>
            <w:tcW w:w="15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30217</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公务接待费</w:t>
            </w:r>
          </w:p>
        </w:tc>
        <w:tc>
          <w:tcPr>
            <w:tcW w:w="15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30226</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劳务费</w:t>
            </w:r>
          </w:p>
        </w:tc>
        <w:tc>
          <w:tcPr>
            <w:tcW w:w="15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30228</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工会经费</w:t>
            </w:r>
          </w:p>
        </w:tc>
        <w:tc>
          <w:tcPr>
            <w:tcW w:w="15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30239</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其他交通费用</w:t>
            </w:r>
          </w:p>
        </w:tc>
        <w:tc>
          <w:tcPr>
            <w:tcW w:w="15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12.69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trPr>
        <w:tc>
          <w:tcPr>
            <w:tcW w:w="76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30299</w:t>
            </w:r>
          </w:p>
        </w:tc>
        <w:tc>
          <w:tcPr>
            <w:tcW w:w="36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其他商品和服务支出</w:t>
            </w:r>
          </w:p>
        </w:tc>
        <w:tc>
          <w:tcPr>
            <w:tcW w:w="15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i w:val="0"/>
                <w:iCs w:val="0"/>
                <w:color w:val="auto"/>
                <w:kern w:val="0"/>
                <w:sz w:val="22"/>
                <w:szCs w:val="22"/>
                <w:u w:val="none"/>
                <w:lang w:val="en-US" w:eastAsia="zh-CN" w:bidi="ar"/>
              </w:rPr>
              <w:t>11.30</w:t>
            </w:r>
          </w:p>
        </w:tc>
      </w:tr>
    </w:tbl>
    <w:p>
      <w:pPr>
        <w:spacing w:line="600" w:lineRule="exact"/>
        <w:ind w:firstLine="321" w:firstLineChars="10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（注：数据来源于财决07表</w:t>
      </w:r>
      <w:r>
        <w:rPr>
          <w:rFonts w:hint="default" w:ascii="Times New Roman" w:hAnsi="Times New Roman" w:cs="Times New Roman" w:eastAsiaTheme="minorEastAsia"/>
          <w:b/>
          <w:color w:val="auto"/>
          <w:sz w:val="32"/>
          <w:szCs w:val="32"/>
          <w:highlight w:val="none"/>
          <w:lang w:eastAsia="zh-CN"/>
        </w:rPr>
        <w:t>和财决</w:t>
      </w:r>
      <w:r>
        <w:rPr>
          <w:rFonts w:hint="default" w:ascii="Times New Roman" w:hAnsi="Times New Roman" w:cs="Times New Roman" w:eastAsiaTheme="minorEastAsia"/>
          <w:b/>
          <w:color w:val="auto"/>
          <w:sz w:val="32"/>
          <w:szCs w:val="32"/>
          <w:highlight w:val="none"/>
          <w:lang w:val="en-US" w:eastAsia="zh-CN"/>
        </w:rPr>
        <w:t>08-1表</w:t>
      </w:r>
      <w:r>
        <w:rPr>
          <w:rFonts w:hint="default" w:ascii="Times New Roman" w:hAnsi="Times New Roman" w:cs="Times New Roman" w:eastAsiaTheme="minorEastAsia"/>
          <w:b/>
          <w:color w:val="auto"/>
          <w:sz w:val="32"/>
          <w:szCs w:val="32"/>
          <w:highlight w:val="none"/>
        </w:rPr>
        <w:t>，</w:t>
      </w:r>
      <w:r>
        <w:rPr>
          <w:rFonts w:hint="default" w:ascii="Times New Roman" w:hAnsi="Times New Roman" w:cs="Times New Roman" w:eastAsiaTheme="minorEastAsia"/>
          <w:b/>
          <w:color w:val="auto"/>
          <w:sz w:val="32"/>
          <w:szCs w:val="32"/>
          <w:highlight w:val="none"/>
          <w:lang w:eastAsia="zh-CN"/>
        </w:rPr>
        <w:t>仅罗列</w:t>
      </w:r>
      <w:r>
        <w:rPr>
          <w:rFonts w:hint="default" w:ascii="Times New Roman" w:hAnsi="Times New Roman" w:cs="Times New Roman" w:eastAsiaTheme="minorEastAsia"/>
          <w:b/>
          <w:color w:val="auto"/>
          <w:sz w:val="32"/>
          <w:szCs w:val="32"/>
          <w:highlight w:val="none"/>
        </w:rPr>
        <w:t>本</w:t>
      </w:r>
      <w:r>
        <w:rPr>
          <w:rFonts w:hint="default" w:ascii="Times New Roman" w:hAnsi="Times New Roman" w:cs="Times New Roman" w:eastAsiaTheme="minorEastAsia"/>
          <w:b/>
          <w:color w:val="auto"/>
          <w:sz w:val="32"/>
          <w:szCs w:val="32"/>
          <w:highlight w:val="none"/>
          <w:lang w:eastAsia="zh-CN"/>
        </w:rPr>
        <w:t>单位</w:t>
      </w:r>
      <w:r>
        <w:rPr>
          <w:rFonts w:hint="default" w:ascii="Times New Roman" w:hAnsi="Times New Roman" w:cs="Times New Roman" w:eastAsiaTheme="minorEastAsia"/>
          <w:b/>
          <w:color w:val="auto"/>
          <w:sz w:val="32"/>
          <w:szCs w:val="32"/>
          <w:highlight w:val="none"/>
        </w:rPr>
        <w:t>实际支出</w:t>
      </w:r>
      <w:r>
        <w:rPr>
          <w:rFonts w:hint="default" w:ascii="Times New Roman" w:hAnsi="Times New Roman" w:cs="Times New Roman" w:eastAsiaTheme="minorEastAsia"/>
          <w:b/>
          <w:color w:val="auto"/>
          <w:sz w:val="32"/>
          <w:szCs w:val="32"/>
          <w:highlight w:val="none"/>
          <w:lang w:eastAsia="zh-CN"/>
        </w:rPr>
        <w:t>涉及的</w:t>
      </w:r>
      <w:r>
        <w:rPr>
          <w:rFonts w:hint="default" w:ascii="Times New Roman" w:hAnsi="Times New Roman" w:cs="Times New Roman" w:eastAsiaTheme="minorEastAsia"/>
          <w:b/>
          <w:color w:val="auto"/>
          <w:sz w:val="32"/>
          <w:szCs w:val="32"/>
          <w:highlight w:val="none"/>
        </w:rPr>
        <w:t>经济分类科目。）</w:t>
      </w:r>
    </w:p>
    <w:p>
      <w:pPr>
        <w:spacing w:line="600" w:lineRule="exact"/>
        <w:ind w:firstLine="640"/>
        <w:outlineLvl w:val="1"/>
        <w:rPr>
          <w:rFonts w:hint="default" w:ascii="Times New Roman" w:hAnsi="Times New Roman" w:cs="Times New Roman" w:eastAsiaTheme="minorEastAsia"/>
          <w:color w:val="auto"/>
          <w:sz w:val="32"/>
          <w:szCs w:val="32"/>
          <w:highlight w:val="none"/>
        </w:rPr>
      </w:pPr>
      <w:bookmarkStart w:id="38" w:name="_Toc15396609"/>
      <w:bookmarkStart w:id="39" w:name="_Toc15377215"/>
    </w:p>
    <w:p>
      <w:pPr>
        <w:spacing w:line="600" w:lineRule="exact"/>
        <w:ind w:firstLine="640"/>
        <w:outlineLvl w:val="1"/>
        <w:rPr>
          <w:rFonts w:hint="default" w:ascii="Times New Roman" w:hAnsi="Times New Roman" w:cs="Times New Roman" w:eastAsiaTheme="minorEastAsia"/>
          <w:color w:val="auto"/>
          <w:sz w:val="32"/>
          <w:szCs w:val="32"/>
          <w:highlight w:val="none"/>
        </w:rPr>
      </w:pPr>
    </w:p>
    <w:p>
      <w:pPr>
        <w:spacing w:line="600" w:lineRule="exact"/>
        <w:ind w:firstLine="640"/>
        <w:outlineLvl w:val="1"/>
        <w:rPr>
          <w:rFonts w:hint="default" w:ascii="Times New Roman" w:hAnsi="Times New Roman" w:cs="Times New Roman" w:eastAsiaTheme="minorEastAsia"/>
          <w:color w:val="auto"/>
          <w:sz w:val="32"/>
          <w:szCs w:val="32"/>
          <w:highlight w:val="none"/>
        </w:rPr>
      </w:pPr>
    </w:p>
    <w:p>
      <w:pPr>
        <w:spacing w:line="600" w:lineRule="exact"/>
        <w:ind w:firstLine="640"/>
        <w:outlineLvl w:val="1"/>
        <w:rPr>
          <w:rFonts w:hint="default" w:ascii="Times New Roman" w:hAnsi="Times New Roman" w:cs="Times New Roman" w:eastAsiaTheme="minorEastAsia"/>
          <w:color w:val="auto"/>
          <w:sz w:val="32"/>
          <w:szCs w:val="32"/>
          <w:highlight w:val="none"/>
        </w:rPr>
      </w:pPr>
    </w:p>
    <w:p>
      <w:pPr>
        <w:spacing w:line="600" w:lineRule="exact"/>
        <w:ind w:firstLine="640"/>
        <w:outlineLvl w:val="1"/>
        <w:rPr>
          <w:rFonts w:hint="default" w:ascii="Times New Roman" w:hAnsi="Times New Roman" w:cs="Times New Roman" w:eastAsiaTheme="minorEastAsia"/>
          <w:color w:val="auto"/>
          <w:sz w:val="32"/>
          <w:szCs w:val="32"/>
          <w:highlight w:val="none"/>
        </w:rPr>
      </w:pPr>
    </w:p>
    <w:p>
      <w:pPr>
        <w:spacing w:line="600" w:lineRule="exact"/>
        <w:ind w:firstLine="640"/>
        <w:outlineLvl w:val="1"/>
        <w:rPr>
          <w:rFonts w:hint="default" w:ascii="Times New Roman" w:hAnsi="Times New Roman" w:cs="Times New Roman" w:eastAsiaTheme="minorEastAsia"/>
          <w:color w:val="auto"/>
          <w:sz w:val="32"/>
          <w:szCs w:val="32"/>
          <w:highlight w:val="none"/>
        </w:rPr>
      </w:pPr>
    </w:p>
    <w:p>
      <w:pPr>
        <w:spacing w:line="600" w:lineRule="exact"/>
        <w:ind w:firstLine="640"/>
        <w:outlineLvl w:val="1"/>
        <w:rPr>
          <w:rFonts w:hint="default" w:ascii="Times New Roman" w:hAnsi="Times New Roman" w:cs="Times New Roman" w:eastAsiaTheme="minorEastAsia"/>
          <w:color w:val="auto"/>
          <w:sz w:val="32"/>
          <w:szCs w:val="32"/>
          <w:highlight w:val="none"/>
        </w:rPr>
      </w:pPr>
    </w:p>
    <w:p>
      <w:pPr>
        <w:spacing w:line="600" w:lineRule="exact"/>
        <w:ind w:firstLine="640"/>
        <w:outlineLvl w:val="1"/>
        <w:rPr>
          <w:rFonts w:hint="default" w:ascii="Times New Roman" w:hAnsi="Times New Roman" w:cs="Times New Roman" w:eastAsiaTheme="minorEastAsia"/>
          <w:color w:val="auto"/>
          <w:sz w:val="32"/>
          <w:szCs w:val="32"/>
          <w:highlight w:val="none"/>
        </w:rPr>
      </w:pPr>
    </w:p>
    <w:p>
      <w:pPr>
        <w:spacing w:line="600" w:lineRule="exact"/>
        <w:ind w:firstLine="640"/>
        <w:outlineLvl w:val="1"/>
        <w:rPr>
          <w:rFonts w:hint="default" w:ascii="Times New Roman" w:hAnsi="Times New Roman" w:cs="Times New Roman" w:eastAsiaTheme="minorEastAsia"/>
          <w:color w:val="auto"/>
          <w:sz w:val="32"/>
          <w:szCs w:val="32"/>
          <w:highlight w:val="none"/>
        </w:rPr>
      </w:pPr>
    </w:p>
    <w:p>
      <w:pPr>
        <w:spacing w:line="600" w:lineRule="exact"/>
        <w:ind w:firstLine="640"/>
        <w:outlineLvl w:val="1"/>
        <w:rPr>
          <w:rFonts w:hint="default" w:ascii="Times New Roman" w:hAnsi="Times New Roman" w:cs="Times New Roman" w:eastAsiaTheme="minorEastAsia"/>
          <w:color w:val="auto"/>
          <w:sz w:val="32"/>
          <w:szCs w:val="32"/>
          <w:highlight w:val="none"/>
        </w:rPr>
      </w:pPr>
    </w:p>
    <w:p>
      <w:pPr>
        <w:spacing w:line="600" w:lineRule="exact"/>
        <w:ind w:firstLine="640"/>
        <w:outlineLvl w:val="1"/>
        <w:rPr>
          <w:rFonts w:hint="default" w:ascii="Times New Roman" w:hAnsi="Times New Roman" w:cs="Times New Roman" w:eastAsiaTheme="minorEastAsia"/>
          <w:color w:val="auto"/>
          <w:sz w:val="32"/>
          <w:szCs w:val="32"/>
          <w:highlight w:val="none"/>
        </w:rPr>
      </w:pPr>
    </w:p>
    <w:p>
      <w:pPr>
        <w:spacing w:line="600" w:lineRule="exact"/>
        <w:ind w:firstLine="640"/>
        <w:outlineLvl w:val="1"/>
        <w:rPr>
          <w:rFonts w:hint="default" w:ascii="Times New Roman" w:hAnsi="Times New Roman" w:cs="Times New Roman" w:eastAsiaTheme="minorEastAsia"/>
          <w:color w:val="auto"/>
          <w:sz w:val="32"/>
          <w:szCs w:val="32"/>
          <w:highlight w:val="none"/>
        </w:rPr>
      </w:pPr>
    </w:p>
    <w:p>
      <w:pPr>
        <w:spacing w:line="600" w:lineRule="exact"/>
        <w:ind w:firstLine="640"/>
        <w:outlineLvl w:val="1"/>
        <w:rPr>
          <w:rStyle w:val="27"/>
          <w:rFonts w:hint="default" w:ascii="Times New Roman" w:hAnsi="Times New Roman" w:cs="Times New Roman" w:eastAsiaTheme="minorEastAsia"/>
          <w:b w:val="0"/>
          <w:color w:val="auto"/>
          <w:highlight w:val="none"/>
        </w:rPr>
      </w:pPr>
      <w:r>
        <w:rPr>
          <w:rFonts w:hint="default" w:ascii="Times New Roman" w:hAnsi="Times New Roman" w:cs="Times New Roman" w:eastAsiaTheme="minorEastAsia"/>
          <w:color w:val="auto"/>
          <w:sz w:val="32"/>
          <w:szCs w:val="32"/>
          <w:highlight w:val="none"/>
        </w:rPr>
        <w:t>七、</w:t>
      </w:r>
      <w:r>
        <w:rPr>
          <w:rStyle w:val="27"/>
          <w:rFonts w:hint="default" w:ascii="Times New Roman" w:hAnsi="Times New Roman" w:cs="Times New Roman" w:eastAsiaTheme="minorEastAsia"/>
          <w:color w:val="auto"/>
          <w:highlight w:val="none"/>
        </w:rPr>
        <w:t>“</w:t>
      </w:r>
      <w:r>
        <w:rPr>
          <w:rStyle w:val="27"/>
          <w:rFonts w:hint="default" w:ascii="Times New Roman" w:hAnsi="Times New Roman" w:cs="Times New Roman" w:eastAsiaTheme="minorEastAsia"/>
          <w:b w:val="0"/>
          <w:color w:val="auto"/>
          <w:highlight w:val="none"/>
        </w:rPr>
        <w:t>三公”经费财政拨款支出决算情况说明</w:t>
      </w:r>
      <w:bookmarkEnd w:id="38"/>
      <w:bookmarkEnd w:id="39"/>
    </w:p>
    <w:p>
      <w:pPr>
        <w:spacing w:line="600" w:lineRule="exact"/>
        <w:ind w:firstLine="640"/>
        <w:outlineLvl w:val="2"/>
        <w:rPr>
          <w:rFonts w:hint="default" w:ascii="Times New Roman" w:hAnsi="Times New Roman" w:cs="Times New Roman" w:eastAsiaTheme="minorEastAsia"/>
          <w:b/>
          <w:color w:val="auto"/>
          <w:sz w:val="32"/>
          <w:szCs w:val="32"/>
          <w:highlight w:val="none"/>
        </w:rPr>
      </w:pPr>
      <w:bookmarkStart w:id="40" w:name="_Toc15377216"/>
      <w:r>
        <w:rPr>
          <w:rFonts w:hint="default" w:ascii="Times New Roman" w:hAnsi="Times New Roman" w:cs="Times New Roman" w:eastAsiaTheme="minorEastAsia"/>
          <w:b/>
          <w:color w:val="auto"/>
          <w:sz w:val="32"/>
          <w:szCs w:val="32"/>
          <w:highlight w:val="none"/>
        </w:rPr>
        <w:t>（一）“三公”经费财政拨款支出决算总体情况说明</w:t>
      </w:r>
      <w:bookmarkEnd w:id="40"/>
    </w:p>
    <w:p>
      <w:pPr>
        <w:spacing w:line="600" w:lineRule="exact"/>
        <w:ind w:firstLine="64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年“三公”经费财政拨款支出决算为</w:t>
      </w:r>
      <w:r>
        <w:rPr>
          <w:rFonts w:hint="default" w:ascii="Times New Roman" w:hAnsi="Times New Roman" w:cs="Times New Roman" w:eastAsiaTheme="minorEastAsia"/>
          <w:color w:val="auto"/>
          <w:sz w:val="32"/>
          <w:szCs w:val="32"/>
          <w:highlight w:val="none"/>
          <w:lang w:val="en-US" w:eastAsia="zh-CN"/>
        </w:rPr>
        <w:t>11</w:t>
      </w:r>
      <w:r>
        <w:rPr>
          <w:rFonts w:hint="default" w:ascii="Times New Roman" w:hAnsi="Times New Roman" w:cs="Times New Roman" w:eastAsiaTheme="minorEastAsia"/>
          <w:color w:val="auto"/>
          <w:sz w:val="32"/>
          <w:szCs w:val="32"/>
          <w:highlight w:val="none"/>
        </w:rPr>
        <w:t>万元，完成预算</w:t>
      </w:r>
      <w:r>
        <w:rPr>
          <w:rFonts w:hint="default" w:ascii="Times New Roman" w:hAnsi="Times New Roman" w:cs="Times New Roman" w:eastAsiaTheme="minorEastAsia"/>
          <w:color w:val="auto"/>
          <w:sz w:val="32"/>
          <w:szCs w:val="32"/>
          <w:highlight w:val="none"/>
          <w:lang w:val="en-US" w:eastAsia="zh-CN"/>
        </w:rPr>
        <w:t>100</w:t>
      </w:r>
      <w:r>
        <w:rPr>
          <w:rFonts w:hint="default" w:ascii="Times New Roman" w:hAnsi="Times New Roman" w:cs="Times New Roman" w:eastAsiaTheme="minorEastAsia"/>
          <w:color w:val="auto"/>
          <w:sz w:val="32"/>
          <w:szCs w:val="32"/>
          <w:highlight w:val="none"/>
        </w:rPr>
        <w:t>%。</w:t>
      </w:r>
    </w:p>
    <w:p>
      <w:pPr>
        <w:spacing w:line="600" w:lineRule="exact"/>
        <w:ind w:firstLine="64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（注：上述“预算”口径为调整预算数，包括</w:t>
      </w:r>
      <w:r>
        <w:rPr>
          <w:rFonts w:hint="default" w:ascii="Times New Roman" w:hAnsi="Times New Roman" w:cs="Times New Roman" w:eastAsiaTheme="minorEastAsia"/>
          <w:b/>
          <w:color w:val="auto"/>
          <w:sz w:val="32"/>
          <w:szCs w:val="32"/>
          <w:highlight w:val="none"/>
          <w:lang w:eastAsia="zh-CN"/>
        </w:rPr>
        <w:t>一般公共预算和</w:t>
      </w:r>
      <w:r>
        <w:rPr>
          <w:rFonts w:hint="default" w:ascii="Times New Roman" w:hAnsi="Times New Roman" w:cs="Times New Roman" w:eastAsiaTheme="minorEastAsia"/>
          <w:b/>
          <w:color w:val="auto"/>
          <w:sz w:val="32"/>
          <w:szCs w:val="32"/>
          <w:highlight w:val="none"/>
        </w:rPr>
        <w:t>政府性基金</w:t>
      </w:r>
      <w:r>
        <w:rPr>
          <w:rFonts w:hint="default" w:ascii="Times New Roman" w:hAnsi="Times New Roman" w:cs="Times New Roman" w:eastAsiaTheme="minorEastAsia"/>
          <w:b/>
          <w:color w:val="auto"/>
          <w:sz w:val="32"/>
          <w:szCs w:val="32"/>
          <w:highlight w:val="none"/>
          <w:lang w:eastAsia="zh-CN"/>
        </w:rPr>
        <w:t>预算财政拨款</w:t>
      </w:r>
      <w:r>
        <w:rPr>
          <w:rFonts w:hint="default" w:ascii="Times New Roman" w:hAnsi="Times New Roman" w:cs="Times New Roman" w:eastAsiaTheme="minorEastAsia"/>
          <w:b/>
          <w:color w:val="auto"/>
          <w:sz w:val="32"/>
          <w:szCs w:val="32"/>
          <w:highlight w:val="none"/>
        </w:rPr>
        <w:t>支出决算情况。）</w:t>
      </w:r>
    </w:p>
    <w:p>
      <w:pPr>
        <w:spacing w:line="600" w:lineRule="exact"/>
        <w:ind w:firstLine="640"/>
        <w:outlineLvl w:val="2"/>
        <w:rPr>
          <w:rFonts w:hint="default" w:ascii="Times New Roman" w:hAnsi="Times New Roman" w:cs="Times New Roman" w:eastAsiaTheme="minorEastAsia"/>
          <w:b/>
          <w:color w:val="auto"/>
          <w:sz w:val="32"/>
          <w:szCs w:val="32"/>
          <w:highlight w:val="none"/>
        </w:rPr>
      </w:pPr>
      <w:bookmarkStart w:id="41" w:name="_Toc15377217"/>
      <w:r>
        <w:rPr>
          <w:rFonts w:hint="default" w:ascii="Times New Roman" w:hAnsi="Times New Roman" w:cs="Times New Roman" w:eastAsiaTheme="minorEastAsia"/>
          <w:b/>
          <w:color w:val="auto"/>
          <w:sz w:val="32"/>
          <w:szCs w:val="32"/>
          <w:highlight w:val="none"/>
        </w:rPr>
        <w:t>（二）“三公”经费财政拨款支出决算具体情况说明</w:t>
      </w:r>
      <w:bookmarkEnd w:id="41"/>
    </w:p>
    <w:p>
      <w:pPr>
        <w:spacing w:line="600" w:lineRule="exact"/>
        <w:ind w:firstLine="64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年“三公”经费财政拨款支出决算中，因公出国（境）费支出决算</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万元，占</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%；公务用车购置及运行维护费支出决算</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万元，占</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%；公务接待费支出决算</w:t>
      </w:r>
      <w:r>
        <w:rPr>
          <w:rFonts w:hint="default" w:ascii="Times New Roman" w:hAnsi="Times New Roman" w:cs="Times New Roman" w:eastAsiaTheme="minorEastAsia"/>
          <w:color w:val="auto"/>
          <w:sz w:val="32"/>
          <w:szCs w:val="32"/>
          <w:highlight w:val="none"/>
          <w:lang w:val="en-US" w:eastAsia="zh-CN"/>
        </w:rPr>
        <w:t>11</w:t>
      </w:r>
      <w:r>
        <w:rPr>
          <w:rFonts w:hint="default" w:ascii="Times New Roman" w:hAnsi="Times New Roman" w:cs="Times New Roman" w:eastAsiaTheme="minorEastAsia"/>
          <w:color w:val="auto"/>
          <w:sz w:val="32"/>
          <w:szCs w:val="32"/>
          <w:highlight w:val="none"/>
        </w:rPr>
        <w:t>万元，占</w:t>
      </w:r>
      <w:r>
        <w:rPr>
          <w:rFonts w:hint="default" w:ascii="Times New Roman" w:hAnsi="Times New Roman" w:cs="Times New Roman" w:eastAsiaTheme="minorEastAsia"/>
          <w:color w:val="auto"/>
          <w:sz w:val="32"/>
          <w:szCs w:val="32"/>
          <w:highlight w:val="none"/>
          <w:lang w:val="en-US" w:eastAsia="zh-CN"/>
        </w:rPr>
        <w:t>100</w:t>
      </w:r>
      <w:r>
        <w:rPr>
          <w:rFonts w:hint="default" w:ascii="Times New Roman" w:hAnsi="Times New Roman" w:cs="Times New Roman" w:eastAsiaTheme="minorEastAsia"/>
          <w:color w:val="auto"/>
          <w:sz w:val="32"/>
          <w:szCs w:val="32"/>
          <w:highlight w:val="none"/>
        </w:rPr>
        <w:t>%。具体情况如下：</w:t>
      </w:r>
    </w:p>
    <w:p>
      <w:pPr>
        <w:spacing w:line="600" w:lineRule="exact"/>
        <w:ind w:firstLine="64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（图7：“三公”经费财政拨款支出结构）（饼状图）</w:t>
      </w:r>
    </w:p>
    <w:p>
      <w:pPr>
        <w:spacing w:line="600" w:lineRule="exact"/>
        <w:ind w:firstLine="643" w:firstLineChars="20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lang w:eastAsia="zh-CN"/>
        </w:rPr>
        <w:drawing>
          <wp:anchor distT="0" distB="0" distL="114300" distR="114300" simplePos="0" relativeHeight="251662336" behindDoc="1" locked="0" layoutInCell="1" allowOverlap="1">
            <wp:simplePos x="0" y="0"/>
            <wp:positionH relativeFrom="column">
              <wp:posOffset>196215</wp:posOffset>
            </wp:positionH>
            <wp:positionV relativeFrom="paragraph">
              <wp:posOffset>513715</wp:posOffset>
            </wp:positionV>
            <wp:extent cx="5080000" cy="3692525"/>
            <wp:effectExtent l="5080" t="4445" r="20320" b="17780"/>
            <wp:wrapTight wrapText="bothSides">
              <wp:wrapPolygon>
                <wp:start x="-22" y="-26"/>
                <wp:lineTo x="-22" y="21481"/>
                <wp:lineTo x="21524" y="21481"/>
                <wp:lineTo x="21524" y="-26"/>
                <wp:lineTo x="-22" y="-26"/>
              </wp:wrapPolygon>
            </wp:wrapTight>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3" w:firstLineChars="200"/>
        <w:rPr>
          <w:rFonts w:hint="default" w:ascii="Times New Roman" w:hAnsi="Times New Roman" w:cs="Times New Roman" w:eastAsiaTheme="minorEastAsia"/>
          <w:b/>
          <w:color w:val="auto"/>
          <w:sz w:val="32"/>
          <w:szCs w:val="32"/>
          <w:highlight w:val="none"/>
          <w:lang w:val="en-US" w:eastAsia="zh-CN"/>
        </w:rPr>
      </w:pPr>
      <w:r>
        <w:rPr>
          <w:rFonts w:hint="default" w:ascii="Times New Roman" w:hAnsi="Times New Roman" w:cs="Times New Roman" w:eastAsiaTheme="minorEastAsia"/>
          <w:b/>
          <w:color w:val="auto"/>
          <w:sz w:val="32"/>
          <w:szCs w:val="32"/>
          <w:highlight w:val="none"/>
        </w:rPr>
        <w:t>1.因公出国（境）经费支出</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w:t>
      </w:r>
      <w:r>
        <w:rPr>
          <w:rStyle w:val="14"/>
          <w:rFonts w:hint="default" w:ascii="Times New Roman" w:hAnsi="Times New Roman" w:cs="Times New Roman" w:eastAsiaTheme="minorEastAsia"/>
          <w:b w:val="0"/>
          <w:bCs/>
          <w:color w:val="auto"/>
          <w:sz w:val="32"/>
          <w:szCs w:val="32"/>
          <w:highlight w:val="none"/>
        </w:rPr>
        <w:t>完成预算</w:t>
      </w:r>
      <w:r>
        <w:rPr>
          <w:rStyle w:val="14"/>
          <w:rFonts w:hint="default" w:ascii="Times New Roman" w:hAnsi="Times New Roman" w:cs="Times New Roman" w:eastAsiaTheme="minorEastAsia"/>
          <w:b w:val="0"/>
          <w:bCs/>
          <w:color w:val="auto"/>
          <w:sz w:val="32"/>
          <w:szCs w:val="32"/>
          <w:highlight w:val="none"/>
          <w:lang w:val="en-US"/>
        </w:rPr>
        <w:t>0</w:t>
      </w:r>
      <w:r>
        <w:rPr>
          <w:rStyle w:val="14"/>
          <w:rFonts w:hint="default" w:ascii="Times New Roman" w:hAnsi="Times New Roman" w:cs="Times New Roman" w:eastAsiaTheme="minorEastAsia"/>
          <w:b w:val="0"/>
          <w:bCs/>
          <w:color w:val="auto"/>
          <w:sz w:val="32"/>
          <w:szCs w:val="32"/>
          <w:highlight w:val="none"/>
        </w:rPr>
        <w:t>%。</w:t>
      </w:r>
      <w:r>
        <w:rPr>
          <w:rFonts w:hint="default" w:ascii="Times New Roman" w:hAnsi="Times New Roman" w:cs="Times New Roman" w:eastAsiaTheme="minorEastAsia"/>
          <w:color w:val="auto"/>
          <w:sz w:val="32"/>
          <w:szCs w:val="32"/>
          <w:highlight w:val="none"/>
        </w:rPr>
        <w:t>全年安排因公出国（境）团组</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次，出国（境）</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人。因公出国（境）支出决算比20</w:t>
      </w:r>
      <w:r>
        <w:rPr>
          <w:rFonts w:hint="default" w:ascii="Times New Roman" w:hAnsi="Times New Roman" w:cs="Times New Roman" w:eastAsiaTheme="minorEastAsia"/>
          <w:color w:val="auto"/>
          <w:sz w:val="32"/>
          <w:szCs w:val="32"/>
          <w:highlight w:val="none"/>
          <w:lang w:val="en-US" w:eastAsia="zh-CN"/>
        </w:rPr>
        <w:t>20</w:t>
      </w:r>
      <w:r>
        <w:rPr>
          <w:rFonts w:hint="default" w:ascii="Times New Roman" w:hAnsi="Times New Roman" w:cs="Times New Roman" w:eastAsiaTheme="minorEastAsia"/>
          <w:color w:val="auto"/>
          <w:sz w:val="32"/>
          <w:szCs w:val="32"/>
          <w:highlight w:val="none"/>
        </w:rPr>
        <w:t>年增加</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万元，增长</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w:t>
      </w:r>
    </w:p>
    <w:p>
      <w:pPr>
        <w:spacing w:line="600" w:lineRule="exact"/>
        <w:ind w:firstLine="643" w:firstLineChars="20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2.公务用车购置及运行维护费支</w:t>
      </w:r>
      <w:r>
        <w:rPr>
          <w:rFonts w:hint="default" w:ascii="Times New Roman" w:hAnsi="Times New Roman" w:cs="Times New Roman" w:eastAsiaTheme="minorEastAsia"/>
          <w:b/>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w:t>
      </w:r>
      <w:r>
        <w:rPr>
          <w:rStyle w:val="14"/>
          <w:rFonts w:hint="default" w:ascii="Times New Roman" w:hAnsi="Times New Roman" w:cs="Times New Roman" w:eastAsiaTheme="minorEastAsia"/>
          <w:b w:val="0"/>
          <w:bCs/>
          <w:color w:val="auto"/>
          <w:sz w:val="32"/>
          <w:szCs w:val="32"/>
          <w:highlight w:val="none"/>
        </w:rPr>
        <w:t>完成预算</w:t>
      </w:r>
      <w:r>
        <w:rPr>
          <w:rStyle w:val="14"/>
          <w:rFonts w:hint="default" w:ascii="Times New Roman" w:hAnsi="Times New Roman" w:cs="Times New Roman" w:eastAsiaTheme="minorEastAsia"/>
          <w:b w:val="0"/>
          <w:bCs/>
          <w:color w:val="auto"/>
          <w:sz w:val="32"/>
          <w:szCs w:val="32"/>
          <w:highlight w:val="none"/>
          <w:lang w:val="en-US"/>
        </w:rPr>
        <w:t>0</w:t>
      </w:r>
      <w:r>
        <w:rPr>
          <w:rStyle w:val="14"/>
          <w:rFonts w:hint="default" w:ascii="Times New Roman" w:hAnsi="Times New Roman" w:cs="Times New Roman" w:eastAsiaTheme="minorEastAsia"/>
          <w:b w:val="0"/>
          <w:bCs/>
          <w:color w:val="auto"/>
          <w:sz w:val="32"/>
          <w:szCs w:val="32"/>
          <w:highlight w:val="none"/>
        </w:rPr>
        <w:t>%。</w:t>
      </w:r>
      <w:r>
        <w:rPr>
          <w:rFonts w:hint="default" w:ascii="Times New Roman" w:hAnsi="Times New Roman" w:cs="Times New Roman" w:eastAsiaTheme="minorEastAsia"/>
          <w:color w:val="auto"/>
          <w:sz w:val="32"/>
          <w:szCs w:val="32"/>
          <w:highlight w:val="none"/>
        </w:rPr>
        <w:t>公务用车购置及运行维护费支出决算比20</w:t>
      </w:r>
      <w:r>
        <w:rPr>
          <w:rFonts w:hint="default" w:ascii="Times New Roman" w:hAnsi="Times New Roman" w:cs="Times New Roman" w:eastAsiaTheme="minorEastAsia"/>
          <w:color w:val="auto"/>
          <w:sz w:val="32"/>
          <w:szCs w:val="32"/>
          <w:highlight w:val="none"/>
          <w:lang w:val="en-US" w:eastAsia="zh-CN"/>
        </w:rPr>
        <w:t>20</w:t>
      </w:r>
      <w:r>
        <w:rPr>
          <w:rFonts w:hint="default" w:ascii="Times New Roman" w:hAnsi="Times New Roman" w:cs="Times New Roman" w:eastAsiaTheme="minorEastAsia"/>
          <w:color w:val="auto"/>
          <w:sz w:val="32"/>
          <w:szCs w:val="32"/>
          <w:highlight w:val="none"/>
        </w:rPr>
        <w:t>年增加</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万元，增长</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w:t>
      </w:r>
    </w:p>
    <w:p>
      <w:pPr>
        <w:spacing w:line="600" w:lineRule="exact"/>
        <w:ind w:firstLine="640" w:firstLineChars="20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color w:val="auto"/>
          <w:sz w:val="32"/>
          <w:szCs w:val="32"/>
          <w:highlight w:val="none"/>
        </w:rPr>
        <w:t>其中：</w:t>
      </w:r>
      <w:r>
        <w:rPr>
          <w:rFonts w:hint="default" w:ascii="Times New Roman" w:hAnsi="Times New Roman" w:cs="Times New Roman" w:eastAsiaTheme="minorEastAsia"/>
          <w:b/>
          <w:color w:val="auto"/>
          <w:sz w:val="32"/>
          <w:szCs w:val="32"/>
          <w:highlight w:val="none"/>
        </w:rPr>
        <w:t>公务用车购置支出</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万元。全年按规定更新购置公务用车</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辆，其中：轿车</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辆、金额</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万元，越野车</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辆、金额</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万元，载客汽车</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辆、金额</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万元。截至20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年12月底，单位共有公务用车</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辆，其中：轿车</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辆、越野车</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辆、载客汽车</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辆。</w:t>
      </w:r>
    </w:p>
    <w:p>
      <w:pPr>
        <w:spacing w:line="600" w:lineRule="exact"/>
        <w:ind w:firstLine="64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color w:val="auto"/>
          <w:sz w:val="32"/>
          <w:szCs w:val="32"/>
          <w:highlight w:val="none"/>
        </w:rPr>
        <w:t>公务用车运行维护费支出</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w:t>
      </w:r>
    </w:p>
    <w:p>
      <w:pPr>
        <w:spacing w:line="600" w:lineRule="exact"/>
        <w:ind w:firstLine="640"/>
        <w:rPr>
          <w:rFonts w:hint="default" w:ascii="Times New Roman" w:hAnsi="Times New Roman" w:cs="Times New Roman" w:eastAsiaTheme="minorEastAsia"/>
          <w:color w:val="auto"/>
          <w:sz w:val="32"/>
          <w:szCs w:val="32"/>
          <w:highlight w:val="none"/>
          <w:lang w:eastAsia="zh-CN"/>
        </w:rPr>
      </w:pPr>
      <w:r>
        <w:rPr>
          <w:rFonts w:hint="default" w:ascii="Times New Roman" w:hAnsi="Times New Roman" w:cs="Times New Roman" w:eastAsiaTheme="minorEastAsia"/>
          <w:b/>
          <w:color w:val="auto"/>
          <w:sz w:val="32"/>
          <w:szCs w:val="32"/>
          <w:highlight w:val="none"/>
        </w:rPr>
        <w:t>3.公务接待费支出</w:t>
      </w:r>
      <w:r>
        <w:rPr>
          <w:rFonts w:hint="default" w:ascii="Times New Roman" w:hAnsi="Times New Roman" w:cs="Times New Roman" w:eastAsiaTheme="minorEastAsia"/>
          <w:color w:val="auto"/>
          <w:sz w:val="32"/>
          <w:szCs w:val="32"/>
          <w:highlight w:val="none"/>
          <w:lang w:val="en-US" w:eastAsia="zh-CN"/>
        </w:rPr>
        <w:t>11</w:t>
      </w:r>
      <w:r>
        <w:rPr>
          <w:rFonts w:hint="default" w:ascii="Times New Roman" w:hAnsi="Times New Roman" w:cs="Times New Roman" w:eastAsiaTheme="minorEastAsia"/>
          <w:color w:val="auto"/>
          <w:sz w:val="32"/>
          <w:szCs w:val="32"/>
          <w:highlight w:val="none"/>
        </w:rPr>
        <w:t>万元，</w:t>
      </w:r>
      <w:r>
        <w:rPr>
          <w:rStyle w:val="14"/>
          <w:rFonts w:hint="default" w:ascii="Times New Roman" w:hAnsi="Times New Roman" w:cs="Times New Roman" w:eastAsiaTheme="minorEastAsia"/>
          <w:b w:val="0"/>
          <w:bCs/>
          <w:color w:val="auto"/>
          <w:sz w:val="32"/>
          <w:szCs w:val="32"/>
          <w:highlight w:val="none"/>
        </w:rPr>
        <w:t>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r>
        <w:rPr>
          <w:rFonts w:hint="default" w:ascii="Times New Roman" w:hAnsi="Times New Roman" w:cs="Times New Roman" w:eastAsiaTheme="minorEastAsia"/>
          <w:color w:val="auto"/>
          <w:sz w:val="32"/>
          <w:szCs w:val="32"/>
          <w:highlight w:val="none"/>
        </w:rPr>
        <w:t>公务接待费支出决算比20</w:t>
      </w:r>
      <w:r>
        <w:rPr>
          <w:rFonts w:hint="default" w:ascii="Times New Roman" w:hAnsi="Times New Roman" w:cs="Times New Roman" w:eastAsiaTheme="minorEastAsia"/>
          <w:color w:val="auto"/>
          <w:sz w:val="32"/>
          <w:szCs w:val="32"/>
          <w:highlight w:val="none"/>
          <w:lang w:val="en-US" w:eastAsia="zh-CN"/>
        </w:rPr>
        <w:t>20</w:t>
      </w:r>
      <w:r>
        <w:rPr>
          <w:rFonts w:hint="default" w:ascii="Times New Roman" w:hAnsi="Times New Roman" w:cs="Times New Roman" w:eastAsiaTheme="minorEastAsia"/>
          <w:color w:val="auto"/>
          <w:sz w:val="32"/>
          <w:szCs w:val="32"/>
          <w:highlight w:val="none"/>
        </w:rPr>
        <w:t>年增加</w:t>
      </w:r>
      <w:r>
        <w:rPr>
          <w:rFonts w:hint="default" w:ascii="Times New Roman" w:hAnsi="Times New Roman" w:cs="Times New Roman" w:eastAsiaTheme="minorEastAsia"/>
          <w:color w:val="auto"/>
          <w:sz w:val="32"/>
          <w:szCs w:val="32"/>
          <w:highlight w:val="none"/>
          <w:lang w:val="en-US" w:eastAsia="zh-CN"/>
        </w:rPr>
        <w:t>2.2</w:t>
      </w:r>
      <w:r>
        <w:rPr>
          <w:rFonts w:hint="default" w:ascii="Times New Roman" w:hAnsi="Times New Roman" w:cs="Times New Roman" w:eastAsiaTheme="minorEastAsia"/>
          <w:color w:val="auto"/>
          <w:sz w:val="32"/>
          <w:szCs w:val="32"/>
          <w:highlight w:val="none"/>
        </w:rPr>
        <w:t>万元，增长</w:t>
      </w:r>
      <w:r>
        <w:rPr>
          <w:rFonts w:hint="default" w:ascii="Times New Roman" w:hAnsi="Times New Roman" w:cs="Times New Roman" w:eastAsiaTheme="minorEastAsia"/>
          <w:color w:val="auto"/>
          <w:sz w:val="32"/>
          <w:szCs w:val="32"/>
          <w:highlight w:val="none"/>
          <w:lang w:val="en-US" w:eastAsia="zh-CN"/>
        </w:rPr>
        <w:t>25</w:t>
      </w:r>
      <w:r>
        <w:rPr>
          <w:rFonts w:hint="default" w:ascii="Times New Roman" w:hAnsi="Times New Roman" w:cs="Times New Roman" w:eastAsiaTheme="minorEastAsia"/>
          <w:color w:val="auto"/>
          <w:sz w:val="32"/>
          <w:szCs w:val="32"/>
          <w:highlight w:val="none"/>
        </w:rPr>
        <w:t>%。主要原因是</w:t>
      </w:r>
      <w:r>
        <w:rPr>
          <w:rFonts w:hint="default" w:ascii="Times New Roman" w:hAnsi="Times New Roman" w:cs="Times New Roman" w:eastAsiaTheme="minorEastAsia"/>
          <w:color w:val="auto"/>
          <w:sz w:val="32"/>
          <w:szCs w:val="32"/>
          <w:highlight w:val="none"/>
          <w:lang w:eastAsia="zh-CN"/>
        </w:rPr>
        <w:t>机构改革人员增加。</w:t>
      </w:r>
    </w:p>
    <w:p>
      <w:pPr>
        <w:spacing w:line="600" w:lineRule="exact"/>
        <w:ind w:firstLine="640"/>
        <w:rPr>
          <w:rFonts w:hint="default" w:ascii="Times New Roman" w:hAnsi="Times New Roman" w:cs="Times New Roman" w:eastAsiaTheme="minorEastAsia"/>
          <w:color w:val="auto"/>
          <w:sz w:val="32"/>
          <w:szCs w:val="32"/>
          <w:highlight w:val="none"/>
          <w:lang w:eastAsia="zh-CN"/>
        </w:rPr>
      </w:pPr>
      <w:r>
        <w:rPr>
          <w:rFonts w:hint="default" w:ascii="Times New Roman" w:hAnsi="Times New Roman" w:cs="Times New Roman" w:eastAsiaTheme="minorEastAsia"/>
          <w:b/>
          <w:color w:val="auto"/>
          <w:sz w:val="32"/>
          <w:szCs w:val="32"/>
          <w:highlight w:val="none"/>
        </w:rPr>
        <w:t>国内公务接待支出</w:t>
      </w:r>
      <w:r>
        <w:rPr>
          <w:rFonts w:hint="default" w:ascii="Times New Roman" w:hAnsi="Times New Roman" w:cs="Times New Roman" w:eastAsiaTheme="minorEastAsia"/>
          <w:color w:val="auto"/>
          <w:sz w:val="32"/>
          <w:szCs w:val="32"/>
          <w:highlight w:val="none"/>
          <w:lang w:val="en-US" w:eastAsia="zh-CN"/>
        </w:rPr>
        <w:t>11</w:t>
      </w:r>
      <w:r>
        <w:rPr>
          <w:rFonts w:hint="default" w:ascii="Times New Roman" w:hAnsi="Times New Roman" w:cs="Times New Roman" w:eastAsiaTheme="minorEastAsia"/>
          <w:color w:val="auto"/>
          <w:sz w:val="32"/>
          <w:szCs w:val="32"/>
          <w:highlight w:val="none"/>
        </w:rPr>
        <w:t>万元，主要用于执行公务、开展业务活动用餐费等。国内公务接待</w:t>
      </w:r>
      <w:r>
        <w:rPr>
          <w:rFonts w:hint="default" w:ascii="Times New Roman" w:hAnsi="Times New Roman" w:cs="Times New Roman" w:eastAsiaTheme="minorEastAsia"/>
          <w:color w:val="auto"/>
          <w:sz w:val="32"/>
          <w:szCs w:val="32"/>
          <w:highlight w:val="none"/>
          <w:lang w:val="en-US" w:eastAsia="zh-CN"/>
        </w:rPr>
        <w:t>275</w:t>
      </w:r>
      <w:r>
        <w:rPr>
          <w:rFonts w:hint="default" w:ascii="Times New Roman" w:hAnsi="Times New Roman" w:cs="Times New Roman" w:eastAsiaTheme="minorEastAsia"/>
          <w:color w:val="auto"/>
          <w:sz w:val="32"/>
          <w:szCs w:val="32"/>
          <w:highlight w:val="none"/>
        </w:rPr>
        <w:t>批次，</w:t>
      </w:r>
      <w:r>
        <w:rPr>
          <w:rFonts w:hint="default" w:ascii="Times New Roman" w:hAnsi="Times New Roman" w:cs="Times New Roman" w:eastAsiaTheme="minorEastAsia"/>
          <w:color w:val="auto"/>
          <w:sz w:val="32"/>
          <w:szCs w:val="32"/>
          <w:highlight w:val="none"/>
          <w:lang w:val="en-US" w:eastAsia="zh-CN"/>
        </w:rPr>
        <w:t>2200</w:t>
      </w:r>
      <w:r>
        <w:rPr>
          <w:rFonts w:hint="default" w:ascii="Times New Roman" w:hAnsi="Times New Roman" w:cs="Times New Roman" w:eastAsiaTheme="minorEastAsia"/>
          <w:color w:val="auto"/>
          <w:sz w:val="32"/>
          <w:szCs w:val="32"/>
          <w:highlight w:val="none"/>
        </w:rPr>
        <w:t>人次（不包括陪同人员），共计支出</w:t>
      </w:r>
      <w:r>
        <w:rPr>
          <w:rFonts w:hint="default" w:ascii="Times New Roman" w:hAnsi="Times New Roman" w:cs="Times New Roman" w:eastAsiaTheme="minorEastAsia"/>
          <w:color w:val="auto"/>
          <w:sz w:val="32"/>
          <w:szCs w:val="32"/>
          <w:highlight w:val="none"/>
          <w:lang w:val="en-US" w:eastAsia="zh-CN"/>
        </w:rPr>
        <w:t>11</w:t>
      </w:r>
      <w:r>
        <w:rPr>
          <w:rFonts w:hint="default" w:ascii="Times New Roman" w:hAnsi="Times New Roman" w:cs="Times New Roman" w:eastAsiaTheme="minorEastAsia"/>
          <w:color w:val="auto"/>
          <w:sz w:val="32"/>
          <w:szCs w:val="32"/>
          <w:highlight w:val="none"/>
        </w:rPr>
        <w:t>万元</w:t>
      </w:r>
      <w:r>
        <w:rPr>
          <w:rFonts w:hint="default" w:ascii="Times New Roman" w:hAnsi="Times New Roman" w:cs="Times New Roman" w:eastAsiaTheme="minorEastAsia"/>
          <w:color w:val="auto"/>
          <w:sz w:val="32"/>
          <w:szCs w:val="32"/>
          <w:highlight w:val="none"/>
          <w:lang w:eastAsia="zh-CN"/>
        </w:rPr>
        <w:t>。具体用于乡村振兴现场会、脱贫攻坚后评估及日常各部门单位工作检查等。</w:t>
      </w:r>
    </w:p>
    <w:p>
      <w:pPr>
        <w:spacing w:line="600" w:lineRule="exact"/>
        <w:ind w:firstLine="643"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color w:val="auto"/>
          <w:sz w:val="32"/>
          <w:szCs w:val="32"/>
          <w:highlight w:val="none"/>
        </w:rPr>
        <w:t>外事接待支出</w:t>
      </w:r>
      <w:r>
        <w:rPr>
          <w:rFonts w:hint="default" w:ascii="Times New Roman" w:hAnsi="Times New Roman" w:cs="Times New Roman" w:eastAsiaTheme="minorEastAsia"/>
          <w:color w:val="auto"/>
          <w:sz w:val="32"/>
          <w:szCs w:val="32"/>
          <w:highlight w:val="none"/>
          <w:lang w:val="en-US" w:eastAsia="zh-CN"/>
        </w:rPr>
        <w:t xml:space="preserve">0 </w:t>
      </w:r>
      <w:r>
        <w:rPr>
          <w:rFonts w:hint="default" w:ascii="Times New Roman" w:hAnsi="Times New Roman" w:cs="Times New Roman" w:eastAsiaTheme="minorEastAsia"/>
          <w:color w:val="auto"/>
          <w:sz w:val="32"/>
          <w:szCs w:val="32"/>
          <w:highlight w:val="none"/>
        </w:rPr>
        <w:t>万元，外事接待</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批次，</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人，共计支出</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w:t>
      </w:r>
      <w:bookmarkStart w:id="42" w:name="_Toc15396610"/>
      <w:bookmarkStart w:id="43" w:name="_Toc15377218"/>
    </w:p>
    <w:p>
      <w:pPr>
        <w:spacing w:line="600" w:lineRule="exact"/>
        <w:ind w:firstLine="640"/>
        <w:outlineLvl w:val="1"/>
        <w:rPr>
          <w:rFonts w:hint="default" w:ascii="Times New Roman" w:hAnsi="Times New Roman" w:cs="Times New Roman" w:eastAsiaTheme="minorEastAsia"/>
          <w:color w:val="auto"/>
          <w:sz w:val="32"/>
          <w:szCs w:val="32"/>
          <w:highlight w:val="none"/>
        </w:rPr>
      </w:pPr>
    </w:p>
    <w:p>
      <w:pPr>
        <w:spacing w:line="600" w:lineRule="exact"/>
        <w:ind w:firstLine="640"/>
        <w:outlineLvl w:val="1"/>
        <w:rPr>
          <w:rFonts w:hint="default" w:ascii="Times New Roman" w:hAnsi="Times New Roman" w:cs="Times New Roman" w:eastAsiaTheme="minorEastAsia"/>
          <w:color w:val="auto"/>
          <w:sz w:val="32"/>
          <w:szCs w:val="32"/>
          <w:highlight w:val="none"/>
        </w:rPr>
      </w:pPr>
    </w:p>
    <w:p>
      <w:pPr>
        <w:spacing w:line="600" w:lineRule="exact"/>
        <w:ind w:firstLine="640"/>
        <w:outlineLvl w:val="1"/>
        <w:rPr>
          <w:rStyle w:val="27"/>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32"/>
          <w:szCs w:val="32"/>
          <w:highlight w:val="none"/>
        </w:rPr>
        <w:t>八、</w:t>
      </w:r>
      <w:r>
        <w:rPr>
          <w:rStyle w:val="27"/>
          <w:rFonts w:hint="default" w:ascii="Times New Roman" w:hAnsi="Times New Roman" w:cs="Times New Roman" w:eastAsiaTheme="minorEastAsia"/>
          <w:b w:val="0"/>
          <w:color w:val="auto"/>
          <w:highlight w:val="none"/>
        </w:rPr>
        <w:t>政府性基金预算支出决算情况说明</w:t>
      </w:r>
      <w:bookmarkEnd w:id="42"/>
      <w:bookmarkEnd w:id="43"/>
    </w:p>
    <w:p>
      <w:pPr>
        <w:spacing w:line="600" w:lineRule="exact"/>
        <w:ind w:firstLine="64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年政府性基金预算</w:t>
      </w:r>
      <w:r>
        <w:rPr>
          <w:rFonts w:hint="default" w:ascii="Times New Roman" w:hAnsi="Times New Roman" w:cs="Times New Roman" w:eastAsiaTheme="minorEastAsia"/>
          <w:color w:val="auto"/>
          <w:sz w:val="32"/>
          <w:szCs w:val="32"/>
          <w:highlight w:val="none"/>
          <w:lang w:eastAsia="zh-CN"/>
        </w:rPr>
        <w:t>财政</w:t>
      </w:r>
      <w:r>
        <w:rPr>
          <w:rFonts w:hint="default" w:ascii="Times New Roman" w:hAnsi="Times New Roman" w:cs="Times New Roman" w:eastAsiaTheme="minorEastAsia"/>
          <w:color w:val="auto"/>
          <w:sz w:val="32"/>
          <w:szCs w:val="32"/>
          <w:highlight w:val="none"/>
        </w:rPr>
        <w:t>拨款支出</w:t>
      </w:r>
      <w:r>
        <w:rPr>
          <w:rFonts w:hint="default" w:ascii="Times New Roman" w:hAnsi="Times New Roman" w:cs="Times New Roman" w:eastAsiaTheme="minorEastAsia"/>
          <w:color w:val="auto"/>
          <w:sz w:val="32"/>
          <w:szCs w:val="32"/>
          <w:highlight w:val="none"/>
          <w:lang w:val="en-US" w:eastAsia="zh-CN"/>
        </w:rPr>
        <w:t>146.30</w:t>
      </w:r>
      <w:r>
        <w:rPr>
          <w:rFonts w:hint="default" w:ascii="Times New Roman" w:hAnsi="Times New Roman" w:cs="Times New Roman" w:eastAsiaTheme="minorEastAsia"/>
          <w:color w:val="auto"/>
          <w:sz w:val="32"/>
          <w:szCs w:val="32"/>
          <w:highlight w:val="none"/>
        </w:rPr>
        <w:t>万元。</w:t>
      </w:r>
    </w:p>
    <w:p>
      <w:pPr>
        <w:numPr>
          <w:ilvl w:val="0"/>
          <w:numId w:val="2"/>
        </w:numPr>
        <w:spacing w:line="600" w:lineRule="exact"/>
        <w:ind w:firstLine="640"/>
        <w:outlineLvl w:val="1"/>
        <w:rPr>
          <w:rStyle w:val="27"/>
          <w:rFonts w:hint="default" w:ascii="Times New Roman" w:hAnsi="Times New Roman" w:cs="Times New Roman" w:eastAsiaTheme="minorEastAsia"/>
          <w:b w:val="0"/>
          <w:color w:val="auto"/>
          <w:highlight w:val="none"/>
        </w:rPr>
      </w:pPr>
      <w:bookmarkStart w:id="44" w:name="_Toc15377219"/>
      <w:bookmarkStart w:id="45" w:name="_Toc15396611"/>
      <w:r>
        <w:rPr>
          <w:rStyle w:val="27"/>
          <w:rFonts w:hint="default" w:ascii="Times New Roman" w:hAnsi="Times New Roman" w:cs="Times New Roman" w:eastAsiaTheme="minorEastAsia"/>
          <w:b w:val="0"/>
          <w:color w:val="auto"/>
          <w:highlight w:val="none"/>
        </w:rPr>
        <w:t>国有资本经营预算支出决算情况说明</w:t>
      </w:r>
      <w:bookmarkEnd w:id="44"/>
      <w:bookmarkEnd w:id="45"/>
    </w:p>
    <w:p>
      <w:pPr>
        <w:spacing w:line="600" w:lineRule="exact"/>
        <w:ind w:firstLine="640"/>
        <w:rPr>
          <w:rFonts w:hint="default" w:ascii="Times New Roman" w:hAnsi="Times New Roman" w:cs="Times New Roman" w:eastAsiaTheme="minorEastAsia"/>
          <w:color w:val="auto"/>
          <w:sz w:val="44"/>
          <w:szCs w:val="44"/>
          <w:highlight w:val="none"/>
        </w:rPr>
      </w:pPr>
      <w:r>
        <w:rPr>
          <w:rFonts w:hint="default" w:ascii="Times New Roman" w:hAnsi="Times New Roman" w:cs="Times New Roman" w:eastAsiaTheme="minorEastAsia"/>
          <w:color w:val="auto"/>
          <w:sz w:val="32"/>
          <w:szCs w:val="32"/>
          <w:highlight w:val="none"/>
        </w:rPr>
        <w:t>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年国有资本经营预算</w:t>
      </w:r>
      <w:r>
        <w:rPr>
          <w:rFonts w:hint="default" w:ascii="Times New Roman" w:hAnsi="Times New Roman" w:cs="Times New Roman" w:eastAsiaTheme="minorEastAsia"/>
          <w:color w:val="auto"/>
          <w:sz w:val="32"/>
          <w:szCs w:val="32"/>
          <w:highlight w:val="none"/>
          <w:lang w:eastAsia="zh-CN"/>
        </w:rPr>
        <w:t>财政</w:t>
      </w:r>
      <w:r>
        <w:rPr>
          <w:rFonts w:hint="default" w:ascii="Times New Roman" w:hAnsi="Times New Roman" w:cs="Times New Roman" w:eastAsiaTheme="minorEastAsia"/>
          <w:color w:val="auto"/>
          <w:sz w:val="32"/>
          <w:szCs w:val="32"/>
          <w:highlight w:val="none"/>
        </w:rPr>
        <w:t>拨款支出</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w:t>
      </w:r>
    </w:p>
    <w:p>
      <w:pPr>
        <w:numPr>
          <w:ilvl w:val="0"/>
          <w:numId w:val="2"/>
        </w:numPr>
        <w:spacing w:line="600" w:lineRule="exact"/>
        <w:ind w:firstLine="640"/>
        <w:outlineLvl w:val="1"/>
        <w:rPr>
          <w:rStyle w:val="27"/>
          <w:rFonts w:hint="default" w:ascii="Times New Roman" w:hAnsi="Times New Roman" w:cs="Times New Roman" w:eastAsiaTheme="minorEastAsia"/>
          <w:b w:val="0"/>
          <w:color w:val="auto"/>
          <w:highlight w:val="none"/>
        </w:rPr>
      </w:pPr>
      <w:bookmarkStart w:id="46" w:name="_Toc15377221"/>
      <w:bookmarkStart w:id="47" w:name="_Toc15396612"/>
      <w:r>
        <w:rPr>
          <w:rStyle w:val="27"/>
          <w:rFonts w:hint="default" w:ascii="Times New Roman" w:hAnsi="Times New Roman" w:cs="Times New Roman" w:eastAsiaTheme="minorEastAsia"/>
          <w:b w:val="0"/>
          <w:color w:val="auto"/>
          <w:highlight w:val="none"/>
        </w:rPr>
        <w:t>其他重要事项的情况说明</w:t>
      </w:r>
      <w:bookmarkEnd w:id="46"/>
      <w:bookmarkEnd w:id="47"/>
    </w:p>
    <w:p>
      <w:pPr>
        <w:spacing w:line="600" w:lineRule="exact"/>
        <w:ind w:firstLine="643" w:firstLineChars="200"/>
        <w:outlineLvl w:val="2"/>
        <w:rPr>
          <w:rFonts w:hint="default" w:ascii="Times New Roman" w:hAnsi="Times New Roman" w:cs="Times New Roman" w:eastAsiaTheme="minorEastAsia"/>
          <w:color w:val="auto"/>
          <w:sz w:val="32"/>
          <w:szCs w:val="32"/>
          <w:highlight w:val="none"/>
        </w:rPr>
      </w:pPr>
      <w:bookmarkStart w:id="48" w:name="_Toc15377222"/>
      <w:r>
        <w:rPr>
          <w:rFonts w:hint="default" w:ascii="Times New Roman" w:hAnsi="Times New Roman" w:cs="Times New Roman" w:eastAsiaTheme="minorEastAsia"/>
          <w:b/>
          <w:color w:val="auto"/>
          <w:sz w:val="32"/>
          <w:szCs w:val="32"/>
          <w:highlight w:val="none"/>
        </w:rPr>
        <w:t>（一）机关运行经费支出情况</w:t>
      </w:r>
      <w:bookmarkEnd w:id="48"/>
    </w:p>
    <w:p>
      <w:pPr>
        <w:spacing w:line="60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w:t>
      </w:r>
      <w:r>
        <w:rPr>
          <w:rFonts w:hint="default" w:ascii="Times New Roman" w:hAnsi="Times New Roman" w:cs="Times New Roman" w:eastAsiaTheme="minorEastAsia"/>
          <w:color w:val="auto"/>
          <w:sz w:val="32"/>
          <w:szCs w:val="32"/>
          <w:highlight w:val="none"/>
          <w:lang w:eastAsia="zh-CN"/>
        </w:rPr>
        <w:t>大成镇人民政府</w:t>
      </w:r>
      <w:r>
        <w:rPr>
          <w:rFonts w:hint="default" w:ascii="Times New Roman" w:hAnsi="Times New Roman" w:cs="Times New Roman" w:eastAsiaTheme="minorEastAsia"/>
          <w:color w:val="auto"/>
          <w:sz w:val="32"/>
          <w:szCs w:val="32"/>
          <w:highlight w:val="none"/>
        </w:rPr>
        <w:t>机关运行经费支出</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w:t>
      </w:r>
      <w:r>
        <w:rPr>
          <w:rStyle w:val="14"/>
          <w:rFonts w:hint="default" w:ascii="Times New Roman" w:hAnsi="Times New Roman" w:cs="Times New Roman" w:eastAsiaTheme="minorEastAsia"/>
          <w:b w:val="0"/>
          <w:bCs/>
          <w:color w:val="auto"/>
          <w:sz w:val="32"/>
          <w:szCs w:val="32"/>
          <w:highlight w:val="none"/>
        </w:rPr>
        <w:t>完成预算</w:t>
      </w:r>
      <w:r>
        <w:rPr>
          <w:rStyle w:val="14"/>
          <w:rFonts w:hint="default" w:ascii="Times New Roman" w:hAnsi="Times New Roman" w:cs="Times New Roman" w:eastAsiaTheme="minorEastAsia"/>
          <w:b w:val="0"/>
          <w:bCs/>
          <w:color w:val="auto"/>
          <w:sz w:val="32"/>
          <w:szCs w:val="32"/>
          <w:highlight w:val="none"/>
          <w:lang w:val="en-US"/>
        </w:rPr>
        <w:t>100</w:t>
      </w:r>
      <w:r>
        <w:rPr>
          <w:rStyle w:val="14"/>
          <w:rFonts w:hint="default" w:ascii="Times New Roman" w:hAnsi="Times New Roman" w:cs="Times New Roman" w:eastAsiaTheme="minorEastAsia"/>
          <w:b w:val="0"/>
          <w:bCs/>
          <w:color w:val="auto"/>
          <w:sz w:val="32"/>
          <w:szCs w:val="32"/>
          <w:highlight w:val="none"/>
        </w:rPr>
        <w:t>%</w:t>
      </w:r>
      <w:r>
        <w:rPr>
          <w:rStyle w:val="14"/>
          <w:rFonts w:hint="eastAsia" w:cs="Times New Roman" w:eastAsiaTheme="minorEastAsia"/>
          <w:b w:val="0"/>
          <w:bCs/>
          <w:color w:val="auto"/>
          <w:sz w:val="32"/>
          <w:szCs w:val="32"/>
          <w:highlight w:val="none"/>
          <w:lang w:val="en-US"/>
        </w:rPr>
        <w:t>.</w:t>
      </w:r>
      <w:r>
        <w:rPr>
          <w:rFonts w:hint="default" w:ascii="Times New Roman" w:hAnsi="Times New Roman" w:cs="Times New Roman" w:eastAsiaTheme="minorEastAsia"/>
          <w:color w:val="auto"/>
          <w:sz w:val="32"/>
          <w:szCs w:val="32"/>
          <w:highlight w:val="none"/>
        </w:rPr>
        <w:t>比20</w:t>
      </w:r>
      <w:r>
        <w:rPr>
          <w:rFonts w:hint="default" w:ascii="Times New Roman" w:hAnsi="Times New Roman" w:cs="Times New Roman" w:eastAsiaTheme="minorEastAsia"/>
          <w:color w:val="auto"/>
          <w:sz w:val="32"/>
          <w:szCs w:val="32"/>
          <w:highlight w:val="none"/>
          <w:lang w:val="en-US" w:eastAsia="zh-CN"/>
        </w:rPr>
        <w:t>20</w:t>
      </w:r>
      <w:r>
        <w:rPr>
          <w:rFonts w:hint="default" w:ascii="Times New Roman" w:hAnsi="Times New Roman" w:cs="Times New Roman" w:eastAsiaTheme="minorEastAsia"/>
          <w:color w:val="auto"/>
          <w:sz w:val="32"/>
          <w:szCs w:val="32"/>
          <w:highlight w:val="none"/>
        </w:rPr>
        <w:t>年增加</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万元，增长</w:t>
      </w:r>
      <w:r>
        <w:rPr>
          <w:rFonts w:hint="default" w:ascii="Times New Roman" w:hAnsi="Times New Roman" w:cs="Times New Roman" w:eastAsiaTheme="minorEastAsia"/>
          <w:color w:val="auto"/>
          <w:sz w:val="32"/>
          <w:szCs w:val="32"/>
          <w:highlight w:val="none"/>
          <w:lang w:val="en-US" w:eastAsia="zh-CN"/>
        </w:rPr>
        <w:t xml:space="preserve">0 </w:t>
      </w:r>
      <w:r>
        <w:rPr>
          <w:rFonts w:hint="default" w:ascii="Times New Roman" w:hAnsi="Times New Roman" w:cs="Times New Roman" w:eastAsiaTheme="minorEastAsia"/>
          <w:color w:val="auto"/>
          <w:sz w:val="32"/>
          <w:szCs w:val="32"/>
          <w:highlight w:val="none"/>
        </w:rPr>
        <w:t>%。</w:t>
      </w:r>
    </w:p>
    <w:p>
      <w:pPr>
        <w:spacing w:line="600" w:lineRule="exact"/>
        <w:ind w:firstLine="643" w:firstLineChars="20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（注：数据来源于财决附03表）</w:t>
      </w:r>
    </w:p>
    <w:p>
      <w:pPr>
        <w:autoSpaceDE w:val="0"/>
        <w:autoSpaceDN w:val="0"/>
        <w:adjustRightInd w:val="0"/>
        <w:spacing w:line="600" w:lineRule="exact"/>
        <w:ind w:firstLine="643" w:firstLineChars="200"/>
        <w:jc w:val="left"/>
        <w:outlineLvl w:val="2"/>
        <w:rPr>
          <w:rFonts w:hint="default" w:ascii="Times New Roman" w:hAnsi="Times New Roman" w:cs="Times New Roman" w:eastAsiaTheme="minorEastAsia"/>
          <w:b/>
          <w:color w:val="auto"/>
          <w:sz w:val="32"/>
          <w:szCs w:val="32"/>
          <w:highlight w:val="none"/>
        </w:rPr>
      </w:pPr>
      <w:bookmarkStart w:id="49" w:name="_Toc15377223"/>
      <w:r>
        <w:rPr>
          <w:rFonts w:hint="default" w:ascii="Times New Roman" w:hAnsi="Times New Roman" w:cs="Times New Roman" w:eastAsiaTheme="minorEastAsia"/>
          <w:b/>
          <w:color w:val="auto"/>
          <w:sz w:val="32"/>
          <w:szCs w:val="32"/>
          <w:highlight w:val="none"/>
        </w:rPr>
        <w:t>（二）政府采购支出情况</w:t>
      </w:r>
      <w:bookmarkEnd w:id="49"/>
    </w:p>
    <w:p>
      <w:pPr>
        <w:spacing w:line="60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w:t>
      </w:r>
      <w:r>
        <w:rPr>
          <w:rFonts w:hint="default" w:ascii="Times New Roman" w:hAnsi="Times New Roman" w:cs="Times New Roman" w:eastAsiaTheme="minorEastAsia"/>
          <w:color w:val="auto"/>
          <w:sz w:val="32"/>
          <w:szCs w:val="32"/>
          <w:highlight w:val="none"/>
          <w:lang w:eastAsia="zh-CN"/>
        </w:rPr>
        <w:t>大成镇人民</w:t>
      </w:r>
      <w:r>
        <w:rPr>
          <w:rFonts w:hint="default" w:ascii="Times New Roman" w:hAnsi="Times New Roman" w:cs="Times New Roman" w:eastAsiaTheme="minorEastAsia"/>
          <w:color w:val="auto"/>
          <w:sz w:val="32"/>
          <w:szCs w:val="32"/>
          <w:highlight w:val="none"/>
        </w:rPr>
        <w:t>政府采购支出总额</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万元，其中：政府采购货物支出</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万元、政府采购工程支出</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万元、政府采购服务支出</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万元。授予中小企业合同金额</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万元，占政府采购支出总额的</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%，其中：授予小微企业合同金额</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万元，占政府采购支出总额的</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w:t>
      </w:r>
    </w:p>
    <w:p>
      <w:pPr>
        <w:spacing w:line="600" w:lineRule="exact"/>
        <w:ind w:firstLine="643" w:firstLineChars="20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（注：数据来源于财决附03表）</w:t>
      </w:r>
    </w:p>
    <w:p>
      <w:pPr>
        <w:autoSpaceDE w:val="0"/>
        <w:autoSpaceDN w:val="0"/>
        <w:adjustRightInd w:val="0"/>
        <w:spacing w:line="600" w:lineRule="exact"/>
        <w:ind w:firstLine="643" w:firstLineChars="200"/>
        <w:jc w:val="left"/>
        <w:outlineLvl w:val="2"/>
        <w:rPr>
          <w:rFonts w:hint="default" w:ascii="Times New Roman" w:hAnsi="Times New Roman" w:cs="Times New Roman" w:eastAsiaTheme="minorEastAsia"/>
          <w:b/>
          <w:color w:val="auto"/>
          <w:sz w:val="32"/>
          <w:szCs w:val="32"/>
          <w:highlight w:val="none"/>
        </w:rPr>
      </w:pPr>
      <w:bookmarkStart w:id="50" w:name="_Toc15377224"/>
      <w:r>
        <w:rPr>
          <w:rFonts w:hint="default" w:ascii="Times New Roman" w:hAnsi="Times New Roman" w:cs="Times New Roman" w:eastAsiaTheme="minorEastAsia"/>
          <w:b/>
          <w:color w:val="auto"/>
          <w:sz w:val="32"/>
          <w:szCs w:val="32"/>
          <w:highlight w:val="none"/>
        </w:rPr>
        <w:t>（三）国有资产占有使用情况</w:t>
      </w:r>
      <w:bookmarkEnd w:id="50"/>
    </w:p>
    <w:p>
      <w:pPr>
        <w:autoSpaceDE w:val="0"/>
        <w:autoSpaceDN w:val="0"/>
        <w:adjustRightInd w:val="0"/>
        <w:spacing w:line="600" w:lineRule="exact"/>
        <w:ind w:firstLine="640" w:firstLineChars="200"/>
        <w:jc w:val="left"/>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截至20</w:t>
      </w:r>
      <w:r>
        <w:rPr>
          <w:rFonts w:hint="default" w:ascii="Times New Roman" w:hAnsi="Times New Roman" w:cs="Times New Roman" w:eastAsiaTheme="minorEastAsia"/>
          <w:color w:val="auto"/>
          <w:sz w:val="32"/>
          <w:szCs w:val="32"/>
          <w:highlight w:val="none"/>
          <w:lang w:val="en-US" w:eastAsia="zh-CN"/>
        </w:rPr>
        <w:t>21</w:t>
      </w:r>
      <w:r>
        <w:rPr>
          <w:rFonts w:hint="default" w:ascii="Times New Roman" w:hAnsi="Times New Roman" w:cs="Times New Roman" w:eastAsiaTheme="minorEastAsia"/>
          <w:color w:val="auto"/>
          <w:sz w:val="32"/>
          <w:szCs w:val="32"/>
          <w:highlight w:val="none"/>
        </w:rPr>
        <w:t>年12月31日，</w:t>
      </w:r>
      <w:r>
        <w:rPr>
          <w:rFonts w:hint="default" w:ascii="Times New Roman" w:hAnsi="Times New Roman" w:cs="Times New Roman" w:eastAsiaTheme="minorEastAsia"/>
          <w:color w:val="auto"/>
          <w:sz w:val="32"/>
          <w:szCs w:val="32"/>
          <w:highlight w:val="none"/>
          <w:lang w:eastAsia="zh-CN"/>
        </w:rPr>
        <w:t>大成镇人民政府</w:t>
      </w:r>
      <w:r>
        <w:rPr>
          <w:rFonts w:hint="default" w:ascii="Times New Roman" w:hAnsi="Times New Roman" w:cs="Times New Roman" w:eastAsiaTheme="minorEastAsia"/>
          <w:color w:val="auto"/>
          <w:sz w:val="32"/>
          <w:szCs w:val="32"/>
          <w:highlight w:val="none"/>
        </w:rPr>
        <w:t>共有车辆</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辆，其中：主要领导干部用车</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辆、机要通信用车</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辆、应急保障用车</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辆、其他用车</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辆</w:t>
      </w:r>
      <w:r>
        <w:rPr>
          <w:rFonts w:hint="default" w:ascii="Times New Roman" w:hAnsi="Times New Roman" w:cs="Times New Roman" w:eastAsiaTheme="minorEastAsia"/>
          <w:color w:val="auto"/>
          <w:sz w:val="32"/>
          <w:szCs w:val="32"/>
          <w:highlight w:val="none"/>
          <w:lang w:val="en-US" w:eastAsia="zh-CN"/>
        </w:rPr>
        <w:t>.</w:t>
      </w:r>
      <w:r>
        <w:rPr>
          <w:rFonts w:hint="default" w:ascii="Times New Roman" w:hAnsi="Times New Roman" w:cs="Times New Roman" w:eastAsiaTheme="minorEastAsia"/>
          <w:color w:val="auto"/>
          <w:sz w:val="32"/>
          <w:szCs w:val="32"/>
          <w:highlight w:val="none"/>
        </w:rPr>
        <w:t>单价50万元以上通用设备</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台（套），单价100万元以上专用设备</w:t>
      </w:r>
      <w:r>
        <w:rPr>
          <w:rFonts w:hint="default" w:ascii="Times New Roman" w:hAnsi="Times New Roman" w:cs="Times New Roman" w:eastAsiaTheme="minorEastAsia"/>
          <w:color w:val="auto"/>
          <w:sz w:val="32"/>
          <w:szCs w:val="32"/>
          <w:highlight w:val="none"/>
          <w:lang w:val="en-US" w:eastAsia="zh-CN"/>
        </w:rPr>
        <w:t>0</w:t>
      </w:r>
      <w:r>
        <w:rPr>
          <w:rFonts w:hint="default" w:ascii="Times New Roman" w:hAnsi="Times New Roman" w:cs="Times New Roman" w:eastAsiaTheme="minorEastAsia"/>
          <w:color w:val="auto"/>
          <w:sz w:val="32"/>
          <w:szCs w:val="32"/>
          <w:highlight w:val="none"/>
        </w:rPr>
        <w:t>台（套）。</w:t>
      </w:r>
    </w:p>
    <w:p>
      <w:pPr>
        <w:autoSpaceDE w:val="0"/>
        <w:autoSpaceDN w:val="0"/>
        <w:adjustRightInd w:val="0"/>
        <w:spacing w:line="600" w:lineRule="exact"/>
        <w:ind w:firstLine="643" w:firstLineChars="200"/>
        <w:jc w:val="left"/>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（注：数据来源</w:t>
      </w:r>
      <w:r>
        <w:rPr>
          <w:rFonts w:hint="default" w:ascii="Times New Roman" w:hAnsi="Times New Roman" w:cs="Times New Roman" w:eastAsiaTheme="minorEastAsia"/>
          <w:b/>
          <w:color w:val="auto"/>
          <w:sz w:val="32"/>
          <w:szCs w:val="32"/>
          <w:highlight w:val="none"/>
          <w:lang w:eastAsia="zh-CN"/>
        </w:rPr>
        <w:t>于</w:t>
      </w:r>
      <w:r>
        <w:rPr>
          <w:rFonts w:hint="default" w:ascii="Times New Roman" w:hAnsi="Times New Roman" w:cs="Times New Roman" w:eastAsiaTheme="minorEastAsia"/>
          <w:b/>
          <w:color w:val="auto"/>
          <w:sz w:val="32"/>
          <w:szCs w:val="32"/>
          <w:highlight w:val="none"/>
        </w:rPr>
        <w:t>财决附03表，按</w:t>
      </w:r>
      <w:r>
        <w:rPr>
          <w:rFonts w:hint="default" w:ascii="Times New Roman" w:hAnsi="Times New Roman" w:cs="Times New Roman" w:eastAsiaTheme="minorEastAsia"/>
          <w:b/>
          <w:color w:val="auto"/>
          <w:sz w:val="32"/>
          <w:szCs w:val="32"/>
          <w:highlight w:val="none"/>
          <w:lang w:eastAsia="zh-CN"/>
        </w:rPr>
        <w:t>单位</w:t>
      </w:r>
      <w:r>
        <w:rPr>
          <w:rFonts w:hint="default" w:ascii="Times New Roman" w:hAnsi="Times New Roman" w:cs="Times New Roman" w:eastAsiaTheme="minorEastAsia"/>
          <w:b/>
          <w:color w:val="auto"/>
          <w:sz w:val="32"/>
          <w:szCs w:val="32"/>
          <w:highlight w:val="none"/>
        </w:rPr>
        <w:t>决算报表填报数据罗列车辆情况。）</w:t>
      </w:r>
    </w:p>
    <w:p>
      <w:pPr>
        <w:autoSpaceDE w:val="0"/>
        <w:autoSpaceDN w:val="0"/>
        <w:adjustRightInd w:val="0"/>
        <w:spacing w:line="600" w:lineRule="exact"/>
        <w:ind w:firstLine="643" w:firstLineChars="200"/>
        <w:jc w:val="left"/>
        <w:outlineLvl w:val="2"/>
        <w:rPr>
          <w:rFonts w:hint="default" w:ascii="Times New Roman" w:hAnsi="Times New Roman" w:cs="Times New Roman" w:eastAsiaTheme="minorEastAsia"/>
          <w:b/>
          <w:color w:val="auto"/>
          <w:sz w:val="32"/>
          <w:szCs w:val="32"/>
          <w:highlight w:val="none"/>
          <w:lang w:eastAsia="zh-CN"/>
        </w:rPr>
      </w:pPr>
      <w:r>
        <w:rPr>
          <w:rFonts w:hint="default" w:ascii="Times New Roman" w:hAnsi="Times New Roman" w:cs="Times New Roman" w:eastAsiaTheme="minorEastAsia"/>
          <w:b/>
          <w:color w:val="auto"/>
          <w:sz w:val="32"/>
          <w:szCs w:val="32"/>
          <w:highlight w:val="none"/>
        </w:rPr>
        <w:t>（四）预算绩效管理情况</w:t>
      </w:r>
    </w:p>
    <w:p>
      <w:pPr>
        <w:spacing w:line="58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根据预算绩效管理要求，本单位在</w:t>
      </w:r>
      <w:r>
        <w:rPr>
          <w:rFonts w:hint="default" w:ascii="Times New Roman" w:hAnsi="Times New Roman" w:cs="Times New Roman" w:eastAsiaTheme="minorEastAsia"/>
          <w:color w:val="auto"/>
          <w:sz w:val="32"/>
          <w:szCs w:val="32"/>
          <w:highlight w:val="none"/>
          <w:lang w:val="en-US" w:eastAsia="zh-CN"/>
        </w:rPr>
        <w:t>2021年度</w:t>
      </w:r>
      <w:r>
        <w:rPr>
          <w:rFonts w:hint="default" w:ascii="Times New Roman" w:hAnsi="Times New Roman" w:cs="Times New Roman" w:eastAsiaTheme="minorEastAsia"/>
          <w:color w:val="auto"/>
          <w:sz w:val="32"/>
          <w:szCs w:val="32"/>
          <w:highlight w:val="none"/>
        </w:rPr>
        <w:t>预算编制阶段，组织</w:t>
      </w:r>
      <w:r>
        <w:rPr>
          <w:rFonts w:hint="default" w:ascii="Times New Roman" w:hAnsi="Times New Roman" w:cs="Times New Roman" w:eastAsiaTheme="minorEastAsia"/>
          <w:color w:val="auto"/>
          <w:sz w:val="32"/>
          <w:szCs w:val="32"/>
          <w:highlight w:val="none"/>
          <w:lang w:eastAsia="zh-CN"/>
        </w:rPr>
        <w:t>对</w:t>
      </w:r>
      <w:r>
        <w:rPr>
          <w:rFonts w:hint="default" w:ascii="Times New Roman" w:hAnsi="Times New Roman" w:cs="Times New Roman" w:eastAsiaTheme="minorEastAsia"/>
          <w:color w:val="auto"/>
          <w:sz w:val="32"/>
          <w:szCs w:val="32"/>
        </w:rPr>
        <w:t>镇村社区人大联络站运行经费项目</w:t>
      </w:r>
      <w:r>
        <w:rPr>
          <w:rFonts w:hint="default" w:ascii="Times New Roman" w:hAnsi="Times New Roman" w:cs="Times New Roman" w:eastAsiaTheme="minorEastAsia"/>
          <w:color w:val="auto"/>
          <w:sz w:val="32"/>
          <w:szCs w:val="32"/>
          <w:lang w:eastAsia="zh-CN"/>
        </w:rPr>
        <w:t>和</w:t>
      </w:r>
      <w:r>
        <w:rPr>
          <w:rFonts w:hint="default" w:ascii="Times New Roman" w:hAnsi="Times New Roman" w:cs="Times New Roman" w:eastAsiaTheme="minorEastAsia"/>
          <w:color w:val="auto"/>
          <w:sz w:val="32"/>
          <w:szCs w:val="32"/>
        </w:rPr>
        <w:t>镇</w:t>
      </w:r>
      <w:r>
        <w:rPr>
          <w:rFonts w:hint="default" w:ascii="Times New Roman" w:hAnsi="Times New Roman" w:cs="Times New Roman" w:eastAsiaTheme="minorEastAsia"/>
          <w:color w:val="auto"/>
          <w:sz w:val="32"/>
          <w:szCs w:val="32"/>
          <w:lang w:eastAsia="zh-CN"/>
        </w:rPr>
        <w:t>信访维稳工作</w:t>
      </w:r>
      <w:r>
        <w:rPr>
          <w:rFonts w:hint="default" w:ascii="Times New Roman" w:hAnsi="Times New Roman" w:cs="Times New Roman" w:eastAsiaTheme="minorEastAsia"/>
          <w:color w:val="auto"/>
          <w:sz w:val="32"/>
          <w:szCs w:val="32"/>
        </w:rPr>
        <w:t>项目</w:t>
      </w:r>
      <w:r>
        <w:rPr>
          <w:rFonts w:hint="default" w:ascii="Times New Roman" w:hAnsi="Times New Roman" w:cs="Times New Roman" w:eastAsiaTheme="minorEastAsia"/>
          <w:color w:val="auto"/>
          <w:sz w:val="32"/>
          <w:szCs w:val="32"/>
          <w:highlight w:val="none"/>
        </w:rPr>
        <w:t>开展了预算事前绩效评估，对</w:t>
      </w:r>
      <w:r>
        <w:rPr>
          <w:rFonts w:hint="eastAsia" w:ascii="Times New Roman" w:hAnsi="Times New Roman" w:cs="Times New Roman" w:eastAsiaTheme="minorEastAsia"/>
          <w:color w:val="auto"/>
          <w:sz w:val="32"/>
          <w:szCs w:val="32"/>
          <w:highlight w:val="none"/>
          <w:lang w:eastAsia="zh-CN"/>
        </w:rPr>
        <w:t>这</w:t>
      </w:r>
      <w:r>
        <w:rPr>
          <w:rFonts w:hint="default" w:ascii="Times New Roman" w:hAnsi="Times New Roman" w:cs="Times New Roman" w:eastAsiaTheme="minorEastAsia"/>
          <w:color w:val="auto"/>
          <w:sz w:val="32"/>
          <w:szCs w:val="32"/>
          <w:highlight w:val="none"/>
          <w:lang w:val="en-US" w:eastAsia="zh-CN"/>
        </w:rPr>
        <w:t>2</w:t>
      </w:r>
      <w:r>
        <w:rPr>
          <w:rFonts w:hint="default" w:ascii="Times New Roman" w:hAnsi="Times New Roman" w:cs="Times New Roman" w:eastAsiaTheme="minorEastAsia"/>
          <w:color w:val="auto"/>
          <w:sz w:val="32"/>
          <w:szCs w:val="32"/>
          <w:highlight w:val="none"/>
        </w:rPr>
        <w:t>个项目编制了绩效目标，预算执行过程中，选取</w:t>
      </w:r>
      <w:r>
        <w:rPr>
          <w:rFonts w:hint="default" w:ascii="Times New Roman" w:hAnsi="Times New Roman" w:cs="Times New Roman" w:eastAsiaTheme="minorEastAsia"/>
          <w:color w:val="auto"/>
          <w:sz w:val="32"/>
          <w:szCs w:val="32"/>
          <w:highlight w:val="none"/>
          <w:lang w:val="en-US" w:eastAsia="zh-CN"/>
        </w:rPr>
        <w:t>2</w:t>
      </w:r>
      <w:r>
        <w:rPr>
          <w:rFonts w:hint="default" w:ascii="Times New Roman" w:hAnsi="Times New Roman" w:cs="Times New Roman" w:eastAsiaTheme="minorEastAsia"/>
          <w:color w:val="auto"/>
          <w:sz w:val="32"/>
          <w:szCs w:val="32"/>
          <w:highlight w:val="none"/>
        </w:rPr>
        <w:t>个项目开展绩效监控，年终执行完毕后，对</w:t>
      </w:r>
      <w:r>
        <w:rPr>
          <w:rFonts w:hint="default" w:ascii="Times New Roman" w:hAnsi="Times New Roman" w:cs="Times New Roman" w:eastAsiaTheme="minorEastAsia"/>
          <w:color w:val="auto"/>
          <w:sz w:val="32"/>
          <w:szCs w:val="32"/>
          <w:highlight w:val="none"/>
          <w:lang w:val="en-US" w:eastAsia="zh-CN"/>
        </w:rPr>
        <w:t>2</w:t>
      </w:r>
      <w:r>
        <w:rPr>
          <w:rFonts w:hint="default" w:ascii="Times New Roman" w:hAnsi="Times New Roman" w:cs="Times New Roman" w:eastAsiaTheme="minorEastAsia"/>
          <w:color w:val="auto"/>
          <w:sz w:val="32"/>
          <w:szCs w:val="32"/>
          <w:highlight w:val="none"/>
        </w:rPr>
        <w:t>个项目开展了绩效自评</w:t>
      </w:r>
      <w:r>
        <w:rPr>
          <w:rFonts w:hint="default" w:ascii="Times New Roman" w:hAnsi="Times New Roman" w:cs="Times New Roman" w:eastAsiaTheme="minorEastAsia"/>
          <w:color w:val="auto"/>
          <w:sz w:val="32"/>
          <w:szCs w:val="32"/>
          <w:highlight w:val="none"/>
          <w:lang w:eastAsia="zh-CN"/>
        </w:rPr>
        <w:t>。</w:t>
      </w:r>
      <w:r>
        <w:rPr>
          <w:rFonts w:hint="default" w:ascii="Times New Roman" w:hAnsi="Times New Roman" w:cs="Times New Roman" w:eastAsiaTheme="minorEastAsia"/>
          <w:color w:val="auto"/>
          <w:sz w:val="32"/>
          <w:szCs w:val="32"/>
          <w:highlight w:val="none"/>
          <w:lang w:val="en-US" w:eastAsia="zh-CN"/>
        </w:rPr>
        <w:t>2021年特定目标类部门预算项目绩效目标自评表见附件</w:t>
      </w:r>
    </w:p>
    <w:p>
      <w:pPr>
        <w:autoSpaceDE w:val="0"/>
        <w:autoSpaceDN w:val="0"/>
        <w:adjustRightInd w:val="0"/>
        <w:spacing w:line="600" w:lineRule="exact"/>
        <w:ind w:firstLine="643" w:firstLineChars="200"/>
        <w:jc w:val="both"/>
        <w:rPr>
          <w:rFonts w:hint="default" w:ascii="Times New Roman" w:hAnsi="Times New Roman" w:cs="Times New Roman" w:eastAsiaTheme="minorEastAsia"/>
          <w:b/>
          <w:bCs w:val="0"/>
          <w:color w:val="auto"/>
          <w:sz w:val="32"/>
          <w:szCs w:val="32"/>
          <w:highlight w:val="none"/>
        </w:rPr>
      </w:pPr>
      <w:r>
        <w:rPr>
          <w:rFonts w:hint="default" w:ascii="Times New Roman" w:hAnsi="Times New Roman" w:cs="Times New Roman" w:eastAsiaTheme="minorEastAsia"/>
          <w:b/>
          <w:bCs w:val="0"/>
          <w:color w:val="auto"/>
          <w:sz w:val="32"/>
          <w:szCs w:val="32"/>
          <w:highlight w:val="none"/>
        </w:rPr>
        <w:t>（注：</w:t>
      </w:r>
      <w:r>
        <w:rPr>
          <w:rFonts w:hint="default" w:ascii="Times New Roman" w:hAnsi="Times New Roman" w:cs="Times New Roman" w:eastAsiaTheme="minorEastAsia"/>
          <w:b/>
          <w:bCs w:val="0"/>
          <w:color w:val="auto"/>
          <w:sz w:val="32"/>
          <w:szCs w:val="32"/>
          <w:highlight w:val="none"/>
          <w:lang w:eastAsia="zh-CN"/>
        </w:rPr>
        <w:t>单位</w:t>
      </w:r>
      <w:r>
        <w:rPr>
          <w:rFonts w:hint="default" w:ascii="Times New Roman" w:hAnsi="Times New Roman" w:cs="Times New Roman" w:eastAsiaTheme="minorEastAsia"/>
          <w:b/>
          <w:bCs w:val="0"/>
          <w:color w:val="auto"/>
          <w:sz w:val="32"/>
          <w:szCs w:val="32"/>
          <w:highlight w:val="none"/>
          <w:lang w:val="en-US" w:eastAsia="zh-CN"/>
        </w:rPr>
        <w:t>2021年特定目标类部门预算项目绩效目标自评表为本部门2021年部门整体支出绩效评价报告中涉及本单位的附表</w:t>
      </w:r>
      <w:r>
        <w:rPr>
          <w:rFonts w:hint="default" w:ascii="Times New Roman" w:hAnsi="Times New Roman" w:cs="Times New Roman" w:eastAsiaTheme="minorEastAsia"/>
          <w:b/>
          <w:bCs w:val="0"/>
          <w:color w:val="auto"/>
          <w:sz w:val="32"/>
          <w:szCs w:val="32"/>
          <w:highlight w:val="none"/>
        </w:rPr>
        <w:t>）</w:t>
      </w:r>
    </w:p>
    <w:p>
      <w:pPr>
        <w:spacing w:line="580" w:lineRule="exact"/>
        <w:ind w:firstLine="640" w:firstLineChars="200"/>
        <w:rPr>
          <w:rFonts w:hint="default" w:ascii="Times New Roman" w:hAnsi="Times New Roman" w:cs="Times New Roman" w:eastAsiaTheme="minorEastAsia"/>
          <w:color w:val="auto"/>
          <w:kern w:val="0"/>
          <w:sz w:val="32"/>
          <w:szCs w:val="32"/>
          <w:shd w:val="clear" w:color="auto" w:fill="FFFFFF"/>
          <w:lang w:val="zh-CN"/>
        </w:rPr>
      </w:pPr>
      <w:r>
        <w:rPr>
          <w:rFonts w:hint="default" w:ascii="Times New Roman" w:hAnsi="Times New Roman" w:cs="Times New Roman" w:eastAsiaTheme="minorEastAsia"/>
          <w:color w:val="auto"/>
          <w:sz w:val="32"/>
          <w:szCs w:val="32"/>
          <w:lang w:val="en-US" w:eastAsia="zh-CN"/>
        </w:rPr>
        <w:t>1.</w:t>
      </w:r>
      <w:r>
        <w:rPr>
          <w:rFonts w:hint="default" w:ascii="Times New Roman" w:hAnsi="Times New Roman" w:cs="Times New Roman" w:eastAsiaTheme="minorEastAsia"/>
          <w:color w:val="auto"/>
          <w:sz w:val="32"/>
          <w:szCs w:val="32"/>
        </w:rPr>
        <w:t>镇村社区人大联络站运行经费项目绩效目标完成情况综述。项目全年预算数</w:t>
      </w:r>
      <w:r>
        <w:rPr>
          <w:rFonts w:hint="default" w:ascii="Times New Roman" w:hAnsi="Times New Roman" w:cs="Times New Roman" w:eastAsiaTheme="minorEastAsia"/>
          <w:color w:val="auto"/>
          <w:sz w:val="32"/>
          <w:szCs w:val="32"/>
          <w:lang w:val="en-US" w:eastAsia="zh-CN"/>
        </w:rPr>
        <w:t>4.75万</w:t>
      </w:r>
      <w:r>
        <w:rPr>
          <w:rFonts w:hint="default" w:ascii="Times New Roman" w:hAnsi="Times New Roman" w:cs="Times New Roman" w:eastAsiaTheme="minorEastAsia"/>
          <w:color w:val="auto"/>
          <w:sz w:val="32"/>
          <w:szCs w:val="32"/>
        </w:rPr>
        <w:t>元，执行数为</w:t>
      </w:r>
      <w:r>
        <w:rPr>
          <w:rFonts w:hint="default" w:ascii="Times New Roman" w:hAnsi="Times New Roman" w:cs="Times New Roman" w:eastAsiaTheme="minorEastAsia"/>
          <w:color w:val="auto"/>
          <w:sz w:val="32"/>
          <w:szCs w:val="32"/>
          <w:lang w:val="en-US" w:eastAsia="zh-CN"/>
        </w:rPr>
        <w:t>4.75万</w:t>
      </w:r>
      <w:r>
        <w:rPr>
          <w:rFonts w:hint="default" w:ascii="Times New Roman" w:hAnsi="Times New Roman" w:cs="Times New Roman" w:eastAsiaTheme="minorEastAsia"/>
          <w:color w:val="auto"/>
          <w:sz w:val="32"/>
          <w:szCs w:val="32"/>
        </w:rPr>
        <w:t>元，完成预算的100%。通过项目实施，保障了各村社区人大联络站正常开展人大工作，代表履职尽责，促进了地方经济社会健康发展，提高选民的满意度。发现的主要问题：个别镇人大代表接访不到位。下一步改进措施：按照县人大的要求，坚持到岗到位，认真履行代表职责。</w:t>
      </w:r>
    </w:p>
    <w:tbl>
      <w:tblPr>
        <w:tblStyle w:val="17"/>
        <w:tblpPr w:leftFromText="180" w:rightFromText="180" w:vertAnchor="text" w:horzAnchor="page" w:tblpX="1256" w:tblpY="221"/>
        <w:tblOverlap w:val="never"/>
        <w:tblW w:w="8812" w:type="dxa"/>
        <w:tblInd w:w="0" w:type="dxa"/>
        <w:tblLayout w:type="fixed"/>
        <w:tblCellMar>
          <w:top w:w="0" w:type="dxa"/>
          <w:left w:w="108" w:type="dxa"/>
          <w:bottom w:w="0" w:type="dxa"/>
          <w:right w:w="108" w:type="dxa"/>
        </w:tblCellMar>
      </w:tblPr>
      <w:tblGrid>
        <w:gridCol w:w="1959"/>
        <w:gridCol w:w="774"/>
        <w:gridCol w:w="1582"/>
        <w:gridCol w:w="1234"/>
        <w:gridCol w:w="1312"/>
        <w:gridCol w:w="1728"/>
        <w:gridCol w:w="223"/>
      </w:tblGrid>
      <w:tr>
        <w:tblPrEx>
          <w:tblLayout w:type="fixed"/>
          <w:tblCellMar>
            <w:top w:w="0" w:type="dxa"/>
            <w:left w:w="108" w:type="dxa"/>
            <w:bottom w:w="0" w:type="dxa"/>
            <w:right w:w="108" w:type="dxa"/>
          </w:tblCellMar>
        </w:tblPrEx>
        <w:trPr>
          <w:trHeight w:val="675" w:hRule="atLeast"/>
        </w:trPr>
        <w:tc>
          <w:tcPr>
            <w:tcW w:w="8589" w:type="dxa"/>
            <w:gridSpan w:val="6"/>
            <w:tcBorders>
              <w:top w:val="nil"/>
              <w:left w:val="nil"/>
              <w:bottom w:val="nil"/>
              <w:right w:val="nil"/>
            </w:tcBorders>
            <w:shd w:val="clear" w:color="auto" w:fill="auto"/>
            <w:vAlign w:val="center"/>
          </w:tcPr>
          <w:p>
            <w:pPr>
              <w:widowControl/>
              <w:jc w:val="center"/>
              <w:textAlignment w:val="center"/>
              <w:rPr>
                <w:rFonts w:hint="default" w:ascii="Times New Roman" w:hAnsi="Times New Roman" w:cs="Times New Roman" w:eastAsiaTheme="minorEastAsia"/>
                <w:b/>
                <w:color w:val="auto"/>
                <w:sz w:val="32"/>
                <w:szCs w:val="32"/>
              </w:rPr>
            </w:pPr>
            <w:r>
              <w:rPr>
                <w:rFonts w:hint="default" w:ascii="Times New Roman" w:hAnsi="Times New Roman" w:cs="Times New Roman" w:eastAsiaTheme="minorEastAsia"/>
                <w:b/>
                <w:color w:val="auto"/>
                <w:sz w:val="32"/>
                <w:szCs w:val="32"/>
              </w:rPr>
              <w:t>202</w:t>
            </w:r>
            <w:r>
              <w:rPr>
                <w:rFonts w:hint="default" w:ascii="Times New Roman" w:hAnsi="Times New Roman" w:cs="Times New Roman" w:eastAsiaTheme="minorEastAsia"/>
                <w:b/>
                <w:color w:val="auto"/>
                <w:sz w:val="32"/>
                <w:szCs w:val="32"/>
                <w:lang w:val="en-US" w:eastAsia="zh-CN"/>
              </w:rPr>
              <w:t>1</w:t>
            </w:r>
            <w:r>
              <w:rPr>
                <w:rFonts w:hint="default" w:ascii="Times New Roman" w:hAnsi="Times New Roman" w:cs="Times New Roman" w:eastAsiaTheme="minorEastAsia"/>
                <w:b/>
                <w:color w:val="auto"/>
                <w:sz w:val="32"/>
                <w:szCs w:val="32"/>
              </w:rPr>
              <w:t>年部门预算项目绩效目标自评</w:t>
            </w:r>
          </w:p>
        </w:tc>
        <w:tc>
          <w:tcPr>
            <w:tcW w:w="223" w:type="dxa"/>
            <w:tcBorders>
              <w:top w:val="nil"/>
              <w:left w:val="nil"/>
              <w:bottom w:val="nil"/>
              <w:right w:val="nil"/>
            </w:tcBorders>
            <w:shd w:val="clear" w:color="auto" w:fill="auto"/>
            <w:vAlign w:val="center"/>
          </w:tcPr>
          <w:p>
            <w:pPr>
              <w:widowControl/>
              <w:jc w:val="center"/>
              <w:textAlignment w:val="center"/>
              <w:rPr>
                <w:rFonts w:hint="default" w:ascii="Times New Roman" w:hAnsi="Times New Roman" w:cs="Times New Roman" w:eastAsiaTheme="minorEastAsia"/>
                <w:b/>
                <w:color w:val="auto"/>
                <w:kern w:val="0"/>
                <w:sz w:val="32"/>
                <w:szCs w:val="32"/>
                <w:lang w:bidi="ar"/>
              </w:rPr>
            </w:pPr>
          </w:p>
        </w:tc>
      </w:tr>
      <w:tr>
        <w:tblPrEx>
          <w:tblLayout w:type="fixed"/>
          <w:tblCellMar>
            <w:top w:w="0" w:type="dxa"/>
            <w:left w:w="108" w:type="dxa"/>
            <w:bottom w:w="0" w:type="dxa"/>
            <w:right w:w="108" w:type="dxa"/>
          </w:tblCellMar>
        </w:tblPrEx>
        <w:trPr>
          <w:gridAfter w:val="1"/>
          <w:wAfter w:w="223" w:type="dxa"/>
          <w:trHeight w:val="385" w:hRule="atLeast"/>
        </w:trPr>
        <w:tc>
          <w:tcPr>
            <w:tcW w:w="2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主管部门及代码</w:t>
            </w:r>
          </w:p>
        </w:tc>
        <w:tc>
          <w:tcPr>
            <w:tcW w:w="2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874001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实施单位</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eastAsia="zh-CN"/>
              </w:rPr>
              <w:t>大成</w:t>
            </w:r>
            <w:r>
              <w:rPr>
                <w:rFonts w:hint="default" w:ascii="Times New Roman" w:hAnsi="Times New Roman" w:cs="Times New Roman" w:eastAsiaTheme="minorEastAsia"/>
                <w:color w:val="auto"/>
                <w:sz w:val="28"/>
                <w:szCs w:val="28"/>
              </w:rPr>
              <w:t>镇人民政府</w:t>
            </w:r>
          </w:p>
        </w:tc>
      </w:tr>
      <w:tr>
        <w:tblPrEx>
          <w:tblLayout w:type="fixed"/>
          <w:tblCellMar>
            <w:top w:w="0" w:type="dxa"/>
            <w:left w:w="108" w:type="dxa"/>
            <w:bottom w:w="0" w:type="dxa"/>
            <w:right w:w="108" w:type="dxa"/>
          </w:tblCellMar>
        </w:tblPrEx>
        <w:trPr>
          <w:gridAfter w:val="1"/>
          <w:wAfter w:w="223" w:type="dxa"/>
          <w:trHeight w:val="406" w:hRule="atLeast"/>
        </w:trPr>
        <w:tc>
          <w:tcPr>
            <w:tcW w:w="2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kern w:val="0"/>
                <w:sz w:val="28"/>
                <w:szCs w:val="28"/>
                <w:lang w:eastAsia="zh-CN" w:bidi="ar"/>
              </w:rPr>
            </w:pPr>
            <w:r>
              <w:rPr>
                <w:rFonts w:hint="default" w:ascii="Times New Roman" w:hAnsi="Times New Roman" w:cs="Times New Roman" w:eastAsiaTheme="minorEastAsia"/>
                <w:color w:val="auto"/>
                <w:kern w:val="0"/>
                <w:sz w:val="28"/>
                <w:szCs w:val="28"/>
                <w:lang w:bidi="ar"/>
              </w:rPr>
              <w:t>项目预算</w:t>
            </w:r>
          </w:p>
          <w:p>
            <w:pPr>
              <w:widowControl/>
              <w:spacing w:line="320" w:lineRule="exact"/>
              <w:jc w:val="center"/>
              <w:textAlignment w:val="center"/>
              <w:rPr>
                <w:rFonts w:hint="default" w:ascii="Times New Roman" w:hAnsi="Times New Roman" w:cs="Times New Roman" w:eastAsiaTheme="minorEastAsia"/>
                <w:color w:val="auto"/>
                <w:kern w:val="0"/>
                <w:sz w:val="28"/>
                <w:szCs w:val="28"/>
                <w:lang w:eastAsia="zh-CN" w:bidi="ar"/>
              </w:rPr>
            </w:pPr>
            <w:r>
              <w:rPr>
                <w:rFonts w:hint="default" w:ascii="Times New Roman" w:hAnsi="Times New Roman" w:cs="Times New Roman" w:eastAsiaTheme="minorEastAsia"/>
                <w:color w:val="auto"/>
                <w:kern w:val="0"/>
                <w:sz w:val="28"/>
                <w:szCs w:val="28"/>
                <w:lang w:bidi="ar"/>
              </w:rPr>
              <w:t>执行情况</w:t>
            </w:r>
          </w:p>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预算数：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4.75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执行数：</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4.75</w:t>
            </w:r>
          </w:p>
        </w:tc>
      </w:tr>
      <w:tr>
        <w:tblPrEx>
          <w:tblLayout w:type="fixed"/>
          <w:tblCellMar>
            <w:top w:w="0" w:type="dxa"/>
            <w:left w:w="108" w:type="dxa"/>
            <w:bottom w:w="0" w:type="dxa"/>
            <w:right w:w="108" w:type="dxa"/>
          </w:tblCellMar>
        </w:tblPrEx>
        <w:trPr>
          <w:gridAfter w:val="1"/>
          <w:wAfter w:w="223" w:type="dxa"/>
          <w:trHeight w:val="577" w:hRule="atLeast"/>
        </w:trPr>
        <w:tc>
          <w:tcPr>
            <w:tcW w:w="2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其中：</w:t>
            </w:r>
          </w:p>
          <w:p>
            <w:pPr>
              <w:widowControl/>
              <w:spacing w:line="320" w:lineRule="exact"/>
              <w:jc w:val="left"/>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财政拨款</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4.75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其中：</w:t>
            </w:r>
          </w:p>
          <w:p>
            <w:pPr>
              <w:widowControl/>
              <w:spacing w:line="320" w:lineRule="exact"/>
              <w:jc w:val="left"/>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财政拨款</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4.75</w:t>
            </w:r>
          </w:p>
        </w:tc>
      </w:tr>
      <w:tr>
        <w:tblPrEx>
          <w:tblLayout w:type="fixed"/>
          <w:tblCellMar>
            <w:top w:w="0" w:type="dxa"/>
            <w:left w:w="108" w:type="dxa"/>
            <w:bottom w:w="0" w:type="dxa"/>
            <w:right w:w="108" w:type="dxa"/>
          </w:tblCellMar>
        </w:tblPrEx>
        <w:trPr>
          <w:gridAfter w:val="1"/>
          <w:wAfter w:w="223" w:type="dxa"/>
          <w:trHeight w:val="391" w:hRule="atLeast"/>
        </w:trPr>
        <w:tc>
          <w:tcPr>
            <w:tcW w:w="2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其他资金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其他资金</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0</w:t>
            </w:r>
          </w:p>
        </w:tc>
      </w:tr>
      <w:tr>
        <w:tblPrEx>
          <w:tblLayout w:type="fixed"/>
          <w:tblCellMar>
            <w:top w:w="0" w:type="dxa"/>
            <w:left w:w="108" w:type="dxa"/>
            <w:bottom w:w="0" w:type="dxa"/>
            <w:right w:w="108" w:type="dxa"/>
          </w:tblCellMar>
        </w:tblPrEx>
        <w:trPr>
          <w:gridAfter w:val="1"/>
          <w:wAfter w:w="223" w:type="dxa"/>
          <w:trHeight w:val="435" w:hRule="atLeast"/>
        </w:trPr>
        <w:tc>
          <w:tcPr>
            <w:tcW w:w="1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年度总体目标</w:t>
            </w:r>
          </w:p>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完成情况</w:t>
            </w:r>
          </w:p>
        </w:tc>
        <w:tc>
          <w:tcPr>
            <w:tcW w:w="3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预期目标</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目标实际完成情况</w:t>
            </w:r>
          </w:p>
        </w:tc>
      </w:tr>
      <w:tr>
        <w:tblPrEx>
          <w:tblLayout w:type="fixed"/>
          <w:tblCellMar>
            <w:top w:w="0" w:type="dxa"/>
            <w:left w:w="108" w:type="dxa"/>
            <w:bottom w:w="0" w:type="dxa"/>
            <w:right w:w="108" w:type="dxa"/>
          </w:tblCellMar>
        </w:tblPrEx>
        <w:trPr>
          <w:gridAfter w:val="1"/>
          <w:wAfter w:w="223" w:type="dxa"/>
          <w:trHeight w:val="882" w:hRule="atLeast"/>
        </w:trPr>
        <w:tc>
          <w:tcPr>
            <w:tcW w:w="1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3590"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保障代表认真履职尽责，接访选民。</w:t>
            </w:r>
          </w:p>
        </w:tc>
        <w:tc>
          <w:tcPr>
            <w:tcW w:w="3040"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代表履职尽责，做到认真接访选民，解决选民合理述求。</w:t>
            </w:r>
          </w:p>
        </w:tc>
      </w:tr>
      <w:tr>
        <w:tblPrEx>
          <w:tblLayout w:type="fixed"/>
          <w:tblCellMar>
            <w:top w:w="0" w:type="dxa"/>
            <w:left w:w="108" w:type="dxa"/>
            <w:bottom w:w="0" w:type="dxa"/>
            <w:right w:w="108" w:type="dxa"/>
          </w:tblCellMar>
        </w:tblPrEx>
        <w:trPr>
          <w:gridAfter w:val="1"/>
          <w:wAfter w:w="223" w:type="dxa"/>
          <w:trHeight w:val="738" w:hRule="atLeast"/>
        </w:trPr>
        <w:tc>
          <w:tcPr>
            <w:tcW w:w="1959"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年度绩效指标完成情况</w:t>
            </w:r>
          </w:p>
        </w:tc>
        <w:tc>
          <w:tcPr>
            <w:tcW w:w="774"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一级</w:t>
            </w:r>
          </w:p>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二级</w:t>
            </w:r>
          </w:p>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三级</w:t>
            </w:r>
          </w:p>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预期指标值</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实际完成指标值</w:t>
            </w:r>
          </w:p>
        </w:tc>
      </w:tr>
      <w:tr>
        <w:tblPrEx>
          <w:tblLayout w:type="fixed"/>
          <w:tblCellMar>
            <w:top w:w="0" w:type="dxa"/>
            <w:left w:w="108" w:type="dxa"/>
            <w:bottom w:w="0" w:type="dxa"/>
            <w:right w:w="108" w:type="dxa"/>
          </w:tblCellMar>
        </w:tblPrEx>
        <w:trPr>
          <w:gridAfter w:val="1"/>
          <w:wAfter w:w="223" w:type="dxa"/>
          <w:trHeight w:val="480" w:hRule="atLeast"/>
        </w:trPr>
        <w:tc>
          <w:tcPr>
            <w:tcW w:w="1959"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完成</w:t>
            </w:r>
          </w:p>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数量指标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left"/>
              <w:textAlignment w:val="top"/>
              <w:rPr>
                <w:rFonts w:hint="default" w:ascii="Times New Roman" w:hAnsi="Times New Roman" w:cs="Times New Roman" w:eastAsiaTheme="minorEastAsia"/>
                <w:color w:val="auto"/>
                <w:sz w:val="28"/>
                <w:szCs w:val="28"/>
              </w:rPr>
            </w:pPr>
          </w:p>
          <w:p>
            <w:pPr>
              <w:widowControl/>
              <w:spacing w:line="320" w:lineRule="exact"/>
              <w:jc w:val="left"/>
              <w:textAlignment w:val="top"/>
              <w:rPr>
                <w:rFonts w:hint="default" w:ascii="Times New Roman" w:hAnsi="Times New Roman" w:cs="Times New Roman" w:eastAsiaTheme="minorEastAsia"/>
                <w:color w:val="auto"/>
                <w:sz w:val="28"/>
                <w:szCs w:val="28"/>
                <w:lang w:eastAsia="zh-CN"/>
              </w:rPr>
            </w:pPr>
            <w:r>
              <w:rPr>
                <w:rFonts w:hint="default" w:ascii="Times New Roman" w:hAnsi="Times New Roman" w:cs="Times New Roman" w:eastAsiaTheme="minorEastAsia"/>
                <w:color w:val="auto"/>
                <w:sz w:val="28"/>
                <w:szCs w:val="28"/>
              </w:rPr>
              <w:t>必要性、可行性</w:t>
            </w:r>
          </w:p>
          <w:p>
            <w:pPr>
              <w:widowControl/>
              <w:spacing w:line="320" w:lineRule="exact"/>
              <w:jc w:val="left"/>
              <w:textAlignment w:val="top"/>
              <w:rPr>
                <w:rFonts w:hint="default" w:ascii="Times New Roman" w:hAnsi="Times New Roman" w:cs="Times New Roman" w:eastAsiaTheme="minorEastAsia"/>
                <w:color w:val="auto"/>
                <w:sz w:val="28"/>
                <w:szCs w:val="28"/>
                <w:lang w:eastAsia="zh-CN"/>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≧95</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符合国家政策，符合当前经济发展需要。</w:t>
            </w:r>
          </w:p>
        </w:tc>
      </w:tr>
      <w:tr>
        <w:tblPrEx>
          <w:tblLayout w:type="fixed"/>
          <w:tblCellMar>
            <w:top w:w="0" w:type="dxa"/>
            <w:left w:w="108" w:type="dxa"/>
            <w:bottom w:w="0" w:type="dxa"/>
            <w:right w:w="108" w:type="dxa"/>
          </w:tblCellMar>
        </w:tblPrEx>
        <w:trPr>
          <w:gridAfter w:val="1"/>
          <w:wAfter w:w="223" w:type="dxa"/>
          <w:trHeight w:val="480" w:hRule="atLeast"/>
        </w:trPr>
        <w:tc>
          <w:tcPr>
            <w:tcW w:w="1959"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color w:val="auto"/>
                <w:sz w:val="28"/>
                <w:szCs w:val="28"/>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质量指标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明确性、合理性</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≧95</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符合实际需求</w:t>
            </w:r>
          </w:p>
        </w:tc>
      </w:tr>
      <w:tr>
        <w:tblPrEx>
          <w:tblLayout w:type="fixed"/>
          <w:tblCellMar>
            <w:top w:w="0" w:type="dxa"/>
            <w:left w:w="108" w:type="dxa"/>
            <w:bottom w:w="0" w:type="dxa"/>
            <w:right w:w="108" w:type="dxa"/>
          </w:tblCellMar>
        </w:tblPrEx>
        <w:trPr>
          <w:gridAfter w:val="1"/>
          <w:wAfter w:w="223" w:type="dxa"/>
          <w:trHeight w:val="480" w:hRule="atLeast"/>
        </w:trPr>
        <w:tc>
          <w:tcPr>
            <w:tcW w:w="1959"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color w:val="auto"/>
                <w:sz w:val="28"/>
                <w:szCs w:val="28"/>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时效指标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资金使用</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≧95</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资金使用规范</w:t>
            </w:r>
          </w:p>
        </w:tc>
      </w:tr>
      <w:tr>
        <w:tblPrEx>
          <w:tblLayout w:type="fixed"/>
          <w:tblCellMar>
            <w:top w:w="0" w:type="dxa"/>
            <w:left w:w="108" w:type="dxa"/>
            <w:bottom w:w="0" w:type="dxa"/>
            <w:right w:w="108" w:type="dxa"/>
          </w:tblCellMar>
        </w:tblPrEx>
        <w:trPr>
          <w:gridAfter w:val="1"/>
          <w:wAfter w:w="223" w:type="dxa"/>
          <w:trHeight w:val="480" w:hRule="atLeast"/>
        </w:trPr>
        <w:tc>
          <w:tcPr>
            <w:tcW w:w="1959"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color w:val="auto"/>
                <w:sz w:val="28"/>
                <w:szCs w:val="28"/>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成本指标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执行规范</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≧95</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管理制度健全，管理过程科学规范</w:t>
            </w:r>
          </w:p>
        </w:tc>
      </w:tr>
      <w:tr>
        <w:tblPrEx>
          <w:tblLayout w:type="fixed"/>
          <w:tblCellMar>
            <w:top w:w="0" w:type="dxa"/>
            <w:left w:w="108" w:type="dxa"/>
            <w:bottom w:w="0" w:type="dxa"/>
            <w:right w:w="108" w:type="dxa"/>
          </w:tblCellMar>
        </w:tblPrEx>
        <w:trPr>
          <w:gridAfter w:val="1"/>
          <w:wAfter w:w="223" w:type="dxa"/>
          <w:trHeight w:val="825" w:hRule="atLeast"/>
        </w:trPr>
        <w:tc>
          <w:tcPr>
            <w:tcW w:w="1959"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kern w:val="0"/>
                <w:sz w:val="28"/>
                <w:szCs w:val="28"/>
                <w:lang w:eastAsia="zh-CN" w:bidi="ar"/>
              </w:rPr>
            </w:pPr>
            <w:r>
              <w:rPr>
                <w:rFonts w:hint="default" w:ascii="Times New Roman" w:hAnsi="Times New Roman" w:cs="Times New Roman" w:eastAsiaTheme="minorEastAsia"/>
                <w:color w:val="auto"/>
                <w:kern w:val="0"/>
                <w:sz w:val="28"/>
                <w:szCs w:val="28"/>
                <w:lang w:bidi="ar"/>
              </w:rPr>
              <w:t>效益</w:t>
            </w:r>
          </w:p>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经济效益  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完成质量</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=100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符合绩效目标</w:t>
            </w:r>
          </w:p>
        </w:tc>
      </w:tr>
      <w:tr>
        <w:tblPrEx>
          <w:tblLayout w:type="fixed"/>
          <w:tblCellMar>
            <w:top w:w="0" w:type="dxa"/>
            <w:left w:w="108" w:type="dxa"/>
            <w:bottom w:w="0" w:type="dxa"/>
            <w:right w:w="108" w:type="dxa"/>
          </w:tblCellMar>
        </w:tblPrEx>
        <w:trPr>
          <w:gridAfter w:val="1"/>
          <w:wAfter w:w="223" w:type="dxa"/>
          <w:trHeight w:val="810" w:hRule="atLeast"/>
        </w:trPr>
        <w:tc>
          <w:tcPr>
            <w:tcW w:w="1959"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color w:val="auto"/>
                <w:sz w:val="28"/>
                <w:szCs w:val="28"/>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社会效益  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社会效益</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≧95</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推动村社区人大工作</w:t>
            </w:r>
          </w:p>
        </w:tc>
      </w:tr>
      <w:tr>
        <w:tblPrEx>
          <w:tblLayout w:type="fixed"/>
          <w:tblCellMar>
            <w:top w:w="0" w:type="dxa"/>
            <w:left w:w="108" w:type="dxa"/>
            <w:bottom w:w="0" w:type="dxa"/>
            <w:right w:w="108" w:type="dxa"/>
          </w:tblCellMar>
        </w:tblPrEx>
        <w:trPr>
          <w:gridAfter w:val="1"/>
          <w:wAfter w:w="223" w:type="dxa"/>
          <w:trHeight w:val="740" w:hRule="atLeast"/>
        </w:trPr>
        <w:tc>
          <w:tcPr>
            <w:tcW w:w="1959"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color w:val="auto"/>
                <w:sz w:val="28"/>
                <w:szCs w:val="28"/>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ind w:left="463" w:leftChars="87" w:hanging="280" w:hangingChars="100"/>
              <w:jc w:val="left"/>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生态效益  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使用效率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=100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人大代表联络工作有序推进</w:t>
            </w:r>
          </w:p>
        </w:tc>
      </w:tr>
      <w:tr>
        <w:tblPrEx>
          <w:tblLayout w:type="fixed"/>
          <w:tblCellMar>
            <w:top w:w="0" w:type="dxa"/>
            <w:left w:w="108" w:type="dxa"/>
            <w:bottom w:w="0" w:type="dxa"/>
            <w:right w:w="108" w:type="dxa"/>
          </w:tblCellMar>
        </w:tblPrEx>
        <w:trPr>
          <w:gridAfter w:val="1"/>
          <w:wAfter w:w="223" w:type="dxa"/>
          <w:trHeight w:val="755" w:hRule="atLeast"/>
        </w:trPr>
        <w:tc>
          <w:tcPr>
            <w:tcW w:w="1959"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color w:val="auto"/>
                <w:sz w:val="28"/>
                <w:szCs w:val="28"/>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可持续影响 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lang w:eastAsia="zh-CN"/>
              </w:rPr>
            </w:pPr>
            <w:r>
              <w:rPr>
                <w:rFonts w:hint="default" w:ascii="Times New Roman" w:hAnsi="Times New Roman" w:cs="Times New Roman" w:eastAsiaTheme="minorEastAsia"/>
                <w:color w:val="auto"/>
                <w:sz w:val="28"/>
                <w:szCs w:val="28"/>
              </w:rPr>
              <w:t>必要性、可行性</w:t>
            </w:r>
          </w:p>
          <w:p>
            <w:pPr>
              <w:widowControl/>
              <w:spacing w:line="320" w:lineRule="exact"/>
              <w:jc w:val="left"/>
              <w:textAlignment w:val="top"/>
              <w:rPr>
                <w:rFonts w:hint="default" w:ascii="Times New Roman" w:hAnsi="Times New Roman" w:cs="Times New Roman" w:eastAsiaTheme="minorEastAsia"/>
                <w:color w:val="auto"/>
                <w:sz w:val="28"/>
                <w:szCs w:val="28"/>
                <w:lang w:eastAsia="zh-CN"/>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≧95</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符合国家政策，符合当前经济发展需要。满意</w:t>
            </w:r>
          </w:p>
        </w:tc>
      </w:tr>
      <w:tr>
        <w:tblPrEx>
          <w:tblLayout w:type="fixed"/>
          <w:tblCellMar>
            <w:top w:w="0" w:type="dxa"/>
            <w:left w:w="108" w:type="dxa"/>
            <w:bottom w:w="0" w:type="dxa"/>
            <w:right w:w="108" w:type="dxa"/>
          </w:tblCellMar>
        </w:tblPrEx>
        <w:trPr>
          <w:gridAfter w:val="1"/>
          <w:wAfter w:w="223" w:type="dxa"/>
          <w:trHeight w:val="755" w:hRule="atLeast"/>
        </w:trPr>
        <w:tc>
          <w:tcPr>
            <w:tcW w:w="1959"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kern w:val="0"/>
                <w:sz w:val="28"/>
                <w:szCs w:val="28"/>
                <w:lang w:eastAsia="zh-CN" w:bidi="ar"/>
              </w:rPr>
            </w:pPr>
            <w:r>
              <w:rPr>
                <w:rFonts w:hint="default" w:ascii="Times New Roman" w:hAnsi="Times New Roman" w:cs="Times New Roman" w:eastAsiaTheme="minorEastAsia"/>
                <w:color w:val="auto"/>
                <w:kern w:val="0"/>
                <w:sz w:val="28"/>
                <w:szCs w:val="28"/>
                <w:lang w:bidi="ar"/>
              </w:rPr>
              <w:t>满意</w:t>
            </w:r>
          </w:p>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满意度</w:t>
            </w:r>
          </w:p>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服务对象满意度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≧95</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满意</w:t>
            </w:r>
          </w:p>
        </w:tc>
      </w:tr>
    </w:tbl>
    <w:p>
      <w:pPr>
        <w:widowControl/>
        <w:adjustRightInd w:val="0"/>
        <w:snapToGrid w:val="0"/>
        <w:spacing w:line="580" w:lineRule="exact"/>
        <w:contextualSpacing/>
        <w:jc w:val="left"/>
        <w:rPr>
          <w:rFonts w:hint="default" w:ascii="Times New Roman" w:hAnsi="Times New Roman" w:cs="Times New Roman" w:eastAsiaTheme="minorEastAsia"/>
          <w:color w:val="auto"/>
          <w:kern w:val="0"/>
          <w:sz w:val="28"/>
          <w:szCs w:val="28"/>
          <w:shd w:val="clear" w:color="auto" w:fill="FFFFFF"/>
          <w:lang w:val="zh-CN"/>
        </w:rPr>
      </w:pPr>
    </w:p>
    <w:p>
      <w:pPr>
        <w:spacing w:line="580" w:lineRule="exact"/>
        <w:ind w:firstLine="640" w:firstLineChars="200"/>
        <w:rPr>
          <w:rFonts w:hint="default" w:ascii="Times New Roman" w:hAnsi="Times New Roman" w:cs="Times New Roman" w:eastAsiaTheme="minorEastAsia"/>
          <w:color w:val="auto"/>
          <w:kern w:val="0"/>
          <w:sz w:val="32"/>
          <w:szCs w:val="32"/>
          <w:shd w:val="clear" w:color="auto" w:fill="FFFFFF"/>
          <w:lang w:val="zh-CN"/>
        </w:rPr>
      </w:pPr>
      <w:r>
        <w:rPr>
          <w:rFonts w:hint="default" w:ascii="Times New Roman" w:hAnsi="Times New Roman" w:cs="Times New Roman" w:eastAsiaTheme="minorEastAsia"/>
          <w:color w:val="auto"/>
          <w:sz w:val="32"/>
          <w:szCs w:val="32"/>
          <w:lang w:val="en-US" w:eastAsia="zh-CN"/>
        </w:rPr>
        <w:t>2.</w:t>
      </w:r>
      <w:r>
        <w:rPr>
          <w:rFonts w:hint="default" w:ascii="Times New Roman" w:hAnsi="Times New Roman" w:cs="Times New Roman" w:eastAsiaTheme="minorEastAsia"/>
          <w:color w:val="auto"/>
          <w:sz w:val="32"/>
          <w:szCs w:val="32"/>
        </w:rPr>
        <w:t>镇</w:t>
      </w:r>
      <w:r>
        <w:rPr>
          <w:rFonts w:hint="default" w:ascii="Times New Roman" w:hAnsi="Times New Roman" w:cs="Times New Roman" w:eastAsiaTheme="minorEastAsia"/>
          <w:color w:val="auto"/>
          <w:sz w:val="32"/>
          <w:szCs w:val="32"/>
          <w:lang w:val="en-US" w:eastAsia="zh-CN"/>
        </w:rPr>
        <w:t>信访工作</w:t>
      </w:r>
      <w:r>
        <w:rPr>
          <w:rFonts w:hint="default" w:ascii="Times New Roman" w:hAnsi="Times New Roman" w:cs="Times New Roman" w:eastAsiaTheme="minorEastAsia"/>
          <w:color w:val="auto"/>
          <w:sz w:val="32"/>
          <w:szCs w:val="32"/>
        </w:rPr>
        <w:t>经费项目绩效目标完成情况综述。项目全年预算数</w:t>
      </w:r>
      <w:r>
        <w:rPr>
          <w:rFonts w:hint="default" w:ascii="Times New Roman" w:hAnsi="Times New Roman" w:cs="Times New Roman" w:eastAsiaTheme="minorEastAsia"/>
          <w:color w:val="auto"/>
          <w:sz w:val="32"/>
          <w:szCs w:val="32"/>
          <w:lang w:val="en-US" w:eastAsia="zh-CN"/>
        </w:rPr>
        <w:t>5</w:t>
      </w:r>
      <w:r>
        <w:rPr>
          <w:rFonts w:hint="default" w:ascii="Times New Roman" w:hAnsi="Times New Roman" w:cs="Times New Roman" w:eastAsiaTheme="minorEastAsia"/>
          <w:color w:val="auto"/>
          <w:sz w:val="32"/>
          <w:szCs w:val="32"/>
        </w:rPr>
        <w:t>万元，执行数为</w:t>
      </w:r>
      <w:r>
        <w:rPr>
          <w:rFonts w:hint="default" w:ascii="Times New Roman" w:hAnsi="Times New Roman" w:cs="Times New Roman" w:eastAsiaTheme="minorEastAsia"/>
          <w:color w:val="auto"/>
          <w:sz w:val="32"/>
          <w:szCs w:val="32"/>
          <w:lang w:val="en-US" w:eastAsia="zh-CN"/>
        </w:rPr>
        <w:t>5</w:t>
      </w:r>
      <w:r>
        <w:rPr>
          <w:rFonts w:hint="default" w:ascii="Times New Roman" w:hAnsi="Times New Roman" w:cs="Times New Roman" w:eastAsiaTheme="minorEastAsia"/>
          <w:color w:val="auto"/>
          <w:sz w:val="32"/>
          <w:szCs w:val="32"/>
        </w:rPr>
        <w:t>万元，完成预算的100%。通过项目实施，保障我镇</w:t>
      </w:r>
      <w:r>
        <w:rPr>
          <w:rFonts w:hint="default" w:ascii="Times New Roman" w:hAnsi="Times New Roman" w:cs="Times New Roman" w:eastAsiaTheme="minorEastAsia"/>
          <w:color w:val="auto"/>
          <w:sz w:val="32"/>
          <w:szCs w:val="32"/>
          <w:lang w:val="en-US" w:eastAsia="zh-CN"/>
        </w:rPr>
        <w:t>信访维稳工作</w:t>
      </w:r>
      <w:r>
        <w:rPr>
          <w:rFonts w:hint="default" w:ascii="Times New Roman" w:hAnsi="Times New Roman" w:cs="Times New Roman" w:eastAsiaTheme="minorEastAsia"/>
          <w:color w:val="auto"/>
          <w:sz w:val="32"/>
          <w:szCs w:val="32"/>
        </w:rPr>
        <w:t>正常</w:t>
      </w:r>
      <w:r>
        <w:rPr>
          <w:rFonts w:hint="default" w:ascii="Times New Roman" w:hAnsi="Times New Roman" w:cs="Times New Roman" w:eastAsiaTheme="minorEastAsia"/>
          <w:color w:val="auto"/>
          <w:sz w:val="32"/>
          <w:szCs w:val="32"/>
          <w:lang w:val="en-US" w:eastAsia="zh-CN"/>
        </w:rPr>
        <w:t>开展</w:t>
      </w:r>
      <w:r>
        <w:rPr>
          <w:rFonts w:hint="default" w:ascii="Times New Roman" w:hAnsi="Times New Roman" w:cs="Times New Roman" w:eastAsiaTheme="minorEastAsia"/>
          <w:color w:val="auto"/>
          <w:sz w:val="32"/>
          <w:szCs w:val="32"/>
        </w:rPr>
        <w:t>，减少了</w:t>
      </w:r>
      <w:r>
        <w:rPr>
          <w:rFonts w:hint="default" w:ascii="Times New Roman" w:hAnsi="Times New Roman" w:cs="Times New Roman" w:eastAsiaTheme="minorEastAsia"/>
          <w:color w:val="auto"/>
          <w:sz w:val="32"/>
          <w:szCs w:val="32"/>
          <w:lang w:val="en-US" w:eastAsia="zh-CN"/>
        </w:rPr>
        <w:t>信访上访</w:t>
      </w:r>
      <w:r>
        <w:rPr>
          <w:rFonts w:hint="default" w:ascii="Times New Roman" w:hAnsi="Times New Roman" w:cs="Times New Roman" w:eastAsiaTheme="minorEastAsia"/>
          <w:color w:val="auto"/>
          <w:sz w:val="32"/>
          <w:szCs w:val="32"/>
        </w:rPr>
        <w:t>的发生，确保了</w:t>
      </w:r>
      <w:r>
        <w:rPr>
          <w:rFonts w:hint="default" w:ascii="Times New Roman" w:hAnsi="Times New Roman" w:cs="Times New Roman" w:eastAsiaTheme="minorEastAsia"/>
          <w:color w:val="auto"/>
          <w:sz w:val="32"/>
          <w:szCs w:val="32"/>
          <w:lang w:val="en-US" w:eastAsia="zh-CN"/>
        </w:rPr>
        <w:t>地方政府的正常秩序</w:t>
      </w:r>
      <w:r>
        <w:rPr>
          <w:rFonts w:hint="default" w:ascii="Times New Roman" w:hAnsi="Times New Roman" w:cs="Times New Roman" w:eastAsiaTheme="minorEastAsia"/>
          <w:color w:val="auto"/>
          <w:sz w:val="32"/>
          <w:szCs w:val="32"/>
        </w:rPr>
        <w:t>。</w:t>
      </w:r>
    </w:p>
    <w:p>
      <w:pPr>
        <w:widowControl/>
        <w:adjustRightInd w:val="0"/>
        <w:snapToGrid w:val="0"/>
        <w:spacing w:line="580" w:lineRule="exact"/>
        <w:contextualSpacing/>
        <w:jc w:val="left"/>
        <w:rPr>
          <w:rFonts w:hint="default" w:ascii="Times New Roman" w:hAnsi="Times New Roman" w:cs="Times New Roman" w:eastAsiaTheme="minorEastAsia"/>
          <w:color w:val="auto"/>
          <w:kern w:val="0"/>
          <w:sz w:val="32"/>
          <w:szCs w:val="32"/>
          <w:shd w:val="clear" w:color="auto" w:fill="FFFFFF"/>
          <w:lang w:val="en-US" w:eastAsia="zh-CN"/>
        </w:rPr>
      </w:pPr>
      <w:r>
        <w:rPr>
          <w:rFonts w:hint="default" w:ascii="Times New Roman" w:hAnsi="Times New Roman" w:cs="Times New Roman" w:eastAsiaTheme="minorEastAsia"/>
          <w:color w:val="auto"/>
          <w:kern w:val="0"/>
          <w:sz w:val="32"/>
          <w:szCs w:val="32"/>
          <w:shd w:val="clear" w:color="auto" w:fill="FFFFFF"/>
          <w:lang w:val="zh-CN"/>
        </w:rPr>
        <w:t>附表：</w:t>
      </w:r>
      <w:r>
        <w:rPr>
          <w:rFonts w:hint="default" w:ascii="Times New Roman" w:hAnsi="Times New Roman" w:cs="Times New Roman" w:eastAsiaTheme="minorEastAsia"/>
          <w:color w:val="auto"/>
          <w:kern w:val="0"/>
          <w:sz w:val="32"/>
          <w:szCs w:val="32"/>
          <w:shd w:val="clear" w:color="auto" w:fill="FFFFFF"/>
          <w:lang w:val="en-US" w:eastAsia="zh-CN"/>
        </w:rPr>
        <w:t xml:space="preserve">           </w:t>
      </w:r>
    </w:p>
    <w:tbl>
      <w:tblPr>
        <w:tblStyle w:val="17"/>
        <w:tblpPr w:leftFromText="180" w:rightFromText="180" w:vertAnchor="text" w:horzAnchor="page" w:tblpX="1256" w:tblpY="221"/>
        <w:tblOverlap w:val="never"/>
        <w:tblW w:w="8813" w:type="dxa"/>
        <w:tblInd w:w="0" w:type="dxa"/>
        <w:tblLayout w:type="fixed"/>
        <w:tblCellMar>
          <w:top w:w="0" w:type="dxa"/>
          <w:left w:w="108" w:type="dxa"/>
          <w:bottom w:w="0" w:type="dxa"/>
          <w:right w:w="108" w:type="dxa"/>
        </w:tblCellMar>
      </w:tblPr>
      <w:tblGrid>
        <w:gridCol w:w="1982"/>
        <w:gridCol w:w="1143"/>
        <w:gridCol w:w="1635"/>
        <w:gridCol w:w="1111"/>
        <w:gridCol w:w="1302"/>
        <w:gridCol w:w="1418"/>
        <w:gridCol w:w="222"/>
      </w:tblGrid>
      <w:tr>
        <w:tblPrEx>
          <w:tblLayout w:type="fixed"/>
          <w:tblCellMar>
            <w:top w:w="0" w:type="dxa"/>
            <w:left w:w="108" w:type="dxa"/>
            <w:bottom w:w="0" w:type="dxa"/>
            <w:right w:w="108" w:type="dxa"/>
          </w:tblCellMar>
        </w:tblPrEx>
        <w:trPr>
          <w:trHeight w:val="675" w:hRule="atLeast"/>
        </w:trPr>
        <w:tc>
          <w:tcPr>
            <w:tcW w:w="8591" w:type="dxa"/>
            <w:gridSpan w:val="6"/>
            <w:tcBorders>
              <w:top w:val="nil"/>
              <w:left w:val="nil"/>
              <w:bottom w:val="nil"/>
              <w:right w:val="nil"/>
            </w:tcBorders>
            <w:shd w:val="clear" w:color="auto" w:fill="auto"/>
            <w:vAlign w:val="center"/>
          </w:tcPr>
          <w:p>
            <w:pPr>
              <w:widowControl/>
              <w:jc w:val="center"/>
              <w:textAlignment w:val="center"/>
              <w:rPr>
                <w:rFonts w:hint="default" w:ascii="Times New Roman" w:hAnsi="Times New Roman" w:cs="Times New Roman" w:eastAsiaTheme="minorEastAsia"/>
                <w:b/>
                <w:color w:val="auto"/>
                <w:sz w:val="28"/>
                <w:szCs w:val="28"/>
              </w:rPr>
            </w:pPr>
            <w:r>
              <w:rPr>
                <w:rFonts w:hint="default" w:ascii="Times New Roman" w:hAnsi="Times New Roman" w:cs="Times New Roman" w:eastAsiaTheme="minorEastAsia"/>
                <w:b/>
                <w:color w:val="auto"/>
                <w:sz w:val="28"/>
                <w:szCs w:val="28"/>
              </w:rPr>
              <w:t>202</w:t>
            </w:r>
            <w:r>
              <w:rPr>
                <w:rFonts w:hint="default" w:ascii="Times New Roman" w:hAnsi="Times New Roman" w:cs="Times New Roman" w:eastAsiaTheme="minorEastAsia"/>
                <w:b/>
                <w:color w:val="auto"/>
                <w:sz w:val="28"/>
                <w:szCs w:val="28"/>
                <w:lang w:val="en-US" w:eastAsia="zh-CN"/>
              </w:rPr>
              <w:t>1</w:t>
            </w:r>
            <w:r>
              <w:rPr>
                <w:rFonts w:hint="default" w:ascii="Times New Roman" w:hAnsi="Times New Roman" w:cs="Times New Roman" w:eastAsiaTheme="minorEastAsia"/>
                <w:b/>
                <w:color w:val="auto"/>
                <w:sz w:val="28"/>
                <w:szCs w:val="28"/>
              </w:rPr>
              <w:t>年部门预算项目绩效目标自评</w:t>
            </w:r>
          </w:p>
        </w:tc>
        <w:tc>
          <w:tcPr>
            <w:tcW w:w="222" w:type="dxa"/>
            <w:tcBorders>
              <w:top w:val="nil"/>
              <w:left w:val="nil"/>
              <w:bottom w:val="nil"/>
              <w:right w:val="nil"/>
            </w:tcBorders>
            <w:shd w:val="clear" w:color="auto" w:fill="auto"/>
            <w:vAlign w:val="center"/>
          </w:tcPr>
          <w:p>
            <w:pPr>
              <w:widowControl/>
              <w:jc w:val="center"/>
              <w:textAlignment w:val="center"/>
              <w:rPr>
                <w:rFonts w:hint="default" w:ascii="Times New Roman" w:hAnsi="Times New Roman" w:cs="Times New Roman" w:eastAsiaTheme="minorEastAsia"/>
                <w:b/>
                <w:color w:val="auto"/>
                <w:kern w:val="0"/>
                <w:sz w:val="28"/>
                <w:szCs w:val="28"/>
                <w:lang w:bidi="ar"/>
              </w:rPr>
            </w:pPr>
          </w:p>
        </w:tc>
      </w:tr>
      <w:tr>
        <w:tblPrEx>
          <w:tblLayout w:type="fixed"/>
          <w:tblCellMar>
            <w:top w:w="0" w:type="dxa"/>
            <w:left w:w="108" w:type="dxa"/>
            <w:bottom w:w="0" w:type="dxa"/>
            <w:right w:w="108" w:type="dxa"/>
          </w:tblCellMar>
        </w:tblPrEx>
        <w:trPr>
          <w:gridAfter w:val="1"/>
          <w:wAfter w:w="222" w:type="dxa"/>
          <w:trHeight w:val="385" w:hRule="atLeast"/>
        </w:trPr>
        <w:tc>
          <w:tcPr>
            <w:tcW w:w="3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主管部门及代码</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874001</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实施单位</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lang w:eastAsia="zh-CN"/>
              </w:rPr>
            </w:pPr>
            <w:r>
              <w:rPr>
                <w:rFonts w:hint="default" w:ascii="Times New Roman" w:hAnsi="Times New Roman" w:cs="Times New Roman" w:eastAsiaTheme="minorEastAsia"/>
                <w:color w:val="auto"/>
                <w:sz w:val="28"/>
                <w:szCs w:val="28"/>
                <w:lang w:eastAsia="zh-CN"/>
              </w:rPr>
              <w:t>大成镇人民政府</w:t>
            </w:r>
          </w:p>
        </w:tc>
      </w:tr>
      <w:tr>
        <w:tblPrEx>
          <w:tblLayout w:type="fixed"/>
          <w:tblCellMar>
            <w:top w:w="0" w:type="dxa"/>
            <w:left w:w="108" w:type="dxa"/>
            <w:bottom w:w="0" w:type="dxa"/>
            <w:right w:w="108" w:type="dxa"/>
          </w:tblCellMar>
        </w:tblPrEx>
        <w:trPr>
          <w:gridAfter w:val="1"/>
          <w:wAfter w:w="222" w:type="dxa"/>
          <w:trHeight w:val="406" w:hRule="atLeast"/>
        </w:trPr>
        <w:tc>
          <w:tcPr>
            <w:tcW w:w="3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kern w:val="0"/>
                <w:sz w:val="28"/>
                <w:szCs w:val="28"/>
                <w:lang w:eastAsia="zh-CN" w:bidi="ar"/>
              </w:rPr>
            </w:pPr>
            <w:r>
              <w:rPr>
                <w:rFonts w:hint="default" w:ascii="Times New Roman" w:hAnsi="Times New Roman" w:cs="Times New Roman" w:eastAsiaTheme="minorEastAsia"/>
                <w:color w:val="auto"/>
                <w:kern w:val="0"/>
                <w:sz w:val="28"/>
                <w:szCs w:val="28"/>
                <w:lang w:bidi="ar"/>
              </w:rPr>
              <w:t>项目预算</w:t>
            </w:r>
          </w:p>
          <w:p>
            <w:pPr>
              <w:widowControl/>
              <w:spacing w:line="320" w:lineRule="exact"/>
              <w:jc w:val="center"/>
              <w:textAlignment w:val="center"/>
              <w:rPr>
                <w:rFonts w:hint="default" w:ascii="Times New Roman" w:hAnsi="Times New Roman" w:cs="Times New Roman" w:eastAsiaTheme="minorEastAsia"/>
                <w:color w:val="auto"/>
                <w:kern w:val="0"/>
                <w:sz w:val="28"/>
                <w:szCs w:val="28"/>
                <w:lang w:eastAsia="zh-CN" w:bidi="ar"/>
              </w:rPr>
            </w:pPr>
            <w:r>
              <w:rPr>
                <w:rFonts w:hint="default" w:ascii="Times New Roman" w:hAnsi="Times New Roman" w:cs="Times New Roman" w:eastAsiaTheme="minorEastAsia"/>
                <w:color w:val="auto"/>
                <w:kern w:val="0"/>
                <w:sz w:val="28"/>
                <w:szCs w:val="28"/>
                <w:lang w:bidi="ar"/>
              </w:rPr>
              <w:t>执行情况</w:t>
            </w:r>
          </w:p>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预算数：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5</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执行数：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5</w:t>
            </w:r>
          </w:p>
        </w:tc>
      </w:tr>
      <w:tr>
        <w:tblPrEx>
          <w:tblLayout w:type="fixed"/>
          <w:tblCellMar>
            <w:top w:w="0" w:type="dxa"/>
            <w:left w:w="108" w:type="dxa"/>
            <w:bottom w:w="0" w:type="dxa"/>
            <w:right w:w="108" w:type="dxa"/>
          </w:tblCellMar>
        </w:tblPrEx>
        <w:trPr>
          <w:gridAfter w:val="1"/>
          <w:wAfter w:w="222" w:type="dxa"/>
          <w:trHeight w:val="577" w:hRule="atLeast"/>
        </w:trPr>
        <w:tc>
          <w:tcPr>
            <w:tcW w:w="3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其中：</w:t>
            </w:r>
          </w:p>
          <w:p>
            <w:pPr>
              <w:widowControl/>
              <w:spacing w:line="320" w:lineRule="exact"/>
              <w:jc w:val="left"/>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财政拨款</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5</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其中：</w:t>
            </w:r>
          </w:p>
          <w:p>
            <w:pPr>
              <w:widowControl/>
              <w:spacing w:line="320" w:lineRule="exact"/>
              <w:jc w:val="left"/>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财政拨款</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5</w:t>
            </w:r>
          </w:p>
        </w:tc>
      </w:tr>
      <w:tr>
        <w:tblPrEx>
          <w:tblLayout w:type="fixed"/>
          <w:tblCellMar>
            <w:top w:w="0" w:type="dxa"/>
            <w:left w:w="108" w:type="dxa"/>
            <w:bottom w:w="0" w:type="dxa"/>
            <w:right w:w="108" w:type="dxa"/>
          </w:tblCellMar>
        </w:tblPrEx>
        <w:trPr>
          <w:gridAfter w:val="1"/>
          <w:wAfter w:w="222" w:type="dxa"/>
          <w:trHeight w:val="391" w:hRule="atLeast"/>
        </w:trPr>
        <w:tc>
          <w:tcPr>
            <w:tcW w:w="3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其他资金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0</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其他资金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color w:val="auto"/>
                <w:sz w:val="28"/>
                <w:szCs w:val="28"/>
                <w:lang w:val="en-US" w:eastAsia="zh-CN"/>
              </w:rPr>
              <w:t>0</w:t>
            </w:r>
          </w:p>
        </w:tc>
      </w:tr>
      <w:tr>
        <w:tblPrEx>
          <w:tblLayout w:type="fixed"/>
          <w:tblCellMar>
            <w:top w:w="0" w:type="dxa"/>
            <w:left w:w="108" w:type="dxa"/>
            <w:bottom w:w="0" w:type="dxa"/>
            <w:right w:w="108" w:type="dxa"/>
          </w:tblCellMar>
        </w:tblPrEx>
        <w:trPr>
          <w:gridAfter w:val="1"/>
          <w:wAfter w:w="222" w:type="dxa"/>
          <w:trHeight w:val="435" w:hRule="atLeast"/>
        </w:trPr>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年度总体目标</w:t>
            </w:r>
          </w:p>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完成情况</w:t>
            </w:r>
          </w:p>
        </w:tc>
        <w:tc>
          <w:tcPr>
            <w:tcW w:w="3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预期目标</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目标实际完成情况</w:t>
            </w:r>
          </w:p>
        </w:tc>
      </w:tr>
      <w:tr>
        <w:tblPrEx>
          <w:tblLayout w:type="fixed"/>
          <w:tblCellMar>
            <w:top w:w="0" w:type="dxa"/>
            <w:left w:w="108" w:type="dxa"/>
            <w:bottom w:w="0" w:type="dxa"/>
            <w:right w:w="108" w:type="dxa"/>
          </w:tblCellMar>
        </w:tblPrEx>
        <w:trPr>
          <w:gridAfter w:val="1"/>
          <w:wAfter w:w="222" w:type="dxa"/>
          <w:trHeight w:val="1297" w:hRule="atLeast"/>
        </w:trPr>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3889"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确保信访</w:t>
            </w:r>
            <w:r>
              <w:rPr>
                <w:rFonts w:hint="default" w:ascii="Times New Roman" w:hAnsi="Times New Roman" w:cs="Times New Roman" w:eastAsiaTheme="minorEastAsia"/>
                <w:color w:val="auto"/>
                <w:sz w:val="28"/>
                <w:szCs w:val="28"/>
                <w:lang w:eastAsia="zh-CN"/>
              </w:rPr>
              <w:t>维稳</w:t>
            </w:r>
            <w:r>
              <w:rPr>
                <w:rFonts w:hint="default" w:ascii="Times New Roman" w:hAnsi="Times New Roman" w:cs="Times New Roman" w:eastAsiaTheme="minorEastAsia"/>
                <w:color w:val="auto"/>
                <w:sz w:val="28"/>
                <w:szCs w:val="28"/>
              </w:rPr>
              <w:t>工作</w:t>
            </w:r>
            <w:r>
              <w:rPr>
                <w:rFonts w:hint="default" w:ascii="Times New Roman" w:hAnsi="Times New Roman" w:cs="Times New Roman" w:eastAsiaTheme="minorEastAsia"/>
                <w:color w:val="auto"/>
                <w:sz w:val="28"/>
                <w:szCs w:val="28"/>
                <w:lang w:eastAsia="zh-CN"/>
              </w:rPr>
              <w:t>顺利</w:t>
            </w:r>
            <w:r>
              <w:rPr>
                <w:rFonts w:hint="default" w:ascii="Times New Roman" w:hAnsi="Times New Roman" w:cs="Times New Roman" w:eastAsiaTheme="minorEastAsia"/>
                <w:color w:val="auto"/>
                <w:sz w:val="28"/>
                <w:szCs w:val="28"/>
              </w:rPr>
              <w:t>开展</w:t>
            </w:r>
          </w:p>
        </w:tc>
        <w:tc>
          <w:tcPr>
            <w:tcW w:w="2720"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rPr>
              <w:t>保障了信访</w:t>
            </w:r>
            <w:r>
              <w:rPr>
                <w:rFonts w:hint="default" w:ascii="Times New Roman" w:hAnsi="Times New Roman" w:cs="Times New Roman" w:eastAsiaTheme="minorEastAsia"/>
                <w:color w:val="auto"/>
                <w:sz w:val="28"/>
                <w:szCs w:val="28"/>
                <w:lang w:eastAsia="zh-CN"/>
              </w:rPr>
              <w:t>维稳</w:t>
            </w:r>
            <w:r>
              <w:rPr>
                <w:rFonts w:hint="default" w:ascii="Times New Roman" w:hAnsi="Times New Roman" w:cs="Times New Roman" w:eastAsiaTheme="minorEastAsia"/>
                <w:color w:val="auto"/>
                <w:sz w:val="28"/>
                <w:szCs w:val="28"/>
              </w:rPr>
              <w:t>工作开展，</w:t>
            </w:r>
            <w:r>
              <w:rPr>
                <w:rFonts w:hint="default" w:ascii="Times New Roman" w:hAnsi="Times New Roman" w:cs="Times New Roman" w:eastAsiaTheme="minorEastAsia"/>
                <w:color w:val="auto"/>
                <w:sz w:val="28"/>
                <w:szCs w:val="28"/>
                <w:lang w:eastAsia="zh-CN"/>
              </w:rPr>
              <w:t>减少</w:t>
            </w:r>
            <w:r>
              <w:rPr>
                <w:rFonts w:hint="default" w:ascii="Times New Roman" w:hAnsi="Times New Roman" w:cs="Times New Roman" w:eastAsiaTheme="minorEastAsia"/>
                <w:color w:val="auto"/>
                <w:sz w:val="28"/>
                <w:szCs w:val="28"/>
              </w:rPr>
              <w:t>辖区内信访工作发生。</w:t>
            </w:r>
          </w:p>
        </w:tc>
      </w:tr>
      <w:tr>
        <w:tblPrEx>
          <w:tblLayout w:type="fixed"/>
          <w:tblCellMar>
            <w:top w:w="0" w:type="dxa"/>
            <w:left w:w="108" w:type="dxa"/>
            <w:bottom w:w="0" w:type="dxa"/>
            <w:right w:w="108" w:type="dxa"/>
          </w:tblCellMar>
        </w:tblPrEx>
        <w:trPr>
          <w:gridAfter w:val="1"/>
          <w:wAfter w:w="222" w:type="dxa"/>
          <w:trHeight w:val="738" w:hRule="atLeast"/>
        </w:trPr>
        <w:tc>
          <w:tcPr>
            <w:tcW w:w="1982"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年度绩效指标完成情况</w:t>
            </w:r>
          </w:p>
        </w:tc>
        <w:tc>
          <w:tcPr>
            <w:tcW w:w="1143"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一级</w:t>
            </w:r>
          </w:p>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二级</w:t>
            </w:r>
          </w:p>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三级</w:t>
            </w:r>
          </w:p>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指标</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预期指标值</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实际完成指标值</w:t>
            </w:r>
          </w:p>
        </w:tc>
      </w:tr>
      <w:tr>
        <w:tblPrEx>
          <w:tblLayout w:type="fixed"/>
          <w:tblCellMar>
            <w:top w:w="0" w:type="dxa"/>
            <w:left w:w="108" w:type="dxa"/>
            <w:bottom w:w="0" w:type="dxa"/>
            <w:right w:w="108" w:type="dxa"/>
          </w:tblCellMar>
        </w:tblPrEx>
        <w:trPr>
          <w:gridAfter w:val="1"/>
          <w:wAfter w:w="222" w:type="dxa"/>
          <w:trHeight w:val="480" w:hRule="atLeast"/>
        </w:trPr>
        <w:tc>
          <w:tcPr>
            <w:tcW w:w="1982"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完成</w:t>
            </w:r>
          </w:p>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数量指标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left"/>
              <w:textAlignment w:val="top"/>
              <w:rPr>
                <w:rFonts w:hint="default" w:ascii="Times New Roman" w:hAnsi="Times New Roman" w:cs="Times New Roman" w:eastAsiaTheme="minorEastAsia"/>
                <w:color w:val="auto"/>
                <w:sz w:val="28"/>
                <w:szCs w:val="28"/>
              </w:rPr>
            </w:pPr>
          </w:p>
          <w:p>
            <w:pPr>
              <w:widowControl/>
              <w:spacing w:line="320" w:lineRule="exact"/>
              <w:jc w:val="left"/>
              <w:textAlignment w:val="top"/>
              <w:rPr>
                <w:rFonts w:hint="default" w:ascii="Times New Roman" w:hAnsi="Times New Roman" w:cs="Times New Roman" w:eastAsiaTheme="minorEastAsia"/>
                <w:color w:val="auto"/>
                <w:sz w:val="28"/>
                <w:szCs w:val="28"/>
                <w:lang w:eastAsia="zh-CN"/>
              </w:rPr>
            </w:pPr>
            <w:r>
              <w:rPr>
                <w:rFonts w:hint="default" w:ascii="Times New Roman" w:hAnsi="Times New Roman" w:cs="Times New Roman" w:eastAsiaTheme="minorEastAsia"/>
                <w:color w:val="auto"/>
                <w:sz w:val="28"/>
                <w:szCs w:val="28"/>
              </w:rPr>
              <w:t>必要性、可行性</w:t>
            </w:r>
          </w:p>
          <w:p>
            <w:pPr>
              <w:widowControl/>
              <w:spacing w:line="320" w:lineRule="exact"/>
              <w:jc w:val="left"/>
              <w:textAlignment w:val="top"/>
              <w:rPr>
                <w:rFonts w:hint="default" w:ascii="Times New Roman" w:hAnsi="Times New Roman" w:cs="Times New Roman" w:eastAsiaTheme="minorEastAsia"/>
                <w:color w:val="auto"/>
                <w:sz w:val="28"/>
                <w:szCs w:val="28"/>
                <w:lang w:val="en-US" w:eastAsia="zh-CN"/>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≧95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符合国家政策，符合当前经济发展需要。</w:t>
            </w:r>
          </w:p>
        </w:tc>
      </w:tr>
      <w:tr>
        <w:tblPrEx>
          <w:tblLayout w:type="fixed"/>
          <w:tblCellMar>
            <w:top w:w="0" w:type="dxa"/>
            <w:left w:w="108" w:type="dxa"/>
            <w:bottom w:w="0" w:type="dxa"/>
            <w:right w:w="108" w:type="dxa"/>
          </w:tblCellMar>
        </w:tblPrEx>
        <w:trPr>
          <w:gridAfter w:val="1"/>
          <w:wAfter w:w="222" w:type="dxa"/>
          <w:trHeight w:val="480" w:hRule="atLeast"/>
        </w:trPr>
        <w:tc>
          <w:tcPr>
            <w:tcW w:w="1982"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质量指标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明确性、合理性</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≧95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符合实际需求</w:t>
            </w:r>
          </w:p>
        </w:tc>
      </w:tr>
      <w:tr>
        <w:tblPrEx>
          <w:tblLayout w:type="fixed"/>
          <w:tblCellMar>
            <w:top w:w="0" w:type="dxa"/>
            <w:left w:w="108" w:type="dxa"/>
            <w:bottom w:w="0" w:type="dxa"/>
            <w:right w:w="108" w:type="dxa"/>
          </w:tblCellMar>
        </w:tblPrEx>
        <w:trPr>
          <w:gridAfter w:val="1"/>
          <w:wAfter w:w="222" w:type="dxa"/>
          <w:trHeight w:val="480" w:hRule="atLeast"/>
        </w:trPr>
        <w:tc>
          <w:tcPr>
            <w:tcW w:w="1982"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时效指标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资金使用</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≧95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资金使用规范</w:t>
            </w:r>
          </w:p>
        </w:tc>
      </w:tr>
      <w:tr>
        <w:tblPrEx>
          <w:tblLayout w:type="fixed"/>
          <w:tblCellMar>
            <w:top w:w="0" w:type="dxa"/>
            <w:left w:w="108" w:type="dxa"/>
            <w:bottom w:w="0" w:type="dxa"/>
            <w:right w:w="108" w:type="dxa"/>
          </w:tblCellMar>
        </w:tblPrEx>
        <w:trPr>
          <w:gridAfter w:val="1"/>
          <w:wAfter w:w="222" w:type="dxa"/>
          <w:trHeight w:val="480" w:hRule="atLeast"/>
        </w:trPr>
        <w:tc>
          <w:tcPr>
            <w:tcW w:w="1982"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成本指标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执行规范</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≧95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管理制度健全，管理过程科学规范</w:t>
            </w:r>
          </w:p>
        </w:tc>
      </w:tr>
      <w:tr>
        <w:tblPrEx>
          <w:tblLayout w:type="fixed"/>
          <w:tblCellMar>
            <w:top w:w="0" w:type="dxa"/>
            <w:left w:w="108" w:type="dxa"/>
            <w:bottom w:w="0" w:type="dxa"/>
            <w:right w:w="108" w:type="dxa"/>
          </w:tblCellMar>
        </w:tblPrEx>
        <w:trPr>
          <w:gridAfter w:val="1"/>
          <w:wAfter w:w="222" w:type="dxa"/>
          <w:trHeight w:val="825" w:hRule="atLeast"/>
        </w:trPr>
        <w:tc>
          <w:tcPr>
            <w:tcW w:w="1982"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kern w:val="0"/>
                <w:sz w:val="28"/>
                <w:szCs w:val="28"/>
                <w:lang w:eastAsia="zh-CN" w:bidi="ar"/>
              </w:rPr>
            </w:pPr>
            <w:r>
              <w:rPr>
                <w:rFonts w:hint="default" w:ascii="Times New Roman" w:hAnsi="Times New Roman" w:cs="Times New Roman" w:eastAsiaTheme="minorEastAsia"/>
                <w:color w:val="auto"/>
                <w:kern w:val="0"/>
                <w:sz w:val="28"/>
                <w:szCs w:val="28"/>
                <w:lang w:bidi="ar"/>
              </w:rPr>
              <w:t>效益</w:t>
            </w:r>
          </w:p>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经济效益  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完成质量</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=100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符合绩效目标</w:t>
            </w:r>
          </w:p>
        </w:tc>
      </w:tr>
      <w:tr>
        <w:tblPrEx>
          <w:tblLayout w:type="fixed"/>
          <w:tblCellMar>
            <w:top w:w="0" w:type="dxa"/>
            <w:left w:w="108" w:type="dxa"/>
            <w:bottom w:w="0" w:type="dxa"/>
            <w:right w:w="108" w:type="dxa"/>
          </w:tblCellMar>
        </w:tblPrEx>
        <w:trPr>
          <w:gridAfter w:val="1"/>
          <w:wAfter w:w="222" w:type="dxa"/>
          <w:trHeight w:val="810" w:hRule="atLeast"/>
        </w:trPr>
        <w:tc>
          <w:tcPr>
            <w:tcW w:w="1982"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社会效益  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社会效益</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≧95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保障</w:t>
            </w:r>
            <w:r>
              <w:rPr>
                <w:rFonts w:hint="default" w:ascii="Times New Roman" w:hAnsi="Times New Roman" w:cs="Times New Roman" w:eastAsiaTheme="minorEastAsia"/>
                <w:color w:val="auto"/>
                <w:sz w:val="28"/>
                <w:szCs w:val="28"/>
                <w:lang w:val="en-US" w:eastAsia="zh-CN"/>
              </w:rPr>
              <w:t>信访开展顺利</w:t>
            </w:r>
          </w:p>
        </w:tc>
      </w:tr>
      <w:tr>
        <w:tblPrEx>
          <w:tblLayout w:type="fixed"/>
          <w:tblCellMar>
            <w:top w:w="0" w:type="dxa"/>
            <w:left w:w="108" w:type="dxa"/>
            <w:bottom w:w="0" w:type="dxa"/>
            <w:right w:w="108" w:type="dxa"/>
          </w:tblCellMar>
        </w:tblPrEx>
        <w:trPr>
          <w:gridAfter w:val="1"/>
          <w:wAfter w:w="222" w:type="dxa"/>
          <w:trHeight w:val="740" w:hRule="atLeast"/>
        </w:trPr>
        <w:tc>
          <w:tcPr>
            <w:tcW w:w="1982"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ind w:left="463" w:leftChars="87" w:hanging="280" w:hangingChars="100"/>
              <w:jc w:val="left"/>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生态效益  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使用效率</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=100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保障正常运行</w:t>
            </w:r>
          </w:p>
        </w:tc>
      </w:tr>
      <w:tr>
        <w:tblPrEx>
          <w:tblLayout w:type="fixed"/>
          <w:tblCellMar>
            <w:top w:w="0" w:type="dxa"/>
            <w:left w:w="108" w:type="dxa"/>
            <w:bottom w:w="0" w:type="dxa"/>
            <w:right w:w="108" w:type="dxa"/>
          </w:tblCellMar>
        </w:tblPrEx>
        <w:trPr>
          <w:gridAfter w:val="1"/>
          <w:wAfter w:w="222" w:type="dxa"/>
          <w:trHeight w:val="755" w:hRule="atLeast"/>
        </w:trPr>
        <w:tc>
          <w:tcPr>
            <w:tcW w:w="1982" w:type="dxa"/>
            <w:vMerge w:val="continue"/>
            <w:tcBorders>
              <w:left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cs="Times New Roman" w:eastAsiaTheme="minorEastAsia"/>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可持续影响 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jc w:val="left"/>
              <w:textAlignment w:val="top"/>
              <w:rPr>
                <w:rFonts w:hint="default" w:ascii="Times New Roman" w:hAnsi="Times New Roman" w:cs="Times New Roman" w:eastAsiaTheme="minorEastAsia"/>
                <w:color w:val="auto"/>
                <w:sz w:val="28"/>
                <w:szCs w:val="28"/>
              </w:rPr>
            </w:pPr>
          </w:p>
          <w:p>
            <w:pPr>
              <w:widowControl/>
              <w:spacing w:line="320" w:lineRule="exact"/>
              <w:jc w:val="left"/>
              <w:textAlignment w:val="top"/>
              <w:rPr>
                <w:rFonts w:hint="default" w:ascii="Times New Roman" w:hAnsi="Times New Roman" w:cs="Times New Roman" w:eastAsiaTheme="minorEastAsia"/>
                <w:color w:val="auto"/>
                <w:sz w:val="28"/>
                <w:szCs w:val="28"/>
                <w:lang w:eastAsia="zh-CN"/>
              </w:rPr>
            </w:pPr>
            <w:r>
              <w:rPr>
                <w:rFonts w:hint="default" w:ascii="Times New Roman" w:hAnsi="Times New Roman" w:cs="Times New Roman" w:eastAsiaTheme="minorEastAsia"/>
                <w:color w:val="auto"/>
                <w:sz w:val="28"/>
                <w:szCs w:val="28"/>
              </w:rPr>
              <w:t>必要性、可行性</w:t>
            </w:r>
          </w:p>
          <w:p>
            <w:pPr>
              <w:widowControl/>
              <w:spacing w:line="320" w:lineRule="exact"/>
              <w:jc w:val="left"/>
              <w:textAlignment w:val="top"/>
              <w:rPr>
                <w:rFonts w:hint="default" w:ascii="Times New Roman" w:hAnsi="Times New Roman" w:cs="Times New Roman" w:eastAsiaTheme="minorEastAsia"/>
                <w:color w:val="auto"/>
                <w:sz w:val="28"/>
                <w:szCs w:val="28"/>
                <w:lang w:val="en-US" w:eastAsia="zh-CN"/>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≧95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符合国家政策，符合当前经济发展需要。</w:t>
            </w:r>
          </w:p>
        </w:tc>
      </w:tr>
      <w:tr>
        <w:tblPrEx>
          <w:tblLayout w:type="fixed"/>
          <w:tblCellMar>
            <w:top w:w="0" w:type="dxa"/>
            <w:left w:w="108" w:type="dxa"/>
            <w:bottom w:w="0" w:type="dxa"/>
            <w:right w:w="108" w:type="dxa"/>
          </w:tblCellMar>
        </w:tblPrEx>
        <w:trPr>
          <w:gridAfter w:val="1"/>
          <w:wAfter w:w="222" w:type="dxa"/>
          <w:trHeight w:val="755" w:hRule="atLeast"/>
        </w:trPr>
        <w:tc>
          <w:tcPr>
            <w:tcW w:w="1982"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default" w:ascii="Times New Roman" w:hAnsi="Times New Roman" w:cs="Times New Roman" w:eastAsiaTheme="minorEastAsia"/>
                <w:color w:val="auto"/>
                <w:sz w:val="28"/>
                <w:szCs w:val="28"/>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kern w:val="0"/>
                <w:sz w:val="28"/>
                <w:szCs w:val="28"/>
                <w:lang w:eastAsia="zh-CN" w:bidi="ar"/>
              </w:rPr>
            </w:pPr>
            <w:r>
              <w:rPr>
                <w:rFonts w:hint="default" w:ascii="Times New Roman" w:hAnsi="Times New Roman" w:cs="Times New Roman" w:eastAsiaTheme="minorEastAsia"/>
                <w:color w:val="auto"/>
                <w:kern w:val="0"/>
                <w:sz w:val="28"/>
                <w:szCs w:val="28"/>
                <w:lang w:bidi="ar"/>
              </w:rPr>
              <w:t>满意</w:t>
            </w:r>
          </w:p>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kern w:val="0"/>
                <w:sz w:val="28"/>
                <w:szCs w:val="28"/>
                <w:lang w:bidi="ar"/>
              </w:rPr>
            </w:pPr>
            <w:r>
              <w:rPr>
                <w:rFonts w:hint="default" w:ascii="Times New Roman" w:hAnsi="Times New Roman" w:cs="Times New Roman" w:eastAsiaTheme="minorEastAsia"/>
                <w:color w:val="auto"/>
                <w:kern w:val="0"/>
                <w:sz w:val="28"/>
                <w:szCs w:val="28"/>
                <w:lang w:bidi="ar"/>
              </w:rPr>
              <w:t>满意度</w:t>
            </w:r>
          </w:p>
          <w:p>
            <w:pPr>
              <w:keepNext w:val="0"/>
              <w:keepLines w:val="0"/>
              <w:pageBreakBefore w:val="0"/>
              <w:widowControl/>
              <w:kinsoku/>
              <w:wordWrap/>
              <w:overflowPunct/>
              <w:topLinePunct w:val="0"/>
              <w:autoSpaceDE/>
              <w:autoSpaceDN/>
              <w:bidi w:val="0"/>
              <w:adjustRightInd/>
              <w:snapToGrid/>
              <w:spacing w:line="400" w:lineRule="exact"/>
              <w:jc w:val="center"/>
              <w:textAlignment w:val="bottom"/>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kern w:val="0"/>
                <w:sz w:val="28"/>
                <w:szCs w:val="28"/>
                <w:lang w:bidi="ar"/>
              </w:rPr>
              <w:t>指标</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服务对象满意度</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≧95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default" w:ascii="Times New Roman" w:hAnsi="Times New Roman" w:cs="Times New Roman" w:eastAsiaTheme="minorEastAsia"/>
                <w:color w:val="auto"/>
                <w:kern w:val="2"/>
                <w:sz w:val="28"/>
                <w:szCs w:val="28"/>
                <w:lang w:val="en-US" w:eastAsia="zh-CN" w:bidi="ar-SA"/>
              </w:rPr>
            </w:pPr>
            <w:r>
              <w:rPr>
                <w:rFonts w:hint="default" w:ascii="Times New Roman" w:hAnsi="Times New Roman" w:cs="Times New Roman" w:eastAsiaTheme="minorEastAsia"/>
                <w:color w:val="auto"/>
                <w:sz w:val="28"/>
                <w:szCs w:val="28"/>
              </w:rPr>
              <w:t>满意</w:t>
            </w:r>
          </w:p>
        </w:tc>
      </w:tr>
    </w:tbl>
    <w:p>
      <w:pPr>
        <w:spacing w:line="580" w:lineRule="exact"/>
        <w:ind w:firstLine="640" w:firstLineChars="200"/>
        <w:rPr>
          <w:rFonts w:hint="default" w:ascii="Times New Roman" w:hAnsi="Times New Roman" w:cs="Times New Roman" w:eastAsiaTheme="minorEastAsia"/>
          <w:color w:val="auto"/>
          <w:sz w:val="32"/>
          <w:szCs w:val="32"/>
        </w:rPr>
      </w:pPr>
      <w:r>
        <w:rPr>
          <w:rFonts w:hint="eastAsia" w:ascii="Times New Roman" w:hAnsi="Times New Roman" w:cs="Times New Roman" w:eastAsiaTheme="minorEastAsia"/>
          <w:color w:val="auto"/>
          <w:sz w:val="32"/>
          <w:szCs w:val="32"/>
          <w:lang w:eastAsia="zh-CN"/>
        </w:rPr>
        <w:t>我镇</w:t>
      </w:r>
      <w:r>
        <w:rPr>
          <w:rFonts w:hint="default" w:ascii="Times New Roman" w:hAnsi="Times New Roman" w:cs="Times New Roman" w:eastAsiaTheme="minorEastAsia"/>
          <w:color w:val="auto"/>
          <w:sz w:val="32"/>
          <w:szCs w:val="32"/>
        </w:rPr>
        <w:t>按要求对2</w:t>
      </w:r>
      <w:r>
        <w:rPr>
          <w:rFonts w:hint="default" w:ascii="Times New Roman" w:hAnsi="Times New Roman" w:cs="Times New Roman" w:eastAsiaTheme="minorEastAsia"/>
          <w:color w:val="auto"/>
          <w:sz w:val="32"/>
          <w:szCs w:val="32"/>
          <w:lang w:val="en-US" w:eastAsia="zh-CN"/>
        </w:rPr>
        <w:t>021</w:t>
      </w:r>
      <w:r>
        <w:rPr>
          <w:rFonts w:hint="default" w:ascii="Times New Roman" w:hAnsi="Times New Roman" w:cs="Times New Roman" w:eastAsiaTheme="minorEastAsia"/>
          <w:color w:val="auto"/>
          <w:sz w:val="32"/>
          <w:szCs w:val="32"/>
        </w:rPr>
        <w:t>年部门整体支出开展绩效自评，从评价情况来看，</w:t>
      </w:r>
      <w:r>
        <w:rPr>
          <w:rFonts w:hint="default" w:ascii="Times New Roman" w:hAnsi="Times New Roman" w:cs="Times New Roman" w:eastAsiaTheme="minorEastAsia"/>
          <w:color w:val="auto"/>
          <w:sz w:val="32"/>
          <w:szCs w:val="32"/>
          <w:lang w:eastAsia="zh-CN"/>
        </w:rPr>
        <w:t>大成</w:t>
      </w:r>
      <w:r>
        <w:rPr>
          <w:rFonts w:hint="default" w:ascii="Times New Roman" w:hAnsi="Times New Roman" w:cs="Times New Roman" w:eastAsiaTheme="minorEastAsia"/>
          <w:color w:val="auto"/>
          <w:sz w:val="32"/>
          <w:szCs w:val="32"/>
        </w:rPr>
        <w:t>镇</w:t>
      </w:r>
      <w:r>
        <w:rPr>
          <w:rFonts w:hint="eastAsia" w:ascii="Times New Roman" w:hAnsi="Times New Roman" w:cs="Times New Roman" w:eastAsiaTheme="minorEastAsia"/>
          <w:color w:val="auto"/>
          <w:sz w:val="32"/>
          <w:szCs w:val="32"/>
          <w:lang w:eastAsia="zh-CN"/>
        </w:rPr>
        <w:t>严格</w:t>
      </w:r>
      <w:r>
        <w:rPr>
          <w:rFonts w:hint="default" w:ascii="Times New Roman" w:hAnsi="Times New Roman" w:cs="Times New Roman" w:eastAsiaTheme="minorEastAsia"/>
          <w:color w:val="auto"/>
          <w:sz w:val="32"/>
          <w:szCs w:val="32"/>
        </w:rPr>
        <w:t>按照《预算法》按时完成预决算编制。在执行过程中有计划进行资金申报使用，完善资金管理及内部控制制度，确保资金安全，做到帐款、帐帐、帐实相符。为全镇经济和社会事业发展提供资金保障。</w:t>
      </w:r>
    </w:p>
    <w:p>
      <w:pPr>
        <w:autoSpaceDE w:val="0"/>
        <w:autoSpaceDN w:val="0"/>
        <w:adjustRightInd w:val="0"/>
        <w:spacing w:line="600" w:lineRule="exact"/>
        <w:jc w:val="both"/>
        <w:rPr>
          <w:rFonts w:hint="default" w:ascii="Times New Roman" w:hAnsi="Times New Roman" w:cs="Times New Roman" w:eastAsiaTheme="minorEastAsia"/>
          <w:b/>
          <w:bCs w:val="0"/>
          <w:color w:val="auto"/>
          <w:sz w:val="32"/>
          <w:szCs w:val="32"/>
          <w:highlight w:val="none"/>
        </w:rPr>
      </w:pPr>
    </w:p>
    <w:p>
      <w:pPr>
        <w:pStyle w:val="2"/>
        <w:rPr>
          <w:rFonts w:hint="default" w:ascii="Times New Roman" w:hAnsi="Times New Roman" w:cs="Times New Roman" w:eastAsiaTheme="minorEastAsia"/>
          <w:color w:val="auto"/>
          <w:highlight w:val="yellow"/>
        </w:rPr>
      </w:pPr>
    </w:p>
    <w:p>
      <w:pPr>
        <w:widowControl/>
        <w:jc w:val="left"/>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br w:type="page"/>
      </w:r>
    </w:p>
    <w:p>
      <w:pPr>
        <w:numPr>
          <w:ilvl w:val="0"/>
          <w:numId w:val="3"/>
        </w:numPr>
        <w:spacing w:line="600" w:lineRule="exact"/>
        <w:ind w:firstLine="660" w:firstLineChars="150"/>
        <w:jc w:val="center"/>
        <w:outlineLvl w:val="0"/>
        <w:rPr>
          <w:rStyle w:val="26"/>
          <w:rFonts w:hint="default" w:ascii="Times New Roman" w:hAnsi="Times New Roman" w:cs="Times New Roman" w:eastAsiaTheme="minorEastAsia"/>
          <w:b w:val="0"/>
          <w:color w:val="auto"/>
          <w:highlight w:val="none"/>
        </w:rPr>
      </w:pPr>
      <w:bookmarkStart w:id="51" w:name="_Toc15396613"/>
      <w:bookmarkStart w:id="52" w:name="_Toc15377225"/>
      <w:r>
        <w:rPr>
          <w:rFonts w:hint="default" w:ascii="Times New Roman" w:hAnsi="Times New Roman" w:cs="Times New Roman" w:eastAsiaTheme="minorEastAsia"/>
          <w:color w:val="auto"/>
          <w:sz w:val="44"/>
          <w:szCs w:val="44"/>
          <w:highlight w:val="none"/>
        </w:rPr>
        <w:t>名</w:t>
      </w:r>
      <w:r>
        <w:rPr>
          <w:rStyle w:val="26"/>
          <w:rFonts w:hint="default" w:ascii="Times New Roman" w:hAnsi="Times New Roman" w:cs="Times New Roman" w:eastAsiaTheme="minorEastAsia"/>
          <w:b w:val="0"/>
          <w:color w:val="auto"/>
          <w:highlight w:val="none"/>
        </w:rPr>
        <w:t>词解释</w:t>
      </w:r>
      <w:bookmarkEnd w:id="51"/>
      <w:bookmarkEnd w:id="52"/>
    </w:p>
    <w:p>
      <w:pPr>
        <w:spacing w:line="600" w:lineRule="exact"/>
        <w:jc w:val="left"/>
        <w:rPr>
          <w:rFonts w:hint="default" w:ascii="Times New Roman" w:hAnsi="Times New Roman" w:cs="Times New Roman" w:eastAsiaTheme="minorEastAsia"/>
          <w:b/>
          <w:color w:val="auto"/>
          <w:sz w:val="44"/>
          <w:szCs w:val="44"/>
          <w:highlight w:val="none"/>
        </w:rPr>
      </w:pPr>
    </w:p>
    <w:p>
      <w:pPr>
        <w:pStyle w:val="24"/>
        <w:spacing w:line="56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1.财政拨款收入：指单位从同级财政部门取得的财政预算资金。</w:t>
      </w:r>
    </w:p>
    <w:p>
      <w:pPr>
        <w:pStyle w:val="24"/>
        <w:spacing w:line="56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2.事业收入：指事业单位开展专业业务活动及辅助活动取得的收入。如…（二级预算单位事业收入情况）等。</w:t>
      </w:r>
    </w:p>
    <w:p>
      <w:pPr>
        <w:pStyle w:val="24"/>
        <w:spacing w:line="56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3.经营收入：指事业单位在专业业务活动及其辅助活动之外开展非独立核算经营活动取得的收入。如…（二级预算单位经营收入情况）等。</w:t>
      </w:r>
    </w:p>
    <w:p>
      <w:pPr>
        <w:pStyle w:val="24"/>
        <w:spacing w:line="56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 xml:space="preserve">4.其他收入：指单位取得的除上述收入以外的各项收入。主要是…（收入类型）等。 </w:t>
      </w:r>
    </w:p>
    <w:p>
      <w:pPr>
        <w:pStyle w:val="24"/>
        <w:spacing w:line="56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5.</w:t>
      </w:r>
      <w:r>
        <w:rPr>
          <w:rFonts w:hint="default" w:ascii="Times New Roman" w:hAnsi="Times New Roman" w:cs="Times New Roman" w:eastAsiaTheme="minorEastAsia"/>
          <w:color w:val="auto"/>
          <w:sz w:val="32"/>
          <w:szCs w:val="32"/>
          <w:highlight w:val="none"/>
          <w:lang w:eastAsia="zh-CN"/>
        </w:rPr>
        <w:t>使用非财政拨款结余</w:t>
      </w:r>
      <w:r>
        <w:rPr>
          <w:rFonts w:hint="default" w:ascii="Times New Roman" w:hAnsi="Times New Roman" w:cs="Times New Roman" w:eastAsiaTheme="minorEastAsia"/>
          <w:color w:val="auto"/>
          <w:sz w:val="32"/>
          <w:szCs w:val="32"/>
          <w:highlight w:val="none"/>
        </w:rPr>
        <w:t>：指事业单位</w:t>
      </w:r>
      <w:r>
        <w:rPr>
          <w:rFonts w:hint="default" w:ascii="Times New Roman" w:hAnsi="Times New Roman" w:cs="Times New Roman" w:eastAsiaTheme="minorEastAsia"/>
          <w:color w:val="auto"/>
          <w:sz w:val="32"/>
          <w:szCs w:val="32"/>
          <w:highlight w:val="none"/>
          <w:lang w:eastAsia="zh-CN"/>
        </w:rPr>
        <w:t>使用以前年度积累的非财政拨款结余弥补当年收支差额的金额。</w:t>
      </w:r>
      <w:r>
        <w:rPr>
          <w:rFonts w:hint="default" w:ascii="Times New Roman" w:hAnsi="Times New Roman" w:cs="Times New Roman" w:eastAsiaTheme="minorEastAsia"/>
          <w:color w:val="auto"/>
          <w:sz w:val="32"/>
          <w:szCs w:val="32"/>
          <w:highlight w:val="none"/>
        </w:rPr>
        <w:t xml:space="preserve"> </w:t>
      </w:r>
    </w:p>
    <w:p>
      <w:pPr>
        <w:pStyle w:val="24"/>
        <w:spacing w:line="56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 xml:space="preserve">6.年初结转和结余：指以前年度尚未完成、结转到本年按有关规定继续使用的资金。 </w:t>
      </w:r>
    </w:p>
    <w:p>
      <w:pPr>
        <w:pStyle w:val="24"/>
        <w:spacing w:line="56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7.结余分配：指事业单位按照会计制度规定</w:t>
      </w:r>
      <w:r>
        <w:rPr>
          <w:rFonts w:hint="default" w:ascii="Times New Roman" w:hAnsi="Times New Roman" w:cs="Times New Roman" w:eastAsiaTheme="minorEastAsia"/>
          <w:color w:val="auto"/>
          <w:sz w:val="32"/>
          <w:szCs w:val="32"/>
          <w:highlight w:val="none"/>
          <w:lang w:eastAsia="zh-CN"/>
        </w:rPr>
        <w:t>缴纳的所得税、提取的专用结余以及转入非财政拨款结余的金额</w:t>
      </w:r>
      <w:r>
        <w:rPr>
          <w:rFonts w:hint="default" w:ascii="Times New Roman" w:hAnsi="Times New Roman" w:cs="Times New Roman" w:eastAsiaTheme="minorEastAsia"/>
          <w:color w:val="auto"/>
          <w:sz w:val="32"/>
          <w:szCs w:val="32"/>
          <w:highlight w:val="none"/>
        </w:rPr>
        <w:t>等。</w:t>
      </w:r>
    </w:p>
    <w:p>
      <w:pPr>
        <w:pStyle w:val="24"/>
        <w:spacing w:line="56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8、年末结转和结余：指单位按有关规定结转到下年或以后年度继续使用的资金。</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9.一般公共服务（类）…（款）…（项）：指……。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10.外交（类）…（款）…（项）：指……。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11.公共安全（类）…（款）…（项）：指……。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12.教育（类）…（款）…（项）：指……。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13.科学技术（类）…（款）…（项）：指……。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14.文化体育与传媒（类）…（款）…（项）：指……。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15.社会保障和就业（类）…（款）…（项）：指……。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16.医疗卫生与计划生育（类）…（款）…（项）：指……。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17.节能环保（类）…（款）…（项）：指……。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18.城乡社区（类）…（款）…（项）：指……。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19.农林水（类）…（款）…（项）：指……。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20.交通运输（类）…（款）…（项）：指……。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21.资源勘探信息等（类）…（款）…（项）：指……。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22.商业服务业（类）…（款）…（项）：指……。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23.金融（类）…（款）…（项）：指……。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24.国土海洋气象等（类）…（款）…（项）：指……。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25.住房保障（类）…（款）…（项）：指……。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26.粮油物资储备（类）…（款）…（项）：指……。</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w:t>
      </w:r>
    </w:p>
    <w:p>
      <w:pPr>
        <w:spacing w:line="600" w:lineRule="exact"/>
        <w:ind w:firstLine="64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（解释本</w:t>
      </w:r>
      <w:r>
        <w:rPr>
          <w:rFonts w:hint="default" w:ascii="Times New Roman" w:hAnsi="Times New Roman" w:cs="Times New Roman" w:eastAsiaTheme="minorEastAsia"/>
          <w:b/>
          <w:color w:val="auto"/>
          <w:sz w:val="32"/>
          <w:szCs w:val="32"/>
          <w:highlight w:val="none"/>
          <w:lang w:eastAsia="zh-CN"/>
        </w:rPr>
        <w:t>单位</w:t>
      </w:r>
      <w:r>
        <w:rPr>
          <w:rFonts w:hint="default" w:ascii="Times New Roman" w:hAnsi="Times New Roman" w:cs="Times New Roman" w:eastAsiaTheme="minorEastAsia"/>
          <w:b/>
          <w:color w:val="auto"/>
          <w:sz w:val="32"/>
          <w:szCs w:val="32"/>
          <w:highlight w:val="none"/>
        </w:rPr>
        <w:t>决算报表中</w:t>
      </w:r>
      <w:r>
        <w:rPr>
          <w:rFonts w:hint="default" w:ascii="Times New Roman" w:hAnsi="Times New Roman" w:cs="Times New Roman" w:eastAsiaTheme="minorEastAsia"/>
          <w:b/>
          <w:color w:val="auto"/>
          <w:sz w:val="32"/>
          <w:szCs w:val="32"/>
          <w:highlight w:val="none"/>
          <w:lang w:eastAsia="zh-CN"/>
        </w:rPr>
        <w:t>涉及的</w:t>
      </w:r>
      <w:r>
        <w:rPr>
          <w:rFonts w:hint="default" w:ascii="Times New Roman" w:hAnsi="Times New Roman" w:cs="Times New Roman" w:eastAsiaTheme="minorEastAsia"/>
          <w:b/>
          <w:color w:val="auto"/>
          <w:sz w:val="32"/>
          <w:szCs w:val="32"/>
          <w:highlight w:val="none"/>
        </w:rPr>
        <w:t>全部功能分类科目至项级，</w:t>
      </w:r>
      <w:r>
        <w:rPr>
          <w:rFonts w:hint="default" w:ascii="Times New Roman" w:hAnsi="Times New Roman" w:cs="Times New Roman" w:eastAsiaTheme="minorEastAsia"/>
          <w:b/>
          <w:color w:val="auto"/>
          <w:sz w:val="32"/>
          <w:szCs w:val="32"/>
          <w:highlight w:val="none"/>
          <w:lang w:eastAsia="zh-CN"/>
        </w:rPr>
        <w:t>不涉及的科目请自行删除。</w:t>
      </w:r>
      <w:r>
        <w:rPr>
          <w:rFonts w:hint="default" w:ascii="Times New Roman" w:hAnsi="Times New Roman" w:cs="Times New Roman" w:eastAsiaTheme="minorEastAsia"/>
          <w:b/>
          <w:color w:val="auto"/>
          <w:sz w:val="32"/>
          <w:szCs w:val="32"/>
          <w:highlight w:val="none"/>
        </w:rPr>
        <w:t>请参照《20</w:t>
      </w:r>
      <w:r>
        <w:rPr>
          <w:rFonts w:hint="default" w:ascii="Times New Roman" w:hAnsi="Times New Roman" w:cs="Times New Roman" w:eastAsiaTheme="minorEastAsia"/>
          <w:b/>
          <w:color w:val="auto"/>
          <w:sz w:val="32"/>
          <w:szCs w:val="32"/>
          <w:highlight w:val="none"/>
          <w:lang w:val="en-US" w:eastAsia="zh-CN"/>
        </w:rPr>
        <w:t>21</w:t>
      </w:r>
      <w:r>
        <w:rPr>
          <w:rFonts w:hint="default" w:ascii="Times New Roman" w:hAnsi="Times New Roman" w:cs="Times New Roman" w:eastAsiaTheme="minorEastAsia"/>
          <w:b/>
          <w:color w:val="auto"/>
          <w:sz w:val="32"/>
          <w:szCs w:val="32"/>
          <w:highlight w:val="none"/>
        </w:rPr>
        <w:t>年政府收支分类科目》增减内容。）</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27.基本支出：指为保障机构正常运转、完成日常工作任务而发生的人员支出和公用支出。</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 xml:space="preserve">28.项目支出：指在基本支出之外为完成特定行政任务和事业发展目标所发生的支出。 </w:t>
      </w:r>
    </w:p>
    <w:p>
      <w:pPr>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29.经营支出：指事业单位在专业业务活动及其辅助活动之外开展非独立核算经营活动发生的支出。</w:t>
      </w:r>
    </w:p>
    <w:p>
      <w:pPr>
        <w:pStyle w:val="24"/>
        <w:spacing w:line="56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30.“三公”经费：指</w:t>
      </w:r>
      <w:r>
        <w:rPr>
          <w:rFonts w:hint="default" w:ascii="Times New Roman" w:hAnsi="Times New Roman" w:cs="Times New Roman" w:eastAsiaTheme="minorEastAsia"/>
          <w:color w:val="auto"/>
          <w:sz w:val="32"/>
          <w:szCs w:val="32"/>
          <w:highlight w:val="none"/>
          <w:lang w:eastAsia="zh-CN"/>
        </w:rPr>
        <w:t>单位</w:t>
      </w:r>
      <w:r>
        <w:rPr>
          <w:rFonts w:hint="default" w:ascii="Times New Roman" w:hAnsi="Times New Roman" w:cs="Times New Roman" w:eastAsiaTheme="minorEastAsia"/>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4"/>
        <w:spacing w:line="560" w:lineRule="exact"/>
        <w:ind w:firstLine="640" w:firstLineChars="20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32.……。</w:t>
      </w:r>
    </w:p>
    <w:p>
      <w:pPr>
        <w:pStyle w:val="24"/>
        <w:spacing w:line="560" w:lineRule="exact"/>
        <w:ind w:firstLine="640" w:firstLineChars="200"/>
        <w:rPr>
          <w:rFonts w:hint="default" w:ascii="Times New Roman" w:hAnsi="Times New Roman" w:cs="Times New Roman" w:eastAsiaTheme="minorEastAsia"/>
          <w:color w:val="auto"/>
          <w:sz w:val="32"/>
          <w:szCs w:val="32"/>
          <w:highlight w:val="none"/>
        </w:rPr>
      </w:pPr>
    </w:p>
    <w:p>
      <w:pPr>
        <w:ind w:firstLine="643" w:firstLineChars="200"/>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（名词解释部分请根据各</w:t>
      </w:r>
      <w:r>
        <w:rPr>
          <w:rFonts w:hint="default" w:ascii="Times New Roman" w:hAnsi="Times New Roman" w:cs="Times New Roman" w:eastAsiaTheme="minorEastAsia"/>
          <w:b/>
          <w:color w:val="auto"/>
          <w:sz w:val="32"/>
          <w:szCs w:val="32"/>
          <w:highlight w:val="none"/>
          <w:lang w:eastAsia="zh-CN"/>
        </w:rPr>
        <w:t>单位</w:t>
      </w:r>
      <w:r>
        <w:rPr>
          <w:rFonts w:hint="default" w:ascii="Times New Roman" w:hAnsi="Times New Roman" w:cs="Times New Roman" w:eastAsiaTheme="minorEastAsia"/>
          <w:b/>
          <w:color w:val="auto"/>
          <w:sz w:val="32"/>
          <w:szCs w:val="32"/>
          <w:highlight w:val="none"/>
        </w:rPr>
        <w:t>实际列支情况罗列，并根据本</w:t>
      </w:r>
      <w:r>
        <w:rPr>
          <w:rFonts w:hint="default" w:ascii="Times New Roman" w:hAnsi="Times New Roman" w:cs="Times New Roman" w:eastAsiaTheme="minorEastAsia"/>
          <w:b/>
          <w:color w:val="auto"/>
          <w:sz w:val="32"/>
          <w:szCs w:val="32"/>
          <w:highlight w:val="none"/>
          <w:lang w:eastAsia="zh-CN"/>
        </w:rPr>
        <w:t>单位</w:t>
      </w:r>
      <w:r>
        <w:rPr>
          <w:rFonts w:hint="default" w:ascii="Times New Roman" w:hAnsi="Times New Roman" w:cs="Times New Roman" w:eastAsiaTheme="minorEastAsia"/>
          <w:b/>
          <w:color w:val="auto"/>
          <w:sz w:val="32"/>
          <w:szCs w:val="32"/>
          <w:highlight w:val="none"/>
        </w:rPr>
        <w:t>职责职能增减名词解释内容。）</w:t>
      </w:r>
    </w:p>
    <w:p>
      <w:pPr>
        <w:spacing w:line="600" w:lineRule="exact"/>
        <w:jc w:val="center"/>
        <w:outlineLvl w:val="0"/>
        <w:rPr>
          <w:rStyle w:val="26"/>
          <w:rFonts w:hint="default" w:ascii="Times New Roman" w:hAnsi="Times New Roman" w:cs="Times New Roman" w:eastAsiaTheme="minorEastAsia"/>
          <w:b w:val="0"/>
          <w:color w:val="auto"/>
          <w:highlight w:val="none"/>
        </w:rPr>
      </w:pPr>
      <w:bookmarkStart w:id="53" w:name="_Toc15377226"/>
      <w:r>
        <w:rPr>
          <w:rFonts w:hint="default" w:ascii="Times New Roman" w:hAnsi="Times New Roman" w:cs="Times New Roman" w:eastAsiaTheme="minorEastAsia"/>
          <w:b/>
          <w:color w:val="auto"/>
          <w:sz w:val="44"/>
          <w:szCs w:val="44"/>
          <w:highlight w:val="none"/>
        </w:rPr>
        <w:br w:type="page"/>
      </w:r>
      <w:bookmarkStart w:id="54" w:name="_Toc15396614"/>
      <w:r>
        <w:rPr>
          <w:rFonts w:hint="default" w:ascii="Times New Roman" w:hAnsi="Times New Roman" w:cs="Times New Roman" w:eastAsiaTheme="minorEastAsia"/>
          <w:color w:val="auto"/>
          <w:sz w:val="44"/>
          <w:szCs w:val="44"/>
          <w:highlight w:val="none"/>
        </w:rPr>
        <w:t>第</w:t>
      </w:r>
      <w:r>
        <w:rPr>
          <w:rStyle w:val="26"/>
          <w:rFonts w:hint="default" w:ascii="Times New Roman" w:hAnsi="Times New Roman" w:cs="Times New Roman" w:eastAsiaTheme="minorEastAsia"/>
          <w:b w:val="0"/>
          <w:color w:val="auto"/>
          <w:highlight w:val="none"/>
        </w:rPr>
        <w:t>四部分 附件</w:t>
      </w:r>
      <w:bookmarkEnd w:id="54"/>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color w:val="auto"/>
          <w:sz w:val="32"/>
          <w:szCs w:val="32"/>
          <w:highlight w:val="none"/>
        </w:rPr>
        <w:t>附件</w:t>
      </w:r>
    </w:p>
    <w:tbl>
      <w:tblPr>
        <w:tblStyle w:val="17"/>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default" w:ascii="Times New Roman" w:hAnsi="Times New Roman" w:cs="Times New Roman" w:eastAsiaTheme="minorEastAsia"/>
                <w:b/>
                <w:i w:val="0"/>
                <w:color w:val="auto"/>
                <w:sz w:val="32"/>
                <w:szCs w:val="32"/>
                <w:u w:val="none"/>
              </w:rPr>
            </w:pPr>
            <w:bookmarkStart w:id="55" w:name="_Toc15396618"/>
            <w:r>
              <w:rPr>
                <w:rFonts w:hint="default" w:ascii="Times New Roman" w:hAnsi="Times New Roman" w:cs="Times New Roman" w:eastAsiaTheme="minorEastAsia"/>
                <w:b/>
                <w:i w:val="0"/>
                <w:color w:val="auto"/>
                <w:sz w:val="32"/>
                <w:szCs w:val="32"/>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cs="Times New Roman" w:eastAsiaTheme="minorEastAsia"/>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eastAsiaTheme="minorEastAsia"/>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default" w:ascii="Times New Roman" w:hAnsi="Times New Roman" w:cs="Times New Roman" w:eastAsiaTheme="minorEastAsia"/>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eastAsiaTheme="minorEastAsia"/>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cs="Times New Roman" w:eastAsiaTheme="minorEastAsia"/>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eastAsiaTheme="minorEastAsia"/>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kern w:val="0"/>
                <w:sz w:val="24"/>
                <w:szCs w:val="24"/>
                <w:u w:val="none"/>
                <w:lang w:val="en-US" w:eastAsia="zh-CN" w:bidi="ar"/>
              </w:rPr>
            </w:pPr>
            <w:r>
              <w:rPr>
                <w:rFonts w:hint="default" w:ascii="Times New Roman" w:hAnsi="Times New Roman" w:cs="Times New Roman" w:eastAsiaTheme="minorEastAsia"/>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sz w:val="24"/>
                <w:szCs w:val="24"/>
                <w:u w:val="none"/>
              </w:rPr>
            </w:pPr>
            <w:r>
              <w:rPr>
                <w:rFonts w:hint="default" w:ascii="Times New Roman" w:hAnsi="Times New Roman" w:cs="Times New Roman" w:eastAsiaTheme="minorEastAsia"/>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cs="Times New Roman" w:eastAsiaTheme="minorEastAsia"/>
                <w:i w:val="0"/>
                <w:color w:val="auto"/>
                <w:sz w:val="24"/>
                <w:szCs w:val="24"/>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cs="Times New Roman" w:eastAsiaTheme="minorEastAsia"/>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kern w:val="0"/>
                <w:sz w:val="28"/>
                <w:szCs w:val="28"/>
                <w:u w:val="none"/>
                <w:lang w:val="en-US" w:eastAsia="zh-CN" w:bidi="ar"/>
              </w:rPr>
            </w:pPr>
            <w:r>
              <w:rPr>
                <w:rFonts w:hint="default" w:ascii="Times New Roman" w:hAnsi="Times New Roman" w:cs="Times New Roman" w:eastAsiaTheme="minorEastAsia"/>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kern w:val="0"/>
                <w:sz w:val="28"/>
                <w:szCs w:val="28"/>
                <w:u w:val="none"/>
                <w:lang w:val="en-US" w:eastAsia="zh-CN" w:bidi="ar"/>
              </w:rPr>
            </w:pPr>
            <w:r>
              <w:rPr>
                <w:rFonts w:hint="default" w:ascii="Times New Roman" w:hAnsi="Times New Roman" w:cs="Times New Roman" w:eastAsiaTheme="minorEastAsia"/>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kern w:val="0"/>
                <w:sz w:val="28"/>
                <w:szCs w:val="28"/>
                <w:u w:val="none"/>
                <w:lang w:val="en-US" w:eastAsia="zh-CN" w:bidi="ar"/>
              </w:rPr>
            </w:pPr>
            <w:r>
              <w:rPr>
                <w:rFonts w:hint="default" w:ascii="Times New Roman" w:hAnsi="Times New Roman" w:cs="Times New Roman" w:eastAsiaTheme="minorEastAsia"/>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kern w:val="0"/>
                <w:sz w:val="28"/>
                <w:szCs w:val="28"/>
                <w:u w:val="none"/>
                <w:lang w:val="en-US" w:eastAsia="zh-CN" w:bidi="ar"/>
              </w:rPr>
            </w:pPr>
            <w:r>
              <w:rPr>
                <w:rFonts w:hint="default" w:ascii="Times New Roman" w:hAnsi="Times New Roman" w:cs="Times New Roman" w:eastAsiaTheme="minorEastAsia"/>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kern w:val="0"/>
                <w:sz w:val="28"/>
                <w:szCs w:val="28"/>
                <w:u w:val="none"/>
                <w:lang w:val="en-US" w:eastAsia="zh-CN" w:bidi="ar"/>
              </w:rPr>
            </w:pPr>
            <w:r>
              <w:rPr>
                <w:rFonts w:hint="default" w:ascii="Times New Roman" w:hAnsi="Times New Roman" w:cs="Times New Roman" w:eastAsiaTheme="minorEastAsia"/>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eastAsiaTheme="minorEastAsia"/>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kern w:val="0"/>
                <w:sz w:val="28"/>
                <w:szCs w:val="28"/>
                <w:u w:val="none"/>
                <w:lang w:val="en-US" w:eastAsia="zh-CN" w:bidi="ar"/>
              </w:rPr>
            </w:pPr>
            <w:r>
              <w:rPr>
                <w:rFonts w:hint="default" w:ascii="Times New Roman" w:hAnsi="Times New Roman" w:cs="Times New Roman" w:eastAsiaTheme="minorEastAsia"/>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kern w:val="0"/>
                <w:sz w:val="28"/>
                <w:szCs w:val="28"/>
                <w:u w:val="none"/>
                <w:lang w:val="en-US" w:eastAsia="zh-CN" w:bidi="ar"/>
              </w:rPr>
            </w:pPr>
            <w:r>
              <w:rPr>
                <w:rFonts w:hint="default" w:ascii="Times New Roman" w:hAnsi="Times New Roman" w:cs="Times New Roman" w:eastAsiaTheme="minorEastAsia"/>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r>
              <w:rPr>
                <w:rFonts w:hint="default" w:ascii="Times New Roman" w:hAnsi="Times New Roman" w:cs="Times New Roman" w:eastAsiaTheme="minorEastAsia"/>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cs="Times New Roman" w:eastAsiaTheme="minorEastAsia"/>
                <w:i w:val="0"/>
                <w:color w:val="auto"/>
                <w:sz w:val="28"/>
                <w:szCs w:val="28"/>
                <w:u w:val="none"/>
              </w:rPr>
            </w:pPr>
          </w:p>
        </w:tc>
      </w:tr>
    </w:tbl>
    <w:p>
      <w:pPr>
        <w:spacing w:line="600" w:lineRule="exact"/>
        <w:jc w:val="center"/>
        <w:outlineLvl w:val="0"/>
        <w:rPr>
          <w:rFonts w:hint="default" w:ascii="Times New Roman" w:hAnsi="Times New Roman" w:cs="Times New Roman" w:eastAsiaTheme="minorEastAsia"/>
          <w:color w:val="auto"/>
          <w:sz w:val="44"/>
          <w:szCs w:val="44"/>
          <w:highlight w:val="none"/>
        </w:rPr>
      </w:pPr>
    </w:p>
    <w:p>
      <w:pPr>
        <w:widowControl/>
        <w:adjustRightInd w:val="0"/>
        <w:snapToGrid w:val="0"/>
        <w:spacing w:line="580" w:lineRule="exact"/>
        <w:contextualSpacing/>
        <w:jc w:val="left"/>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kern w:val="0"/>
          <w:sz w:val="32"/>
          <w:szCs w:val="32"/>
          <w:shd w:val="clear" w:color="auto" w:fill="FFFFFF"/>
          <w:lang w:val="en-US" w:eastAsia="zh-CN"/>
        </w:rPr>
        <w:t>（注：有两个及以上100万元以上（含）特定目标类部门预算项目的，需分别开展绩效目标自评并填写附表）</w:t>
      </w:r>
    </w:p>
    <w:p>
      <w:pPr>
        <w:spacing w:line="600" w:lineRule="exact"/>
        <w:jc w:val="center"/>
        <w:outlineLvl w:val="0"/>
        <w:rPr>
          <w:rFonts w:hint="default" w:ascii="Times New Roman" w:hAnsi="Times New Roman" w:cs="Times New Roman" w:eastAsiaTheme="minorEastAsia"/>
          <w:color w:val="auto"/>
          <w:sz w:val="44"/>
          <w:szCs w:val="44"/>
          <w:highlight w:val="none"/>
        </w:rPr>
      </w:pPr>
    </w:p>
    <w:p>
      <w:pPr>
        <w:spacing w:line="600" w:lineRule="exact"/>
        <w:jc w:val="center"/>
        <w:outlineLvl w:val="0"/>
        <w:rPr>
          <w:rFonts w:hint="default" w:ascii="Times New Roman" w:hAnsi="Times New Roman" w:cs="Times New Roman" w:eastAsiaTheme="minorEastAsia"/>
          <w:color w:val="auto"/>
          <w:sz w:val="44"/>
          <w:szCs w:val="44"/>
          <w:highlight w:val="none"/>
        </w:rPr>
      </w:pPr>
    </w:p>
    <w:p>
      <w:pPr>
        <w:spacing w:line="600" w:lineRule="exact"/>
        <w:jc w:val="center"/>
        <w:outlineLvl w:val="0"/>
        <w:rPr>
          <w:rFonts w:hint="default" w:ascii="Times New Roman" w:hAnsi="Times New Roman" w:cs="Times New Roman" w:eastAsiaTheme="minorEastAsia"/>
          <w:b w:val="0"/>
          <w:color w:val="auto"/>
          <w:highlight w:val="none"/>
        </w:rPr>
      </w:pPr>
      <w:r>
        <w:rPr>
          <w:rFonts w:hint="default" w:ascii="Times New Roman" w:hAnsi="Times New Roman" w:cs="Times New Roman" w:eastAsiaTheme="minorEastAsia"/>
          <w:color w:val="auto"/>
          <w:sz w:val="44"/>
          <w:szCs w:val="44"/>
          <w:highlight w:val="none"/>
        </w:rPr>
        <w:t>第</w:t>
      </w:r>
      <w:r>
        <w:rPr>
          <w:rStyle w:val="26"/>
          <w:rFonts w:hint="default" w:ascii="Times New Roman" w:hAnsi="Times New Roman" w:cs="Times New Roman" w:eastAsiaTheme="minorEastAsia"/>
          <w:b w:val="0"/>
          <w:color w:val="auto"/>
          <w:highlight w:val="none"/>
        </w:rPr>
        <w:t>五部分 附表</w:t>
      </w:r>
      <w:bookmarkEnd w:id="53"/>
      <w:bookmarkEnd w:id="55"/>
      <w:bookmarkStart w:id="56" w:name="_Toc15396619"/>
    </w:p>
    <w:p>
      <w:pPr>
        <w:pStyle w:val="4"/>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b w:val="0"/>
          <w:color w:val="auto"/>
          <w:highlight w:val="none"/>
        </w:rPr>
        <w:t>一、收</w:t>
      </w:r>
      <w:r>
        <w:rPr>
          <w:rStyle w:val="27"/>
          <w:rFonts w:hint="default" w:ascii="Times New Roman" w:hAnsi="Times New Roman" w:cs="Times New Roman" w:eastAsiaTheme="minorEastAsia"/>
          <w:b w:val="0"/>
          <w:bCs w:val="0"/>
          <w:color w:val="auto"/>
          <w:highlight w:val="none"/>
        </w:rPr>
        <w:t>入支出决算总表</w:t>
      </w:r>
      <w:bookmarkEnd w:id="56"/>
    </w:p>
    <w:p>
      <w:pPr>
        <w:pStyle w:val="4"/>
        <w:rPr>
          <w:rFonts w:hint="default" w:ascii="Times New Roman" w:hAnsi="Times New Roman" w:cs="Times New Roman" w:eastAsiaTheme="minorEastAsia"/>
          <w:color w:val="auto"/>
          <w:highlight w:val="none"/>
        </w:rPr>
      </w:pPr>
      <w:bookmarkStart w:id="57" w:name="_Toc15396620"/>
      <w:r>
        <w:rPr>
          <w:rFonts w:hint="default" w:ascii="Times New Roman" w:hAnsi="Times New Roman" w:cs="Times New Roman" w:eastAsiaTheme="minorEastAsia"/>
          <w:b w:val="0"/>
          <w:color w:val="auto"/>
          <w:highlight w:val="none"/>
        </w:rPr>
        <w:t>二、收</w:t>
      </w:r>
      <w:r>
        <w:rPr>
          <w:rStyle w:val="27"/>
          <w:rFonts w:hint="default" w:ascii="Times New Roman" w:hAnsi="Times New Roman" w:cs="Times New Roman" w:eastAsiaTheme="minorEastAsia"/>
          <w:b w:val="0"/>
          <w:bCs w:val="0"/>
          <w:color w:val="auto"/>
          <w:highlight w:val="none"/>
        </w:rPr>
        <w:t>入决算表</w:t>
      </w:r>
      <w:bookmarkEnd w:id="57"/>
    </w:p>
    <w:p>
      <w:pPr>
        <w:pStyle w:val="4"/>
        <w:rPr>
          <w:rFonts w:hint="default" w:ascii="Times New Roman" w:hAnsi="Times New Roman" w:cs="Times New Roman" w:eastAsiaTheme="minorEastAsia"/>
          <w:color w:val="auto"/>
          <w:highlight w:val="none"/>
        </w:rPr>
      </w:pPr>
      <w:bookmarkStart w:id="58" w:name="_Toc15396621"/>
      <w:r>
        <w:rPr>
          <w:rStyle w:val="27"/>
          <w:rFonts w:hint="default" w:ascii="Times New Roman" w:hAnsi="Times New Roman" w:cs="Times New Roman" w:eastAsiaTheme="minorEastAsia"/>
          <w:b w:val="0"/>
          <w:bCs w:val="0"/>
          <w:color w:val="auto"/>
          <w:highlight w:val="none"/>
        </w:rPr>
        <w:t>三、</w:t>
      </w:r>
      <w:r>
        <w:rPr>
          <w:rFonts w:hint="default" w:ascii="Times New Roman" w:hAnsi="Times New Roman" w:cs="Times New Roman" w:eastAsiaTheme="minorEastAsia"/>
          <w:b w:val="0"/>
          <w:color w:val="auto"/>
          <w:highlight w:val="none"/>
        </w:rPr>
        <w:t>支</w:t>
      </w:r>
      <w:r>
        <w:rPr>
          <w:rStyle w:val="27"/>
          <w:rFonts w:hint="default" w:ascii="Times New Roman" w:hAnsi="Times New Roman" w:cs="Times New Roman" w:eastAsiaTheme="minorEastAsia"/>
          <w:b w:val="0"/>
          <w:bCs w:val="0"/>
          <w:color w:val="auto"/>
          <w:highlight w:val="none"/>
        </w:rPr>
        <w:t>出决算表</w:t>
      </w:r>
      <w:bookmarkEnd w:id="58"/>
    </w:p>
    <w:p>
      <w:pPr>
        <w:pStyle w:val="4"/>
        <w:rPr>
          <w:rFonts w:hint="default" w:ascii="Times New Roman" w:hAnsi="Times New Roman" w:cs="Times New Roman" w:eastAsiaTheme="minorEastAsia"/>
          <w:b w:val="0"/>
          <w:color w:val="auto"/>
          <w:highlight w:val="none"/>
        </w:rPr>
      </w:pPr>
      <w:bookmarkStart w:id="59" w:name="_Toc15396622"/>
      <w:r>
        <w:rPr>
          <w:rStyle w:val="27"/>
          <w:rFonts w:hint="default" w:ascii="Times New Roman" w:hAnsi="Times New Roman" w:cs="Times New Roman" w:eastAsiaTheme="minorEastAsia"/>
          <w:b w:val="0"/>
          <w:bCs w:val="0"/>
          <w:color w:val="auto"/>
          <w:highlight w:val="none"/>
        </w:rPr>
        <w:t>四、</w:t>
      </w:r>
      <w:r>
        <w:rPr>
          <w:rFonts w:hint="default" w:ascii="Times New Roman" w:hAnsi="Times New Roman" w:cs="Times New Roman" w:eastAsiaTheme="minorEastAsia"/>
          <w:b w:val="0"/>
          <w:color w:val="auto"/>
          <w:highlight w:val="none"/>
        </w:rPr>
        <w:t>财</w:t>
      </w:r>
      <w:r>
        <w:rPr>
          <w:rStyle w:val="27"/>
          <w:rFonts w:hint="default" w:ascii="Times New Roman" w:hAnsi="Times New Roman" w:cs="Times New Roman" w:eastAsiaTheme="minorEastAsia"/>
          <w:b w:val="0"/>
          <w:bCs w:val="0"/>
          <w:color w:val="auto"/>
          <w:highlight w:val="none"/>
        </w:rPr>
        <w:t>政拨款收入支出决算总表</w:t>
      </w:r>
      <w:bookmarkEnd w:id="59"/>
    </w:p>
    <w:p>
      <w:pPr>
        <w:pStyle w:val="4"/>
        <w:rPr>
          <w:rStyle w:val="27"/>
          <w:rFonts w:hint="default" w:ascii="Times New Roman" w:hAnsi="Times New Roman" w:cs="Times New Roman" w:eastAsiaTheme="minorEastAsia"/>
          <w:b w:val="0"/>
          <w:bCs w:val="0"/>
          <w:color w:val="auto"/>
          <w:highlight w:val="none"/>
        </w:rPr>
      </w:pPr>
      <w:bookmarkStart w:id="60" w:name="_Toc15396623"/>
      <w:r>
        <w:rPr>
          <w:rStyle w:val="27"/>
          <w:rFonts w:hint="default" w:ascii="Times New Roman" w:hAnsi="Times New Roman" w:cs="Times New Roman" w:eastAsiaTheme="minorEastAsia"/>
          <w:b w:val="0"/>
          <w:bCs w:val="0"/>
          <w:color w:val="auto"/>
          <w:highlight w:val="none"/>
        </w:rPr>
        <w:t>五、</w:t>
      </w:r>
      <w:r>
        <w:rPr>
          <w:rFonts w:hint="default" w:ascii="Times New Roman" w:hAnsi="Times New Roman" w:cs="Times New Roman" w:eastAsiaTheme="minorEastAsia"/>
          <w:b w:val="0"/>
          <w:color w:val="auto"/>
          <w:highlight w:val="none"/>
        </w:rPr>
        <w:t>财</w:t>
      </w:r>
      <w:r>
        <w:rPr>
          <w:rStyle w:val="27"/>
          <w:rFonts w:hint="default" w:ascii="Times New Roman" w:hAnsi="Times New Roman" w:cs="Times New Roman" w:eastAsiaTheme="minorEastAsia"/>
          <w:b w:val="0"/>
          <w:bCs w:val="0"/>
          <w:color w:val="auto"/>
          <w:highlight w:val="none"/>
        </w:rPr>
        <w:t>政拨款支出决算明细表</w:t>
      </w:r>
      <w:bookmarkEnd w:id="60"/>
      <w:bookmarkStart w:id="61" w:name="_Toc15396624"/>
    </w:p>
    <w:p>
      <w:pPr>
        <w:pStyle w:val="4"/>
        <w:rPr>
          <w:rFonts w:hint="default" w:ascii="Times New Roman" w:hAnsi="Times New Roman" w:cs="Times New Roman" w:eastAsiaTheme="minorEastAsia"/>
          <w:color w:val="auto"/>
          <w:highlight w:val="none"/>
        </w:rPr>
      </w:pPr>
      <w:r>
        <w:rPr>
          <w:rStyle w:val="27"/>
          <w:rFonts w:hint="default" w:ascii="Times New Roman" w:hAnsi="Times New Roman" w:cs="Times New Roman" w:eastAsiaTheme="minorEastAsia"/>
          <w:b w:val="0"/>
          <w:bCs w:val="0"/>
          <w:color w:val="auto"/>
          <w:highlight w:val="none"/>
        </w:rPr>
        <w:t>六、</w:t>
      </w:r>
      <w:r>
        <w:rPr>
          <w:rFonts w:hint="default" w:ascii="Times New Roman" w:hAnsi="Times New Roman" w:cs="Times New Roman" w:eastAsiaTheme="minorEastAsia"/>
          <w:b w:val="0"/>
          <w:color w:val="auto"/>
          <w:highlight w:val="none"/>
        </w:rPr>
        <w:t>一</w:t>
      </w:r>
      <w:r>
        <w:rPr>
          <w:rStyle w:val="27"/>
          <w:rFonts w:hint="default" w:ascii="Times New Roman" w:hAnsi="Times New Roman" w:cs="Times New Roman" w:eastAsiaTheme="minorEastAsia"/>
          <w:b w:val="0"/>
          <w:bCs w:val="0"/>
          <w:color w:val="auto"/>
          <w:highlight w:val="none"/>
        </w:rPr>
        <w:t>般公共预算财政拨款支出决算表</w:t>
      </w:r>
      <w:bookmarkEnd w:id="61"/>
    </w:p>
    <w:p>
      <w:pPr>
        <w:pStyle w:val="4"/>
        <w:rPr>
          <w:rFonts w:hint="default" w:ascii="Times New Roman" w:hAnsi="Times New Roman" w:cs="Times New Roman" w:eastAsiaTheme="minorEastAsia"/>
          <w:color w:val="auto"/>
          <w:highlight w:val="none"/>
        </w:rPr>
      </w:pPr>
      <w:bookmarkStart w:id="62" w:name="_Toc15396625"/>
      <w:r>
        <w:rPr>
          <w:rStyle w:val="27"/>
          <w:rFonts w:hint="default" w:ascii="Times New Roman" w:hAnsi="Times New Roman" w:cs="Times New Roman" w:eastAsiaTheme="minorEastAsia"/>
          <w:b w:val="0"/>
          <w:bCs w:val="0"/>
          <w:color w:val="auto"/>
          <w:highlight w:val="none"/>
        </w:rPr>
        <w:t>七、</w:t>
      </w:r>
      <w:r>
        <w:rPr>
          <w:rFonts w:hint="default" w:ascii="Times New Roman" w:hAnsi="Times New Roman" w:cs="Times New Roman" w:eastAsiaTheme="minorEastAsia"/>
          <w:b w:val="0"/>
          <w:color w:val="auto"/>
          <w:highlight w:val="none"/>
        </w:rPr>
        <w:t>一</w:t>
      </w:r>
      <w:r>
        <w:rPr>
          <w:rStyle w:val="27"/>
          <w:rFonts w:hint="default" w:ascii="Times New Roman" w:hAnsi="Times New Roman" w:cs="Times New Roman" w:eastAsiaTheme="minorEastAsia"/>
          <w:b w:val="0"/>
          <w:bCs w:val="0"/>
          <w:color w:val="auto"/>
          <w:highlight w:val="none"/>
        </w:rPr>
        <w:t>般公共预算财政拨款支出决算明细表</w:t>
      </w:r>
      <w:bookmarkEnd w:id="62"/>
    </w:p>
    <w:p>
      <w:pPr>
        <w:pStyle w:val="4"/>
        <w:rPr>
          <w:rFonts w:hint="default" w:ascii="Times New Roman" w:hAnsi="Times New Roman" w:cs="Times New Roman" w:eastAsiaTheme="minorEastAsia"/>
          <w:color w:val="auto"/>
          <w:highlight w:val="none"/>
        </w:rPr>
      </w:pPr>
      <w:bookmarkStart w:id="63" w:name="_Toc15396626"/>
      <w:r>
        <w:rPr>
          <w:rStyle w:val="27"/>
          <w:rFonts w:hint="default" w:ascii="Times New Roman" w:hAnsi="Times New Roman" w:cs="Times New Roman" w:eastAsiaTheme="minorEastAsia"/>
          <w:b w:val="0"/>
          <w:bCs w:val="0"/>
          <w:color w:val="auto"/>
          <w:highlight w:val="none"/>
        </w:rPr>
        <w:t>八、</w:t>
      </w:r>
      <w:r>
        <w:rPr>
          <w:rFonts w:hint="default" w:ascii="Times New Roman" w:hAnsi="Times New Roman" w:cs="Times New Roman" w:eastAsiaTheme="minorEastAsia"/>
          <w:b w:val="0"/>
          <w:color w:val="auto"/>
          <w:highlight w:val="none"/>
        </w:rPr>
        <w:t>一</w:t>
      </w:r>
      <w:r>
        <w:rPr>
          <w:rStyle w:val="27"/>
          <w:rFonts w:hint="default" w:ascii="Times New Roman" w:hAnsi="Times New Roman" w:cs="Times New Roman" w:eastAsiaTheme="minorEastAsia"/>
          <w:b w:val="0"/>
          <w:bCs w:val="0"/>
          <w:color w:val="auto"/>
          <w:highlight w:val="none"/>
        </w:rPr>
        <w:t>般公共预算财政拨款基本支出决算表</w:t>
      </w:r>
      <w:bookmarkEnd w:id="63"/>
    </w:p>
    <w:p>
      <w:pPr>
        <w:pStyle w:val="4"/>
        <w:rPr>
          <w:rFonts w:hint="default" w:ascii="Times New Roman" w:hAnsi="Times New Roman" w:cs="Times New Roman" w:eastAsiaTheme="minorEastAsia"/>
          <w:color w:val="auto"/>
          <w:highlight w:val="none"/>
        </w:rPr>
      </w:pPr>
      <w:bookmarkStart w:id="64" w:name="_Toc15396627"/>
      <w:r>
        <w:rPr>
          <w:rStyle w:val="27"/>
          <w:rFonts w:hint="default" w:ascii="Times New Roman" w:hAnsi="Times New Roman" w:cs="Times New Roman" w:eastAsiaTheme="minorEastAsia"/>
          <w:b w:val="0"/>
          <w:bCs w:val="0"/>
          <w:color w:val="auto"/>
          <w:highlight w:val="none"/>
        </w:rPr>
        <w:t>九、</w:t>
      </w:r>
      <w:r>
        <w:rPr>
          <w:rFonts w:hint="default" w:ascii="Times New Roman" w:hAnsi="Times New Roman" w:cs="Times New Roman" w:eastAsiaTheme="minorEastAsia"/>
          <w:b w:val="0"/>
          <w:color w:val="auto"/>
          <w:highlight w:val="none"/>
        </w:rPr>
        <w:t>一</w:t>
      </w:r>
      <w:r>
        <w:rPr>
          <w:rStyle w:val="27"/>
          <w:rFonts w:hint="default" w:ascii="Times New Roman" w:hAnsi="Times New Roman" w:cs="Times New Roman" w:eastAsiaTheme="minorEastAsia"/>
          <w:b w:val="0"/>
          <w:bCs w:val="0"/>
          <w:color w:val="auto"/>
          <w:highlight w:val="none"/>
        </w:rPr>
        <w:t>般公共预算财政拨款项目支出决算表</w:t>
      </w:r>
      <w:bookmarkEnd w:id="64"/>
    </w:p>
    <w:p>
      <w:pPr>
        <w:pStyle w:val="4"/>
        <w:rPr>
          <w:rFonts w:hint="default" w:ascii="Times New Roman" w:hAnsi="Times New Roman" w:cs="Times New Roman" w:eastAsiaTheme="minorEastAsia"/>
          <w:color w:val="auto"/>
          <w:highlight w:val="none"/>
        </w:rPr>
      </w:pPr>
      <w:bookmarkStart w:id="65" w:name="_Toc15396628"/>
      <w:r>
        <w:rPr>
          <w:rStyle w:val="27"/>
          <w:rFonts w:hint="default" w:ascii="Times New Roman" w:hAnsi="Times New Roman" w:cs="Times New Roman" w:eastAsiaTheme="minorEastAsia"/>
          <w:b w:val="0"/>
          <w:bCs w:val="0"/>
          <w:color w:val="auto"/>
          <w:highlight w:val="none"/>
        </w:rPr>
        <w:t>十、</w:t>
      </w:r>
      <w:r>
        <w:rPr>
          <w:rFonts w:hint="default" w:ascii="Times New Roman" w:hAnsi="Times New Roman" w:cs="Times New Roman" w:eastAsiaTheme="minorEastAsia"/>
          <w:b w:val="0"/>
          <w:color w:val="auto"/>
          <w:highlight w:val="none"/>
        </w:rPr>
        <w:t>一</w:t>
      </w:r>
      <w:r>
        <w:rPr>
          <w:rStyle w:val="27"/>
          <w:rFonts w:hint="default" w:ascii="Times New Roman" w:hAnsi="Times New Roman" w:cs="Times New Roman" w:eastAsiaTheme="minorEastAsia"/>
          <w:b w:val="0"/>
          <w:bCs w:val="0"/>
          <w:color w:val="auto"/>
          <w:highlight w:val="none"/>
        </w:rPr>
        <w:t>般公共预算财政拨款“三公”经费支出决算表</w:t>
      </w:r>
      <w:bookmarkEnd w:id="65"/>
    </w:p>
    <w:p>
      <w:pPr>
        <w:pStyle w:val="4"/>
        <w:rPr>
          <w:rFonts w:hint="default" w:ascii="Times New Roman" w:hAnsi="Times New Roman" w:cs="Times New Roman" w:eastAsiaTheme="minorEastAsia"/>
          <w:color w:val="auto"/>
          <w:highlight w:val="none"/>
        </w:rPr>
      </w:pPr>
      <w:bookmarkStart w:id="66" w:name="_Toc15396629"/>
      <w:r>
        <w:rPr>
          <w:rStyle w:val="27"/>
          <w:rFonts w:hint="default" w:ascii="Times New Roman" w:hAnsi="Times New Roman" w:cs="Times New Roman" w:eastAsiaTheme="minorEastAsia"/>
          <w:b w:val="0"/>
          <w:bCs w:val="0"/>
          <w:color w:val="auto"/>
          <w:highlight w:val="none"/>
        </w:rPr>
        <w:t>十一、</w:t>
      </w:r>
      <w:r>
        <w:rPr>
          <w:rFonts w:hint="default" w:ascii="Times New Roman" w:hAnsi="Times New Roman" w:cs="Times New Roman" w:eastAsiaTheme="minorEastAsia"/>
          <w:b w:val="0"/>
          <w:color w:val="auto"/>
          <w:highlight w:val="none"/>
        </w:rPr>
        <w:t>政</w:t>
      </w:r>
      <w:r>
        <w:rPr>
          <w:rStyle w:val="27"/>
          <w:rFonts w:hint="default" w:ascii="Times New Roman" w:hAnsi="Times New Roman" w:cs="Times New Roman" w:eastAsiaTheme="minorEastAsia"/>
          <w:b w:val="0"/>
          <w:bCs w:val="0"/>
          <w:color w:val="auto"/>
          <w:highlight w:val="none"/>
        </w:rPr>
        <w:t>府性基金预算财政拨款收入支出决算表</w:t>
      </w:r>
      <w:bookmarkEnd w:id="66"/>
    </w:p>
    <w:p>
      <w:pPr>
        <w:pStyle w:val="4"/>
        <w:rPr>
          <w:rFonts w:hint="default" w:ascii="Times New Roman" w:hAnsi="Times New Roman" w:cs="Times New Roman" w:eastAsiaTheme="minorEastAsia"/>
          <w:color w:val="auto"/>
          <w:highlight w:val="none"/>
        </w:rPr>
      </w:pPr>
      <w:bookmarkStart w:id="67" w:name="_Toc15396630"/>
      <w:r>
        <w:rPr>
          <w:rStyle w:val="27"/>
          <w:rFonts w:hint="default" w:ascii="Times New Roman" w:hAnsi="Times New Roman" w:cs="Times New Roman" w:eastAsiaTheme="minorEastAsia"/>
          <w:b w:val="0"/>
          <w:bCs w:val="0"/>
          <w:color w:val="auto"/>
          <w:highlight w:val="none"/>
        </w:rPr>
        <w:t>十二、</w:t>
      </w:r>
      <w:r>
        <w:rPr>
          <w:rFonts w:hint="default" w:ascii="Times New Roman" w:hAnsi="Times New Roman" w:cs="Times New Roman" w:eastAsiaTheme="minorEastAsia"/>
          <w:b w:val="0"/>
          <w:color w:val="auto"/>
          <w:highlight w:val="none"/>
        </w:rPr>
        <w:t>政</w:t>
      </w:r>
      <w:r>
        <w:rPr>
          <w:rStyle w:val="27"/>
          <w:rFonts w:hint="default" w:ascii="Times New Roman" w:hAnsi="Times New Roman" w:cs="Times New Roman" w:eastAsiaTheme="minorEastAsia"/>
          <w:b w:val="0"/>
          <w:bCs w:val="0"/>
          <w:color w:val="auto"/>
          <w:highlight w:val="none"/>
        </w:rPr>
        <w:t>府性基金预算财政拨款“三公”经费支出决算表</w:t>
      </w:r>
      <w:bookmarkEnd w:id="67"/>
    </w:p>
    <w:p>
      <w:pPr>
        <w:pStyle w:val="4"/>
        <w:rPr>
          <w:rStyle w:val="27"/>
          <w:rFonts w:hint="default" w:ascii="Times New Roman" w:hAnsi="Times New Roman" w:cs="Times New Roman" w:eastAsiaTheme="minorEastAsia"/>
          <w:b w:val="0"/>
          <w:bCs w:val="0"/>
          <w:color w:val="auto"/>
          <w:highlight w:val="none"/>
        </w:rPr>
      </w:pPr>
      <w:bookmarkStart w:id="68" w:name="_Toc15396631"/>
      <w:r>
        <w:rPr>
          <w:rStyle w:val="27"/>
          <w:rFonts w:hint="default" w:ascii="Times New Roman" w:hAnsi="Times New Roman" w:cs="Times New Roman" w:eastAsiaTheme="minorEastAsia"/>
          <w:b w:val="0"/>
          <w:bCs w:val="0"/>
          <w:color w:val="auto"/>
          <w:highlight w:val="none"/>
        </w:rPr>
        <w:t>十三、</w:t>
      </w:r>
      <w:r>
        <w:rPr>
          <w:rFonts w:hint="default" w:ascii="Times New Roman" w:hAnsi="Times New Roman" w:cs="Times New Roman" w:eastAsiaTheme="minorEastAsia"/>
          <w:b w:val="0"/>
          <w:color w:val="auto"/>
          <w:highlight w:val="none"/>
        </w:rPr>
        <w:t>国</w:t>
      </w:r>
      <w:r>
        <w:rPr>
          <w:rStyle w:val="27"/>
          <w:rFonts w:hint="default" w:ascii="Times New Roman" w:hAnsi="Times New Roman" w:cs="Times New Roman" w:eastAsiaTheme="minorEastAsia"/>
          <w:b w:val="0"/>
          <w:bCs w:val="0"/>
          <w:color w:val="auto"/>
          <w:highlight w:val="none"/>
        </w:rPr>
        <w:t>有资本经营预算</w:t>
      </w:r>
      <w:r>
        <w:rPr>
          <w:rStyle w:val="27"/>
          <w:rFonts w:hint="default" w:ascii="Times New Roman" w:hAnsi="Times New Roman" w:cs="Times New Roman" w:eastAsiaTheme="minorEastAsia"/>
          <w:b w:val="0"/>
          <w:bCs w:val="0"/>
          <w:color w:val="auto"/>
          <w:highlight w:val="none"/>
          <w:lang w:eastAsia="zh-CN"/>
        </w:rPr>
        <w:t>财政拨款收入</w:t>
      </w:r>
      <w:r>
        <w:rPr>
          <w:rStyle w:val="27"/>
          <w:rFonts w:hint="default" w:ascii="Times New Roman" w:hAnsi="Times New Roman" w:cs="Times New Roman" w:eastAsiaTheme="minorEastAsia"/>
          <w:b w:val="0"/>
          <w:bCs w:val="0"/>
          <w:color w:val="auto"/>
          <w:highlight w:val="none"/>
        </w:rPr>
        <w:t>支出决算表</w:t>
      </w:r>
      <w:bookmarkEnd w:id="68"/>
    </w:p>
    <w:p>
      <w:pPr>
        <w:rPr>
          <w:rFonts w:hint="default" w:ascii="Times New Roman" w:hAnsi="Times New Roman" w:cs="Times New Roman" w:eastAsiaTheme="minorEastAsia"/>
          <w:color w:val="auto"/>
          <w:highlight w:val="none"/>
          <w:lang w:eastAsia="zh-CN"/>
        </w:rPr>
      </w:pPr>
      <w:r>
        <w:rPr>
          <w:rStyle w:val="27"/>
          <w:rFonts w:hint="default" w:ascii="Times New Roman" w:hAnsi="Times New Roman" w:cs="Times New Roman" w:eastAsiaTheme="minorEastAsia"/>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2MzZlNWJmMzMyMzg2YWQ2N2M3ZDFlZjBkZDQyMD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57C93"/>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0240"/>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62DC2"/>
    <w:rsid w:val="01284C10"/>
    <w:rsid w:val="012A4E2C"/>
    <w:rsid w:val="01CE3A0A"/>
    <w:rsid w:val="028E07AB"/>
    <w:rsid w:val="0293255D"/>
    <w:rsid w:val="02B16458"/>
    <w:rsid w:val="03004097"/>
    <w:rsid w:val="03C70711"/>
    <w:rsid w:val="04351B1E"/>
    <w:rsid w:val="049D226F"/>
    <w:rsid w:val="04E23328"/>
    <w:rsid w:val="050E411D"/>
    <w:rsid w:val="053C11E9"/>
    <w:rsid w:val="065A7238"/>
    <w:rsid w:val="069A11B7"/>
    <w:rsid w:val="06CC603E"/>
    <w:rsid w:val="075F07E6"/>
    <w:rsid w:val="07B94814"/>
    <w:rsid w:val="07E55609"/>
    <w:rsid w:val="07FC0BA5"/>
    <w:rsid w:val="08135BF2"/>
    <w:rsid w:val="09304FAA"/>
    <w:rsid w:val="097A4477"/>
    <w:rsid w:val="09B74D83"/>
    <w:rsid w:val="09E36E1C"/>
    <w:rsid w:val="0A0B4F7B"/>
    <w:rsid w:val="0A2032A3"/>
    <w:rsid w:val="0A59408D"/>
    <w:rsid w:val="0A5E5C25"/>
    <w:rsid w:val="0A6F1B02"/>
    <w:rsid w:val="0A751FFA"/>
    <w:rsid w:val="0ABC6466"/>
    <w:rsid w:val="0AEE2730"/>
    <w:rsid w:val="0B52745A"/>
    <w:rsid w:val="0B8A37D8"/>
    <w:rsid w:val="0BCF0AAA"/>
    <w:rsid w:val="0C275F3F"/>
    <w:rsid w:val="0C3A3CA4"/>
    <w:rsid w:val="0C4C3EA9"/>
    <w:rsid w:val="0C4D74FF"/>
    <w:rsid w:val="0C874EE1"/>
    <w:rsid w:val="0D5D3E94"/>
    <w:rsid w:val="0DB937C0"/>
    <w:rsid w:val="0DCD726B"/>
    <w:rsid w:val="0E060087"/>
    <w:rsid w:val="0E2F3A82"/>
    <w:rsid w:val="0EB14497"/>
    <w:rsid w:val="0ED71A24"/>
    <w:rsid w:val="0F955B67"/>
    <w:rsid w:val="10022AD1"/>
    <w:rsid w:val="10030D22"/>
    <w:rsid w:val="100A3540"/>
    <w:rsid w:val="100B407B"/>
    <w:rsid w:val="10B009B9"/>
    <w:rsid w:val="10B244F7"/>
    <w:rsid w:val="10C055FF"/>
    <w:rsid w:val="10DB1C9F"/>
    <w:rsid w:val="118107EC"/>
    <w:rsid w:val="11D81D3B"/>
    <w:rsid w:val="11DD6519"/>
    <w:rsid w:val="121511E1"/>
    <w:rsid w:val="12371A27"/>
    <w:rsid w:val="12B02CB8"/>
    <w:rsid w:val="12E735E0"/>
    <w:rsid w:val="134578A4"/>
    <w:rsid w:val="13581385"/>
    <w:rsid w:val="139A7BF0"/>
    <w:rsid w:val="13B54A2A"/>
    <w:rsid w:val="13CC3B21"/>
    <w:rsid w:val="14A730DD"/>
    <w:rsid w:val="14D25799"/>
    <w:rsid w:val="1552213C"/>
    <w:rsid w:val="15EA028F"/>
    <w:rsid w:val="163A7468"/>
    <w:rsid w:val="16B234A2"/>
    <w:rsid w:val="16BB723D"/>
    <w:rsid w:val="16C3745D"/>
    <w:rsid w:val="16F615E1"/>
    <w:rsid w:val="17874F20"/>
    <w:rsid w:val="17B46DA6"/>
    <w:rsid w:val="17C57205"/>
    <w:rsid w:val="17DB07D7"/>
    <w:rsid w:val="17E16D7D"/>
    <w:rsid w:val="18015F3F"/>
    <w:rsid w:val="18526D64"/>
    <w:rsid w:val="18B2778A"/>
    <w:rsid w:val="18F2402A"/>
    <w:rsid w:val="1912797C"/>
    <w:rsid w:val="19622F5E"/>
    <w:rsid w:val="196D1903"/>
    <w:rsid w:val="19A1335A"/>
    <w:rsid w:val="19B94B48"/>
    <w:rsid w:val="19C1161C"/>
    <w:rsid w:val="19E5593D"/>
    <w:rsid w:val="1A143B2C"/>
    <w:rsid w:val="1A15483C"/>
    <w:rsid w:val="1A200723"/>
    <w:rsid w:val="1AE03D00"/>
    <w:rsid w:val="1B087B35"/>
    <w:rsid w:val="1B252495"/>
    <w:rsid w:val="1BE8440E"/>
    <w:rsid w:val="1CD77BE8"/>
    <w:rsid w:val="1D0D54B9"/>
    <w:rsid w:val="1D155CEE"/>
    <w:rsid w:val="1E234C86"/>
    <w:rsid w:val="1E3B1FCF"/>
    <w:rsid w:val="1F106FB8"/>
    <w:rsid w:val="1FA12306"/>
    <w:rsid w:val="1FAB6CE1"/>
    <w:rsid w:val="20CE712B"/>
    <w:rsid w:val="20D83B05"/>
    <w:rsid w:val="20DD55C0"/>
    <w:rsid w:val="20F57F95"/>
    <w:rsid w:val="210448FA"/>
    <w:rsid w:val="216A3C29"/>
    <w:rsid w:val="21AE4421"/>
    <w:rsid w:val="221943D6"/>
    <w:rsid w:val="2263047A"/>
    <w:rsid w:val="2265586D"/>
    <w:rsid w:val="229879F0"/>
    <w:rsid w:val="22E91FFA"/>
    <w:rsid w:val="230E241E"/>
    <w:rsid w:val="23700025"/>
    <w:rsid w:val="237F295E"/>
    <w:rsid w:val="23E427C1"/>
    <w:rsid w:val="240371BF"/>
    <w:rsid w:val="241C01AD"/>
    <w:rsid w:val="24C779C4"/>
    <w:rsid w:val="24E620B3"/>
    <w:rsid w:val="24F5112A"/>
    <w:rsid w:val="2561612C"/>
    <w:rsid w:val="256E4A38"/>
    <w:rsid w:val="257D4C7B"/>
    <w:rsid w:val="25893620"/>
    <w:rsid w:val="259D0E7A"/>
    <w:rsid w:val="25AB7A3A"/>
    <w:rsid w:val="25C741E6"/>
    <w:rsid w:val="25F969F8"/>
    <w:rsid w:val="260B04D9"/>
    <w:rsid w:val="2652435A"/>
    <w:rsid w:val="2725381D"/>
    <w:rsid w:val="27673E35"/>
    <w:rsid w:val="27842671"/>
    <w:rsid w:val="27AC5326"/>
    <w:rsid w:val="27AC5CEC"/>
    <w:rsid w:val="282F4953"/>
    <w:rsid w:val="284D302B"/>
    <w:rsid w:val="28996B80"/>
    <w:rsid w:val="289B1FE8"/>
    <w:rsid w:val="28B74948"/>
    <w:rsid w:val="293641B0"/>
    <w:rsid w:val="295D54F0"/>
    <w:rsid w:val="296419B8"/>
    <w:rsid w:val="29A0362E"/>
    <w:rsid w:val="29A50C45"/>
    <w:rsid w:val="29E4176D"/>
    <w:rsid w:val="29FD04D3"/>
    <w:rsid w:val="2A9A5842"/>
    <w:rsid w:val="2ABE7A3E"/>
    <w:rsid w:val="2B527EDF"/>
    <w:rsid w:val="2BC453B2"/>
    <w:rsid w:val="2C864D5D"/>
    <w:rsid w:val="2CD74330"/>
    <w:rsid w:val="2D7E41C6"/>
    <w:rsid w:val="2D9F0C67"/>
    <w:rsid w:val="2DE51610"/>
    <w:rsid w:val="2E426A62"/>
    <w:rsid w:val="2EFA178C"/>
    <w:rsid w:val="2EFC1307"/>
    <w:rsid w:val="2F002133"/>
    <w:rsid w:val="2F5B602D"/>
    <w:rsid w:val="2F794705"/>
    <w:rsid w:val="2FFB336C"/>
    <w:rsid w:val="301B3A0F"/>
    <w:rsid w:val="301D1535"/>
    <w:rsid w:val="308B0B94"/>
    <w:rsid w:val="30B46D73"/>
    <w:rsid w:val="30BC6FA0"/>
    <w:rsid w:val="31322DBE"/>
    <w:rsid w:val="319F7F4E"/>
    <w:rsid w:val="31F84007"/>
    <w:rsid w:val="32343B2A"/>
    <w:rsid w:val="32666B78"/>
    <w:rsid w:val="32DD4FAB"/>
    <w:rsid w:val="3370118F"/>
    <w:rsid w:val="338120A0"/>
    <w:rsid w:val="33E67E90"/>
    <w:rsid w:val="34012F1B"/>
    <w:rsid w:val="342E1F62"/>
    <w:rsid w:val="34452E08"/>
    <w:rsid w:val="345B262C"/>
    <w:rsid w:val="346076B1"/>
    <w:rsid w:val="34C208FD"/>
    <w:rsid w:val="34E27A1A"/>
    <w:rsid w:val="35507CB7"/>
    <w:rsid w:val="35A02AEA"/>
    <w:rsid w:val="35B923B1"/>
    <w:rsid w:val="35C6441D"/>
    <w:rsid w:val="364C66D0"/>
    <w:rsid w:val="367D0F7F"/>
    <w:rsid w:val="371F3DE4"/>
    <w:rsid w:val="375A6BCB"/>
    <w:rsid w:val="37AB5678"/>
    <w:rsid w:val="37BD53AB"/>
    <w:rsid w:val="382471D8"/>
    <w:rsid w:val="3885236D"/>
    <w:rsid w:val="38C92F71"/>
    <w:rsid w:val="39924D42"/>
    <w:rsid w:val="39AE70AB"/>
    <w:rsid w:val="3ACB0218"/>
    <w:rsid w:val="3B035AF9"/>
    <w:rsid w:val="3B770296"/>
    <w:rsid w:val="3C0C0783"/>
    <w:rsid w:val="3C1078F1"/>
    <w:rsid w:val="3C8F5568"/>
    <w:rsid w:val="3CA52FDE"/>
    <w:rsid w:val="3CD1792F"/>
    <w:rsid w:val="3D2959BD"/>
    <w:rsid w:val="3D363C36"/>
    <w:rsid w:val="3E0C2BE9"/>
    <w:rsid w:val="3EEC4EF4"/>
    <w:rsid w:val="3F5B0661"/>
    <w:rsid w:val="3F7153F9"/>
    <w:rsid w:val="3F9F3A96"/>
    <w:rsid w:val="3FC27A03"/>
    <w:rsid w:val="3FC4217D"/>
    <w:rsid w:val="4093139F"/>
    <w:rsid w:val="40BA692C"/>
    <w:rsid w:val="40DA0D7C"/>
    <w:rsid w:val="41270465"/>
    <w:rsid w:val="414B79AE"/>
    <w:rsid w:val="41694193"/>
    <w:rsid w:val="419520BC"/>
    <w:rsid w:val="42087906"/>
    <w:rsid w:val="421F54BE"/>
    <w:rsid w:val="42EE0B0F"/>
    <w:rsid w:val="430F56AE"/>
    <w:rsid w:val="447D65EE"/>
    <w:rsid w:val="448434D9"/>
    <w:rsid w:val="44DE1B9E"/>
    <w:rsid w:val="44E328F5"/>
    <w:rsid w:val="458B0897"/>
    <w:rsid w:val="45FB5A1D"/>
    <w:rsid w:val="45FD1795"/>
    <w:rsid w:val="462C5BD6"/>
    <w:rsid w:val="46907FF6"/>
    <w:rsid w:val="46B856BC"/>
    <w:rsid w:val="470703F1"/>
    <w:rsid w:val="471545D4"/>
    <w:rsid w:val="474B2909"/>
    <w:rsid w:val="47574ED5"/>
    <w:rsid w:val="47991508"/>
    <w:rsid w:val="47C36A0E"/>
    <w:rsid w:val="47EF7803"/>
    <w:rsid w:val="47F866B8"/>
    <w:rsid w:val="486F31D1"/>
    <w:rsid w:val="49137521"/>
    <w:rsid w:val="493C27E9"/>
    <w:rsid w:val="49415E3C"/>
    <w:rsid w:val="49627B61"/>
    <w:rsid w:val="49641B2B"/>
    <w:rsid w:val="496F39ED"/>
    <w:rsid w:val="49FF41D3"/>
    <w:rsid w:val="4A381C35"/>
    <w:rsid w:val="4A786951"/>
    <w:rsid w:val="4A7E0095"/>
    <w:rsid w:val="4AA5064D"/>
    <w:rsid w:val="4B386DCB"/>
    <w:rsid w:val="4B6448B1"/>
    <w:rsid w:val="4BE068DB"/>
    <w:rsid w:val="4BF6002B"/>
    <w:rsid w:val="4C2555A1"/>
    <w:rsid w:val="4CF077D9"/>
    <w:rsid w:val="4D021D86"/>
    <w:rsid w:val="4D1675E0"/>
    <w:rsid w:val="4D2A4B22"/>
    <w:rsid w:val="4D554104"/>
    <w:rsid w:val="4DC1579E"/>
    <w:rsid w:val="4DDC4386"/>
    <w:rsid w:val="4E2A50F1"/>
    <w:rsid w:val="4E4E2408"/>
    <w:rsid w:val="4EA07161"/>
    <w:rsid w:val="4EB06D84"/>
    <w:rsid w:val="4ECE2238"/>
    <w:rsid w:val="4EEE25C2"/>
    <w:rsid w:val="4F073684"/>
    <w:rsid w:val="4F1B45AA"/>
    <w:rsid w:val="4FFE4A87"/>
    <w:rsid w:val="509269D5"/>
    <w:rsid w:val="50EE1CF2"/>
    <w:rsid w:val="514F0813"/>
    <w:rsid w:val="51644DBE"/>
    <w:rsid w:val="51A91155"/>
    <w:rsid w:val="51D81308"/>
    <w:rsid w:val="51DB4B86"/>
    <w:rsid w:val="51ED4DB3"/>
    <w:rsid w:val="525A1D1D"/>
    <w:rsid w:val="528A0854"/>
    <w:rsid w:val="529B480F"/>
    <w:rsid w:val="52D861D3"/>
    <w:rsid w:val="530A54F1"/>
    <w:rsid w:val="5325232B"/>
    <w:rsid w:val="533C2083"/>
    <w:rsid w:val="541B5AFB"/>
    <w:rsid w:val="5429409D"/>
    <w:rsid w:val="54CB0CB0"/>
    <w:rsid w:val="54EF0E42"/>
    <w:rsid w:val="551B1C37"/>
    <w:rsid w:val="55333C3E"/>
    <w:rsid w:val="561346BC"/>
    <w:rsid w:val="56582A17"/>
    <w:rsid w:val="56A143BE"/>
    <w:rsid w:val="57076C37"/>
    <w:rsid w:val="57460AC2"/>
    <w:rsid w:val="582C5F09"/>
    <w:rsid w:val="58E14F46"/>
    <w:rsid w:val="5975604F"/>
    <w:rsid w:val="59AE5251"/>
    <w:rsid w:val="5A227B9E"/>
    <w:rsid w:val="5A490FF5"/>
    <w:rsid w:val="5ACE0A9F"/>
    <w:rsid w:val="5B025E27"/>
    <w:rsid w:val="5B370EAC"/>
    <w:rsid w:val="5B6A7475"/>
    <w:rsid w:val="5C0851AD"/>
    <w:rsid w:val="5C6429DB"/>
    <w:rsid w:val="5CA071C8"/>
    <w:rsid w:val="5CD526CC"/>
    <w:rsid w:val="5D467A6D"/>
    <w:rsid w:val="5D591DD8"/>
    <w:rsid w:val="5DCF4038"/>
    <w:rsid w:val="5E082F75"/>
    <w:rsid w:val="5E413D91"/>
    <w:rsid w:val="5E79352B"/>
    <w:rsid w:val="5E9B16F3"/>
    <w:rsid w:val="5ECE516E"/>
    <w:rsid w:val="5F261904"/>
    <w:rsid w:val="5F6441DB"/>
    <w:rsid w:val="5FBA3DFB"/>
    <w:rsid w:val="6098238E"/>
    <w:rsid w:val="60DF4DDA"/>
    <w:rsid w:val="6127125C"/>
    <w:rsid w:val="6162474A"/>
    <w:rsid w:val="61B03707"/>
    <w:rsid w:val="61B9080E"/>
    <w:rsid w:val="6211064A"/>
    <w:rsid w:val="629E7A04"/>
    <w:rsid w:val="62B9483E"/>
    <w:rsid w:val="62DB0C58"/>
    <w:rsid w:val="6300421A"/>
    <w:rsid w:val="63160E91"/>
    <w:rsid w:val="631A5562"/>
    <w:rsid w:val="63950E07"/>
    <w:rsid w:val="63A159FD"/>
    <w:rsid w:val="63D77671"/>
    <w:rsid w:val="64085A7D"/>
    <w:rsid w:val="6441217E"/>
    <w:rsid w:val="64462101"/>
    <w:rsid w:val="646621C4"/>
    <w:rsid w:val="646A2293"/>
    <w:rsid w:val="64AC6408"/>
    <w:rsid w:val="64CA39A1"/>
    <w:rsid w:val="64D4595F"/>
    <w:rsid w:val="65382221"/>
    <w:rsid w:val="65554CF2"/>
    <w:rsid w:val="655A2308"/>
    <w:rsid w:val="655B0B17"/>
    <w:rsid w:val="663F65AB"/>
    <w:rsid w:val="66AC6B93"/>
    <w:rsid w:val="66B15F58"/>
    <w:rsid w:val="66B521F3"/>
    <w:rsid w:val="66CC0FE3"/>
    <w:rsid w:val="670359C1"/>
    <w:rsid w:val="67534E24"/>
    <w:rsid w:val="67542D87"/>
    <w:rsid w:val="677D5E3A"/>
    <w:rsid w:val="67AC49F6"/>
    <w:rsid w:val="67BE4B65"/>
    <w:rsid w:val="690305C1"/>
    <w:rsid w:val="69476318"/>
    <w:rsid w:val="6985191D"/>
    <w:rsid w:val="699102C2"/>
    <w:rsid w:val="69DD3507"/>
    <w:rsid w:val="69F8615D"/>
    <w:rsid w:val="6A0942FC"/>
    <w:rsid w:val="6A2B6021"/>
    <w:rsid w:val="6A521800"/>
    <w:rsid w:val="6ADD7165"/>
    <w:rsid w:val="6BD72179"/>
    <w:rsid w:val="6BE12F3E"/>
    <w:rsid w:val="6BF608B1"/>
    <w:rsid w:val="6C2D6302"/>
    <w:rsid w:val="6C4A05C8"/>
    <w:rsid w:val="6D45389E"/>
    <w:rsid w:val="6E192634"/>
    <w:rsid w:val="6E492EA5"/>
    <w:rsid w:val="6EAE5472"/>
    <w:rsid w:val="6F593630"/>
    <w:rsid w:val="6FCA1E38"/>
    <w:rsid w:val="703674CE"/>
    <w:rsid w:val="711F4406"/>
    <w:rsid w:val="712B6906"/>
    <w:rsid w:val="71397275"/>
    <w:rsid w:val="71FD64F5"/>
    <w:rsid w:val="725F67CF"/>
    <w:rsid w:val="72734D90"/>
    <w:rsid w:val="727644F9"/>
    <w:rsid w:val="72885852"/>
    <w:rsid w:val="72AF7641"/>
    <w:rsid w:val="72B648F6"/>
    <w:rsid w:val="72B8066E"/>
    <w:rsid w:val="72D27981"/>
    <w:rsid w:val="72E72D01"/>
    <w:rsid w:val="734B7734"/>
    <w:rsid w:val="7406129A"/>
    <w:rsid w:val="74534AF2"/>
    <w:rsid w:val="746D3E18"/>
    <w:rsid w:val="746D7236"/>
    <w:rsid w:val="747800B5"/>
    <w:rsid w:val="74936C9D"/>
    <w:rsid w:val="74AB66DC"/>
    <w:rsid w:val="74AE1D28"/>
    <w:rsid w:val="75410DEE"/>
    <w:rsid w:val="75541A31"/>
    <w:rsid w:val="75A1188D"/>
    <w:rsid w:val="75E218D9"/>
    <w:rsid w:val="75E874BC"/>
    <w:rsid w:val="762D7933"/>
    <w:rsid w:val="764F2F30"/>
    <w:rsid w:val="764F753B"/>
    <w:rsid w:val="76C07AF1"/>
    <w:rsid w:val="772F78A5"/>
    <w:rsid w:val="777032C5"/>
    <w:rsid w:val="77716ACC"/>
    <w:rsid w:val="77882D05"/>
    <w:rsid w:val="77F008AA"/>
    <w:rsid w:val="78412EB3"/>
    <w:rsid w:val="78742AD4"/>
    <w:rsid w:val="78BB4A14"/>
    <w:rsid w:val="793249B3"/>
    <w:rsid w:val="793B3DA7"/>
    <w:rsid w:val="79E7B28D"/>
    <w:rsid w:val="79F262DA"/>
    <w:rsid w:val="7A6A4943"/>
    <w:rsid w:val="7AFB43BB"/>
    <w:rsid w:val="7B087CB8"/>
    <w:rsid w:val="7B5755B8"/>
    <w:rsid w:val="7C1F0080"/>
    <w:rsid w:val="7C613431"/>
    <w:rsid w:val="7C80044E"/>
    <w:rsid w:val="7CBE04ED"/>
    <w:rsid w:val="7CCE0550"/>
    <w:rsid w:val="7CE56503"/>
    <w:rsid w:val="7D155CB7"/>
    <w:rsid w:val="7D6C49B3"/>
    <w:rsid w:val="7DB639FC"/>
    <w:rsid w:val="7DCC0512"/>
    <w:rsid w:val="7DDA2EA4"/>
    <w:rsid w:val="7E9B156F"/>
    <w:rsid w:val="7EAF61D8"/>
    <w:rsid w:val="7EB663A9"/>
    <w:rsid w:val="7EDA426F"/>
    <w:rsid w:val="7F566977"/>
    <w:rsid w:val="7F82628B"/>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next w:val="2"/>
    <w:qFormat/>
    <w:uiPriority w:val="0"/>
    <w:pPr>
      <w:spacing w:before="100" w:beforeAutospacing="1" w:after="100" w:afterAutospacing="1"/>
    </w:pPr>
    <w:rPr>
      <w:rFonts w:ascii="宋体" w:hAnsi="Times New Roman" w:eastAsia="宋体" w:cs="Times New Roman"/>
      <w:sz w:val="24"/>
      <w:szCs w:val="24"/>
      <w:lang w:val="en-US" w:eastAsia="zh-CN" w:bidi="ar-SA"/>
    </w:rPr>
  </w:style>
  <w:style w:type="character" w:styleId="14">
    <w:name w:val="Strong"/>
    <w:basedOn w:val="15"/>
    <w:link w:val="1"/>
    <w:qFormat/>
    <w:uiPriority w:val="99"/>
    <w:rPr>
      <w:rFonts w:ascii="Times New Roman" w:hAnsi="Times New Roman" w:eastAsia="宋体" w:cs="Times New Roman"/>
      <w:kern w:val="2"/>
      <w:sz w:val="21"/>
      <w:szCs w:val="24"/>
      <w:lang w:val="en-US" w:eastAsia="zh-CN" w:bidi="ar-SA"/>
    </w:rPr>
  </w:style>
  <w:style w:type="character" w:customStyle="1" w:styleId="15">
    <w:name w:val="NormalCharacter"/>
    <w:link w:val="1"/>
    <w:qFormat/>
    <w:uiPriority w:val="0"/>
    <w:rPr>
      <w:rFonts w:ascii="Times New Roman" w:hAnsi="Times New Roman" w:eastAsia="宋体"/>
    </w:rPr>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customStyle="1" w:styleId="18">
    <w:name w:val="Header Char"/>
    <w:basedOn w:val="13"/>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3"/>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3"/>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3"/>
    <w:link w:val="3"/>
    <w:qFormat/>
    <w:uiPriority w:val="9"/>
    <w:rPr>
      <w:rFonts w:ascii="Times New Roman" w:hAnsi="Times New Roman"/>
      <w:b/>
      <w:bCs/>
      <w:kern w:val="44"/>
      <w:sz w:val="44"/>
      <w:szCs w:val="44"/>
    </w:rPr>
  </w:style>
  <w:style w:type="character" w:customStyle="1" w:styleId="27">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3"/>
    <w:link w:val="7"/>
    <w:semiHidden/>
    <w:qFormat/>
    <w:uiPriority w:val="99"/>
    <w:rPr>
      <w:rFonts w:ascii="Times New Roman" w:hAnsi="Times New Roman"/>
      <w:kern w:val="2"/>
      <w:sz w:val="18"/>
      <w:szCs w:val="18"/>
    </w:rPr>
  </w:style>
  <w:style w:type="character" w:customStyle="1" w:styleId="30">
    <w:name w:val="标题 3 Char"/>
    <w:basedOn w:val="13"/>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HtmlNormal"/>
    <w:basedOn w:val="1"/>
    <w:qFormat/>
    <w:uiPriority w:val="0"/>
    <w:pPr>
      <w:widowControl/>
      <w:spacing w:before="100" w:beforeAutospacing="1" w:after="100" w:afterAutospacing="1"/>
      <w:jc w:val="left"/>
      <w:textAlignment w:val="baseline"/>
    </w:pPr>
    <w:rPr>
      <w:rFonts w:ascii="宋体" w:hAnsi="宋体" w:eastAsia="宋体"/>
      <w:color w:val="000000"/>
      <w:sz w:val="24"/>
      <w:szCs w:val="24"/>
      <w:lang w:val="en-US" w:eastAsia="zh-CN" w:bidi="ar-SA"/>
    </w:rPr>
  </w:style>
  <w:style w:type="character" w:customStyle="1" w:styleId="33">
    <w:name w:val="UserStyle_0"/>
    <w:link w:val="1"/>
    <w:qFormat/>
    <w:uiPriority w:val="0"/>
    <w:rPr>
      <w:rFonts w:ascii="Times New Roman" w:hAnsi="Times New Roman" w:eastAsia="宋体"/>
      <w:color w:val="00000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收、支决算总计变动图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2021年</c:v>
                </c:pt>
                <c:pt idx="1">
                  <c:v>2020年</c:v>
                </c:pt>
                <c:pt idx="2">
                  <c:v>2021年</c:v>
                </c:pt>
                <c:pt idx="3">
                  <c:v>2020年</c:v>
                </c:pt>
              </c:strCache>
            </c:strRef>
          </c:cat>
          <c:val>
            <c:numRef>
              <c:f>Sheet1!$B$2:$B$5</c:f>
              <c:numCache>
                <c:formatCode>General</c:formatCode>
                <c:ptCount val="4"/>
                <c:pt idx="0">
                  <c:v>1625.93</c:v>
                </c:pt>
                <c:pt idx="1">
                  <c:v>1189.6</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2021年</c:v>
                </c:pt>
                <c:pt idx="1">
                  <c:v>2020年</c:v>
                </c:pt>
                <c:pt idx="2">
                  <c:v>2021年</c:v>
                </c:pt>
                <c:pt idx="3">
                  <c:v>2020年</c:v>
                </c:pt>
              </c:strCache>
            </c:strRef>
          </c:cat>
          <c:val>
            <c:numRef>
              <c:f>Sheet1!$C$2:$C$5</c:f>
              <c:numCache>
                <c:formatCode>General</c:formatCode>
                <c:ptCount val="4"/>
                <c:pt idx="2">
                  <c:v>1625.93</c:v>
                </c:pt>
                <c:pt idx="3">
                  <c:v>1189.6</c:v>
                </c:pt>
              </c:numCache>
            </c:numRef>
          </c:val>
        </c:ser>
        <c:dLbls>
          <c:showLegendKey val="0"/>
          <c:showVal val="1"/>
          <c:showCatName val="0"/>
          <c:showSerName val="0"/>
          <c:showPercent val="0"/>
          <c:showBubbleSize val="0"/>
        </c:dLbls>
        <c:gapWidth val="444"/>
        <c:overlap val="-90"/>
        <c:axId val="36817488"/>
        <c:axId val="111890351"/>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extLst>
                      <c:ext uri="{02D57815-91ED-43cb-92C2-25804820EDAC}">
                        <c15:fullRef>
                          <c15:sqref/>
                        </c15:fullRef>
                        <c15:formulaRef>
                          <c15:sqref>Sheet1!$A$2:$A$5</c15:sqref>
                        </c15:formulaRef>
                      </c:ext>
                    </c:extLst>
                    <c:strCache>
                      <c:ptCount val="4"/>
                      <c:pt idx="0">
                        <c:v>2021年</c:v>
                      </c:pt>
                      <c:pt idx="1">
                        <c:v>2020年</c:v>
                      </c:pt>
                      <c:pt idx="2">
                        <c:v>2021年</c:v>
                      </c:pt>
                      <c:pt idx="3">
                        <c:v>2020年</c:v>
                      </c:pt>
                    </c:strCache>
                  </c:strRef>
                </c:cat>
                <c:val>
                  <c:numRef>
                    <c:extLst>
                      <c:ext uri="{02D57815-91ED-43cb-92C2-25804820EDAC}">
                        <c15:formulaRef>
                          <c15:sqref>Sheet1!$D$2:$D$5</c15:sqref>
                        </c15:formulaRef>
                      </c:ext>
                    </c:extLst>
                    <c:numCache>
                      <c:formatCode>General</c:formatCode>
                      <c:ptCount val="4"/>
                      <c:pt idx="0">
                        <c:v>2</c:v>
                      </c:pt>
                      <c:pt idx="1">
                        <c:v>2</c:v>
                      </c:pt>
                      <c:pt idx="2">
                        <c:v>3</c:v>
                      </c:pt>
                      <c:pt idx="3">
                        <c:v>5</c:v>
                      </c:pt>
                    </c:numCache>
                  </c:numRef>
                </c:val>
              </c15:ser>
            </c15:filteredBarSeries>
          </c:ext>
        </c:extLst>
      </c:barChart>
      <c:catAx>
        <c:axId val="3681748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111890351"/>
        <c:crosses val="autoZero"/>
        <c:auto val="1"/>
        <c:lblAlgn val="ctr"/>
        <c:lblOffset val="100"/>
        <c:noMultiLvlLbl val="0"/>
      </c:catAx>
      <c:valAx>
        <c:axId val="11189035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81748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决算收入</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一般公共预算财政拨款收入</c:v>
                </c:pt>
                <c:pt idx="1">
                  <c:v>政府性基金预算财政拨款收入</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1479.62</c:v>
                </c:pt>
                <c:pt idx="1">
                  <c:v>146.3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决算支出结构图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870.13</c:v>
                </c:pt>
                <c:pt idx="1">
                  <c:v>755.79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收、支决算总计变动图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2021年</c:v>
                </c:pt>
                <c:pt idx="1">
                  <c:v>2020年</c:v>
                </c:pt>
                <c:pt idx="2">
                  <c:v>2021年</c:v>
                </c:pt>
                <c:pt idx="3">
                  <c:v>2020年</c:v>
                </c:pt>
              </c:strCache>
            </c:strRef>
          </c:cat>
          <c:val>
            <c:numRef>
              <c:f>Sheet1!$B$2:$B$5</c:f>
              <c:numCache>
                <c:formatCode>General</c:formatCode>
                <c:ptCount val="4"/>
                <c:pt idx="0">
                  <c:v>1625.93</c:v>
                </c:pt>
                <c:pt idx="1">
                  <c:v>1189.6</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2021年</c:v>
                </c:pt>
                <c:pt idx="1">
                  <c:v>2020年</c:v>
                </c:pt>
                <c:pt idx="2">
                  <c:v>2021年</c:v>
                </c:pt>
                <c:pt idx="3">
                  <c:v>2020年</c:v>
                </c:pt>
              </c:strCache>
            </c:strRef>
          </c:cat>
          <c:val>
            <c:numRef>
              <c:f>Sheet1!$C$2:$C$5</c:f>
              <c:numCache>
                <c:formatCode>General</c:formatCode>
                <c:ptCount val="4"/>
                <c:pt idx="2">
                  <c:v>1625.93</c:v>
                </c:pt>
                <c:pt idx="3">
                  <c:v>1189.6</c:v>
                </c:pt>
              </c:numCache>
            </c:numRef>
          </c:val>
        </c:ser>
        <c:dLbls>
          <c:showLegendKey val="0"/>
          <c:showVal val="1"/>
          <c:showCatName val="0"/>
          <c:showSerName val="0"/>
          <c:showPercent val="0"/>
          <c:showBubbleSize val="0"/>
        </c:dLbls>
        <c:gapWidth val="444"/>
        <c:overlap val="-90"/>
        <c:axId val="36817488"/>
        <c:axId val="111890351"/>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extLst>
                      <c:ext uri="{02D57815-91ED-43cb-92C2-25804820EDAC}">
                        <c15:fullRef>
                          <c15:sqref/>
                        </c15:fullRef>
                        <c15:formulaRef>
                          <c15:sqref>Sheet1!$A$2:$A$5</c15:sqref>
                        </c15:formulaRef>
                      </c:ext>
                    </c:extLst>
                    <c:strCache>
                      <c:ptCount val="4"/>
                      <c:pt idx="0">
                        <c:v>2021年</c:v>
                      </c:pt>
                      <c:pt idx="1">
                        <c:v>2020年</c:v>
                      </c:pt>
                      <c:pt idx="2">
                        <c:v>2021年</c:v>
                      </c:pt>
                      <c:pt idx="3">
                        <c:v>2020年</c:v>
                      </c:pt>
                    </c:strCache>
                  </c:strRef>
                </c:cat>
                <c:val>
                  <c:numRef>
                    <c:extLst>
                      <c:ext uri="{02D57815-91ED-43cb-92C2-25804820EDAC}">
                        <c15:formulaRef>
                          <c15:sqref>Sheet1!$D$2:$D$5</c15:sqref>
                        </c15:formulaRef>
                      </c:ext>
                    </c:extLst>
                    <c:numCache>
                      <c:formatCode>General</c:formatCode>
                      <c:ptCount val="4"/>
                      <c:pt idx="0">
                        <c:v>2</c:v>
                      </c:pt>
                      <c:pt idx="1">
                        <c:v>2</c:v>
                      </c:pt>
                      <c:pt idx="2">
                        <c:v>3</c:v>
                      </c:pt>
                      <c:pt idx="3">
                        <c:v>5</c:v>
                      </c:pt>
                    </c:numCache>
                  </c:numRef>
                </c:val>
              </c15:ser>
            </c15:filteredBarSeries>
          </c:ext>
        </c:extLst>
      </c:barChart>
      <c:catAx>
        <c:axId val="3681748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111890351"/>
        <c:crosses val="autoZero"/>
        <c:auto val="1"/>
        <c:lblAlgn val="ctr"/>
        <c:lblOffset val="100"/>
        <c:noMultiLvlLbl val="0"/>
      </c:catAx>
      <c:valAx>
        <c:axId val="11189035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81748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收、支决算总计变动图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2021年</c:v>
                </c:pt>
                <c:pt idx="1">
                  <c:v>2020年</c:v>
                </c:pt>
                <c:pt idx="2">
                  <c:v>2021年</c:v>
                </c:pt>
                <c:pt idx="3">
                  <c:v>2020年</c:v>
                </c:pt>
              </c:strCache>
            </c:strRef>
          </c:cat>
          <c:val>
            <c:numRef>
              <c:f>Sheet1!$B$2:$B$5</c:f>
              <c:numCache>
                <c:formatCode>General</c:formatCode>
                <c:ptCount val="4"/>
                <c:pt idx="0">
                  <c:v>1479.62</c:v>
                </c:pt>
                <c:pt idx="1">
                  <c:v>1154.52</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2021年</c:v>
                </c:pt>
                <c:pt idx="1">
                  <c:v>2020年</c:v>
                </c:pt>
                <c:pt idx="2">
                  <c:v>2021年</c:v>
                </c:pt>
                <c:pt idx="3">
                  <c:v>2020年</c:v>
                </c:pt>
              </c:strCache>
            </c:strRef>
          </c:cat>
          <c:val>
            <c:numRef>
              <c:f>Sheet1!$C$2:$C$5</c:f>
              <c:numCache>
                <c:formatCode>General</c:formatCode>
                <c:ptCount val="4"/>
                <c:pt idx="2">
                  <c:v>1479.62</c:v>
                </c:pt>
                <c:pt idx="3">
                  <c:v>1154.52</c:v>
                </c:pt>
              </c:numCache>
            </c:numRef>
          </c:val>
        </c:ser>
        <c:dLbls>
          <c:showLegendKey val="0"/>
          <c:showVal val="1"/>
          <c:showCatName val="0"/>
          <c:showSerName val="0"/>
          <c:showPercent val="0"/>
          <c:showBubbleSize val="0"/>
        </c:dLbls>
        <c:gapWidth val="444"/>
        <c:overlap val="-90"/>
        <c:axId val="36817488"/>
        <c:axId val="111890351"/>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系列 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extLst>
                      <c:ext uri="{02D57815-91ED-43cb-92C2-25804820EDAC}">
                        <c15:fullRef>
                          <c15:sqref/>
                        </c15:fullRef>
                        <c15:formulaRef>
                          <c15:sqref>Sheet1!$A$2:$A$5</c15:sqref>
                        </c15:formulaRef>
                      </c:ext>
                    </c:extLst>
                    <c:strCache>
                      <c:ptCount val="4"/>
                      <c:pt idx="0">
                        <c:v>2021年</c:v>
                      </c:pt>
                      <c:pt idx="1">
                        <c:v>2020年</c:v>
                      </c:pt>
                      <c:pt idx="2">
                        <c:v>2021年</c:v>
                      </c:pt>
                      <c:pt idx="3">
                        <c:v>2020年</c:v>
                      </c:pt>
                    </c:strCache>
                  </c:strRef>
                </c:cat>
                <c:val>
                  <c:numRef>
                    <c:extLst>
                      <c:ext uri="{02D57815-91ED-43cb-92C2-25804820EDAC}">
                        <c15:formulaRef>
                          <c15:sqref>Sheet1!$D$2:$D$5</c15:sqref>
                        </c15:formulaRef>
                      </c:ext>
                    </c:extLst>
                    <c:numCache>
                      <c:formatCode>General</c:formatCode>
                      <c:ptCount val="4"/>
                      <c:pt idx="0">
                        <c:v>2</c:v>
                      </c:pt>
                      <c:pt idx="1">
                        <c:v>2</c:v>
                      </c:pt>
                      <c:pt idx="2">
                        <c:v>3</c:v>
                      </c:pt>
                      <c:pt idx="3">
                        <c:v>5</c:v>
                      </c:pt>
                    </c:numCache>
                  </c:numRef>
                </c:val>
              </c15:ser>
            </c15:filteredBarSeries>
          </c:ext>
        </c:extLst>
      </c:barChart>
      <c:catAx>
        <c:axId val="3681748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111890351"/>
        <c:crosses val="autoZero"/>
        <c:auto val="1"/>
        <c:lblAlgn val="ctr"/>
        <c:lblOffset val="100"/>
        <c:noMultiLvlLbl val="0"/>
      </c:catAx>
      <c:valAx>
        <c:axId val="11189035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81748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Pt>
            <c:idx val="6"/>
            <c:bubble3D val="0"/>
            <c:spPr>
              <a:solidFill>
                <a:schemeClr val="accent1">
                  <a:lumMod val="60000"/>
                </a:schemeClr>
              </a:solidFill>
              <a:ln>
                <a:noFill/>
              </a:ln>
              <a:effectLst/>
            </c:spPr>
          </c:dPt>
          <c:dPt>
            <c:idx val="7"/>
            <c:bubble3D val="0"/>
            <c:spPr>
              <a:solidFill>
                <a:schemeClr val="accent2">
                  <a:lumMod val="60000"/>
                </a:schemeClr>
              </a:solidFill>
              <a:ln>
                <a:noFill/>
              </a:ln>
              <a:effectLst/>
            </c:spPr>
          </c:dPt>
          <c:dPt>
            <c:idx val="8"/>
            <c:bubble3D val="0"/>
            <c:spPr>
              <a:solidFill>
                <a:schemeClr val="accent3">
                  <a:lumMod val="60000"/>
                </a:schemeClr>
              </a:solidFill>
              <a:ln>
                <a:noFill/>
              </a:ln>
              <a:effectLst/>
            </c:spPr>
          </c:dPt>
          <c:dPt>
            <c:idx val="9"/>
            <c:bubble3D val="0"/>
            <c:spPr>
              <a:solidFill>
                <a:schemeClr val="accent4">
                  <a:lumMod val="60000"/>
                </a:schemeClr>
              </a:solidFill>
              <a:ln>
                <a:noFill/>
              </a:ln>
              <a:effectLst/>
            </c:spPr>
          </c:dPt>
          <c:dPt>
            <c:idx val="10"/>
            <c:bubble3D val="0"/>
            <c:spPr>
              <a:solidFill>
                <a:schemeClr val="accent5">
                  <a:lumMod val="60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一般公共服务</c:v>
                </c:pt>
                <c:pt idx="1">
                  <c:v>国防支出</c:v>
                </c:pt>
                <c:pt idx="2">
                  <c:v>教育支出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其他支出</c:v>
                </c:pt>
              </c:strCache>
            </c:strRef>
          </c:cat>
          <c:val>
            <c:numRef>
              <c:f>Sheet1!$B$2:$B$12</c:f>
              <c:numCache>
                <c:formatCode>General</c:formatCode>
                <c:ptCount val="11"/>
                <c:pt idx="0">
                  <c:v>846.51</c:v>
                </c:pt>
                <c:pt idx="1">
                  <c:v>4.05</c:v>
                </c:pt>
                <c:pt idx="2">
                  <c:v>10.5</c:v>
                </c:pt>
                <c:pt idx="3">
                  <c:v>6</c:v>
                </c:pt>
                <c:pt idx="4">
                  <c:v>86.3</c:v>
                </c:pt>
                <c:pt idx="5">
                  <c:v>50.59</c:v>
                </c:pt>
                <c:pt idx="6">
                  <c:v>3</c:v>
                </c:pt>
                <c:pt idx="7">
                  <c:v>147.8</c:v>
                </c:pt>
                <c:pt idx="8">
                  <c:v>415.52</c:v>
                </c:pt>
                <c:pt idx="9">
                  <c:v>50.65</c:v>
                </c:pt>
                <c:pt idx="10">
                  <c:v>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7625"/>
          <c:y val="0.00515907136715391"/>
        </c:manualLayout>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0208125"/>
          <c:y val="0.00515907136715391"/>
          <c:w val="0.592125"/>
          <c:h val="0.814617368873603"/>
        </c:manualLayout>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8623</Words>
  <Characters>9965</Characters>
  <Lines>61</Lines>
  <Paragraphs>17</Paragraphs>
  <TotalTime>3</TotalTime>
  <ScaleCrop>false</ScaleCrop>
  <LinksUpToDate>false</LinksUpToDate>
  <CharactersWithSpaces>10096</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2022-08-06T02:23:00Z</cp:lastPrinted>
  <dcterms:modified xsi:type="dcterms:W3CDTF">2022-11-25T03:01:15Z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CB447D3F197C40059CE90BEDCC0251AE</vt:lpwstr>
  </property>
</Properties>
</file>