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D4D07">
      <w:pPr>
        <w:widowControl/>
        <w:spacing w:line="240" w:lineRule="auto"/>
        <w:rPr>
          <w:rFonts w:hint="eastAsia" w:ascii="宋体" w:hAnsi="宋体"/>
          <w:sz w:val="72"/>
          <w:szCs w:val="72"/>
        </w:rPr>
      </w:pPr>
    </w:p>
    <w:p w14:paraId="64C0F1E3">
      <w:pPr>
        <w:widowControl/>
        <w:spacing w:line="240" w:lineRule="auto"/>
        <w:rPr>
          <w:rFonts w:hint="eastAsia" w:ascii="方正小标宋_GBK" w:hAnsi="方正小标宋_GBK" w:eastAsia="方正小标宋_GBK" w:cs="方正小标宋_GBK"/>
          <w:b w:val="0"/>
          <w:bCs w:val="0"/>
          <w:sz w:val="72"/>
          <w:szCs w:val="72"/>
        </w:rPr>
      </w:pPr>
      <w:r>
        <w:rPr>
          <w:rFonts w:hint="eastAsia" w:ascii="方正小标宋_GBK" w:hAnsi="方正小标宋_GBK" w:eastAsia="方正小标宋_GBK" w:cs="方正小标宋_GBK"/>
          <w:b w:val="0"/>
          <w:bCs w:val="0"/>
          <w:sz w:val="72"/>
          <w:szCs w:val="72"/>
        </w:rPr>
        <w:t>建设项目环境影响报告表</w:t>
      </w:r>
    </w:p>
    <w:p w14:paraId="503D75D0">
      <w:pPr>
        <w:widowControl/>
        <w:spacing w:line="240" w:lineRule="auto"/>
        <w:rPr>
          <w:rFonts w:hint="eastAsia" w:ascii="方正楷体_GBK" w:hAnsi="方正楷体_GBK" w:eastAsia="方正楷体_GBK" w:cs="方正楷体_GBK"/>
          <w:sz w:val="48"/>
          <w:szCs w:val="48"/>
        </w:rPr>
      </w:pPr>
      <w:r>
        <w:rPr>
          <w:rFonts w:hint="eastAsia" w:ascii="方正楷体_GBK" w:hAnsi="方正楷体_GBK" w:eastAsia="方正楷体_GBK" w:cs="方正楷体_GBK"/>
          <w:sz w:val="48"/>
          <w:szCs w:val="48"/>
        </w:rPr>
        <w:t>（生态影响类）</w:t>
      </w:r>
    </w:p>
    <w:p w14:paraId="60DD8A99">
      <w:pPr>
        <w:widowControl/>
        <w:spacing w:line="240" w:lineRule="auto"/>
        <w:jc w:val="left"/>
        <w:rPr>
          <w:rFonts w:hint="eastAsia" w:ascii="宋体" w:hAnsi="宋体"/>
        </w:rPr>
      </w:pPr>
    </w:p>
    <w:p w14:paraId="2E1AE7D9">
      <w:pPr>
        <w:widowControl/>
        <w:spacing w:line="240" w:lineRule="auto"/>
        <w:jc w:val="left"/>
        <w:rPr>
          <w:rFonts w:hint="eastAsia" w:ascii="宋体" w:hAnsi="宋体"/>
        </w:rPr>
      </w:pPr>
    </w:p>
    <w:p w14:paraId="593D489F">
      <w:pPr>
        <w:widowControl/>
        <w:spacing w:line="240" w:lineRule="auto"/>
        <w:jc w:val="left"/>
        <w:rPr>
          <w:rFonts w:hint="eastAsia" w:ascii="宋体" w:hAnsi="宋体"/>
        </w:rPr>
      </w:pPr>
    </w:p>
    <w:p w14:paraId="1F17DEF8">
      <w:pPr>
        <w:widowControl/>
        <w:spacing w:line="240" w:lineRule="auto"/>
        <w:jc w:val="left"/>
        <w:rPr>
          <w:rFonts w:hint="eastAsia" w:ascii="宋体" w:hAnsi="宋体"/>
        </w:rPr>
      </w:pPr>
    </w:p>
    <w:p w14:paraId="71D19673">
      <w:pPr>
        <w:widowControl/>
        <w:spacing w:line="240" w:lineRule="auto"/>
        <w:jc w:val="left"/>
        <w:rPr>
          <w:rFonts w:hint="eastAsia" w:ascii="宋体" w:hAnsi="宋体"/>
        </w:rPr>
      </w:pPr>
    </w:p>
    <w:p w14:paraId="1085A920">
      <w:pPr>
        <w:widowControl/>
        <w:spacing w:line="240" w:lineRule="auto"/>
        <w:jc w:val="left"/>
        <w:rPr>
          <w:rFonts w:hint="eastAsia" w:ascii="宋体" w:hAnsi="宋体"/>
        </w:rPr>
      </w:pPr>
    </w:p>
    <w:p w14:paraId="72B5E11A">
      <w:pPr>
        <w:widowControl/>
        <w:spacing w:line="240" w:lineRule="auto"/>
        <w:jc w:val="left"/>
        <w:rPr>
          <w:rFonts w:hint="eastAsia" w:ascii="宋体" w:hAnsi="宋体"/>
        </w:rPr>
      </w:pPr>
    </w:p>
    <w:p w14:paraId="4689904A">
      <w:pPr>
        <w:widowControl/>
        <w:spacing w:line="240" w:lineRule="auto"/>
        <w:jc w:val="left"/>
        <w:rPr>
          <w:rFonts w:hint="eastAsia" w:ascii="宋体" w:hAnsi="宋体"/>
        </w:rPr>
      </w:pPr>
    </w:p>
    <w:p w14:paraId="26714BD0">
      <w:pPr>
        <w:widowControl/>
        <w:spacing w:line="240" w:lineRule="auto"/>
        <w:jc w:val="left"/>
        <w:rPr>
          <w:rFonts w:hint="eastAsia" w:ascii="宋体" w:hAnsi="宋体"/>
        </w:rPr>
      </w:pPr>
    </w:p>
    <w:p w14:paraId="637637BD">
      <w:pPr>
        <w:widowControl/>
        <w:spacing w:line="240" w:lineRule="auto"/>
        <w:jc w:val="left"/>
        <w:rPr>
          <w:rFonts w:hint="eastAsia" w:ascii="宋体" w:hAnsi="宋体"/>
        </w:rPr>
      </w:pPr>
    </w:p>
    <w:p w14:paraId="49452AF2">
      <w:pPr>
        <w:widowControl/>
        <w:spacing w:line="240" w:lineRule="auto"/>
        <w:jc w:val="left"/>
        <w:rPr>
          <w:rFonts w:hint="eastAsia" w:ascii="宋体" w:hAnsi="宋体"/>
        </w:rPr>
      </w:pPr>
    </w:p>
    <w:p w14:paraId="4AA574D2">
      <w:pPr>
        <w:widowControl/>
        <w:spacing w:line="240" w:lineRule="auto"/>
        <w:jc w:val="left"/>
        <w:rPr>
          <w:rFonts w:hint="eastAsia" w:ascii="宋体" w:hAnsi="宋体"/>
        </w:rPr>
      </w:pPr>
    </w:p>
    <w:p w14:paraId="601C9C8B">
      <w:pPr>
        <w:widowControl/>
        <w:spacing w:line="240" w:lineRule="auto"/>
        <w:jc w:val="left"/>
        <w:rPr>
          <w:rFonts w:hint="eastAsia" w:ascii="宋体" w:hAnsi="宋体"/>
        </w:rPr>
      </w:pPr>
    </w:p>
    <w:p w14:paraId="70B53C70">
      <w:pPr>
        <w:widowControl/>
        <w:spacing w:line="240" w:lineRule="auto"/>
        <w:jc w:val="left"/>
        <w:rPr>
          <w:rFonts w:hint="eastAsia" w:ascii="宋体" w:hAnsi="宋体"/>
        </w:rPr>
      </w:pPr>
    </w:p>
    <w:p w14:paraId="6C2F8FDA">
      <w:pPr>
        <w:widowControl/>
        <w:spacing w:line="240" w:lineRule="auto"/>
        <w:jc w:val="left"/>
        <w:rPr>
          <w:rFonts w:hint="eastAsia" w:ascii="宋体" w:hAnsi="宋体"/>
        </w:rPr>
      </w:pPr>
    </w:p>
    <w:p w14:paraId="69952F5A">
      <w:pPr>
        <w:widowControl/>
        <w:spacing w:line="240" w:lineRule="auto"/>
        <w:jc w:val="left"/>
        <w:rPr>
          <w:rFonts w:hint="eastAsia" w:ascii="宋体" w:hAnsi="宋体"/>
          <w:sz w:val="28"/>
          <w:szCs w:val="22"/>
        </w:rPr>
      </w:pPr>
    </w:p>
    <w:p w14:paraId="1B468B8E">
      <w:pPr>
        <w:widowControl/>
        <w:spacing w:line="360" w:lineRule="auto"/>
        <w:ind w:left="480" w:leftChars="200"/>
        <w:jc w:val="left"/>
        <w:rPr>
          <w:rFonts w:hint="default"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sz w:val="32"/>
          <w:szCs w:val="32"/>
        </w:rPr>
        <w:t>项目名称：</w:t>
      </w:r>
      <w:r>
        <w:rPr>
          <w:rFonts w:hint="eastAsia" w:ascii="方正仿宋_GB2312" w:hAnsi="方正仿宋_GB2312" w:eastAsia="方正仿宋_GB2312" w:cs="方正仿宋_GB2312"/>
          <w:sz w:val="32"/>
          <w:szCs w:val="32"/>
          <w:u w:val="single"/>
          <w:lang w:val="en-US" w:eastAsia="zh-CN"/>
        </w:rPr>
        <w:t xml:space="preserve">    四川省宣汉县新宁河天生镇防洪治理工程     </w:t>
      </w:r>
    </w:p>
    <w:p w14:paraId="6C121B59">
      <w:pPr>
        <w:widowControl/>
        <w:spacing w:line="360" w:lineRule="auto"/>
        <w:ind w:left="480" w:leftChars="200"/>
        <w:jc w:val="left"/>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建设单位：</w:t>
      </w:r>
      <w:r>
        <w:rPr>
          <w:rFonts w:hint="eastAsia" w:ascii="方正仿宋_GB2312" w:hAnsi="方正仿宋_GB2312" w:eastAsia="方正仿宋_GB2312" w:cs="方正仿宋_GB2312"/>
          <w:sz w:val="32"/>
          <w:szCs w:val="32"/>
          <w:u w:val="single"/>
          <w:lang w:val="en-US" w:eastAsia="zh-CN"/>
        </w:rPr>
        <w:t xml:space="preserve">            宣汉县乡村水务有限公司</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p>
    <w:p w14:paraId="53D4323F">
      <w:pPr>
        <w:widowControl/>
        <w:spacing w:line="360" w:lineRule="auto"/>
        <w:ind w:left="480" w:left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编制日期：</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二〇二五年</w:t>
      </w:r>
      <w:r>
        <w:rPr>
          <w:rFonts w:hint="eastAsia" w:ascii="方正仿宋_GB2312" w:hAnsi="方正仿宋_GB2312" w:eastAsia="方正仿宋_GB2312" w:cs="方正仿宋_GB2312"/>
          <w:sz w:val="32"/>
          <w:szCs w:val="32"/>
          <w:u w:val="single"/>
          <w:lang w:val="en-US" w:eastAsia="zh-CN"/>
        </w:rPr>
        <w:t>十二</w:t>
      </w:r>
      <w:r>
        <w:rPr>
          <w:rFonts w:hint="eastAsia" w:ascii="方正仿宋_GB2312" w:hAnsi="方正仿宋_GB2312" w:eastAsia="方正仿宋_GB2312" w:cs="方正仿宋_GB2312"/>
          <w:sz w:val="32"/>
          <w:szCs w:val="32"/>
          <w:u w:val="single"/>
        </w:rPr>
        <w:t xml:space="preserve">月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p>
    <w:p w14:paraId="01876BDD">
      <w:pPr>
        <w:widowControl/>
        <w:spacing w:line="240" w:lineRule="auto"/>
        <w:jc w:val="left"/>
        <w:rPr>
          <w:rFonts w:hint="eastAsia" w:ascii="宋体" w:hAnsi="宋体"/>
          <w:sz w:val="32"/>
          <w:szCs w:val="32"/>
        </w:rPr>
      </w:pPr>
    </w:p>
    <w:p w14:paraId="482767F1">
      <w:pPr>
        <w:widowControl/>
        <w:spacing w:line="240" w:lineRule="auto"/>
        <w:jc w:val="left"/>
        <w:rPr>
          <w:rFonts w:hint="eastAsia" w:ascii="宋体" w:hAnsi="宋体"/>
          <w:sz w:val="32"/>
          <w:szCs w:val="32"/>
        </w:rPr>
      </w:pPr>
    </w:p>
    <w:p w14:paraId="0C7C08EC">
      <w:pPr>
        <w:widowControl/>
        <w:spacing w:line="240" w:lineRule="auto"/>
        <w:rPr>
          <w:rFonts w:hint="eastAsia" w:ascii="宋体" w:hAnsi="宋体"/>
        </w:rPr>
        <w:sectPr>
          <w:footerReference r:id="rId6" w:type="first"/>
          <w:footerReference r:id="rId5" w:type="default"/>
          <w:pgSz w:w="11906" w:h="16838"/>
          <w:pgMar w:top="1440" w:right="1080" w:bottom="1440" w:left="1080" w:header="851" w:footer="992" w:gutter="0"/>
          <w:pgBorders>
            <w:top w:val="none" w:sz="0" w:space="0"/>
            <w:left w:val="none" w:sz="0" w:space="0"/>
            <w:bottom w:val="none" w:sz="0" w:space="0"/>
            <w:right w:val="none" w:sz="0" w:space="0"/>
          </w:pgBorders>
          <w:cols w:space="425" w:num="1"/>
          <w:titlePg/>
          <w:docGrid w:type="lines" w:linePitch="326" w:charSpace="0"/>
        </w:sectPr>
      </w:pPr>
      <w:r>
        <w:rPr>
          <w:rFonts w:hint="eastAsia" w:ascii="宋体" w:hAnsi="宋体"/>
          <w:sz w:val="32"/>
          <w:szCs w:val="32"/>
        </w:rPr>
        <w:t>中华人民共和国生态环境部制</w:t>
      </w:r>
      <w:r>
        <w:rPr>
          <w:rFonts w:ascii="宋体" w:hAnsi="宋体"/>
        </w:rPr>
        <w:t xml:space="preserve"> </w:t>
      </w:r>
    </w:p>
    <w:sdt>
      <w:sdtPr>
        <w:rPr>
          <w:lang w:val="zh-CN"/>
        </w:rPr>
        <w:id w:val="-1"/>
        <w:docPartObj>
          <w:docPartGallery w:val="Table of Contents"/>
          <w:docPartUnique/>
        </w:docPartObj>
      </w:sdtPr>
      <w:sdtEndPr>
        <w:rPr>
          <w:b/>
          <w:bCs/>
          <w:lang w:val="zh-CN"/>
        </w:rPr>
      </w:sdtEndPr>
      <w:sdtContent>
        <w:p w14:paraId="7DACF5DE">
          <w:pPr>
            <w:spacing w:line="360" w:lineRule="auto"/>
            <w:rPr>
              <w:rFonts w:cs="Times New Roman"/>
              <w:sz w:val="28"/>
              <w:szCs w:val="28"/>
            </w:rPr>
          </w:pPr>
          <w:r>
            <w:rPr>
              <w:rFonts w:cs="Times New Roman"/>
              <w:sz w:val="28"/>
              <w:szCs w:val="28"/>
              <w:lang w:val="zh-CN"/>
            </w:rPr>
            <w:t>目录</w:t>
          </w:r>
        </w:p>
        <w:p w14:paraId="4ED8C961">
          <w:pPr>
            <w:pStyle w:val="31"/>
            <w:tabs>
              <w:tab w:val="right" w:leader="dot" w:pos="9070"/>
              <w:tab w:val="clear" w:pos="9060"/>
            </w:tabs>
            <w:spacing w:line="360" w:lineRule="auto"/>
            <w:rPr>
              <w:b w:val="0"/>
              <w:bCs w:val="0"/>
            </w:rPr>
          </w:pPr>
          <w:r>
            <w:rPr>
              <w:rFonts w:cs="Times New Roman"/>
              <w:b w:val="0"/>
              <w:bCs w:val="0"/>
            </w:rPr>
            <w:fldChar w:fldCharType="begin"/>
          </w:r>
          <w:r>
            <w:rPr>
              <w:rFonts w:cs="Times New Roman"/>
              <w:b w:val="0"/>
              <w:bCs w:val="0"/>
            </w:rPr>
            <w:instrText xml:space="preserve"> TOC \o "1-3" \h \z \u </w:instrText>
          </w:r>
          <w:r>
            <w:rPr>
              <w:rFonts w:cs="Times New Roman"/>
              <w:b w:val="0"/>
              <w:bCs w:val="0"/>
            </w:rPr>
            <w:fldChar w:fldCharType="separate"/>
          </w:r>
          <w:r>
            <w:rPr>
              <w:rFonts w:cs="Times New Roman"/>
              <w:b w:val="0"/>
              <w:bCs w:val="0"/>
            </w:rPr>
            <w:fldChar w:fldCharType="begin"/>
          </w:r>
          <w:r>
            <w:rPr>
              <w:rFonts w:cs="Times New Roman"/>
              <w:b w:val="0"/>
              <w:bCs w:val="0"/>
            </w:rPr>
            <w:instrText xml:space="preserve"> HYPERLINK \l _Toc29280 </w:instrText>
          </w:r>
          <w:r>
            <w:rPr>
              <w:rFonts w:cs="Times New Roman"/>
              <w:b w:val="0"/>
              <w:bCs w:val="0"/>
            </w:rPr>
            <w:fldChar w:fldCharType="separate"/>
          </w:r>
          <w:r>
            <w:rPr>
              <w:rFonts w:hint="eastAsia"/>
              <w:b w:val="0"/>
              <w:bCs w:val="0"/>
            </w:rPr>
            <w:t xml:space="preserve">一、 </w:t>
          </w:r>
          <w:r>
            <w:rPr>
              <w:b w:val="0"/>
              <w:bCs w:val="0"/>
            </w:rPr>
            <w:t>建设项目基本情况</w:t>
          </w:r>
          <w:r>
            <w:rPr>
              <w:b w:val="0"/>
              <w:bCs w:val="0"/>
            </w:rPr>
            <w:tab/>
          </w:r>
          <w:r>
            <w:rPr>
              <w:b w:val="0"/>
              <w:bCs w:val="0"/>
            </w:rPr>
            <w:fldChar w:fldCharType="begin"/>
          </w:r>
          <w:r>
            <w:rPr>
              <w:b w:val="0"/>
              <w:bCs w:val="0"/>
            </w:rPr>
            <w:instrText xml:space="preserve"> PAGEREF _Toc29280 \h </w:instrText>
          </w:r>
          <w:r>
            <w:rPr>
              <w:b w:val="0"/>
              <w:bCs w:val="0"/>
            </w:rPr>
            <w:fldChar w:fldCharType="separate"/>
          </w:r>
          <w:r>
            <w:rPr>
              <w:b w:val="0"/>
              <w:bCs w:val="0"/>
            </w:rPr>
            <w:t>1</w:t>
          </w:r>
          <w:r>
            <w:rPr>
              <w:b w:val="0"/>
              <w:bCs w:val="0"/>
            </w:rPr>
            <w:fldChar w:fldCharType="end"/>
          </w:r>
          <w:r>
            <w:rPr>
              <w:rFonts w:cs="Times New Roman"/>
              <w:b w:val="0"/>
              <w:bCs w:val="0"/>
            </w:rPr>
            <w:fldChar w:fldCharType="end"/>
          </w:r>
        </w:p>
        <w:p w14:paraId="2FC9C23B">
          <w:pPr>
            <w:pStyle w:val="31"/>
            <w:tabs>
              <w:tab w:val="right" w:leader="dot" w:pos="9070"/>
              <w:tab w:val="clear" w:pos="9060"/>
            </w:tabs>
            <w:spacing w:line="360" w:lineRule="auto"/>
            <w:rPr>
              <w:b w:val="0"/>
              <w:bCs w:val="0"/>
            </w:rPr>
          </w:pPr>
          <w:r>
            <w:rPr>
              <w:rFonts w:cs="Times New Roman"/>
              <w:b w:val="0"/>
              <w:bCs w:val="0"/>
              <w:lang w:val="zh-CN"/>
            </w:rPr>
            <w:fldChar w:fldCharType="begin"/>
          </w:r>
          <w:r>
            <w:rPr>
              <w:rFonts w:cs="Times New Roman"/>
              <w:b w:val="0"/>
              <w:bCs w:val="0"/>
              <w:lang w:val="zh-CN"/>
            </w:rPr>
            <w:instrText xml:space="preserve"> HYPERLINK \l _Toc10957 </w:instrText>
          </w:r>
          <w:r>
            <w:rPr>
              <w:rFonts w:cs="Times New Roman"/>
              <w:b w:val="0"/>
              <w:bCs w:val="0"/>
              <w:lang w:val="zh-CN"/>
            </w:rPr>
            <w:fldChar w:fldCharType="separate"/>
          </w:r>
          <w:r>
            <w:rPr>
              <w:rFonts w:hint="eastAsia"/>
              <w:b w:val="0"/>
              <w:bCs w:val="0"/>
            </w:rPr>
            <w:t>二、 建设内容</w:t>
          </w:r>
          <w:r>
            <w:rPr>
              <w:b w:val="0"/>
              <w:bCs w:val="0"/>
            </w:rPr>
            <w:tab/>
          </w:r>
          <w:r>
            <w:rPr>
              <w:b w:val="0"/>
              <w:bCs w:val="0"/>
            </w:rPr>
            <w:fldChar w:fldCharType="begin"/>
          </w:r>
          <w:r>
            <w:rPr>
              <w:b w:val="0"/>
              <w:bCs w:val="0"/>
            </w:rPr>
            <w:instrText xml:space="preserve"> PAGEREF _Toc10957 \h </w:instrText>
          </w:r>
          <w:r>
            <w:rPr>
              <w:b w:val="0"/>
              <w:bCs w:val="0"/>
            </w:rPr>
            <w:fldChar w:fldCharType="separate"/>
          </w:r>
          <w:r>
            <w:rPr>
              <w:b w:val="0"/>
              <w:bCs w:val="0"/>
            </w:rPr>
            <w:t>29</w:t>
          </w:r>
          <w:r>
            <w:rPr>
              <w:b w:val="0"/>
              <w:bCs w:val="0"/>
            </w:rPr>
            <w:fldChar w:fldCharType="end"/>
          </w:r>
          <w:r>
            <w:rPr>
              <w:rFonts w:cs="Times New Roman"/>
              <w:b w:val="0"/>
              <w:bCs w:val="0"/>
              <w:lang w:val="zh-CN"/>
            </w:rPr>
            <w:fldChar w:fldCharType="end"/>
          </w:r>
        </w:p>
        <w:p w14:paraId="71970DC0">
          <w:pPr>
            <w:pStyle w:val="31"/>
            <w:tabs>
              <w:tab w:val="right" w:leader="dot" w:pos="9070"/>
              <w:tab w:val="clear" w:pos="9060"/>
            </w:tabs>
            <w:spacing w:line="360" w:lineRule="auto"/>
            <w:rPr>
              <w:b w:val="0"/>
              <w:bCs w:val="0"/>
            </w:rPr>
          </w:pPr>
          <w:r>
            <w:rPr>
              <w:rFonts w:cs="Times New Roman"/>
              <w:b w:val="0"/>
              <w:bCs w:val="0"/>
              <w:lang w:val="zh-CN"/>
            </w:rPr>
            <w:fldChar w:fldCharType="begin"/>
          </w:r>
          <w:r>
            <w:rPr>
              <w:rFonts w:cs="Times New Roman"/>
              <w:b w:val="0"/>
              <w:bCs w:val="0"/>
              <w:lang w:val="zh-CN"/>
            </w:rPr>
            <w:instrText xml:space="preserve"> HYPERLINK \l _Toc12215 </w:instrText>
          </w:r>
          <w:r>
            <w:rPr>
              <w:rFonts w:cs="Times New Roman"/>
              <w:b w:val="0"/>
              <w:bCs w:val="0"/>
              <w:lang w:val="zh-CN"/>
            </w:rPr>
            <w:fldChar w:fldCharType="separate"/>
          </w:r>
          <w:r>
            <w:rPr>
              <w:rFonts w:hint="eastAsia"/>
              <w:b w:val="0"/>
              <w:bCs w:val="0"/>
            </w:rPr>
            <w:t>三、 生态环境现状、环境保护目标及评价标准</w:t>
          </w:r>
          <w:r>
            <w:rPr>
              <w:b w:val="0"/>
              <w:bCs w:val="0"/>
            </w:rPr>
            <w:tab/>
          </w:r>
          <w:r>
            <w:rPr>
              <w:b w:val="0"/>
              <w:bCs w:val="0"/>
            </w:rPr>
            <w:fldChar w:fldCharType="begin"/>
          </w:r>
          <w:r>
            <w:rPr>
              <w:b w:val="0"/>
              <w:bCs w:val="0"/>
            </w:rPr>
            <w:instrText xml:space="preserve"> PAGEREF _Toc12215 \h </w:instrText>
          </w:r>
          <w:r>
            <w:rPr>
              <w:b w:val="0"/>
              <w:bCs w:val="0"/>
            </w:rPr>
            <w:fldChar w:fldCharType="separate"/>
          </w:r>
          <w:r>
            <w:rPr>
              <w:b w:val="0"/>
              <w:bCs w:val="0"/>
            </w:rPr>
            <w:t>46</w:t>
          </w:r>
          <w:r>
            <w:rPr>
              <w:b w:val="0"/>
              <w:bCs w:val="0"/>
            </w:rPr>
            <w:fldChar w:fldCharType="end"/>
          </w:r>
          <w:r>
            <w:rPr>
              <w:rFonts w:cs="Times New Roman"/>
              <w:b w:val="0"/>
              <w:bCs w:val="0"/>
              <w:lang w:val="zh-CN"/>
            </w:rPr>
            <w:fldChar w:fldCharType="end"/>
          </w:r>
        </w:p>
        <w:p w14:paraId="76C322E1">
          <w:pPr>
            <w:pStyle w:val="31"/>
            <w:tabs>
              <w:tab w:val="right" w:leader="dot" w:pos="9070"/>
              <w:tab w:val="clear" w:pos="9060"/>
            </w:tabs>
            <w:spacing w:line="360" w:lineRule="auto"/>
            <w:rPr>
              <w:b w:val="0"/>
              <w:bCs w:val="0"/>
            </w:rPr>
          </w:pPr>
          <w:r>
            <w:rPr>
              <w:rFonts w:cs="Times New Roman"/>
              <w:b w:val="0"/>
              <w:bCs w:val="0"/>
              <w:lang w:val="zh-CN"/>
            </w:rPr>
            <w:fldChar w:fldCharType="begin"/>
          </w:r>
          <w:r>
            <w:rPr>
              <w:rFonts w:cs="Times New Roman"/>
              <w:b w:val="0"/>
              <w:bCs w:val="0"/>
              <w:lang w:val="zh-CN"/>
            </w:rPr>
            <w:instrText xml:space="preserve"> HYPERLINK \l _Toc466 </w:instrText>
          </w:r>
          <w:r>
            <w:rPr>
              <w:rFonts w:cs="Times New Roman"/>
              <w:b w:val="0"/>
              <w:bCs w:val="0"/>
              <w:lang w:val="zh-CN"/>
            </w:rPr>
            <w:fldChar w:fldCharType="separate"/>
          </w:r>
          <w:r>
            <w:rPr>
              <w:rFonts w:hint="eastAsia"/>
              <w:b w:val="0"/>
              <w:bCs w:val="0"/>
            </w:rPr>
            <w:t>四、 生态环境影响分析</w:t>
          </w:r>
          <w:r>
            <w:rPr>
              <w:b w:val="0"/>
              <w:bCs w:val="0"/>
            </w:rPr>
            <w:tab/>
          </w:r>
          <w:r>
            <w:rPr>
              <w:b w:val="0"/>
              <w:bCs w:val="0"/>
            </w:rPr>
            <w:fldChar w:fldCharType="begin"/>
          </w:r>
          <w:r>
            <w:rPr>
              <w:b w:val="0"/>
              <w:bCs w:val="0"/>
            </w:rPr>
            <w:instrText xml:space="preserve"> PAGEREF _Toc466 \h </w:instrText>
          </w:r>
          <w:r>
            <w:rPr>
              <w:b w:val="0"/>
              <w:bCs w:val="0"/>
            </w:rPr>
            <w:fldChar w:fldCharType="separate"/>
          </w:r>
          <w:r>
            <w:rPr>
              <w:b w:val="0"/>
              <w:bCs w:val="0"/>
            </w:rPr>
            <w:t>62</w:t>
          </w:r>
          <w:r>
            <w:rPr>
              <w:b w:val="0"/>
              <w:bCs w:val="0"/>
            </w:rPr>
            <w:fldChar w:fldCharType="end"/>
          </w:r>
          <w:r>
            <w:rPr>
              <w:rFonts w:cs="Times New Roman"/>
              <w:b w:val="0"/>
              <w:bCs w:val="0"/>
              <w:lang w:val="zh-CN"/>
            </w:rPr>
            <w:fldChar w:fldCharType="end"/>
          </w:r>
        </w:p>
        <w:p w14:paraId="4FA525A8">
          <w:pPr>
            <w:pStyle w:val="31"/>
            <w:tabs>
              <w:tab w:val="right" w:leader="dot" w:pos="9070"/>
              <w:tab w:val="clear" w:pos="9060"/>
            </w:tabs>
            <w:spacing w:line="360" w:lineRule="auto"/>
            <w:rPr>
              <w:b w:val="0"/>
              <w:bCs w:val="0"/>
            </w:rPr>
          </w:pPr>
          <w:r>
            <w:rPr>
              <w:rFonts w:cs="Times New Roman"/>
              <w:b w:val="0"/>
              <w:bCs w:val="0"/>
              <w:lang w:val="zh-CN"/>
            </w:rPr>
            <w:fldChar w:fldCharType="begin"/>
          </w:r>
          <w:r>
            <w:rPr>
              <w:rFonts w:cs="Times New Roman"/>
              <w:b w:val="0"/>
              <w:bCs w:val="0"/>
              <w:lang w:val="zh-CN"/>
            </w:rPr>
            <w:instrText xml:space="preserve"> HYPERLINK \l _Toc23479 </w:instrText>
          </w:r>
          <w:r>
            <w:rPr>
              <w:rFonts w:cs="Times New Roman"/>
              <w:b w:val="0"/>
              <w:bCs w:val="0"/>
              <w:lang w:val="zh-CN"/>
            </w:rPr>
            <w:fldChar w:fldCharType="separate"/>
          </w:r>
          <w:r>
            <w:rPr>
              <w:rFonts w:hint="eastAsia"/>
              <w:b w:val="0"/>
              <w:bCs w:val="0"/>
            </w:rPr>
            <w:t>五、 主要生态环境保护措施</w:t>
          </w:r>
          <w:r>
            <w:rPr>
              <w:b w:val="0"/>
              <w:bCs w:val="0"/>
            </w:rPr>
            <w:tab/>
          </w:r>
          <w:r>
            <w:rPr>
              <w:b w:val="0"/>
              <w:bCs w:val="0"/>
            </w:rPr>
            <w:fldChar w:fldCharType="begin"/>
          </w:r>
          <w:r>
            <w:rPr>
              <w:b w:val="0"/>
              <w:bCs w:val="0"/>
            </w:rPr>
            <w:instrText xml:space="preserve"> PAGEREF _Toc23479 \h </w:instrText>
          </w:r>
          <w:r>
            <w:rPr>
              <w:b w:val="0"/>
              <w:bCs w:val="0"/>
            </w:rPr>
            <w:fldChar w:fldCharType="separate"/>
          </w:r>
          <w:r>
            <w:rPr>
              <w:b w:val="0"/>
              <w:bCs w:val="0"/>
            </w:rPr>
            <w:t>82</w:t>
          </w:r>
          <w:r>
            <w:rPr>
              <w:b w:val="0"/>
              <w:bCs w:val="0"/>
            </w:rPr>
            <w:fldChar w:fldCharType="end"/>
          </w:r>
          <w:r>
            <w:rPr>
              <w:rFonts w:cs="Times New Roman"/>
              <w:b w:val="0"/>
              <w:bCs w:val="0"/>
              <w:lang w:val="zh-CN"/>
            </w:rPr>
            <w:fldChar w:fldCharType="end"/>
          </w:r>
        </w:p>
        <w:p w14:paraId="7109853C">
          <w:pPr>
            <w:pStyle w:val="31"/>
            <w:tabs>
              <w:tab w:val="right" w:leader="dot" w:pos="9070"/>
              <w:tab w:val="clear" w:pos="9060"/>
            </w:tabs>
            <w:spacing w:line="360" w:lineRule="auto"/>
            <w:rPr>
              <w:b w:val="0"/>
              <w:bCs w:val="0"/>
            </w:rPr>
          </w:pPr>
          <w:r>
            <w:rPr>
              <w:rFonts w:cs="Times New Roman"/>
              <w:b w:val="0"/>
              <w:bCs w:val="0"/>
              <w:lang w:val="zh-CN"/>
            </w:rPr>
            <w:fldChar w:fldCharType="begin"/>
          </w:r>
          <w:r>
            <w:rPr>
              <w:rFonts w:cs="Times New Roman"/>
              <w:b w:val="0"/>
              <w:bCs w:val="0"/>
              <w:lang w:val="zh-CN"/>
            </w:rPr>
            <w:instrText xml:space="preserve"> HYPERLINK \l _Toc6003 </w:instrText>
          </w:r>
          <w:r>
            <w:rPr>
              <w:rFonts w:cs="Times New Roman"/>
              <w:b w:val="0"/>
              <w:bCs w:val="0"/>
              <w:lang w:val="zh-CN"/>
            </w:rPr>
            <w:fldChar w:fldCharType="separate"/>
          </w:r>
          <w:r>
            <w:rPr>
              <w:rFonts w:hint="eastAsia"/>
              <w:b w:val="0"/>
              <w:bCs w:val="0"/>
            </w:rPr>
            <w:t>六、 生态环境保护措施监督检查清单</w:t>
          </w:r>
          <w:r>
            <w:rPr>
              <w:b w:val="0"/>
              <w:bCs w:val="0"/>
            </w:rPr>
            <w:tab/>
          </w:r>
          <w:r>
            <w:rPr>
              <w:b w:val="0"/>
              <w:bCs w:val="0"/>
            </w:rPr>
            <w:fldChar w:fldCharType="begin"/>
          </w:r>
          <w:r>
            <w:rPr>
              <w:b w:val="0"/>
              <w:bCs w:val="0"/>
            </w:rPr>
            <w:instrText xml:space="preserve"> PAGEREF _Toc6003 \h </w:instrText>
          </w:r>
          <w:r>
            <w:rPr>
              <w:b w:val="0"/>
              <w:bCs w:val="0"/>
            </w:rPr>
            <w:fldChar w:fldCharType="separate"/>
          </w:r>
          <w:r>
            <w:rPr>
              <w:b w:val="0"/>
              <w:bCs w:val="0"/>
            </w:rPr>
            <w:t>90</w:t>
          </w:r>
          <w:r>
            <w:rPr>
              <w:b w:val="0"/>
              <w:bCs w:val="0"/>
            </w:rPr>
            <w:fldChar w:fldCharType="end"/>
          </w:r>
          <w:r>
            <w:rPr>
              <w:rFonts w:cs="Times New Roman"/>
              <w:b w:val="0"/>
              <w:bCs w:val="0"/>
              <w:lang w:val="zh-CN"/>
            </w:rPr>
            <w:fldChar w:fldCharType="end"/>
          </w:r>
        </w:p>
        <w:p w14:paraId="4DDD0E8C">
          <w:pPr>
            <w:pStyle w:val="31"/>
            <w:tabs>
              <w:tab w:val="right" w:leader="dot" w:pos="9070"/>
              <w:tab w:val="clear" w:pos="9060"/>
            </w:tabs>
            <w:spacing w:line="360" w:lineRule="auto"/>
            <w:rPr>
              <w:b w:val="0"/>
              <w:bCs w:val="0"/>
            </w:rPr>
          </w:pPr>
          <w:r>
            <w:rPr>
              <w:rFonts w:cs="Times New Roman"/>
              <w:b w:val="0"/>
              <w:bCs w:val="0"/>
              <w:lang w:val="zh-CN"/>
            </w:rPr>
            <w:fldChar w:fldCharType="begin"/>
          </w:r>
          <w:r>
            <w:rPr>
              <w:rFonts w:cs="Times New Roman"/>
              <w:b w:val="0"/>
              <w:bCs w:val="0"/>
              <w:lang w:val="zh-CN"/>
            </w:rPr>
            <w:instrText xml:space="preserve"> HYPERLINK \l _Toc20411 </w:instrText>
          </w:r>
          <w:r>
            <w:rPr>
              <w:rFonts w:cs="Times New Roman"/>
              <w:b w:val="0"/>
              <w:bCs w:val="0"/>
              <w:lang w:val="zh-CN"/>
            </w:rPr>
            <w:fldChar w:fldCharType="separate"/>
          </w:r>
          <w:r>
            <w:rPr>
              <w:rFonts w:hint="eastAsia"/>
              <w:b w:val="0"/>
              <w:bCs w:val="0"/>
            </w:rPr>
            <w:t>七、 结论</w:t>
          </w:r>
          <w:r>
            <w:rPr>
              <w:b w:val="0"/>
              <w:bCs w:val="0"/>
            </w:rPr>
            <w:tab/>
          </w:r>
          <w:r>
            <w:rPr>
              <w:b w:val="0"/>
              <w:bCs w:val="0"/>
            </w:rPr>
            <w:fldChar w:fldCharType="begin"/>
          </w:r>
          <w:r>
            <w:rPr>
              <w:b w:val="0"/>
              <w:bCs w:val="0"/>
            </w:rPr>
            <w:instrText xml:space="preserve"> PAGEREF _Toc20411 \h </w:instrText>
          </w:r>
          <w:r>
            <w:rPr>
              <w:b w:val="0"/>
              <w:bCs w:val="0"/>
            </w:rPr>
            <w:fldChar w:fldCharType="separate"/>
          </w:r>
          <w:r>
            <w:rPr>
              <w:b w:val="0"/>
              <w:bCs w:val="0"/>
            </w:rPr>
            <w:t>93</w:t>
          </w:r>
          <w:r>
            <w:rPr>
              <w:b w:val="0"/>
              <w:bCs w:val="0"/>
            </w:rPr>
            <w:fldChar w:fldCharType="end"/>
          </w:r>
          <w:r>
            <w:rPr>
              <w:rFonts w:cs="Times New Roman"/>
              <w:b w:val="0"/>
              <w:bCs w:val="0"/>
              <w:lang w:val="zh-CN"/>
            </w:rPr>
            <w:fldChar w:fldCharType="end"/>
          </w:r>
        </w:p>
        <w:p w14:paraId="5F316EE9">
          <w:pPr>
            <w:spacing w:line="360" w:lineRule="auto"/>
            <w:jc w:val="both"/>
          </w:pPr>
          <w:r>
            <w:rPr>
              <w:rFonts w:cs="Times New Roman"/>
              <w:b w:val="0"/>
              <w:bCs w:val="0"/>
              <w:lang w:val="zh-CN"/>
            </w:rPr>
            <w:fldChar w:fldCharType="end"/>
          </w:r>
        </w:p>
      </w:sdtContent>
    </w:sdt>
    <w:p w14:paraId="0678C2CE">
      <w:pPr>
        <w:widowControl/>
        <w:spacing w:line="240" w:lineRule="auto"/>
        <w:jc w:val="both"/>
        <w:rPr>
          <w:rFonts w:hint="eastAsia" w:ascii="宋体" w:hAnsi="宋体"/>
        </w:rPr>
      </w:pPr>
    </w:p>
    <w:p w14:paraId="61D60A5D">
      <w:pPr>
        <w:widowControl/>
        <w:spacing w:line="240" w:lineRule="auto"/>
        <w:rPr>
          <w:rFonts w:hint="eastAsia" w:ascii="宋体" w:hAnsi="宋体"/>
        </w:rPr>
      </w:pPr>
    </w:p>
    <w:p w14:paraId="2810DDCF">
      <w:pPr>
        <w:pStyle w:val="6"/>
        <w:sectPr>
          <w:pgSz w:w="11906" w:h="16838"/>
          <w:pgMar w:top="1134" w:right="1418" w:bottom="1134" w:left="1418" w:header="851" w:footer="992" w:gutter="0"/>
          <w:pgBorders>
            <w:top w:val="none" w:sz="0" w:space="0"/>
            <w:left w:val="none" w:sz="0" w:space="0"/>
            <w:bottom w:val="none" w:sz="0" w:space="0"/>
            <w:right w:val="none" w:sz="0" w:space="0"/>
          </w:pgBorders>
          <w:cols w:space="425" w:num="1"/>
          <w:titlePg/>
          <w:docGrid w:type="lines" w:linePitch="326" w:charSpace="0"/>
        </w:sectPr>
      </w:pPr>
    </w:p>
    <w:p w14:paraId="008C7A3F">
      <w:pPr>
        <w:pStyle w:val="6"/>
      </w:pPr>
    </w:p>
    <w:p w14:paraId="785B867D">
      <w:pPr>
        <w:pStyle w:val="2"/>
        <w:spacing w:after="163"/>
      </w:pPr>
      <w:bookmarkStart w:id="0" w:name="_Toc29280"/>
      <w:r>
        <w:t>建设项目基本情况</w:t>
      </w:r>
      <w:bookmarkEnd w:id="0"/>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325"/>
        <w:gridCol w:w="2488"/>
        <w:gridCol w:w="418"/>
        <w:gridCol w:w="1306"/>
        <w:gridCol w:w="144"/>
        <w:gridCol w:w="3249"/>
      </w:tblGrid>
      <w:tr w14:paraId="519A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6A435A8D">
            <w:r>
              <w:rPr>
                <w:rFonts w:hint="eastAsia"/>
              </w:rPr>
              <w:t>建设项目名称</w:t>
            </w:r>
          </w:p>
        </w:tc>
        <w:tc>
          <w:tcPr>
            <w:tcW w:w="3949" w:type="pct"/>
            <w:gridSpan w:val="5"/>
            <w:vAlign w:val="center"/>
          </w:tcPr>
          <w:p w14:paraId="34F5B7DA">
            <w:pPr>
              <w:rPr>
                <w:rFonts w:hint="eastAsia" w:eastAsia="宋体"/>
                <w:lang w:eastAsia="zh-CN"/>
              </w:rPr>
            </w:pPr>
            <w:r>
              <w:rPr>
                <w:rFonts w:hint="eastAsia"/>
                <w:lang w:val="en-US" w:eastAsia="zh-CN"/>
              </w:rPr>
              <w:t>四川省宣汉县新宁河天生镇防洪治理工程</w:t>
            </w:r>
          </w:p>
        </w:tc>
      </w:tr>
      <w:tr w14:paraId="1A01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pct"/>
            <w:gridSpan w:val="2"/>
            <w:vAlign w:val="center"/>
          </w:tcPr>
          <w:p w14:paraId="4209CEB1">
            <w:pPr>
              <w:rPr>
                <w:color w:val="auto"/>
              </w:rPr>
            </w:pPr>
            <w:r>
              <w:rPr>
                <w:rFonts w:hint="eastAsia"/>
                <w:color w:val="auto"/>
              </w:rPr>
              <w:t>项目代码</w:t>
            </w:r>
          </w:p>
        </w:tc>
        <w:tc>
          <w:tcPr>
            <w:tcW w:w="3949" w:type="pct"/>
            <w:gridSpan w:val="5"/>
            <w:vAlign w:val="center"/>
          </w:tcPr>
          <w:p w14:paraId="0D4B3A1D">
            <w:pPr>
              <w:rPr>
                <w:rFonts w:hint="default" w:eastAsia="宋体"/>
                <w:color w:val="auto"/>
                <w:lang w:val="en-US" w:eastAsia="zh-CN"/>
              </w:rPr>
            </w:pPr>
            <w:r>
              <w:rPr>
                <w:rFonts w:hint="eastAsia"/>
                <w:color w:val="auto"/>
                <w:highlight w:val="none"/>
                <w:lang w:val="en-US" w:eastAsia="zh-CN"/>
              </w:rPr>
              <w:t>无</w:t>
            </w:r>
          </w:p>
        </w:tc>
      </w:tr>
      <w:tr w14:paraId="6028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3A4A8F58">
            <w:pPr>
              <w:rPr>
                <w:color w:val="auto"/>
              </w:rPr>
            </w:pPr>
            <w:r>
              <w:rPr>
                <w:rFonts w:hint="eastAsia"/>
                <w:color w:val="auto"/>
              </w:rPr>
              <w:t>建设单位联系人</w:t>
            </w:r>
          </w:p>
        </w:tc>
        <w:tc>
          <w:tcPr>
            <w:tcW w:w="1292" w:type="pct"/>
            <w:vAlign w:val="center"/>
          </w:tcPr>
          <w:p w14:paraId="596A050C">
            <w:pPr>
              <w:rPr>
                <w:rFonts w:hint="default" w:eastAsia="宋体"/>
                <w:color w:val="auto"/>
                <w:lang w:val="en-US" w:eastAsia="zh-CN"/>
              </w:rPr>
            </w:pPr>
            <w:r>
              <w:rPr>
                <w:rFonts w:hint="eastAsia"/>
                <w:color w:val="auto"/>
                <w:lang w:val="en-US" w:eastAsia="zh-CN"/>
              </w:rPr>
              <w:t>***</w:t>
            </w:r>
          </w:p>
        </w:tc>
        <w:tc>
          <w:tcPr>
            <w:tcW w:w="895" w:type="pct"/>
            <w:gridSpan w:val="2"/>
            <w:vAlign w:val="center"/>
          </w:tcPr>
          <w:p w14:paraId="535094A5">
            <w:pPr>
              <w:rPr>
                <w:color w:val="auto"/>
              </w:rPr>
            </w:pPr>
            <w:r>
              <w:rPr>
                <w:rFonts w:hint="eastAsia"/>
                <w:color w:val="auto"/>
              </w:rPr>
              <w:t>联系方式</w:t>
            </w:r>
          </w:p>
        </w:tc>
        <w:tc>
          <w:tcPr>
            <w:tcW w:w="1762" w:type="pct"/>
            <w:gridSpan w:val="2"/>
            <w:vAlign w:val="center"/>
          </w:tcPr>
          <w:p w14:paraId="15471C1D">
            <w:pPr>
              <w:rPr>
                <w:color w:val="auto"/>
              </w:rPr>
            </w:pPr>
            <w:r>
              <w:rPr>
                <w:rFonts w:hint="eastAsia"/>
                <w:color w:val="auto"/>
                <w:lang w:val="en-US" w:eastAsia="zh-CN"/>
              </w:rPr>
              <w:t>***********</w:t>
            </w:r>
          </w:p>
        </w:tc>
      </w:tr>
      <w:tr w14:paraId="330A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070F874A">
            <w:pPr>
              <w:rPr>
                <w:color w:val="auto"/>
              </w:rPr>
            </w:pPr>
            <w:r>
              <w:rPr>
                <w:rFonts w:hint="eastAsia"/>
                <w:color w:val="auto"/>
              </w:rPr>
              <w:t>建设地点</w:t>
            </w:r>
          </w:p>
        </w:tc>
        <w:tc>
          <w:tcPr>
            <w:tcW w:w="3949" w:type="pct"/>
            <w:gridSpan w:val="5"/>
            <w:vAlign w:val="center"/>
          </w:tcPr>
          <w:p w14:paraId="79C5C459">
            <w:pPr>
              <w:rPr>
                <w:rFonts w:hint="eastAsia" w:eastAsia="宋体"/>
                <w:color w:val="auto"/>
                <w:lang w:eastAsia="zh-CN"/>
              </w:rPr>
            </w:pPr>
            <w:r>
              <w:rPr>
                <w:rFonts w:hint="eastAsia" w:eastAsia="宋体"/>
                <w:color w:val="auto"/>
                <w:lang w:eastAsia="zh-CN"/>
              </w:rPr>
              <w:t>四川省宣汉县天生镇进步社区、天生社区</w:t>
            </w:r>
          </w:p>
        </w:tc>
      </w:tr>
      <w:tr w14:paraId="2AD6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Merge w:val="restart"/>
            <w:vAlign w:val="center"/>
          </w:tcPr>
          <w:p w14:paraId="33E21901">
            <w:pPr>
              <w:rPr>
                <w:color w:val="auto"/>
              </w:rPr>
            </w:pPr>
            <w:r>
              <w:rPr>
                <w:rFonts w:hint="eastAsia"/>
                <w:color w:val="auto"/>
              </w:rPr>
              <w:t>地理坐标</w:t>
            </w:r>
          </w:p>
        </w:tc>
        <w:tc>
          <w:tcPr>
            <w:tcW w:w="3949" w:type="pct"/>
            <w:gridSpan w:val="5"/>
            <w:vAlign w:val="center"/>
          </w:tcPr>
          <w:p w14:paraId="121F16B3">
            <w:pPr>
              <w:jc w:val="both"/>
              <w:rPr>
                <w:rFonts w:hint="eastAsia"/>
                <w:color w:val="auto"/>
                <w:szCs w:val="24"/>
                <w:lang w:val="en-US" w:eastAsia="zh-CN"/>
              </w:rPr>
            </w:pPr>
            <w:r>
              <w:rPr>
                <w:rFonts w:hint="eastAsia"/>
                <w:color w:val="auto"/>
                <w:szCs w:val="24"/>
                <w:lang w:val="en-US" w:eastAsia="zh-CN"/>
              </w:rPr>
              <w:t>（1）堤防工程</w:t>
            </w:r>
          </w:p>
          <w:p w14:paraId="39646CFA">
            <w:pPr>
              <w:jc w:val="both"/>
              <w:rPr>
                <w:rFonts w:hint="eastAsia"/>
                <w:color w:val="auto"/>
                <w:szCs w:val="24"/>
                <w:lang w:val="en-US" w:eastAsia="zh-CN"/>
              </w:rPr>
            </w:pPr>
            <w:r>
              <w:rPr>
                <w:rFonts w:hint="eastAsia"/>
                <w:color w:val="auto"/>
                <w:szCs w:val="24"/>
                <w:lang w:val="en-US" w:eastAsia="zh-CN"/>
              </w:rPr>
              <w:t>天生河段起点：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26.276</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16</w:t>
            </w:r>
            <w:r>
              <w:rPr>
                <w:rFonts w:hint="eastAsia"/>
                <w:color w:val="auto"/>
                <w:szCs w:val="24"/>
                <w:lang w:val="en-US" w:eastAsia="zh-CN"/>
              </w:rPr>
              <w:t>分</w:t>
            </w:r>
            <w:r>
              <w:rPr>
                <w:rFonts w:hint="eastAsia"/>
                <w:color w:val="auto"/>
                <w:szCs w:val="24"/>
                <w:u w:val="single"/>
                <w:lang w:val="en-US" w:eastAsia="zh-CN"/>
              </w:rPr>
              <w:t>22.728</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44</w:t>
            </w:r>
            <w:r>
              <w:rPr>
                <w:rFonts w:hint="eastAsia"/>
                <w:color w:val="auto"/>
                <w:szCs w:val="24"/>
                <w:lang w:val="en-US" w:eastAsia="zh-CN"/>
              </w:rPr>
              <w:t>分</w:t>
            </w:r>
            <w:r>
              <w:rPr>
                <w:rFonts w:hint="eastAsia"/>
                <w:color w:val="auto"/>
                <w:szCs w:val="24"/>
                <w:u w:val="single"/>
                <w:lang w:val="en-US" w:eastAsia="zh-CN"/>
              </w:rPr>
              <w:t>37.651</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4.874</w:t>
            </w:r>
            <w:r>
              <w:rPr>
                <w:rFonts w:hint="eastAsia"/>
                <w:color w:val="auto"/>
                <w:szCs w:val="24"/>
                <w:lang w:val="en-US" w:eastAsia="zh-CN"/>
              </w:rPr>
              <w:t>秒；</w:t>
            </w:r>
          </w:p>
          <w:p w14:paraId="6651FDBC">
            <w:pPr>
              <w:jc w:val="both"/>
              <w:rPr>
                <w:rFonts w:hint="default" w:eastAsia="宋体"/>
                <w:color w:val="auto"/>
                <w:szCs w:val="24"/>
                <w:lang w:val="en-US" w:eastAsia="zh-CN"/>
              </w:rPr>
            </w:pPr>
            <w:r>
              <w:rPr>
                <w:rFonts w:hint="eastAsia"/>
                <w:color w:val="auto"/>
                <w:szCs w:val="24"/>
                <w:lang w:val="en-US" w:eastAsia="zh-CN"/>
              </w:rPr>
              <w:t>黎家沟段起点：</w:t>
            </w:r>
            <w:r>
              <w:rPr>
                <w:rFonts w:hint="eastAsia"/>
                <w:color w:val="auto"/>
                <w:szCs w:val="24"/>
                <w:u w:val="single"/>
                <w:lang w:val="en-US" w:eastAsia="zh-CN"/>
              </w:rPr>
              <w:t>107</w:t>
            </w:r>
            <w:r>
              <w:rPr>
                <w:rFonts w:hint="eastAsia" w:ascii="Times New Roman" w:eastAsia="宋体"/>
                <w:color w:val="auto"/>
                <w:szCs w:val="24"/>
                <w:lang w:val="en-US" w:eastAsia="zh-CN"/>
              </w:rPr>
              <w:t>度</w:t>
            </w:r>
            <w:r>
              <w:rPr>
                <w:rFonts w:hint="eastAsia"/>
                <w:color w:val="auto"/>
                <w:szCs w:val="24"/>
                <w:u w:val="single"/>
                <w:lang w:val="en-US" w:eastAsia="zh-CN"/>
              </w:rPr>
              <w:t>45</w:t>
            </w:r>
            <w:r>
              <w:rPr>
                <w:rFonts w:hint="eastAsia" w:ascii="Times New Roman" w:eastAsia="宋体"/>
                <w:color w:val="auto"/>
                <w:szCs w:val="24"/>
                <w:lang w:val="en-US" w:eastAsia="zh-CN"/>
              </w:rPr>
              <w:t>分</w:t>
            </w:r>
            <w:r>
              <w:rPr>
                <w:rFonts w:hint="eastAsia"/>
                <w:color w:val="auto"/>
                <w:szCs w:val="24"/>
                <w:u w:val="single"/>
                <w:lang w:val="en-US" w:eastAsia="zh-CN"/>
              </w:rPr>
              <w:t>43.020</w:t>
            </w:r>
            <w:r>
              <w:rPr>
                <w:rFonts w:hint="eastAsia" w:ascii="Times New Roman" w:eastAsia="宋体"/>
                <w:color w:val="auto"/>
                <w:szCs w:val="24"/>
                <w:lang w:val="en-US" w:eastAsia="zh-CN"/>
              </w:rPr>
              <w:t>秒、</w:t>
            </w:r>
            <w:r>
              <w:rPr>
                <w:rFonts w:hint="eastAsia" w:ascii="Times New Roman" w:eastAsia="宋体"/>
                <w:color w:val="auto"/>
                <w:szCs w:val="24"/>
                <w:u w:val="single"/>
                <w:lang w:val="en-US" w:eastAsia="zh-CN"/>
              </w:rPr>
              <w:t>3</w:t>
            </w:r>
            <w:r>
              <w:rPr>
                <w:rFonts w:hint="eastAsia"/>
                <w:color w:val="auto"/>
                <w:szCs w:val="24"/>
                <w:u w:val="single"/>
                <w:lang w:val="en-US" w:eastAsia="zh-CN"/>
              </w:rPr>
              <w:t>1</w:t>
            </w:r>
            <w:r>
              <w:rPr>
                <w:rFonts w:hint="eastAsia" w:ascii="Times New Roman" w:eastAsia="宋体"/>
                <w:color w:val="auto"/>
                <w:szCs w:val="24"/>
                <w:lang w:val="en-US" w:eastAsia="zh-CN"/>
              </w:rPr>
              <w:t>度</w:t>
            </w:r>
            <w:r>
              <w:rPr>
                <w:rFonts w:hint="eastAsia"/>
                <w:color w:val="auto"/>
                <w:szCs w:val="24"/>
                <w:u w:val="single"/>
                <w:lang w:val="en-US" w:eastAsia="zh-CN"/>
              </w:rPr>
              <w:t>15</w:t>
            </w:r>
            <w:r>
              <w:rPr>
                <w:rFonts w:hint="eastAsia" w:ascii="Times New Roman" w:eastAsia="宋体"/>
                <w:color w:val="auto"/>
                <w:szCs w:val="24"/>
                <w:lang w:val="en-US" w:eastAsia="zh-CN"/>
              </w:rPr>
              <w:t>分</w:t>
            </w:r>
            <w:r>
              <w:rPr>
                <w:rFonts w:hint="eastAsia"/>
                <w:color w:val="auto"/>
                <w:szCs w:val="24"/>
                <w:u w:val="single"/>
                <w:lang w:val="en-US" w:eastAsia="zh-CN"/>
              </w:rPr>
              <w:t>41.044</w:t>
            </w:r>
            <w:r>
              <w:rPr>
                <w:rFonts w:hint="eastAsia" w:ascii="Times New Roman" w:eastAsia="宋体"/>
                <w:color w:val="auto"/>
                <w:szCs w:val="24"/>
                <w:lang w:val="en-US" w:eastAsia="zh-CN"/>
              </w:rPr>
              <w:t>秒，终点：</w:t>
            </w:r>
            <w:r>
              <w:rPr>
                <w:rFonts w:hint="eastAsia"/>
                <w:color w:val="auto"/>
                <w:szCs w:val="24"/>
                <w:u w:val="single"/>
                <w:lang w:val="en-US" w:eastAsia="zh-CN"/>
              </w:rPr>
              <w:t>107</w:t>
            </w:r>
            <w:r>
              <w:rPr>
                <w:rFonts w:hint="eastAsia" w:ascii="Times New Roman" w:eastAsia="宋体"/>
                <w:color w:val="auto"/>
                <w:szCs w:val="24"/>
                <w:lang w:val="en-US" w:eastAsia="zh-CN"/>
              </w:rPr>
              <w:t>度</w:t>
            </w:r>
            <w:r>
              <w:rPr>
                <w:rFonts w:hint="eastAsia"/>
                <w:color w:val="auto"/>
                <w:szCs w:val="24"/>
                <w:u w:val="single"/>
                <w:lang w:val="en-US" w:eastAsia="zh-CN"/>
              </w:rPr>
              <w:t>45</w:t>
            </w:r>
            <w:r>
              <w:rPr>
                <w:rFonts w:hint="eastAsia" w:ascii="Times New Roman" w:eastAsia="宋体"/>
                <w:color w:val="auto"/>
                <w:szCs w:val="24"/>
                <w:lang w:val="en-US" w:eastAsia="zh-CN"/>
              </w:rPr>
              <w:t>分</w:t>
            </w:r>
            <w:r>
              <w:rPr>
                <w:rFonts w:hint="eastAsia"/>
                <w:color w:val="auto"/>
                <w:szCs w:val="24"/>
                <w:u w:val="single"/>
                <w:lang w:val="en-US" w:eastAsia="zh-CN"/>
              </w:rPr>
              <w:t>35.834</w:t>
            </w:r>
            <w:r>
              <w:rPr>
                <w:rFonts w:hint="eastAsia" w:ascii="Times New Roman" w:eastAsia="宋体"/>
                <w:color w:val="auto"/>
                <w:szCs w:val="24"/>
                <w:lang w:val="en-US" w:eastAsia="zh-CN"/>
              </w:rPr>
              <w:t>秒、</w:t>
            </w:r>
            <w:r>
              <w:rPr>
                <w:rFonts w:hint="eastAsia" w:ascii="Times New Roman" w:eastAsia="宋体"/>
                <w:color w:val="auto"/>
                <w:szCs w:val="24"/>
                <w:u w:val="single"/>
                <w:lang w:val="en-US" w:eastAsia="zh-CN"/>
              </w:rPr>
              <w:t>3</w:t>
            </w:r>
            <w:r>
              <w:rPr>
                <w:rFonts w:hint="eastAsia"/>
                <w:color w:val="auto"/>
                <w:szCs w:val="24"/>
                <w:u w:val="single"/>
                <w:lang w:val="en-US" w:eastAsia="zh-CN"/>
              </w:rPr>
              <w:t>1</w:t>
            </w:r>
            <w:r>
              <w:rPr>
                <w:rFonts w:hint="eastAsia" w:ascii="Times New Roman" w:eastAsia="宋体"/>
                <w:color w:val="auto"/>
                <w:szCs w:val="24"/>
                <w:lang w:val="en-US" w:eastAsia="zh-CN"/>
              </w:rPr>
              <w:t>度</w:t>
            </w:r>
            <w:r>
              <w:rPr>
                <w:rFonts w:hint="eastAsia"/>
                <w:color w:val="auto"/>
                <w:szCs w:val="24"/>
                <w:u w:val="single"/>
                <w:lang w:val="en-US" w:eastAsia="zh-CN"/>
              </w:rPr>
              <w:t>15</w:t>
            </w:r>
            <w:r>
              <w:rPr>
                <w:rFonts w:hint="eastAsia" w:ascii="Times New Roman" w:eastAsia="宋体"/>
                <w:color w:val="auto"/>
                <w:szCs w:val="24"/>
                <w:lang w:val="en-US" w:eastAsia="zh-CN"/>
              </w:rPr>
              <w:t>分</w:t>
            </w:r>
            <w:r>
              <w:rPr>
                <w:rFonts w:hint="eastAsia"/>
                <w:color w:val="auto"/>
                <w:szCs w:val="24"/>
                <w:u w:val="single"/>
                <w:lang w:val="en-US" w:eastAsia="zh-CN"/>
              </w:rPr>
              <w:t>41.555</w:t>
            </w:r>
            <w:r>
              <w:rPr>
                <w:rFonts w:hint="eastAsia" w:ascii="Times New Roman" w:eastAsia="宋体"/>
                <w:color w:val="auto"/>
                <w:szCs w:val="24"/>
                <w:lang w:val="en-US" w:eastAsia="zh-CN"/>
              </w:rPr>
              <w:t>秒</w:t>
            </w:r>
            <w:r>
              <w:rPr>
                <w:rFonts w:hint="eastAsia"/>
                <w:color w:val="auto"/>
                <w:szCs w:val="24"/>
                <w:lang w:val="en-US" w:eastAsia="zh-CN"/>
              </w:rPr>
              <w:t>。</w:t>
            </w:r>
          </w:p>
        </w:tc>
      </w:tr>
      <w:tr w14:paraId="3944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9" w:hRule="atLeast"/>
        </w:trPr>
        <w:tc>
          <w:tcPr>
            <w:tcW w:w="1050" w:type="pct"/>
            <w:gridSpan w:val="2"/>
            <w:vMerge w:val="continue"/>
            <w:vAlign w:val="center"/>
          </w:tcPr>
          <w:p w14:paraId="155D7BDF">
            <w:pPr>
              <w:rPr>
                <w:rFonts w:hint="eastAsia"/>
                <w:color w:val="auto"/>
              </w:rPr>
            </w:pPr>
            <w:bookmarkStart w:id="1" w:name="_Hlk49843745"/>
          </w:p>
        </w:tc>
        <w:tc>
          <w:tcPr>
            <w:tcW w:w="3949" w:type="pct"/>
            <w:gridSpan w:val="5"/>
            <w:vAlign w:val="center"/>
          </w:tcPr>
          <w:p w14:paraId="296CE164">
            <w:pPr>
              <w:jc w:val="both"/>
              <w:rPr>
                <w:rFonts w:hint="eastAsia"/>
                <w:color w:val="auto"/>
                <w:szCs w:val="24"/>
                <w:lang w:val="en-US" w:eastAsia="zh-CN"/>
              </w:rPr>
            </w:pPr>
            <w:r>
              <w:rPr>
                <w:rFonts w:hint="eastAsia"/>
                <w:color w:val="auto"/>
                <w:szCs w:val="24"/>
                <w:lang w:val="en-US" w:eastAsia="zh-CN"/>
              </w:rPr>
              <w:t>（2）河道疏浚工程</w:t>
            </w:r>
          </w:p>
          <w:p w14:paraId="2E477D0E">
            <w:pPr>
              <w:jc w:val="both"/>
              <w:rPr>
                <w:rFonts w:hint="eastAsia"/>
                <w:color w:val="auto"/>
                <w:szCs w:val="24"/>
                <w:lang w:val="en-US" w:eastAsia="zh-CN"/>
              </w:rPr>
            </w:pPr>
            <w:r>
              <w:rPr>
                <w:rFonts w:hint="eastAsia"/>
                <w:color w:val="auto"/>
                <w:szCs w:val="24"/>
                <w:lang w:val="en-US" w:eastAsia="zh-CN"/>
              </w:rPr>
              <w:t>1#河道疏浚点：起点：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25.536</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16</w:t>
            </w:r>
            <w:r>
              <w:rPr>
                <w:rFonts w:hint="eastAsia"/>
                <w:color w:val="auto"/>
                <w:szCs w:val="24"/>
                <w:lang w:val="en-US" w:eastAsia="zh-CN"/>
              </w:rPr>
              <w:t>分</w:t>
            </w:r>
            <w:r>
              <w:rPr>
                <w:rFonts w:hint="eastAsia"/>
                <w:color w:val="auto"/>
                <w:szCs w:val="24"/>
                <w:u w:val="single"/>
                <w:lang w:val="en-US" w:eastAsia="zh-CN"/>
              </w:rPr>
              <w:t>22.393</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25.179</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16</w:t>
            </w:r>
            <w:r>
              <w:rPr>
                <w:rFonts w:hint="eastAsia"/>
                <w:color w:val="auto"/>
                <w:szCs w:val="24"/>
                <w:lang w:val="en-US" w:eastAsia="zh-CN"/>
              </w:rPr>
              <w:t>分</w:t>
            </w:r>
            <w:r>
              <w:rPr>
                <w:rFonts w:hint="eastAsia"/>
                <w:color w:val="auto"/>
                <w:szCs w:val="24"/>
                <w:u w:val="single"/>
                <w:lang w:val="en-US" w:eastAsia="zh-CN"/>
              </w:rPr>
              <w:t>21.046</w:t>
            </w:r>
            <w:r>
              <w:rPr>
                <w:rFonts w:hint="eastAsia"/>
                <w:color w:val="auto"/>
                <w:szCs w:val="24"/>
                <w:lang w:val="en-US" w:eastAsia="zh-CN"/>
              </w:rPr>
              <w:t>秒；</w:t>
            </w:r>
          </w:p>
          <w:p w14:paraId="5ADE294F">
            <w:pPr>
              <w:jc w:val="both"/>
              <w:rPr>
                <w:rFonts w:hint="eastAsia"/>
                <w:color w:val="auto"/>
                <w:szCs w:val="24"/>
                <w:lang w:val="en-US" w:eastAsia="zh-CN"/>
              </w:rPr>
            </w:pPr>
            <w:r>
              <w:rPr>
                <w:rFonts w:hint="eastAsia"/>
                <w:color w:val="auto"/>
                <w:szCs w:val="24"/>
                <w:lang w:val="en-US" w:eastAsia="zh-CN"/>
              </w:rPr>
              <w:t>2#河道疏浚点：起点：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28.292</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16</w:t>
            </w:r>
            <w:r>
              <w:rPr>
                <w:rFonts w:hint="eastAsia"/>
                <w:color w:val="auto"/>
                <w:szCs w:val="24"/>
                <w:lang w:val="en-US" w:eastAsia="zh-CN"/>
              </w:rPr>
              <w:t>分</w:t>
            </w:r>
            <w:r>
              <w:rPr>
                <w:rFonts w:hint="eastAsia"/>
                <w:color w:val="auto"/>
                <w:szCs w:val="24"/>
                <w:u w:val="single"/>
                <w:lang w:val="en-US" w:eastAsia="zh-CN"/>
              </w:rPr>
              <w:t>15.773</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27.056</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16</w:t>
            </w:r>
            <w:r>
              <w:rPr>
                <w:rFonts w:hint="eastAsia"/>
                <w:color w:val="auto"/>
                <w:szCs w:val="24"/>
                <w:lang w:val="en-US" w:eastAsia="zh-CN"/>
              </w:rPr>
              <w:t>分</w:t>
            </w:r>
            <w:r>
              <w:rPr>
                <w:rFonts w:hint="eastAsia"/>
                <w:color w:val="auto"/>
                <w:szCs w:val="24"/>
                <w:u w:val="single"/>
                <w:lang w:val="en-US" w:eastAsia="zh-CN"/>
              </w:rPr>
              <w:t>13.417</w:t>
            </w:r>
            <w:r>
              <w:rPr>
                <w:rFonts w:hint="eastAsia"/>
                <w:color w:val="auto"/>
                <w:szCs w:val="24"/>
                <w:lang w:val="en-US" w:eastAsia="zh-CN"/>
              </w:rPr>
              <w:t>秒；</w:t>
            </w:r>
          </w:p>
          <w:p w14:paraId="05D62CC8">
            <w:pPr>
              <w:jc w:val="both"/>
              <w:rPr>
                <w:rFonts w:hint="eastAsia"/>
                <w:color w:val="auto"/>
                <w:szCs w:val="24"/>
                <w:lang w:val="en-US" w:eastAsia="zh-CN"/>
              </w:rPr>
            </w:pPr>
            <w:r>
              <w:rPr>
                <w:rFonts w:hint="eastAsia"/>
                <w:color w:val="auto"/>
                <w:szCs w:val="24"/>
                <w:lang w:val="en-US" w:eastAsia="zh-CN"/>
              </w:rPr>
              <w:t>3#河道疏浚点：起点：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20.523</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52.113</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15.753</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53.136</w:t>
            </w:r>
            <w:r>
              <w:rPr>
                <w:rFonts w:hint="eastAsia"/>
                <w:color w:val="auto"/>
                <w:szCs w:val="24"/>
                <w:lang w:val="en-US" w:eastAsia="zh-CN"/>
              </w:rPr>
              <w:t>秒；</w:t>
            </w:r>
          </w:p>
          <w:p w14:paraId="269033D6">
            <w:pPr>
              <w:jc w:val="both"/>
              <w:rPr>
                <w:rFonts w:hint="eastAsia"/>
                <w:color w:val="auto"/>
                <w:szCs w:val="24"/>
                <w:lang w:val="en-US" w:eastAsia="zh-CN"/>
              </w:rPr>
            </w:pPr>
            <w:r>
              <w:rPr>
                <w:rFonts w:hint="eastAsia"/>
                <w:color w:val="auto"/>
                <w:szCs w:val="24"/>
                <w:lang w:val="en-US" w:eastAsia="zh-CN"/>
              </w:rPr>
              <w:t>4#河道疏浚点：起点：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1.878</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30.252</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45</w:t>
            </w:r>
            <w:r>
              <w:rPr>
                <w:rFonts w:hint="eastAsia"/>
                <w:color w:val="auto"/>
                <w:szCs w:val="24"/>
                <w:lang w:val="en-US" w:eastAsia="zh-CN"/>
              </w:rPr>
              <w:t>分</w:t>
            </w:r>
            <w:r>
              <w:rPr>
                <w:rFonts w:hint="eastAsia"/>
                <w:color w:val="auto"/>
                <w:szCs w:val="24"/>
                <w:u w:val="single"/>
                <w:lang w:val="en-US" w:eastAsia="zh-CN"/>
              </w:rPr>
              <w:t>1.733</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27.442</w:t>
            </w:r>
            <w:r>
              <w:rPr>
                <w:rFonts w:hint="eastAsia"/>
                <w:color w:val="auto"/>
                <w:szCs w:val="24"/>
                <w:lang w:val="en-US" w:eastAsia="zh-CN"/>
              </w:rPr>
              <w:t>秒；</w:t>
            </w:r>
          </w:p>
          <w:p w14:paraId="4C0BC33C">
            <w:pPr>
              <w:jc w:val="both"/>
              <w:rPr>
                <w:rFonts w:hint="eastAsia"/>
                <w:color w:val="auto"/>
                <w:szCs w:val="24"/>
                <w:lang w:val="en-US" w:eastAsia="zh-CN"/>
              </w:rPr>
            </w:pPr>
            <w:r>
              <w:rPr>
                <w:rFonts w:hint="eastAsia"/>
                <w:color w:val="auto"/>
                <w:szCs w:val="24"/>
                <w:lang w:val="en-US" w:eastAsia="zh-CN"/>
              </w:rPr>
              <w:t>5#河道疏浚点：起点：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44</w:t>
            </w:r>
            <w:r>
              <w:rPr>
                <w:rFonts w:hint="eastAsia"/>
                <w:color w:val="auto"/>
                <w:szCs w:val="24"/>
                <w:lang w:val="en-US" w:eastAsia="zh-CN"/>
              </w:rPr>
              <w:t>分</w:t>
            </w:r>
            <w:r>
              <w:rPr>
                <w:rFonts w:hint="eastAsia"/>
                <w:color w:val="auto"/>
                <w:szCs w:val="24"/>
                <w:u w:val="single"/>
                <w:lang w:val="en-US" w:eastAsia="zh-CN"/>
              </w:rPr>
              <w:t>56.239</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23.029</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44</w:t>
            </w:r>
            <w:r>
              <w:rPr>
                <w:rFonts w:hint="eastAsia"/>
                <w:color w:val="auto"/>
                <w:szCs w:val="24"/>
                <w:lang w:val="en-US" w:eastAsia="zh-CN"/>
              </w:rPr>
              <w:t>分</w:t>
            </w:r>
            <w:r>
              <w:rPr>
                <w:rFonts w:hint="eastAsia"/>
                <w:color w:val="auto"/>
                <w:szCs w:val="24"/>
                <w:u w:val="single"/>
                <w:lang w:val="en-US" w:eastAsia="zh-CN"/>
              </w:rPr>
              <w:t>54.588</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21.388</w:t>
            </w:r>
            <w:r>
              <w:rPr>
                <w:rFonts w:hint="eastAsia"/>
                <w:color w:val="auto"/>
                <w:szCs w:val="24"/>
                <w:lang w:val="en-US" w:eastAsia="zh-CN"/>
              </w:rPr>
              <w:t>秒；</w:t>
            </w:r>
          </w:p>
          <w:p w14:paraId="7F667CE3">
            <w:pPr>
              <w:jc w:val="both"/>
              <w:rPr>
                <w:rFonts w:hint="default"/>
                <w:color w:val="auto"/>
                <w:szCs w:val="24"/>
                <w:lang w:val="en-US" w:eastAsia="zh-CN"/>
              </w:rPr>
            </w:pPr>
            <w:r>
              <w:rPr>
                <w:rFonts w:hint="eastAsia"/>
                <w:color w:val="auto"/>
                <w:szCs w:val="24"/>
                <w:lang w:val="en-US" w:eastAsia="zh-CN"/>
              </w:rPr>
              <w:t>6#河道疏浚点：起点：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44</w:t>
            </w:r>
            <w:r>
              <w:rPr>
                <w:rFonts w:hint="eastAsia"/>
                <w:color w:val="auto"/>
                <w:szCs w:val="24"/>
                <w:lang w:val="en-US" w:eastAsia="zh-CN"/>
              </w:rPr>
              <w:t>分</w:t>
            </w:r>
            <w:r>
              <w:rPr>
                <w:rFonts w:hint="eastAsia"/>
                <w:color w:val="auto"/>
                <w:szCs w:val="24"/>
                <w:u w:val="single"/>
                <w:lang w:val="en-US" w:eastAsia="zh-CN"/>
              </w:rPr>
              <w:t>41.291</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8.024</w:t>
            </w:r>
            <w:r>
              <w:rPr>
                <w:rFonts w:hint="eastAsia"/>
                <w:color w:val="auto"/>
                <w:szCs w:val="24"/>
                <w:lang w:val="en-US" w:eastAsia="zh-CN"/>
              </w:rPr>
              <w:t>秒；终点：</w:t>
            </w:r>
            <w:r>
              <w:rPr>
                <w:rFonts w:hint="eastAsia"/>
                <w:color w:val="auto"/>
                <w:szCs w:val="24"/>
                <w:u w:val="single"/>
                <w:lang w:val="en-US" w:eastAsia="zh-CN"/>
              </w:rPr>
              <w:t>107</w:t>
            </w:r>
            <w:r>
              <w:rPr>
                <w:rFonts w:hint="eastAsia"/>
                <w:color w:val="auto"/>
                <w:szCs w:val="24"/>
                <w:lang w:val="en-US" w:eastAsia="zh-CN"/>
              </w:rPr>
              <w:t>度</w:t>
            </w:r>
            <w:r>
              <w:rPr>
                <w:rFonts w:hint="eastAsia"/>
                <w:color w:val="auto"/>
                <w:szCs w:val="24"/>
                <w:u w:val="single"/>
                <w:lang w:val="en-US" w:eastAsia="zh-CN"/>
              </w:rPr>
              <w:t>44</w:t>
            </w:r>
            <w:r>
              <w:rPr>
                <w:rFonts w:hint="eastAsia"/>
                <w:color w:val="auto"/>
                <w:szCs w:val="24"/>
                <w:lang w:val="en-US" w:eastAsia="zh-CN"/>
              </w:rPr>
              <w:t>分</w:t>
            </w:r>
            <w:r>
              <w:rPr>
                <w:rFonts w:hint="eastAsia"/>
                <w:color w:val="auto"/>
                <w:szCs w:val="24"/>
                <w:u w:val="single"/>
                <w:lang w:val="en-US" w:eastAsia="zh-CN"/>
              </w:rPr>
              <w:t>37.360</w:t>
            </w:r>
            <w:r>
              <w:rPr>
                <w:rFonts w:hint="eastAsia"/>
                <w:color w:val="auto"/>
                <w:szCs w:val="24"/>
                <w:lang w:val="en-US" w:eastAsia="zh-CN"/>
              </w:rPr>
              <w:t>秒、</w:t>
            </w:r>
            <w:r>
              <w:rPr>
                <w:rFonts w:hint="eastAsia"/>
                <w:color w:val="auto"/>
                <w:szCs w:val="24"/>
                <w:u w:val="single"/>
                <w:lang w:val="en-US" w:eastAsia="zh-CN"/>
              </w:rPr>
              <w:t>31</w:t>
            </w:r>
            <w:r>
              <w:rPr>
                <w:rFonts w:hint="eastAsia"/>
                <w:color w:val="auto"/>
                <w:szCs w:val="24"/>
                <w:lang w:val="en-US" w:eastAsia="zh-CN"/>
              </w:rPr>
              <w:t>度</w:t>
            </w:r>
            <w:r>
              <w:rPr>
                <w:rFonts w:hint="eastAsia"/>
                <w:color w:val="auto"/>
                <w:szCs w:val="24"/>
                <w:u w:val="single"/>
                <w:lang w:val="en-US" w:eastAsia="zh-CN"/>
              </w:rPr>
              <w:t>15</w:t>
            </w:r>
            <w:r>
              <w:rPr>
                <w:rFonts w:hint="eastAsia"/>
                <w:color w:val="auto"/>
                <w:szCs w:val="24"/>
                <w:lang w:val="en-US" w:eastAsia="zh-CN"/>
              </w:rPr>
              <w:t>分</w:t>
            </w:r>
            <w:r>
              <w:rPr>
                <w:rFonts w:hint="eastAsia"/>
                <w:color w:val="auto"/>
                <w:szCs w:val="24"/>
                <w:u w:val="single"/>
                <w:lang w:val="en-US" w:eastAsia="zh-CN"/>
              </w:rPr>
              <w:t>4.905</w:t>
            </w:r>
            <w:r>
              <w:rPr>
                <w:rFonts w:hint="eastAsia"/>
                <w:color w:val="auto"/>
                <w:szCs w:val="24"/>
                <w:lang w:val="en-US" w:eastAsia="zh-CN"/>
              </w:rPr>
              <w:t>秒。</w:t>
            </w:r>
          </w:p>
        </w:tc>
      </w:tr>
      <w:tr w14:paraId="7B2E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pct"/>
            <w:gridSpan w:val="2"/>
            <w:shd w:val="clear" w:color="auto" w:fill="auto"/>
            <w:vAlign w:val="center"/>
          </w:tcPr>
          <w:p w14:paraId="14A720D0">
            <w:pPr>
              <w:spacing w:line="240" w:lineRule="auto"/>
              <w:rPr>
                <w:szCs w:val="26"/>
              </w:rPr>
            </w:pPr>
            <w:r>
              <w:rPr>
                <w:rFonts w:cs="Times New Roman"/>
              </w:rPr>
              <w:t>建设项目行业类别</w:t>
            </w:r>
            <w:bookmarkEnd w:id="1"/>
          </w:p>
        </w:tc>
        <w:tc>
          <w:tcPr>
            <w:tcW w:w="1509" w:type="pct"/>
            <w:gridSpan w:val="2"/>
            <w:shd w:val="clear" w:color="auto" w:fill="auto"/>
            <w:vAlign w:val="center"/>
          </w:tcPr>
          <w:p w14:paraId="4ADB2EB4">
            <w:pPr>
              <w:rPr>
                <w:rFonts w:hint="eastAsia" w:eastAsia="宋体" w:cs="Times New Roman"/>
                <w:szCs w:val="24"/>
                <w:lang w:eastAsia="zh-CN"/>
              </w:rPr>
            </w:pPr>
            <w:r>
              <w:rPr>
                <w:rFonts w:hint="eastAsia" w:cs="Times New Roman"/>
                <w:szCs w:val="24"/>
              </w:rPr>
              <w:t>五十一、水利，127防洪除涝工程中“其他”</w:t>
            </w:r>
            <w:r>
              <w:rPr>
                <w:rFonts w:hint="eastAsia" w:cs="Times New Roman"/>
                <w:szCs w:val="24"/>
                <w:lang w:eastAsia="zh-CN"/>
              </w:rPr>
              <w:t>；</w:t>
            </w:r>
          </w:p>
          <w:p w14:paraId="6AA28D33">
            <w:pPr>
              <w:rPr>
                <w:rFonts w:hint="eastAsia" w:eastAsia="宋体" w:cs="Times New Roman"/>
                <w:szCs w:val="24"/>
                <w:lang w:eastAsia="zh-CN"/>
              </w:rPr>
            </w:pPr>
            <w:r>
              <w:rPr>
                <w:rFonts w:hint="eastAsia" w:cs="Times New Roman"/>
                <w:szCs w:val="24"/>
                <w:lang w:val="en-US" w:eastAsia="zh-CN"/>
              </w:rPr>
              <w:t>127 防洪除涝工程中“其他”、128河湖整治（不含农村塘堰、水渠）中“</w:t>
            </w:r>
            <w:r>
              <w:rPr>
                <w:rFonts w:hint="eastAsia" w:cs="Times New Roman"/>
                <w:szCs w:val="24"/>
              </w:rPr>
              <w:t>其他</w:t>
            </w:r>
            <w:r>
              <w:rPr>
                <w:rFonts w:hint="eastAsia" w:cs="Times New Roman"/>
                <w:szCs w:val="24"/>
                <w:lang w:eastAsia="zh-CN"/>
              </w:rPr>
              <w:t>”</w:t>
            </w:r>
          </w:p>
        </w:tc>
        <w:tc>
          <w:tcPr>
            <w:tcW w:w="753" w:type="pct"/>
            <w:gridSpan w:val="2"/>
            <w:shd w:val="clear" w:color="auto" w:fill="auto"/>
            <w:vAlign w:val="center"/>
          </w:tcPr>
          <w:p w14:paraId="790FBBDC">
            <w:pPr>
              <w:rPr>
                <w:rFonts w:hint="default" w:eastAsia="宋体" w:cs="Times New Roman"/>
                <w:color w:val="auto"/>
                <w:lang w:val="en-US" w:eastAsia="zh-CN"/>
              </w:rPr>
            </w:pPr>
            <w:r>
              <w:rPr>
                <w:rFonts w:hint="eastAsia"/>
                <w:color w:val="auto"/>
              </w:rPr>
              <w:t>用地（用海）面积（m²）</w:t>
            </w:r>
            <w:r>
              <w:rPr>
                <w:rFonts w:hint="eastAsia"/>
                <w:color w:val="auto"/>
                <w:lang w:val="en-US" w:eastAsia="zh-CN"/>
              </w:rPr>
              <w:t>/长度（km）</w:t>
            </w:r>
          </w:p>
        </w:tc>
        <w:tc>
          <w:tcPr>
            <w:tcW w:w="1687" w:type="pct"/>
            <w:shd w:val="clear" w:color="auto" w:fill="auto"/>
            <w:vAlign w:val="center"/>
          </w:tcPr>
          <w:p w14:paraId="6BA6DB0F">
            <w:pPr>
              <w:rPr>
                <w:rFonts w:hint="default" w:eastAsia="宋体" w:cs="Times New Roman"/>
                <w:color w:val="auto"/>
                <w:szCs w:val="24"/>
                <w:lang w:val="en-US" w:eastAsia="zh-CN"/>
              </w:rPr>
            </w:pPr>
            <w:r>
              <w:rPr>
                <w:rFonts w:hint="eastAsia" w:cs="Times New Roman"/>
                <w:color w:val="auto"/>
                <w:szCs w:val="24"/>
                <w:highlight w:val="none"/>
                <w:lang w:val="en-US" w:eastAsia="zh-CN"/>
              </w:rPr>
              <w:t>58400（永久52400，临时6000）/4.573</w:t>
            </w:r>
          </w:p>
        </w:tc>
      </w:tr>
      <w:tr w14:paraId="5C57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5AC060D2">
            <w:r>
              <w:rPr>
                <w:rFonts w:hint="eastAsia"/>
              </w:rPr>
              <w:t>建设性质</w:t>
            </w:r>
          </w:p>
        </w:tc>
        <w:tc>
          <w:tcPr>
            <w:tcW w:w="1509" w:type="pct"/>
            <w:gridSpan w:val="2"/>
            <w:vAlign w:val="center"/>
          </w:tcPr>
          <w:p w14:paraId="214F331B">
            <w:pPr>
              <w:jc w:val="left"/>
            </w:pPr>
            <w:r>
              <w:rPr>
                <w:rFonts w:hint="eastAsia" w:ascii="Segoe UI Symbol" w:hAnsi="Segoe UI Symbol" w:eastAsia="Segoe UI Symbol"/>
              </w:rPr>
              <w:t>☑</w:t>
            </w:r>
            <w:r>
              <w:rPr>
                <w:rFonts w:hint="eastAsia"/>
              </w:rPr>
              <w:t>新建（迁建）</w:t>
            </w:r>
          </w:p>
          <w:p w14:paraId="76684BFA">
            <w:pPr>
              <w:jc w:val="left"/>
            </w:pPr>
            <w:r>
              <w:rPr>
                <w:rFonts w:hint="eastAsia"/>
              </w:rPr>
              <w:t>□改建</w:t>
            </w:r>
          </w:p>
          <w:p w14:paraId="1A37A65E">
            <w:pPr>
              <w:jc w:val="left"/>
            </w:pPr>
            <w:r>
              <w:rPr>
                <w:rFonts w:hint="eastAsia"/>
              </w:rPr>
              <w:t>□扩建</w:t>
            </w:r>
          </w:p>
          <w:p w14:paraId="63F61107">
            <w:pPr>
              <w:jc w:val="left"/>
            </w:pPr>
            <w:r>
              <w:rPr>
                <w:rFonts w:hint="eastAsia"/>
              </w:rPr>
              <w:t>□技术改造</w:t>
            </w:r>
          </w:p>
        </w:tc>
        <w:tc>
          <w:tcPr>
            <w:tcW w:w="753" w:type="pct"/>
            <w:gridSpan w:val="2"/>
            <w:vAlign w:val="center"/>
          </w:tcPr>
          <w:p w14:paraId="71F8322D">
            <w:r>
              <w:rPr>
                <w:rFonts w:hint="eastAsia"/>
              </w:rPr>
              <w:t>建设项目申报情形</w:t>
            </w:r>
          </w:p>
        </w:tc>
        <w:tc>
          <w:tcPr>
            <w:tcW w:w="1687" w:type="pct"/>
            <w:vAlign w:val="center"/>
          </w:tcPr>
          <w:p w14:paraId="59A9D31F">
            <w:pPr>
              <w:jc w:val="left"/>
            </w:pPr>
            <w:r>
              <w:rPr>
                <w:rFonts w:ascii="Segoe UI Symbol" w:hAnsi="Segoe UI Symbol"/>
              </w:rPr>
              <w:t>☑</w:t>
            </w:r>
            <w:r>
              <w:rPr>
                <w:rFonts w:hint="eastAsia"/>
              </w:rPr>
              <w:t>首次申报项目</w:t>
            </w:r>
            <w:r>
              <w:t xml:space="preserve">             </w:t>
            </w:r>
          </w:p>
          <w:p w14:paraId="63151FF4">
            <w:pPr>
              <w:jc w:val="left"/>
            </w:pPr>
            <w:r>
              <w:rPr>
                <w:rFonts w:hint="eastAsia"/>
              </w:rPr>
              <w:t>□不予批准后再次申报项目</w:t>
            </w:r>
          </w:p>
          <w:p w14:paraId="3C77CFB9">
            <w:pPr>
              <w:jc w:val="left"/>
            </w:pPr>
            <w:r>
              <w:rPr>
                <w:rFonts w:hint="eastAsia"/>
              </w:rPr>
              <w:t xml:space="preserve">□超五年重新审核项目     </w:t>
            </w:r>
          </w:p>
          <w:p w14:paraId="5B68BE41">
            <w:pPr>
              <w:jc w:val="left"/>
            </w:pPr>
            <w:r>
              <w:rPr>
                <w:rFonts w:hint="eastAsia"/>
              </w:rPr>
              <w:t>□重大变动重新报批项目</w:t>
            </w:r>
          </w:p>
        </w:tc>
      </w:tr>
      <w:tr w14:paraId="2DC8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27A7E3AB">
            <w:r>
              <w:rPr>
                <w:rFonts w:hint="eastAsia"/>
              </w:rPr>
              <w:t>项目审批（核准/备案）部门（选填）</w:t>
            </w:r>
          </w:p>
        </w:tc>
        <w:tc>
          <w:tcPr>
            <w:tcW w:w="1509" w:type="pct"/>
            <w:gridSpan w:val="2"/>
            <w:vAlign w:val="center"/>
          </w:tcPr>
          <w:p w14:paraId="6ED5E4BF">
            <w:pPr>
              <w:rPr>
                <w:rFonts w:hint="default" w:eastAsia="宋体"/>
                <w:color w:val="auto"/>
                <w:lang w:val="en-US" w:eastAsia="zh-CN"/>
              </w:rPr>
            </w:pPr>
            <w:r>
              <w:rPr>
                <w:rFonts w:hint="eastAsia"/>
                <w:color w:val="auto"/>
                <w:szCs w:val="26"/>
                <w:lang w:val="en-US" w:eastAsia="zh-CN"/>
              </w:rPr>
              <w:t>达州市水务局</w:t>
            </w:r>
          </w:p>
        </w:tc>
        <w:tc>
          <w:tcPr>
            <w:tcW w:w="753" w:type="pct"/>
            <w:gridSpan w:val="2"/>
            <w:vAlign w:val="center"/>
          </w:tcPr>
          <w:p w14:paraId="1EB5541F">
            <w:pPr>
              <w:rPr>
                <w:color w:val="auto"/>
              </w:rPr>
            </w:pPr>
            <w:r>
              <w:rPr>
                <w:rFonts w:hint="eastAsia"/>
                <w:color w:val="auto"/>
              </w:rPr>
              <w:t>项目审批（核准/备案）文号（选填）</w:t>
            </w:r>
          </w:p>
        </w:tc>
        <w:tc>
          <w:tcPr>
            <w:tcW w:w="1687" w:type="pct"/>
            <w:vAlign w:val="center"/>
          </w:tcPr>
          <w:p w14:paraId="2D68EFEC">
            <w:pPr>
              <w:rPr>
                <w:rFonts w:hint="default" w:eastAsia="宋体"/>
                <w:color w:val="auto"/>
                <w:lang w:val="en-US" w:eastAsia="zh-CN"/>
              </w:rPr>
            </w:pPr>
            <w:r>
              <w:rPr>
                <w:rFonts w:hint="default" w:eastAsia="宋体"/>
                <w:color w:val="auto"/>
                <w:lang w:val="en-US" w:eastAsia="zh-CN"/>
              </w:rPr>
              <w:t>达市水审函〔202</w:t>
            </w:r>
            <w:r>
              <w:rPr>
                <w:rFonts w:hint="eastAsia"/>
                <w:color w:val="auto"/>
                <w:lang w:val="en-US" w:eastAsia="zh-CN"/>
              </w:rPr>
              <w:t>2</w:t>
            </w:r>
            <w:r>
              <w:rPr>
                <w:rFonts w:hint="default" w:eastAsia="宋体"/>
                <w:color w:val="auto"/>
                <w:lang w:val="en-US" w:eastAsia="zh-CN"/>
              </w:rPr>
              <w:t>〕</w:t>
            </w:r>
            <w:r>
              <w:rPr>
                <w:rFonts w:hint="eastAsia"/>
                <w:color w:val="auto"/>
                <w:lang w:val="en-US" w:eastAsia="zh-CN"/>
              </w:rPr>
              <w:t>89</w:t>
            </w:r>
            <w:r>
              <w:rPr>
                <w:rFonts w:hint="default" w:eastAsia="宋体"/>
                <w:color w:val="auto"/>
                <w:lang w:val="en-US" w:eastAsia="zh-CN"/>
              </w:rPr>
              <w:t>号</w:t>
            </w:r>
          </w:p>
        </w:tc>
      </w:tr>
      <w:tr w14:paraId="2D5B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108E4A48">
            <w:r>
              <w:rPr>
                <w:rFonts w:hint="eastAsia"/>
              </w:rPr>
              <w:t>总投资（万元）</w:t>
            </w:r>
          </w:p>
        </w:tc>
        <w:tc>
          <w:tcPr>
            <w:tcW w:w="1509" w:type="pct"/>
            <w:gridSpan w:val="2"/>
            <w:vAlign w:val="center"/>
          </w:tcPr>
          <w:p w14:paraId="3DC46733">
            <w:pPr>
              <w:rPr>
                <w:rFonts w:hint="default" w:eastAsia="宋体"/>
                <w:color w:val="auto"/>
                <w:lang w:val="en-US" w:eastAsia="zh-CN"/>
              </w:rPr>
            </w:pPr>
            <w:r>
              <w:rPr>
                <w:rFonts w:hint="eastAsia"/>
                <w:lang w:val="en-US" w:eastAsia="zh-CN"/>
              </w:rPr>
              <w:t>2023.16</w:t>
            </w:r>
          </w:p>
        </w:tc>
        <w:tc>
          <w:tcPr>
            <w:tcW w:w="753" w:type="pct"/>
            <w:gridSpan w:val="2"/>
            <w:vAlign w:val="center"/>
          </w:tcPr>
          <w:p w14:paraId="32B7EE76">
            <w:pPr>
              <w:rPr>
                <w:color w:val="auto"/>
              </w:rPr>
            </w:pPr>
            <w:r>
              <w:rPr>
                <w:rFonts w:hint="eastAsia"/>
                <w:color w:val="auto"/>
              </w:rPr>
              <w:t>环保投资（万元）</w:t>
            </w:r>
          </w:p>
        </w:tc>
        <w:tc>
          <w:tcPr>
            <w:tcW w:w="1687" w:type="pct"/>
            <w:vAlign w:val="center"/>
          </w:tcPr>
          <w:p w14:paraId="55440406">
            <w:pPr>
              <w:rPr>
                <w:rFonts w:hint="default" w:eastAsia="宋体"/>
                <w:color w:val="auto"/>
                <w:lang w:val="en-US" w:eastAsia="zh-CN"/>
              </w:rPr>
            </w:pPr>
            <w:r>
              <w:rPr>
                <w:rFonts w:hint="eastAsia"/>
                <w:color w:val="auto"/>
                <w:lang w:val="en-US" w:eastAsia="zh-CN"/>
              </w:rPr>
              <w:t>11.39</w:t>
            </w:r>
          </w:p>
        </w:tc>
      </w:tr>
      <w:tr w14:paraId="713A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22D5883A">
            <w:r>
              <w:rPr>
                <w:rFonts w:hint="eastAsia"/>
              </w:rPr>
              <w:t>环保投资占比（%）</w:t>
            </w:r>
          </w:p>
        </w:tc>
        <w:tc>
          <w:tcPr>
            <w:tcW w:w="1509" w:type="pct"/>
            <w:gridSpan w:val="2"/>
            <w:vAlign w:val="center"/>
          </w:tcPr>
          <w:p w14:paraId="74D7DB87">
            <w:pPr>
              <w:rPr>
                <w:rFonts w:hint="default" w:eastAsia="宋体"/>
                <w:color w:val="auto"/>
                <w:lang w:val="en-US" w:eastAsia="zh-CN"/>
              </w:rPr>
            </w:pPr>
            <w:r>
              <w:rPr>
                <w:rFonts w:hint="eastAsia"/>
                <w:color w:val="auto"/>
                <w:lang w:val="en-US" w:eastAsia="zh-CN"/>
              </w:rPr>
              <w:t>0.56</w:t>
            </w:r>
          </w:p>
        </w:tc>
        <w:tc>
          <w:tcPr>
            <w:tcW w:w="753" w:type="pct"/>
            <w:gridSpan w:val="2"/>
            <w:vAlign w:val="center"/>
          </w:tcPr>
          <w:p w14:paraId="180DCEAB">
            <w:pPr>
              <w:rPr>
                <w:color w:val="auto"/>
              </w:rPr>
            </w:pPr>
            <w:r>
              <w:rPr>
                <w:rFonts w:hint="eastAsia"/>
                <w:color w:val="auto"/>
              </w:rPr>
              <w:t>施工工期</w:t>
            </w:r>
          </w:p>
        </w:tc>
        <w:tc>
          <w:tcPr>
            <w:tcW w:w="1687" w:type="pct"/>
            <w:vAlign w:val="center"/>
          </w:tcPr>
          <w:p w14:paraId="64BE3D14">
            <w:pPr>
              <w:rPr>
                <w:color w:val="auto"/>
              </w:rPr>
            </w:pPr>
            <w:r>
              <w:rPr>
                <w:rFonts w:hint="eastAsia"/>
                <w:color w:val="auto"/>
                <w:lang w:val="en-US" w:eastAsia="zh-CN"/>
              </w:rPr>
              <w:t>6</w:t>
            </w:r>
            <w:r>
              <w:rPr>
                <w:rFonts w:hint="eastAsia"/>
                <w:color w:val="auto"/>
              </w:rPr>
              <w:t>个月</w:t>
            </w:r>
          </w:p>
        </w:tc>
      </w:tr>
      <w:tr w14:paraId="5C6F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pct"/>
            <w:gridSpan w:val="2"/>
            <w:vAlign w:val="center"/>
          </w:tcPr>
          <w:p w14:paraId="5983B693">
            <w:r>
              <w:rPr>
                <w:rFonts w:hint="eastAsia"/>
              </w:rPr>
              <w:t>是否开工建设</w:t>
            </w:r>
          </w:p>
        </w:tc>
        <w:tc>
          <w:tcPr>
            <w:tcW w:w="3949" w:type="pct"/>
            <w:gridSpan w:val="5"/>
            <w:vAlign w:val="center"/>
          </w:tcPr>
          <w:p w14:paraId="60599ADC">
            <w:pPr>
              <w:jc w:val="both"/>
            </w:pPr>
            <w:r>
              <w:rPr>
                <w:rFonts w:hint="eastAsia" w:ascii="Segoe UI Symbol" w:hAnsi="Segoe UI Symbol" w:eastAsia="Segoe UI Symbol"/>
              </w:rPr>
              <w:t>☑</w:t>
            </w:r>
            <w:r>
              <w:rPr>
                <w:rFonts w:hint="eastAsia"/>
              </w:rPr>
              <w:t>否</w:t>
            </w:r>
          </w:p>
          <w:p w14:paraId="110DE0A0">
            <w:pPr>
              <w:jc w:val="left"/>
              <w:rPr>
                <w:rFonts w:hint="default" w:eastAsia="宋体"/>
                <w:u w:val="single"/>
                <w:lang w:val="en-US" w:eastAsia="zh-CN"/>
              </w:rPr>
            </w:pPr>
            <w:r>
              <w:rPr>
                <w:rFonts w:hint="eastAsia" w:ascii="Segoe UI Symbol" w:hAnsi="Segoe UI Symbol" w:eastAsia="宋体"/>
                <w:lang w:eastAsia="zh-CN"/>
              </w:rPr>
              <w:t>□</w:t>
            </w:r>
            <w:r>
              <w:rPr>
                <w:rFonts w:hint="eastAsia"/>
              </w:rPr>
              <w:t>是：</w:t>
            </w:r>
            <w:r>
              <w:rPr>
                <w:rFonts w:hint="eastAsia"/>
                <w:u w:val="single"/>
                <w:lang w:val="en-US" w:eastAsia="zh-CN"/>
              </w:rPr>
              <w:t xml:space="preserve">                                                 </w:t>
            </w:r>
          </w:p>
        </w:tc>
      </w:tr>
      <w:tr w14:paraId="6921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2EF315E2">
            <w:r>
              <w:rPr>
                <w:rFonts w:hint="eastAsia"/>
              </w:rPr>
              <w:t>专项评价设置情况</w:t>
            </w:r>
          </w:p>
        </w:tc>
        <w:tc>
          <w:tcPr>
            <w:tcW w:w="4637" w:type="pct"/>
            <w:gridSpan w:val="6"/>
            <w:vAlign w:val="center"/>
          </w:tcPr>
          <w:p w14:paraId="0B039314">
            <w:pPr>
              <w:pStyle w:val="6"/>
            </w:pPr>
            <w:r>
              <w:rPr>
                <w:rFonts w:hint="eastAsia"/>
              </w:rPr>
              <w:t>根据建设项目环境影响报告表编制技术指南（生态影响类）（试行），专项评价设置对照见下表。</w:t>
            </w:r>
          </w:p>
          <w:p w14:paraId="3E9B3859">
            <w:pPr>
              <w:pStyle w:val="100"/>
            </w:pPr>
            <w:r>
              <w:rPr>
                <w:rFonts w:hint="eastAsia"/>
              </w:rPr>
              <w:t>专项评价设置原则表</w:t>
            </w:r>
          </w:p>
          <w:tbl>
            <w:tblPr>
              <w:tblStyle w:val="81"/>
              <w:tblW w:w="5000"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44"/>
              <w:gridCol w:w="3613"/>
              <w:gridCol w:w="3239"/>
              <w:gridCol w:w="718"/>
            </w:tblGrid>
            <w:tr w14:paraId="078897D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56" w:type="pct"/>
                  <w:vAlign w:val="center"/>
                </w:tcPr>
                <w:p w14:paraId="63CD7F7A">
                  <w:pPr>
                    <w:pStyle w:val="98"/>
                    <w:rPr>
                      <w:sz w:val="22"/>
                      <w:szCs w:val="22"/>
                    </w:rPr>
                  </w:pPr>
                  <w:bookmarkStart w:id="2" w:name="_Toc192256136"/>
                  <w:r>
                    <w:rPr>
                      <w:rFonts w:hint="eastAsia"/>
                      <w:sz w:val="22"/>
                      <w:szCs w:val="22"/>
                    </w:rPr>
                    <w:t>专项评价的类别</w:t>
                  </w:r>
                  <w:bookmarkEnd w:id="2"/>
                </w:p>
              </w:tc>
              <w:tc>
                <w:tcPr>
                  <w:tcW w:w="2073" w:type="pct"/>
                  <w:vAlign w:val="center"/>
                </w:tcPr>
                <w:p w14:paraId="5DA060A8">
                  <w:pPr>
                    <w:pStyle w:val="98"/>
                    <w:rPr>
                      <w:rFonts w:hint="default" w:eastAsia="宋体"/>
                      <w:sz w:val="22"/>
                      <w:szCs w:val="22"/>
                      <w:lang w:val="en-US" w:eastAsia="zh-CN"/>
                    </w:rPr>
                  </w:pPr>
                  <w:r>
                    <w:rPr>
                      <w:rFonts w:hint="eastAsia"/>
                      <w:sz w:val="22"/>
                      <w:szCs w:val="22"/>
                      <w:lang w:val="en-US" w:eastAsia="zh-CN"/>
                    </w:rPr>
                    <w:t>涉及项目类别</w:t>
                  </w:r>
                </w:p>
              </w:tc>
              <w:tc>
                <w:tcPr>
                  <w:tcW w:w="1858" w:type="pct"/>
                  <w:vAlign w:val="center"/>
                </w:tcPr>
                <w:p w14:paraId="6CA8F81A">
                  <w:pPr>
                    <w:pStyle w:val="98"/>
                    <w:rPr>
                      <w:rFonts w:hint="eastAsia" w:eastAsia="宋体"/>
                      <w:sz w:val="22"/>
                      <w:szCs w:val="22"/>
                      <w:lang w:val="en-US" w:eastAsia="zh-CN"/>
                    </w:rPr>
                  </w:pPr>
                  <w:bookmarkStart w:id="3" w:name="_Toc192256138"/>
                  <w:r>
                    <w:rPr>
                      <w:rFonts w:hint="eastAsia"/>
                      <w:sz w:val="22"/>
                      <w:szCs w:val="22"/>
                    </w:rPr>
                    <w:t>本项目</w:t>
                  </w:r>
                  <w:bookmarkEnd w:id="3"/>
                  <w:r>
                    <w:rPr>
                      <w:rFonts w:hint="eastAsia"/>
                      <w:sz w:val="22"/>
                      <w:szCs w:val="22"/>
                      <w:lang w:val="en-US" w:eastAsia="zh-CN"/>
                    </w:rPr>
                    <w:t>情况</w:t>
                  </w:r>
                </w:p>
              </w:tc>
              <w:tc>
                <w:tcPr>
                  <w:tcW w:w="412" w:type="pct"/>
                  <w:vAlign w:val="center"/>
                </w:tcPr>
                <w:p w14:paraId="2942ECF1">
                  <w:pPr>
                    <w:pStyle w:val="98"/>
                    <w:rPr>
                      <w:sz w:val="22"/>
                      <w:szCs w:val="22"/>
                    </w:rPr>
                  </w:pPr>
                  <w:bookmarkStart w:id="4" w:name="_Toc192256139"/>
                  <w:r>
                    <w:rPr>
                      <w:rFonts w:hint="eastAsia"/>
                      <w:sz w:val="22"/>
                      <w:szCs w:val="22"/>
                    </w:rPr>
                    <w:t>是否设置</w:t>
                  </w:r>
                  <w:bookmarkEnd w:id="4"/>
                </w:p>
              </w:tc>
            </w:tr>
            <w:tr w14:paraId="799F4B0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56" w:type="pct"/>
                  <w:vAlign w:val="center"/>
                </w:tcPr>
                <w:p w14:paraId="1E350498">
                  <w:pPr>
                    <w:pStyle w:val="98"/>
                    <w:rPr>
                      <w:sz w:val="22"/>
                      <w:szCs w:val="22"/>
                    </w:rPr>
                  </w:pPr>
                  <w:bookmarkStart w:id="5" w:name="_Toc7643"/>
                  <w:r>
                    <w:rPr>
                      <w:rFonts w:hint="eastAsia"/>
                      <w:sz w:val="22"/>
                      <w:szCs w:val="22"/>
                    </w:rPr>
                    <w:t>地表水</w:t>
                  </w:r>
                  <w:bookmarkEnd w:id="5"/>
                </w:p>
              </w:tc>
              <w:tc>
                <w:tcPr>
                  <w:tcW w:w="2073" w:type="pct"/>
                  <w:vAlign w:val="center"/>
                </w:tcPr>
                <w:p w14:paraId="7B232F9E">
                  <w:pPr>
                    <w:pStyle w:val="98"/>
                    <w:jc w:val="left"/>
                    <w:rPr>
                      <w:sz w:val="22"/>
                      <w:szCs w:val="22"/>
                    </w:rPr>
                  </w:pPr>
                  <w:bookmarkStart w:id="6" w:name="_Toc14059"/>
                  <w:r>
                    <w:rPr>
                      <w:sz w:val="22"/>
                      <w:szCs w:val="22"/>
                    </w:rPr>
                    <w:t>水力发电：引水式发电、涉及调峰发电的项目；</w:t>
                  </w:r>
                  <w:bookmarkEnd w:id="6"/>
                </w:p>
                <w:p w14:paraId="0FE6C0FB">
                  <w:pPr>
                    <w:pStyle w:val="98"/>
                    <w:jc w:val="left"/>
                    <w:rPr>
                      <w:sz w:val="22"/>
                      <w:szCs w:val="22"/>
                    </w:rPr>
                  </w:pPr>
                  <w:bookmarkStart w:id="7" w:name="_Toc32514"/>
                  <w:r>
                    <w:rPr>
                      <w:sz w:val="22"/>
                      <w:szCs w:val="22"/>
                    </w:rPr>
                    <w:t>人工湖、人工湿地：全部；</w:t>
                  </w:r>
                  <w:bookmarkEnd w:id="7"/>
                </w:p>
                <w:p w14:paraId="228604F9">
                  <w:pPr>
                    <w:pStyle w:val="98"/>
                    <w:jc w:val="left"/>
                    <w:rPr>
                      <w:sz w:val="22"/>
                      <w:szCs w:val="22"/>
                    </w:rPr>
                  </w:pPr>
                  <w:bookmarkStart w:id="8" w:name="_Toc15964"/>
                  <w:r>
                    <w:rPr>
                      <w:sz w:val="22"/>
                      <w:szCs w:val="22"/>
                    </w:rPr>
                    <w:t>水库：全部；</w:t>
                  </w:r>
                  <w:bookmarkEnd w:id="8"/>
                </w:p>
                <w:p w14:paraId="0A79893F">
                  <w:pPr>
                    <w:pStyle w:val="98"/>
                    <w:jc w:val="left"/>
                    <w:rPr>
                      <w:sz w:val="22"/>
                      <w:szCs w:val="22"/>
                    </w:rPr>
                  </w:pPr>
                  <w:bookmarkStart w:id="9" w:name="_Toc1313"/>
                  <w:r>
                    <w:rPr>
                      <w:sz w:val="22"/>
                      <w:szCs w:val="22"/>
                    </w:rPr>
                    <w:t>引水工程：全部（配套的管线工程等除外）；</w:t>
                  </w:r>
                  <w:bookmarkEnd w:id="9"/>
                </w:p>
                <w:p w14:paraId="7392DF9E">
                  <w:pPr>
                    <w:pStyle w:val="98"/>
                    <w:jc w:val="left"/>
                    <w:rPr>
                      <w:sz w:val="22"/>
                      <w:szCs w:val="22"/>
                    </w:rPr>
                  </w:pPr>
                  <w:bookmarkStart w:id="10" w:name="_Toc32586"/>
                  <w:r>
                    <w:rPr>
                      <w:sz w:val="22"/>
                      <w:szCs w:val="22"/>
                    </w:rPr>
                    <w:t>防洪除涝工程：包含水库的项目；</w:t>
                  </w:r>
                  <w:bookmarkEnd w:id="10"/>
                </w:p>
                <w:p w14:paraId="72FE029F">
                  <w:pPr>
                    <w:pStyle w:val="98"/>
                    <w:jc w:val="left"/>
                    <w:rPr>
                      <w:sz w:val="22"/>
                      <w:szCs w:val="22"/>
                    </w:rPr>
                  </w:pPr>
                  <w:bookmarkStart w:id="11" w:name="_Toc20118"/>
                  <w:r>
                    <w:rPr>
                      <w:sz w:val="22"/>
                      <w:szCs w:val="22"/>
                    </w:rPr>
                    <w:t>河湖整治：涉及清淤且底泥存在重金属污染的项目</w:t>
                  </w:r>
                  <w:bookmarkEnd w:id="11"/>
                  <w:r>
                    <w:rPr>
                      <w:rFonts w:hint="eastAsia"/>
                      <w:sz w:val="22"/>
                      <w:szCs w:val="22"/>
                    </w:rPr>
                    <w:t>。</w:t>
                  </w:r>
                </w:p>
              </w:tc>
              <w:tc>
                <w:tcPr>
                  <w:tcW w:w="1858" w:type="pct"/>
                  <w:vAlign w:val="center"/>
                </w:tcPr>
                <w:p w14:paraId="15B791F0">
                  <w:pPr>
                    <w:pStyle w:val="98"/>
                    <w:jc w:val="left"/>
                    <w:rPr>
                      <w:sz w:val="22"/>
                      <w:szCs w:val="22"/>
                    </w:rPr>
                  </w:pPr>
                  <w:r>
                    <w:rPr>
                      <w:rFonts w:hint="eastAsia"/>
                      <w:sz w:val="22"/>
                      <w:szCs w:val="22"/>
                    </w:rPr>
                    <w:t>本项目属于防洪除涝工程，同时工程内容也包括对</w:t>
                  </w:r>
                  <w:r>
                    <w:rPr>
                      <w:rFonts w:hint="eastAsia"/>
                      <w:sz w:val="22"/>
                      <w:szCs w:val="22"/>
                      <w:lang w:val="en-US" w:eastAsia="zh-CN"/>
                    </w:rPr>
                    <w:t>天生河</w:t>
                  </w:r>
                  <w:r>
                    <w:rPr>
                      <w:rFonts w:hint="eastAsia"/>
                      <w:sz w:val="22"/>
                      <w:szCs w:val="22"/>
                    </w:rPr>
                    <w:t>段的清淤，工程建设内容不含水库；且项目清淤的河段</w:t>
                  </w:r>
                  <w:r>
                    <w:rPr>
                      <w:rFonts w:hint="eastAsia"/>
                      <w:sz w:val="22"/>
                      <w:szCs w:val="22"/>
                      <w:lang w:val="en-US" w:eastAsia="zh-CN"/>
                    </w:rPr>
                    <w:t>位于天生镇</w:t>
                  </w:r>
                  <w:r>
                    <w:rPr>
                      <w:rFonts w:hint="eastAsia"/>
                      <w:sz w:val="22"/>
                      <w:szCs w:val="22"/>
                    </w:rPr>
                    <w:t>，河段无工业污染源，无重金属废水排入，治理河段水质满足Ⅲ类水质标准，清淤的泥沙以无机砂石为主，根据对河段清淤段底泥进行监测，底泥（沉积物）中重金属污染物满足《土壤环境质量农用地土壤污染风险管控标准》（GB15618-2018）标准，不存在重金属污染，据此不设置地表水专项。</w:t>
                  </w:r>
                </w:p>
              </w:tc>
              <w:tc>
                <w:tcPr>
                  <w:tcW w:w="412" w:type="pct"/>
                  <w:vAlign w:val="center"/>
                </w:tcPr>
                <w:p w14:paraId="3E66678C">
                  <w:pPr>
                    <w:pStyle w:val="98"/>
                    <w:rPr>
                      <w:sz w:val="22"/>
                      <w:szCs w:val="22"/>
                    </w:rPr>
                  </w:pPr>
                  <w:bookmarkStart w:id="12" w:name="_Toc192256143"/>
                  <w:r>
                    <w:rPr>
                      <w:sz w:val="22"/>
                      <w:szCs w:val="22"/>
                    </w:rPr>
                    <w:t>否</w:t>
                  </w:r>
                  <w:bookmarkEnd w:id="12"/>
                </w:p>
              </w:tc>
            </w:tr>
            <w:tr w14:paraId="4D2272A1">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56" w:type="pct"/>
                  <w:vAlign w:val="center"/>
                </w:tcPr>
                <w:p w14:paraId="6F0D942B">
                  <w:pPr>
                    <w:pStyle w:val="98"/>
                    <w:rPr>
                      <w:sz w:val="22"/>
                      <w:szCs w:val="22"/>
                    </w:rPr>
                  </w:pPr>
                  <w:bookmarkStart w:id="13" w:name="_Toc27726"/>
                  <w:r>
                    <w:rPr>
                      <w:rFonts w:hint="eastAsia"/>
                      <w:sz w:val="22"/>
                      <w:szCs w:val="22"/>
                    </w:rPr>
                    <w:t>地下水</w:t>
                  </w:r>
                  <w:bookmarkEnd w:id="13"/>
                </w:p>
              </w:tc>
              <w:tc>
                <w:tcPr>
                  <w:tcW w:w="2073" w:type="pct"/>
                  <w:vAlign w:val="center"/>
                </w:tcPr>
                <w:p w14:paraId="2723D570">
                  <w:pPr>
                    <w:pStyle w:val="98"/>
                    <w:jc w:val="left"/>
                    <w:rPr>
                      <w:sz w:val="22"/>
                      <w:szCs w:val="22"/>
                    </w:rPr>
                  </w:pPr>
                  <w:bookmarkStart w:id="14" w:name="_Toc1128"/>
                  <w:r>
                    <w:rPr>
                      <w:sz w:val="22"/>
                      <w:szCs w:val="22"/>
                    </w:rPr>
                    <w:t>陆地石油和天然气开采：全部；</w:t>
                  </w:r>
                  <w:bookmarkEnd w:id="14"/>
                </w:p>
                <w:p w14:paraId="24BFFCEF">
                  <w:pPr>
                    <w:pStyle w:val="98"/>
                    <w:jc w:val="left"/>
                    <w:rPr>
                      <w:sz w:val="22"/>
                      <w:szCs w:val="22"/>
                    </w:rPr>
                  </w:pPr>
                  <w:bookmarkStart w:id="15" w:name="_Toc24064"/>
                  <w:r>
                    <w:rPr>
                      <w:sz w:val="22"/>
                      <w:szCs w:val="22"/>
                    </w:rPr>
                    <w:t>地下水（含矿泉水）开采：全部；</w:t>
                  </w:r>
                  <w:bookmarkEnd w:id="15"/>
                </w:p>
                <w:p w14:paraId="76FA2CFB">
                  <w:pPr>
                    <w:pStyle w:val="98"/>
                    <w:jc w:val="left"/>
                    <w:rPr>
                      <w:sz w:val="22"/>
                      <w:szCs w:val="22"/>
                    </w:rPr>
                  </w:pPr>
                  <w:bookmarkStart w:id="16" w:name="_Toc13619"/>
                  <w:r>
                    <w:rPr>
                      <w:sz w:val="22"/>
                      <w:szCs w:val="22"/>
                    </w:rPr>
                    <w:t>水利、水电、交通等：含穿越可溶岩地层隧道的项目</w:t>
                  </w:r>
                  <w:bookmarkEnd w:id="16"/>
                  <w:r>
                    <w:rPr>
                      <w:rFonts w:hint="eastAsia"/>
                      <w:sz w:val="22"/>
                      <w:szCs w:val="22"/>
                    </w:rPr>
                    <w:t>。</w:t>
                  </w:r>
                </w:p>
              </w:tc>
              <w:tc>
                <w:tcPr>
                  <w:tcW w:w="1858" w:type="pct"/>
                  <w:vAlign w:val="center"/>
                </w:tcPr>
                <w:p w14:paraId="769C80A8">
                  <w:pPr>
                    <w:pStyle w:val="98"/>
                    <w:jc w:val="left"/>
                    <w:rPr>
                      <w:sz w:val="22"/>
                      <w:szCs w:val="22"/>
                    </w:rPr>
                  </w:pPr>
                  <w:r>
                    <w:rPr>
                      <w:rFonts w:hint="eastAsia"/>
                      <w:sz w:val="22"/>
                      <w:szCs w:val="22"/>
                      <w:lang w:val="en-US" w:eastAsia="zh-CN"/>
                    </w:rPr>
                    <w:t>本项目不属于陆地石油和天然气开采，地下水（含矿泉水）开采，水利、水电、交通中含穿越可溶岩地层隧道的项目。</w:t>
                  </w:r>
                </w:p>
              </w:tc>
              <w:tc>
                <w:tcPr>
                  <w:tcW w:w="412" w:type="pct"/>
                  <w:vAlign w:val="center"/>
                </w:tcPr>
                <w:p w14:paraId="6D00A763">
                  <w:pPr>
                    <w:pStyle w:val="98"/>
                    <w:rPr>
                      <w:sz w:val="22"/>
                      <w:szCs w:val="22"/>
                    </w:rPr>
                  </w:pPr>
                  <w:bookmarkStart w:id="17" w:name="_Toc192256147"/>
                  <w:r>
                    <w:rPr>
                      <w:sz w:val="22"/>
                      <w:szCs w:val="22"/>
                    </w:rPr>
                    <w:t>否</w:t>
                  </w:r>
                  <w:bookmarkEnd w:id="17"/>
                </w:p>
              </w:tc>
            </w:tr>
            <w:tr w14:paraId="7C854154">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656" w:type="pct"/>
                  <w:vAlign w:val="center"/>
                </w:tcPr>
                <w:p w14:paraId="3D947975">
                  <w:pPr>
                    <w:pStyle w:val="98"/>
                    <w:rPr>
                      <w:sz w:val="22"/>
                      <w:szCs w:val="22"/>
                    </w:rPr>
                  </w:pPr>
                  <w:bookmarkStart w:id="18" w:name="_Toc20021"/>
                  <w:r>
                    <w:rPr>
                      <w:rFonts w:hint="eastAsia"/>
                      <w:sz w:val="22"/>
                      <w:szCs w:val="22"/>
                    </w:rPr>
                    <w:t>生态</w:t>
                  </w:r>
                  <w:bookmarkEnd w:id="18"/>
                </w:p>
              </w:tc>
              <w:tc>
                <w:tcPr>
                  <w:tcW w:w="2073" w:type="pct"/>
                  <w:vAlign w:val="center"/>
                </w:tcPr>
                <w:p w14:paraId="040457B9">
                  <w:pPr>
                    <w:pStyle w:val="98"/>
                    <w:jc w:val="left"/>
                    <w:rPr>
                      <w:sz w:val="22"/>
                      <w:szCs w:val="22"/>
                    </w:rPr>
                  </w:pPr>
                  <w:bookmarkStart w:id="19" w:name="_Toc5890"/>
                  <w:r>
                    <w:rPr>
                      <w:sz w:val="22"/>
                      <w:szCs w:val="22"/>
                    </w:rPr>
                    <w:t>涉及环境敏感区（不包括饮用水水源保护区，以居住、医疗卫生、文化教育、科研、行政办公为主要功能的区域，以及文物保护单位）的项目</w:t>
                  </w:r>
                  <w:bookmarkEnd w:id="19"/>
                  <w:r>
                    <w:rPr>
                      <w:rFonts w:hint="eastAsia"/>
                      <w:sz w:val="22"/>
                      <w:szCs w:val="22"/>
                    </w:rPr>
                    <w:t>。</w:t>
                  </w:r>
                </w:p>
              </w:tc>
              <w:tc>
                <w:tcPr>
                  <w:tcW w:w="1858" w:type="pct"/>
                  <w:vAlign w:val="center"/>
                </w:tcPr>
                <w:p w14:paraId="35A5FBFF">
                  <w:pPr>
                    <w:pStyle w:val="98"/>
                    <w:jc w:val="left"/>
                    <w:rPr>
                      <w:rFonts w:hint="default" w:eastAsia="宋体"/>
                      <w:b w:val="0"/>
                      <w:bCs w:val="0"/>
                      <w:sz w:val="22"/>
                      <w:szCs w:val="22"/>
                      <w:lang w:val="en-US" w:eastAsia="zh-CN"/>
                    </w:rPr>
                  </w:pPr>
                  <w:bookmarkStart w:id="20" w:name="_Toc23067"/>
                  <w:r>
                    <w:rPr>
                      <w:rFonts w:hint="eastAsia"/>
                      <w:b w:val="0"/>
                      <w:bCs w:val="0"/>
                      <w:sz w:val="22"/>
                      <w:szCs w:val="22"/>
                    </w:rPr>
                    <w:t>本项目</w:t>
                  </w:r>
                  <w:bookmarkEnd w:id="20"/>
                  <w:r>
                    <w:rPr>
                      <w:rFonts w:hint="eastAsia"/>
                      <w:b w:val="0"/>
                      <w:bCs w:val="0"/>
                      <w:sz w:val="22"/>
                      <w:szCs w:val="22"/>
                      <w:lang w:val="en-US" w:eastAsia="zh-CN"/>
                    </w:rPr>
                    <w:t>位于</w:t>
                  </w:r>
                  <w:r>
                    <w:rPr>
                      <w:rFonts w:hint="eastAsia" w:eastAsia="宋体"/>
                      <w:color w:val="auto"/>
                      <w:sz w:val="22"/>
                      <w:szCs w:val="22"/>
                      <w:lang w:eastAsia="zh-CN"/>
                    </w:rPr>
                    <w:t>天生镇进步社区、天生社区，不涉及</w:t>
                  </w:r>
                  <w:r>
                    <w:rPr>
                      <w:rFonts w:hint="eastAsia"/>
                      <w:color w:val="auto"/>
                      <w:sz w:val="22"/>
                      <w:szCs w:val="22"/>
                      <w:lang w:val="en-US" w:eastAsia="zh-CN"/>
                    </w:rPr>
                    <w:t>环境敏感区</w:t>
                  </w:r>
                  <w:r>
                    <w:rPr>
                      <w:rFonts w:hint="eastAsia" w:eastAsia="宋体"/>
                      <w:color w:val="auto"/>
                      <w:sz w:val="22"/>
                      <w:szCs w:val="22"/>
                      <w:lang w:eastAsia="zh-CN"/>
                    </w:rPr>
                    <w:t>。</w:t>
                  </w:r>
                </w:p>
              </w:tc>
              <w:tc>
                <w:tcPr>
                  <w:tcW w:w="412" w:type="pct"/>
                  <w:vAlign w:val="center"/>
                </w:tcPr>
                <w:p w14:paraId="3BC12A6C">
                  <w:pPr>
                    <w:pStyle w:val="98"/>
                    <w:rPr>
                      <w:rFonts w:hint="eastAsia" w:eastAsia="宋体"/>
                      <w:b w:val="0"/>
                      <w:bCs w:val="0"/>
                      <w:sz w:val="22"/>
                      <w:szCs w:val="22"/>
                      <w:lang w:eastAsia="zh-CN"/>
                    </w:rPr>
                  </w:pPr>
                  <w:r>
                    <w:rPr>
                      <w:rFonts w:hint="eastAsia"/>
                      <w:b w:val="0"/>
                      <w:bCs w:val="0"/>
                      <w:sz w:val="22"/>
                      <w:szCs w:val="22"/>
                      <w:lang w:val="en-US" w:eastAsia="zh-CN"/>
                    </w:rPr>
                    <w:t>否</w:t>
                  </w:r>
                </w:p>
              </w:tc>
            </w:tr>
            <w:tr w14:paraId="1DE06FD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56" w:type="pct"/>
                  <w:vAlign w:val="center"/>
                </w:tcPr>
                <w:p w14:paraId="1F283A64">
                  <w:pPr>
                    <w:pStyle w:val="98"/>
                    <w:rPr>
                      <w:sz w:val="22"/>
                      <w:szCs w:val="22"/>
                    </w:rPr>
                  </w:pPr>
                  <w:bookmarkStart w:id="21" w:name="_Toc13743"/>
                  <w:r>
                    <w:rPr>
                      <w:rFonts w:hint="eastAsia"/>
                      <w:sz w:val="22"/>
                      <w:szCs w:val="22"/>
                    </w:rPr>
                    <w:t>大气</w:t>
                  </w:r>
                  <w:bookmarkEnd w:id="21"/>
                </w:p>
              </w:tc>
              <w:tc>
                <w:tcPr>
                  <w:tcW w:w="2073" w:type="pct"/>
                  <w:vAlign w:val="center"/>
                </w:tcPr>
                <w:p w14:paraId="6DB81DA6">
                  <w:pPr>
                    <w:pStyle w:val="98"/>
                    <w:jc w:val="left"/>
                    <w:rPr>
                      <w:sz w:val="22"/>
                      <w:szCs w:val="22"/>
                    </w:rPr>
                  </w:pPr>
                  <w:bookmarkStart w:id="22" w:name="_Toc31417"/>
                  <w:r>
                    <w:rPr>
                      <w:rFonts w:hint="eastAsia"/>
                      <w:sz w:val="22"/>
                      <w:szCs w:val="22"/>
                    </w:rPr>
                    <w:t>油气、液体化工码头：全部；</w:t>
                  </w:r>
                  <w:bookmarkEnd w:id="22"/>
                </w:p>
                <w:p w14:paraId="6554C001">
                  <w:pPr>
                    <w:pStyle w:val="98"/>
                    <w:jc w:val="left"/>
                    <w:rPr>
                      <w:sz w:val="22"/>
                      <w:szCs w:val="22"/>
                    </w:rPr>
                  </w:pPr>
                  <w:bookmarkStart w:id="23" w:name="_Toc9417"/>
                  <w:r>
                    <w:rPr>
                      <w:rFonts w:hint="eastAsia"/>
                      <w:sz w:val="22"/>
                      <w:szCs w:val="22"/>
                    </w:rPr>
                    <w:t>干散货（含煤炭、矿石）、件杂、多用途、通用码头：涉及粉尘、挥发性有机物排放的项目</w:t>
                  </w:r>
                  <w:bookmarkEnd w:id="23"/>
                  <w:r>
                    <w:rPr>
                      <w:rFonts w:hint="eastAsia"/>
                      <w:sz w:val="22"/>
                      <w:szCs w:val="22"/>
                    </w:rPr>
                    <w:t>。</w:t>
                  </w:r>
                </w:p>
              </w:tc>
              <w:tc>
                <w:tcPr>
                  <w:tcW w:w="1858" w:type="pct"/>
                  <w:vAlign w:val="center"/>
                </w:tcPr>
                <w:p w14:paraId="7F56D09C">
                  <w:pPr>
                    <w:pStyle w:val="98"/>
                    <w:jc w:val="left"/>
                    <w:rPr>
                      <w:sz w:val="22"/>
                      <w:szCs w:val="22"/>
                    </w:rPr>
                  </w:pPr>
                  <w:r>
                    <w:rPr>
                      <w:rFonts w:hint="eastAsia"/>
                      <w:sz w:val="22"/>
                      <w:szCs w:val="22"/>
                    </w:rPr>
                    <w:t>本项目不属于油气、液体化工码头，干散货（含煤炭、矿石）、件杂、多用途、通用码头项目。</w:t>
                  </w:r>
                </w:p>
              </w:tc>
              <w:tc>
                <w:tcPr>
                  <w:tcW w:w="412" w:type="pct"/>
                  <w:vAlign w:val="center"/>
                </w:tcPr>
                <w:p w14:paraId="408DE03E">
                  <w:pPr>
                    <w:pStyle w:val="98"/>
                    <w:rPr>
                      <w:sz w:val="22"/>
                      <w:szCs w:val="22"/>
                    </w:rPr>
                  </w:pPr>
                  <w:bookmarkStart w:id="24" w:name="_Toc192256155"/>
                  <w:r>
                    <w:rPr>
                      <w:sz w:val="22"/>
                      <w:szCs w:val="22"/>
                    </w:rPr>
                    <w:t>否</w:t>
                  </w:r>
                  <w:bookmarkEnd w:id="24"/>
                </w:p>
              </w:tc>
            </w:tr>
            <w:tr w14:paraId="7E2D2EB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56" w:type="pct"/>
                  <w:vAlign w:val="center"/>
                </w:tcPr>
                <w:p w14:paraId="462F18E4">
                  <w:pPr>
                    <w:pStyle w:val="98"/>
                    <w:rPr>
                      <w:sz w:val="22"/>
                      <w:szCs w:val="22"/>
                    </w:rPr>
                  </w:pPr>
                  <w:bookmarkStart w:id="25" w:name="_Toc8666"/>
                  <w:r>
                    <w:rPr>
                      <w:rFonts w:hint="eastAsia"/>
                      <w:sz w:val="22"/>
                      <w:szCs w:val="22"/>
                    </w:rPr>
                    <w:t>噪声</w:t>
                  </w:r>
                  <w:bookmarkEnd w:id="25"/>
                </w:p>
              </w:tc>
              <w:tc>
                <w:tcPr>
                  <w:tcW w:w="2073" w:type="pct"/>
                  <w:vAlign w:val="center"/>
                </w:tcPr>
                <w:p w14:paraId="76CC1478">
                  <w:pPr>
                    <w:pStyle w:val="98"/>
                    <w:jc w:val="left"/>
                    <w:rPr>
                      <w:sz w:val="22"/>
                      <w:szCs w:val="22"/>
                    </w:rPr>
                  </w:pPr>
                  <w:bookmarkStart w:id="26" w:name="_Toc22637"/>
                  <w:r>
                    <w:rPr>
                      <w:sz w:val="22"/>
                      <w:szCs w:val="22"/>
                    </w:rPr>
                    <w:t>公路、铁路、机场等交通运输业涉及环境敏感区（以居住、医疗卫生、文化教育、科研、行政办公为主要功能的区域）的项目；</w:t>
                  </w:r>
                  <w:bookmarkEnd w:id="26"/>
                </w:p>
                <w:p w14:paraId="17DACCDB">
                  <w:pPr>
                    <w:pStyle w:val="98"/>
                    <w:jc w:val="left"/>
                    <w:rPr>
                      <w:sz w:val="22"/>
                      <w:szCs w:val="22"/>
                    </w:rPr>
                  </w:pPr>
                  <w:bookmarkStart w:id="27" w:name="_Toc8577"/>
                  <w:r>
                    <w:rPr>
                      <w:sz w:val="22"/>
                      <w:szCs w:val="22"/>
                    </w:rPr>
                    <w:t>城市道路（不含维护，不含支路、人行天桥、人行地道）：全部</w:t>
                  </w:r>
                  <w:bookmarkEnd w:id="27"/>
                  <w:r>
                    <w:rPr>
                      <w:rFonts w:hint="eastAsia"/>
                      <w:sz w:val="22"/>
                      <w:szCs w:val="22"/>
                    </w:rPr>
                    <w:t>。</w:t>
                  </w:r>
                </w:p>
              </w:tc>
              <w:tc>
                <w:tcPr>
                  <w:tcW w:w="1858" w:type="pct"/>
                  <w:vAlign w:val="center"/>
                </w:tcPr>
                <w:p w14:paraId="3FF1A1DC">
                  <w:pPr>
                    <w:pStyle w:val="98"/>
                    <w:jc w:val="left"/>
                    <w:rPr>
                      <w:sz w:val="22"/>
                      <w:szCs w:val="22"/>
                    </w:rPr>
                  </w:pPr>
                  <w:r>
                    <w:rPr>
                      <w:rFonts w:hint="eastAsia"/>
                      <w:sz w:val="22"/>
                      <w:szCs w:val="22"/>
                    </w:rPr>
                    <w:t>本项目不属于公路、铁路、机场等交通运输业涉及环境敏感区项目，不属于城市道路项目。</w:t>
                  </w:r>
                </w:p>
              </w:tc>
              <w:tc>
                <w:tcPr>
                  <w:tcW w:w="412" w:type="pct"/>
                  <w:vAlign w:val="center"/>
                </w:tcPr>
                <w:p w14:paraId="33DB4685">
                  <w:pPr>
                    <w:pStyle w:val="98"/>
                    <w:rPr>
                      <w:sz w:val="22"/>
                      <w:szCs w:val="22"/>
                    </w:rPr>
                  </w:pPr>
                  <w:bookmarkStart w:id="28" w:name="_Toc192256159"/>
                  <w:r>
                    <w:rPr>
                      <w:sz w:val="22"/>
                      <w:szCs w:val="22"/>
                    </w:rPr>
                    <w:t>否</w:t>
                  </w:r>
                  <w:bookmarkEnd w:id="28"/>
                </w:p>
              </w:tc>
            </w:tr>
            <w:tr w14:paraId="5BECE880">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56" w:type="pct"/>
                  <w:vAlign w:val="center"/>
                </w:tcPr>
                <w:p w14:paraId="2666DB02">
                  <w:pPr>
                    <w:pStyle w:val="98"/>
                    <w:rPr>
                      <w:sz w:val="22"/>
                      <w:szCs w:val="22"/>
                    </w:rPr>
                  </w:pPr>
                  <w:bookmarkStart w:id="29" w:name="_Toc21460"/>
                  <w:r>
                    <w:rPr>
                      <w:rFonts w:hint="eastAsia"/>
                      <w:sz w:val="22"/>
                      <w:szCs w:val="22"/>
                    </w:rPr>
                    <w:t>环境风险</w:t>
                  </w:r>
                  <w:bookmarkEnd w:id="29"/>
                </w:p>
              </w:tc>
              <w:tc>
                <w:tcPr>
                  <w:tcW w:w="2073" w:type="pct"/>
                  <w:vAlign w:val="center"/>
                </w:tcPr>
                <w:p w14:paraId="60020461">
                  <w:pPr>
                    <w:pStyle w:val="98"/>
                    <w:jc w:val="left"/>
                    <w:rPr>
                      <w:sz w:val="22"/>
                      <w:szCs w:val="22"/>
                    </w:rPr>
                  </w:pPr>
                  <w:bookmarkStart w:id="30" w:name="_Toc10236"/>
                  <w:r>
                    <w:rPr>
                      <w:rFonts w:hint="eastAsia"/>
                      <w:sz w:val="22"/>
                      <w:szCs w:val="22"/>
                    </w:rPr>
                    <w:t>石油和天然气开采：全部；</w:t>
                  </w:r>
                  <w:bookmarkEnd w:id="30"/>
                </w:p>
                <w:p w14:paraId="486EDBCC">
                  <w:pPr>
                    <w:pStyle w:val="98"/>
                    <w:jc w:val="left"/>
                    <w:rPr>
                      <w:sz w:val="22"/>
                      <w:szCs w:val="22"/>
                    </w:rPr>
                  </w:pPr>
                  <w:bookmarkStart w:id="31" w:name="_Toc9231"/>
                  <w:r>
                    <w:rPr>
                      <w:rFonts w:hint="eastAsia"/>
                      <w:sz w:val="22"/>
                      <w:szCs w:val="22"/>
                    </w:rPr>
                    <w:t>油气、液体化工码头：全部；</w:t>
                  </w:r>
                  <w:bookmarkEnd w:id="31"/>
                </w:p>
                <w:p w14:paraId="52ECA72E">
                  <w:pPr>
                    <w:pStyle w:val="98"/>
                    <w:jc w:val="left"/>
                    <w:rPr>
                      <w:sz w:val="22"/>
                      <w:szCs w:val="22"/>
                    </w:rPr>
                  </w:pPr>
                  <w:bookmarkStart w:id="32" w:name="_Toc4834"/>
                  <w:r>
                    <w:rPr>
                      <w:rFonts w:hint="eastAsia"/>
                      <w:sz w:val="22"/>
                      <w:szCs w:val="22"/>
                    </w:rPr>
                    <w:t>原油、成品油、天然气管线（不含城镇天然气管线、企业厂区内管线），危险化学品输送管线（不含企业厂区内管线）：全部。</w:t>
                  </w:r>
                  <w:bookmarkEnd w:id="32"/>
                </w:p>
              </w:tc>
              <w:tc>
                <w:tcPr>
                  <w:tcW w:w="1858" w:type="pct"/>
                  <w:vAlign w:val="center"/>
                </w:tcPr>
                <w:p w14:paraId="5BD6662D">
                  <w:pPr>
                    <w:pStyle w:val="98"/>
                    <w:jc w:val="left"/>
                    <w:rPr>
                      <w:rFonts w:hint="eastAsia" w:eastAsia="宋体"/>
                      <w:sz w:val="22"/>
                      <w:szCs w:val="22"/>
                      <w:lang w:eastAsia="zh-CN"/>
                    </w:rPr>
                  </w:pPr>
                  <w:r>
                    <w:rPr>
                      <w:rFonts w:hint="eastAsia" w:eastAsia="宋体"/>
                      <w:sz w:val="22"/>
                      <w:szCs w:val="22"/>
                      <w:lang w:eastAsia="zh-CN"/>
                    </w:rPr>
                    <w:t>本项目不属于石油和天然气开采、油气、液体化工码头、原油、成品油、天然气管线、危险化学品输送管线项目。</w:t>
                  </w:r>
                </w:p>
              </w:tc>
              <w:tc>
                <w:tcPr>
                  <w:tcW w:w="412" w:type="pct"/>
                  <w:vAlign w:val="center"/>
                </w:tcPr>
                <w:p w14:paraId="4B1ABDB7">
                  <w:pPr>
                    <w:pStyle w:val="98"/>
                    <w:rPr>
                      <w:sz w:val="22"/>
                      <w:szCs w:val="22"/>
                    </w:rPr>
                  </w:pPr>
                  <w:bookmarkStart w:id="33" w:name="_Toc192256163"/>
                  <w:r>
                    <w:rPr>
                      <w:sz w:val="22"/>
                      <w:szCs w:val="22"/>
                    </w:rPr>
                    <w:t>否</w:t>
                  </w:r>
                  <w:bookmarkEnd w:id="33"/>
                </w:p>
              </w:tc>
            </w:tr>
          </w:tbl>
          <w:p w14:paraId="293B75C0">
            <w:pPr>
              <w:pStyle w:val="86"/>
            </w:pPr>
            <w:r>
              <w:rPr>
                <w:rFonts w:hint="eastAsia"/>
              </w:rPr>
              <w:t>注：“涉及环境敏感区”是指建设项目位于、穿（跨）越（无害化通过的除外）环境敏感区，或环境影响范围涵盖敏感区。环境敏感区是指《建设项目环境影响评价分类管理名录》中针对该类项目所列的敏感区</w:t>
            </w:r>
            <w:r>
              <w:t>。</w:t>
            </w:r>
          </w:p>
          <w:p w14:paraId="4FD90A11">
            <w:pPr>
              <w:pStyle w:val="6"/>
              <w:bidi w:val="0"/>
              <w:rPr>
                <w:rFonts w:hint="default"/>
                <w:lang w:val="en-US" w:eastAsia="zh-CN"/>
              </w:rPr>
            </w:pPr>
            <w:r>
              <w:rPr>
                <w:rFonts w:hint="eastAsia"/>
                <w:lang w:val="en-US" w:eastAsia="zh-CN"/>
              </w:rPr>
              <w:t>根据上表可知，本项目不设置专项评价。</w:t>
            </w:r>
          </w:p>
        </w:tc>
      </w:tr>
      <w:tr w14:paraId="1EA7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36D7F36F">
            <w:r>
              <w:rPr>
                <w:rFonts w:hint="eastAsia"/>
              </w:rPr>
              <w:t>规划情况</w:t>
            </w:r>
          </w:p>
        </w:tc>
        <w:tc>
          <w:tcPr>
            <w:tcW w:w="4637" w:type="pct"/>
            <w:gridSpan w:val="6"/>
            <w:shd w:val="clear" w:color="auto" w:fill="auto"/>
            <w:vAlign w:val="center"/>
          </w:tcPr>
          <w:p w14:paraId="13A0DBA1">
            <w:pPr>
              <w:pStyle w:val="6"/>
              <w:ind w:firstLine="0" w:firstLineChars="0"/>
              <w:jc w:val="left"/>
              <w:rPr>
                <w:rFonts w:hint="eastAsia"/>
                <w:color w:val="auto"/>
                <w:lang w:eastAsia="zh-CN"/>
              </w:rPr>
            </w:pPr>
            <w:r>
              <w:rPr>
                <w:rFonts w:hint="eastAsia" w:eastAsia="宋体"/>
                <w:color w:val="auto"/>
                <w:lang w:eastAsia="zh-CN"/>
              </w:rPr>
              <w:t>规划名称：</w:t>
            </w:r>
            <w:r>
              <w:rPr>
                <w:rFonts w:hint="eastAsia"/>
                <w:color w:val="auto"/>
                <w:lang w:eastAsia="zh-CN"/>
              </w:rPr>
              <w:t>《</w:t>
            </w:r>
            <w:r>
              <w:rPr>
                <w:rFonts w:hint="eastAsia"/>
                <w:color w:val="auto"/>
              </w:rPr>
              <w:t>四川省渠江流域综合规划</w:t>
            </w:r>
            <w:r>
              <w:rPr>
                <w:rFonts w:hint="eastAsia"/>
                <w:color w:val="auto"/>
                <w:lang w:eastAsia="zh-CN"/>
              </w:rPr>
              <w:t>》</w:t>
            </w:r>
          </w:p>
          <w:p w14:paraId="461C0C83">
            <w:pPr>
              <w:pStyle w:val="6"/>
              <w:ind w:firstLine="0" w:firstLineChars="0"/>
              <w:jc w:val="left"/>
              <w:rPr>
                <w:rFonts w:hint="eastAsia" w:eastAsia="宋体"/>
                <w:color w:val="auto"/>
                <w:lang w:eastAsia="zh-CN"/>
              </w:rPr>
            </w:pPr>
            <w:r>
              <w:rPr>
                <w:rFonts w:hint="eastAsia" w:eastAsia="宋体"/>
                <w:color w:val="auto"/>
                <w:lang w:eastAsia="zh-CN"/>
              </w:rPr>
              <w:t>审批机关：四川省人民政府</w:t>
            </w:r>
          </w:p>
          <w:p w14:paraId="549F9D69">
            <w:pPr>
              <w:pStyle w:val="6"/>
              <w:ind w:firstLine="0" w:firstLineChars="0"/>
              <w:jc w:val="left"/>
              <w:rPr>
                <w:rFonts w:hint="eastAsia" w:eastAsia="宋体"/>
                <w:color w:val="auto"/>
                <w:lang w:eastAsia="zh-CN"/>
              </w:rPr>
            </w:pPr>
            <w:r>
              <w:rPr>
                <w:rFonts w:hint="eastAsia" w:eastAsia="宋体"/>
                <w:color w:val="auto"/>
                <w:lang w:eastAsia="zh-CN"/>
              </w:rPr>
              <w:t>审批文件名称：</w:t>
            </w:r>
            <w:r>
              <w:rPr>
                <w:rFonts w:hint="eastAsia"/>
                <w:color w:val="auto"/>
              </w:rPr>
              <w:t>《</w:t>
            </w:r>
            <w:r>
              <w:rPr>
                <w:rFonts w:hint="eastAsia" w:eastAsia="宋体"/>
                <w:color w:val="auto"/>
                <w:lang w:eastAsia="zh-CN"/>
              </w:rPr>
              <w:t>四川省人民政府关于</w:t>
            </w:r>
            <w:r>
              <w:rPr>
                <w:rFonts w:hint="eastAsia"/>
                <w:color w:val="auto"/>
              </w:rPr>
              <w:t>&lt;四川省渠江流域综合规划&gt;</w:t>
            </w:r>
            <w:r>
              <w:rPr>
                <w:rFonts w:hint="eastAsia" w:eastAsia="宋体"/>
                <w:color w:val="auto"/>
                <w:lang w:eastAsia="zh-CN"/>
              </w:rPr>
              <w:t>的批复》</w:t>
            </w:r>
          </w:p>
          <w:p w14:paraId="69439A15">
            <w:pPr>
              <w:pStyle w:val="6"/>
              <w:ind w:firstLine="0" w:firstLineChars="0"/>
              <w:jc w:val="left"/>
              <w:rPr>
                <w:rFonts w:hint="eastAsia" w:eastAsia="宋体"/>
                <w:color w:val="auto"/>
                <w:lang w:eastAsia="zh-CN"/>
              </w:rPr>
            </w:pPr>
            <w:r>
              <w:rPr>
                <w:rFonts w:hint="eastAsia" w:eastAsia="宋体"/>
                <w:color w:val="auto"/>
                <w:lang w:eastAsia="zh-CN"/>
              </w:rPr>
              <w:t>文号：川府函〔2013〕205号</w:t>
            </w:r>
          </w:p>
        </w:tc>
      </w:tr>
      <w:tr w14:paraId="3F6B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62" w:type="pct"/>
            <w:vAlign w:val="center"/>
          </w:tcPr>
          <w:p w14:paraId="2076C765">
            <w:r>
              <w:rPr>
                <w:rFonts w:hint="eastAsia"/>
              </w:rPr>
              <w:t>规划环境影响评价情况</w:t>
            </w:r>
          </w:p>
        </w:tc>
        <w:tc>
          <w:tcPr>
            <w:tcW w:w="4637" w:type="pct"/>
            <w:gridSpan w:val="6"/>
            <w:shd w:val="clear" w:color="auto" w:fill="auto"/>
            <w:vAlign w:val="center"/>
          </w:tcPr>
          <w:p w14:paraId="79F32967">
            <w:pPr>
              <w:pStyle w:val="6"/>
              <w:ind w:firstLine="0" w:firstLineChars="0"/>
              <w:rPr>
                <w:rFonts w:hint="eastAsia"/>
                <w:color w:val="auto"/>
              </w:rPr>
            </w:pPr>
            <w:r>
              <w:rPr>
                <w:rFonts w:hint="eastAsia"/>
                <w:color w:val="auto"/>
              </w:rPr>
              <w:t>规划环境影响评价文件：《四川省渠江流域综合规划环境影响报告书》</w:t>
            </w:r>
          </w:p>
          <w:p w14:paraId="30C422DD">
            <w:pPr>
              <w:pStyle w:val="6"/>
              <w:ind w:firstLine="0" w:firstLineChars="0"/>
              <w:rPr>
                <w:rFonts w:hint="eastAsia"/>
                <w:color w:val="auto"/>
              </w:rPr>
            </w:pPr>
            <w:r>
              <w:rPr>
                <w:rFonts w:hint="eastAsia"/>
                <w:color w:val="auto"/>
              </w:rPr>
              <w:t>审批机关：四川省生态环境厅</w:t>
            </w:r>
          </w:p>
          <w:p w14:paraId="7312DD46">
            <w:pPr>
              <w:pStyle w:val="6"/>
              <w:ind w:firstLine="0" w:firstLineChars="0"/>
              <w:rPr>
                <w:rFonts w:hint="eastAsia"/>
                <w:color w:val="auto"/>
              </w:rPr>
            </w:pPr>
            <w:r>
              <w:rPr>
                <w:rFonts w:hint="eastAsia"/>
                <w:color w:val="auto"/>
              </w:rPr>
              <w:t>审批文件名称：《四川省生态环境厅关于&lt;四川省渠江流域综合规划环境影响报告书&gt;审查意见的函》</w:t>
            </w:r>
          </w:p>
          <w:p w14:paraId="07CC3075">
            <w:pPr>
              <w:pStyle w:val="6"/>
              <w:ind w:firstLine="0" w:firstLineChars="0"/>
              <w:rPr>
                <w:color w:val="auto"/>
              </w:rPr>
            </w:pPr>
            <w:r>
              <w:rPr>
                <w:rFonts w:hint="eastAsia"/>
                <w:color w:val="auto"/>
                <w:lang w:val="en-US" w:eastAsia="zh-CN"/>
              </w:rPr>
              <w:t>文号：</w:t>
            </w:r>
            <w:r>
              <w:rPr>
                <w:rFonts w:hint="eastAsia"/>
                <w:color w:val="auto"/>
              </w:rPr>
              <w:t>（川环建函</w:t>
            </w:r>
            <w:r>
              <w:rPr>
                <w:rFonts w:hint="default" w:eastAsia="宋体"/>
                <w:color w:val="auto"/>
                <w:lang w:val="en-US" w:eastAsia="zh-CN"/>
              </w:rPr>
              <w:t>〔20</w:t>
            </w:r>
            <w:r>
              <w:rPr>
                <w:rFonts w:hint="eastAsia" w:eastAsia="宋体"/>
                <w:color w:val="auto"/>
                <w:lang w:val="en-US" w:eastAsia="zh-CN"/>
              </w:rPr>
              <w:t>20</w:t>
            </w:r>
            <w:r>
              <w:rPr>
                <w:rFonts w:hint="default" w:eastAsia="宋体"/>
                <w:color w:val="auto"/>
                <w:lang w:val="en-US" w:eastAsia="zh-CN"/>
              </w:rPr>
              <w:t>〕</w:t>
            </w:r>
            <w:r>
              <w:rPr>
                <w:rFonts w:hint="eastAsia"/>
                <w:color w:val="auto"/>
              </w:rPr>
              <w:t>57号）</w:t>
            </w:r>
          </w:p>
        </w:tc>
      </w:tr>
      <w:tr w14:paraId="1C37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trPr>
        <w:tc>
          <w:tcPr>
            <w:tcW w:w="362" w:type="pct"/>
            <w:shd w:val="clear" w:color="auto" w:fill="auto"/>
            <w:vAlign w:val="center"/>
          </w:tcPr>
          <w:p w14:paraId="648F1ED2">
            <w:pPr>
              <w:rPr>
                <w:rFonts w:hint="eastAsia" w:ascii="Times New Roman" w:hAnsi="Times New Roman" w:eastAsia="宋体" w:cstheme="minorBidi"/>
                <w:kern w:val="2"/>
                <w:sz w:val="24"/>
                <w:szCs w:val="21"/>
                <w:lang w:val="en-US" w:eastAsia="zh-CN" w:bidi="ar-SA"/>
                <w14:ligatures w14:val="standardContextual"/>
              </w:rPr>
            </w:pPr>
            <w:r>
              <w:rPr>
                <w:rFonts w:hint="eastAsia"/>
              </w:rPr>
              <w:t>规划及规划环境影响评价符合性分析</w:t>
            </w:r>
          </w:p>
        </w:tc>
        <w:tc>
          <w:tcPr>
            <w:tcW w:w="4637" w:type="pct"/>
            <w:gridSpan w:val="6"/>
            <w:shd w:val="clear" w:color="auto" w:fill="auto"/>
            <w:vAlign w:val="center"/>
          </w:tcPr>
          <w:p w14:paraId="0BB28619">
            <w:pPr>
              <w:pStyle w:val="3"/>
              <w:bidi w:val="0"/>
              <w:rPr>
                <w:color w:val="auto"/>
              </w:rPr>
            </w:pPr>
            <w:bookmarkStart w:id="34" w:name="_Toc20967"/>
            <w:r>
              <w:rPr>
                <w:rFonts w:hint="eastAsia"/>
                <w:color w:val="auto"/>
              </w:rPr>
              <w:t>规划符合性分析</w:t>
            </w:r>
          </w:p>
          <w:p w14:paraId="64FEEC60">
            <w:pPr>
              <w:pStyle w:val="4"/>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与《四川省渠江流域综合规划》符合性分析</w:t>
            </w:r>
          </w:p>
          <w:p w14:paraId="2EFA8044">
            <w:pPr>
              <w:pStyle w:val="6"/>
              <w:bidi w:val="0"/>
              <w:rPr>
                <w:rFonts w:hint="default" w:eastAsia="宋体"/>
                <w:color w:val="auto"/>
                <w:spacing w:val="-4"/>
                <w:lang w:val="en-US" w:eastAsia="zh-CN"/>
              </w:rPr>
            </w:pPr>
            <w:r>
              <w:rPr>
                <w:rFonts w:hint="default" w:eastAsia="宋体"/>
                <w:color w:val="auto"/>
                <w:spacing w:val="-4"/>
                <w:lang w:val="en-US" w:eastAsia="zh-CN"/>
              </w:rPr>
              <w:t>2013年5月四川省水利厅组织四川省水利水电勘测设计研究院、四川省水文水资源勘测局编制完成《四川省渠江流域综合规划》，2013年7月四川省人民政府以“川府函〔2013〕205号”批复了《四川省渠江流域综合规划》。渠江流域综合规划确定渠江干流综合治理开发任务为：防洪、灌溉与供水、发电、航运、水资源保护、水生态与环境保护、水土保持等。《四川省渠江流域综合规划》中指出：三、加强渠江流域防洪治理，要不断完善流域防洪除涝减灾体系。到2020年，巴中城区、达州城区和广安城区防洪标准达到20年一遇、排涝标准达到10年一遇，县级城镇和建制镇防洪标准达到10~20年一遇、排涝标准达到10年一遇，初步建立山洪灾害重点防治区防灾减灾体系；到2030年，巴中城区、达州城区和广安城区防洪标准达到50年一遇、排涝标准达到20年一遇，县级城镇和建制镇防洪标准达到20年一遇、排涝标准达到10年一遇，建立符合渠江流域实际、满足经济社会又好又快发展要求的防洪减灾体系。</w:t>
            </w:r>
          </w:p>
          <w:p w14:paraId="42C2FC9A">
            <w:pPr>
              <w:pStyle w:val="6"/>
              <w:bidi w:val="0"/>
              <w:rPr>
                <w:rFonts w:hint="default" w:eastAsia="宋体"/>
                <w:color w:val="auto"/>
                <w:spacing w:val="-4"/>
                <w:lang w:val="en-US" w:eastAsia="zh-CN"/>
              </w:rPr>
            </w:pPr>
            <w:r>
              <w:rPr>
                <w:rFonts w:hint="eastAsia"/>
                <w:color w:val="auto"/>
                <w:spacing w:val="-4"/>
                <w:lang w:val="en-US" w:eastAsia="zh-CN"/>
              </w:rPr>
              <w:t>天生河</w:t>
            </w:r>
            <w:r>
              <w:rPr>
                <w:rFonts w:hint="default" w:eastAsia="宋体"/>
                <w:color w:val="auto"/>
                <w:spacing w:val="-4"/>
                <w:lang w:val="en-US" w:eastAsia="zh-CN"/>
              </w:rPr>
              <w:t>为渠江支流，本项目属于防洪治理工程，项目实施能进一步完善区域防洪减灾体系，符合四川省渠江流域综合规划要求。</w:t>
            </w:r>
          </w:p>
          <w:p w14:paraId="6D491BFA">
            <w:pPr>
              <w:pStyle w:val="4"/>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与《四川省渠江流域综合规划环境影响报告书》符合性分析</w:t>
            </w:r>
          </w:p>
          <w:p w14:paraId="6AD522B7">
            <w:pPr>
              <w:pStyle w:val="6"/>
              <w:bidi w:val="0"/>
              <w:rPr>
                <w:rFonts w:hint="default" w:eastAsia="宋体"/>
                <w:color w:val="auto"/>
                <w:spacing w:val="-4"/>
                <w:lang w:val="en-US" w:eastAsia="zh-CN"/>
              </w:rPr>
            </w:pPr>
            <w:r>
              <w:rPr>
                <w:rFonts w:hint="default" w:eastAsia="宋体"/>
                <w:color w:val="auto"/>
                <w:spacing w:val="-4"/>
                <w:lang w:val="en-US" w:eastAsia="zh-CN"/>
              </w:rPr>
              <w:t>根据《四川省渠江流域综合规划环境影响报告书》，渠江干支流防洪工程主要为堤防工程和护岸工程，顺江河而建不能阻断水流，本项目为</w:t>
            </w:r>
            <w:r>
              <w:rPr>
                <w:rFonts w:hint="eastAsia"/>
                <w:color w:val="auto"/>
                <w:lang w:val="en-US" w:eastAsia="zh-CN"/>
              </w:rPr>
              <w:t>新宁河天生镇防洪治理工程</w:t>
            </w:r>
            <w:r>
              <w:rPr>
                <w:rFonts w:hint="default" w:eastAsia="宋体"/>
                <w:color w:val="auto"/>
                <w:spacing w:val="-4"/>
                <w:lang w:val="en-US" w:eastAsia="zh-CN"/>
              </w:rPr>
              <w:t>，</w:t>
            </w:r>
            <w:r>
              <w:rPr>
                <w:rFonts w:hint="eastAsia"/>
                <w:color w:val="auto"/>
                <w:spacing w:val="-4"/>
                <w:lang w:val="en-US" w:eastAsia="zh-CN"/>
              </w:rPr>
              <w:t>工程实施于新宁河右岸支流天生河及天生河支流黎家沟</w:t>
            </w:r>
            <w:r>
              <w:rPr>
                <w:rFonts w:hint="default" w:eastAsia="宋体"/>
                <w:color w:val="auto"/>
                <w:spacing w:val="-4"/>
                <w:lang w:val="en-US" w:eastAsia="zh-CN"/>
              </w:rPr>
              <w:t>，项目工程施工沿河流原始岸边顺河而开展，不会阻断水流，故本项目的实施与《四川省渠江流域综合规划环境影响报告书》要求相符。</w:t>
            </w:r>
          </w:p>
          <w:p w14:paraId="64000181">
            <w:pPr>
              <w:pStyle w:val="4"/>
              <w:rPr>
                <w:rFonts w:hint="eastAsia"/>
                <w:color w:val="auto"/>
                <w:lang w:val="en-US" w:eastAsia="zh-CN"/>
              </w:rPr>
            </w:pPr>
            <w:r>
              <w:rPr>
                <w:rFonts w:hint="eastAsia"/>
                <w:color w:val="auto"/>
                <w:lang w:val="en-US" w:eastAsia="zh-CN"/>
              </w:rPr>
              <w:t>与《四川省渠江流域防洪规划》符合性分析</w:t>
            </w:r>
          </w:p>
          <w:p w14:paraId="40061C58">
            <w:pPr>
              <w:pStyle w:val="6"/>
              <w:bidi w:val="0"/>
              <w:rPr>
                <w:rFonts w:hint="default" w:eastAsia="宋体"/>
                <w:color w:val="auto"/>
                <w:spacing w:val="-4"/>
                <w:lang w:val="en-US" w:eastAsia="zh-CN"/>
              </w:rPr>
            </w:pPr>
            <w:r>
              <w:rPr>
                <w:rFonts w:hint="default" w:eastAsia="宋体"/>
                <w:color w:val="auto"/>
                <w:spacing w:val="-4"/>
                <w:lang w:val="en-US" w:eastAsia="zh-CN"/>
              </w:rPr>
              <w:t>渠江发源于四川、陕西交界的大巴山南麓南江县，流经四川，于岳池县进入重庆市，至合川区汇入嘉陵江，流域面积39220km</w:t>
            </w:r>
            <w:r>
              <w:rPr>
                <w:rFonts w:hint="default" w:eastAsia="宋体"/>
                <w:color w:val="auto"/>
                <w:spacing w:val="-4"/>
                <w:vertAlign w:val="superscript"/>
                <w:lang w:val="en-US" w:eastAsia="zh-CN"/>
              </w:rPr>
              <w:t>2</w:t>
            </w:r>
            <w:r>
              <w:rPr>
                <w:rFonts w:hint="default" w:eastAsia="宋体"/>
                <w:color w:val="auto"/>
                <w:spacing w:val="-4"/>
                <w:lang w:val="en-US" w:eastAsia="zh-CN"/>
              </w:rPr>
              <w:t>，河道长671km。其中四川段涉及巴中、达州、广安、南充、广元5市22县（市、区），流域面积34151km</w:t>
            </w:r>
            <w:r>
              <w:rPr>
                <w:rFonts w:hint="default" w:eastAsia="宋体"/>
                <w:color w:val="auto"/>
                <w:spacing w:val="-4"/>
                <w:vertAlign w:val="superscript"/>
                <w:lang w:val="en-US" w:eastAsia="zh-CN"/>
              </w:rPr>
              <w:t>2</w:t>
            </w:r>
            <w:r>
              <w:rPr>
                <w:rFonts w:hint="default" w:eastAsia="宋体"/>
                <w:color w:val="auto"/>
                <w:spacing w:val="-4"/>
                <w:lang w:val="en-US" w:eastAsia="zh-CN"/>
              </w:rPr>
              <w:t>，根据《四川省渠江流域防洪规划》，巴中、达州、广安城市防洪标准达到50年一遇以上，县级城市防洪标准达到20年一遇以上，乡（镇）防洪标准达到10年至20年一遇。</w:t>
            </w:r>
          </w:p>
          <w:p w14:paraId="254C29D0">
            <w:pPr>
              <w:pStyle w:val="6"/>
              <w:bidi w:val="0"/>
              <w:rPr>
                <w:rFonts w:hint="default" w:eastAsia="宋体"/>
                <w:color w:val="auto"/>
                <w:spacing w:val="-4"/>
                <w:lang w:val="en-US" w:eastAsia="zh-CN"/>
              </w:rPr>
            </w:pPr>
            <w:r>
              <w:rPr>
                <w:rFonts w:hint="default" w:eastAsia="宋体"/>
                <w:color w:val="auto"/>
                <w:spacing w:val="-4"/>
                <w:lang w:val="en-US" w:eastAsia="zh-CN"/>
              </w:rPr>
              <w:t>天生河是嘉陵江流域渠江的</w:t>
            </w:r>
            <w:r>
              <w:rPr>
                <w:rFonts w:hint="eastAsia"/>
                <w:color w:val="auto"/>
                <w:spacing w:val="-4"/>
                <w:lang w:val="en-US" w:eastAsia="zh-CN"/>
              </w:rPr>
              <w:t>四级支流，先后流入</w:t>
            </w:r>
            <w:r>
              <w:rPr>
                <w:rFonts w:hint="default" w:eastAsia="宋体"/>
                <w:color w:val="auto"/>
                <w:spacing w:val="-4"/>
                <w:lang w:val="en-US" w:eastAsia="zh-CN"/>
              </w:rPr>
              <w:t>新宁河</w:t>
            </w:r>
            <w:r>
              <w:rPr>
                <w:rFonts w:hint="eastAsia"/>
                <w:color w:val="auto"/>
                <w:spacing w:val="-4"/>
                <w:lang w:val="en-US" w:eastAsia="zh-CN"/>
              </w:rPr>
              <w:t>、</w:t>
            </w:r>
            <w:r>
              <w:rPr>
                <w:rFonts w:hint="default" w:eastAsia="宋体"/>
                <w:color w:val="auto"/>
                <w:spacing w:val="-4"/>
                <w:lang w:val="en-US" w:eastAsia="zh-CN"/>
              </w:rPr>
              <w:t>明月江</w:t>
            </w:r>
            <w:r>
              <w:rPr>
                <w:rFonts w:hint="eastAsia" w:eastAsia="宋体"/>
                <w:color w:val="auto"/>
                <w:spacing w:val="-4"/>
                <w:lang w:val="en-US" w:eastAsia="zh-CN"/>
              </w:rPr>
              <w:t>、</w:t>
            </w:r>
            <w:r>
              <w:rPr>
                <w:rFonts w:hint="eastAsia"/>
                <w:color w:val="auto"/>
                <w:spacing w:val="-4"/>
                <w:lang w:val="en-US" w:eastAsia="zh-CN"/>
              </w:rPr>
              <w:t>州河汇入渠江，</w:t>
            </w:r>
            <w:r>
              <w:rPr>
                <w:rFonts w:hint="default" w:eastAsia="宋体"/>
                <w:color w:val="auto"/>
                <w:spacing w:val="-4"/>
                <w:lang w:val="en-US" w:eastAsia="zh-CN"/>
              </w:rPr>
              <w:t>发源于宣汉县东乡镇秧田村，上游为秧田湾水库，出库后南流过唐家沟至东乡镇拱桥河，过天生镇，在七里镇道班红旗桥汇入新宁河。天生河流域面积185km</w:t>
            </w:r>
            <w:r>
              <w:rPr>
                <w:rFonts w:hint="default" w:eastAsia="宋体"/>
                <w:color w:val="auto"/>
                <w:spacing w:val="-4"/>
                <w:vertAlign w:val="superscript"/>
                <w:lang w:val="en-US" w:eastAsia="zh-CN"/>
              </w:rPr>
              <w:t>2</w:t>
            </w:r>
            <w:r>
              <w:rPr>
                <w:rFonts w:hint="default" w:eastAsia="宋体"/>
                <w:color w:val="auto"/>
                <w:spacing w:val="-4"/>
                <w:lang w:val="en-US" w:eastAsia="zh-CN"/>
              </w:rPr>
              <w:t>，河长44.56km，河道平均宽在15～85m，水能藴藏量0.5万</w:t>
            </w:r>
            <w:r>
              <w:rPr>
                <w:rFonts w:hint="eastAsia"/>
                <w:color w:val="auto"/>
                <w:spacing w:val="-4"/>
                <w:lang w:val="en-US" w:eastAsia="zh-CN"/>
              </w:rPr>
              <w:t>kW</w:t>
            </w:r>
            <w:r>
              <w:rPr>
                <w:rFonts w:hint="default" w:eastAsia="宋体"/>
                <w:color w:val="auto"/>
                <w:spacing w:val="-4"/>
                <w:lang w:val="en-US" w:eastAsia="zh-CN"/>
              </w:rPr>
              <w:t>，沿河乡镇有东乡、天生、七里3个乡镇，涉及天宝、芭蕉2个乡镇。</w:t>
            </w:r>
          </w:p>
          <w:p w14:paraId="32FA0D71">
            <w:pPr>
              <w:pStyle w:val="6"/>
              <w:bidi w:val="0"/>
              <w:rPr>
                <w:rFonts w:hint="default" w:ascii="Times New Roman" w:hAnsi="Times New Roman" w:eastAsia="宋体"/>
                <w:color w:val="auto"/>
                <w:spacing w:val="-4"/>
                <w:lang w:val="en-US" w:eastAsia="zh-CN"/>
              </w:rPr>
            </w:pPr>
            <w:r>
              <w:rPr>
                <w:rFonts w:hint="eastAsia" w:ascii="Times New Roman" w:hAnsi="Times New Roman" w:eastAsia="宋体"/>
                <w:color w:val="auto"/>
                <w:spacing w:val="-4"/>
                <w:lang w:val="en-US" w:eastAsia="zh-CN"/>
              </w:rPr>
              <w:t>本项目位于达州市宣汉县天生镇，项目</w:t>
            </w:r>
            <w:r>
              <w:rPr>
                <w:rFonts w:hint="default" w:ascii="Times New Roman" w:hAnsi="Times New Roman" w:eastAsia="宋体"/>
                <w:color w:val="auto"/>
                <w:spacing w:val="-4"/>
                <w:lang w:val="en-US" w:eastAsia="zh-CN"/>
              </w:rPr>
              <w:t>防护等级为Ⅳ级，防洪标准为10年一遇，堤防工程级别为5级，其主要建筑物按5级设计，次要建筑物按5级设计</w:t>
            </w:r>
            <w:r>
              <w:rPr>
                <w:rFonts w:hint="eastAsia" w:ascii="Times New Roman" w:hAnsi="Times New Roman" w:eastAsia="宋体"/>
                <w:color w:val="auto"/>
                <w:spacing w:val="-4"/>
                <w:lang w:val="en-US" w:eastAsia="zh-CN"/>
              </w:rPr>
              <w:t>。根据《四川省渠江流域防洪规划》防洪标准，本项目的防洪设计标准符合《四川省渠江流域防洪规划》防洪标准要求。</w:t>
            </w:r>
          </w:p>
          <w:p w14:paraId="6B785BB0">
            <w:pPr>
              <w:pStyle w:val="4"/>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与《达州市“十四五”水安全保障规划》符合性分析</w:t>
            </w:r>
          </w:p>
          <w:p w14:paraId="5063B62E">
            <w:pPr>
              <w:pStyle w:val="6"/>
              <w:bidi w:val="0"/>
              <w:rPr>
                <w:rFonts w:hint="default" w:eastAsia="宋体"/>
                <w:color w:val="auto"/>
                <w:spacing w:val="-4"/>
                <w:lang w:val="en-US" w:eastAsia="zh-CN"/>
              </w:rPr>
            </w:pPr>
            <w:r>
              <w:rPr>
                <w:rFonts w:hint="default" w:eastAsia="宋体"/>
                <w:color w:val="auto"/>
                <w:spacing w:val="-4"/>
                <w:lang w:val="en-US" w:eastAsia="zh-CN"/>
              </w:rPr>
              <w:t>根据《达州市“十四五”水安全保障规划》水旱灾害防御：强化水旱灾害防御工程与非工程措施建设，推进主要支流、中小河流防洪治理和山洪灾害防治，重点城镇、重要河段基本达到国家规定的防洪标准，5级及以上堤防达标率提高到88%。全面消除现有及新出险的病险水库安全隐患。加强水旱灾害预警预报能力建设，摸清水旱灾害风险底数，强化应急抢险能力，有效防范水旱灾害。</w:t>
            </w:r>
          </w:p>
          <w:p w14:paraId="5E7A6BD6">
            <w:pPr>
              <w:pStyle w:val="6"/>
              <w:bidi w:val="0"/>
              <w:rPr>
                <w:rFonts w:hint="default" w:eastAsia="宋体"/>
                <w:color w:val="auto"/>
                <w:spacing w:val="-4"/>
                <w:lang w:val="en-US" w:eastAsia="zh-CN"/>
              </w:rPr>
            </w:pPr>
            <w:r>
              <w:rPr>
                <w:rFonts w:hint="default" w:eastAsia="宋体"/>
                <w:color w:val="auto"/>
                <w:spacing w:val="-4"/>
                <w:lang w:val="en-US" w:eastAsia="zh-CN"/>
              </w:rPr>
              <w:t>本项目依照《防洪标准》（GB50201-2014）和《堤防工程设计规范》（GB50286-2013）的规定，</w:t>
            </w:r>
            <w:r>
              <w:rPr>
                <w:rFonts w:hint="eastAsia" w:ascii="Times New Roman" w:hAnsi="Times New Roman" w:eastAsia="宋体"/>
                <w:color w:val="auto"/>
                <w:spacing w:val="-4"/>
                <w:lang w:val="en-US" w:eastAsia="zh-CN"/>
              </w:rPr>
              <w:t>项目</w:t>
            </w:r>
            <w:r>
              <w:rPr>
                <w:rFonts w:hint="default" w:ascii="Times New Roman" w:hAnsi="Times New Roman" w:eastAsia="宋体"/>
                <w:color w:val="auto"/>
                <w:spacing w:val="-4"/>
                <w:lang w:val="en-US" w:eastAsia="zh-CN"/>
              </w:rPr>
              <w:t>防护等级为Ⅳ级，防洪标准为10年一遇，堤防工程级别为5级，其主要建筑物按5级设计，次要建筑物按5级设计</w:t>
            </w:r>
            <w:r>
              <w:rPr>
                <w:rFonts w:hint="eastAsia" w:ascii="Times New Roman" w:hAnsi="Times New Roman" w:eastAsia="宋体"/>
                <w:color w:val="auto"/>
                <w:spacing w:val="-4"/>
                <w:lang w:val="en-US" w:eastAsia="zh-CN"/>
              </w:rPr>
              <w:t>。因此，本项目防洪设计标准满足《达州市“十四五”水安全保障规划》水旱灾害防御防洪标准要求。</w:t>
            </w:r>
          </w:p>
          <w:p w14:paraId="500903BC">
            <w:pPr>
              <w:pStyle w:val="4"/>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与《宣汉县“十四五”水安全保障规划》符合性分析</w:t>
            </w:r>
          </w:p>
          <w:p w14:paraId="7E663ACF">
            <w:pPr>
              <w:pStyle w:val="6"/>
              <w:bidi w:val="0"/>
              <w:rPr>
                <w:rFonts w:hint="default" w:eastAsia="宋体"/>
                <w:color w:val="auto"/>
                <w:spacing w:val="-4"/>
                <w:lang w:val="en-US" w:eastAsia="zh-CN"/>
              </w:rPr>
            </w:pPr>
            <w:r>
              <w:rPr>
                <w:rFonts w:hint="default" w:eastAsia="宋体"/>
                <w:color w:val="auto"/>
                <w:spacing w:val="-4"/>
                <w:lang w:val="en-US" w:eastAsia="zh-CN"/>
              </w:rPr>
              <w:t>根据《宣汉县“十四五”水安全保障规划》水旱灾害防治目标：基本完成病险水库除险加固任务，损毁水利工程得到修复，隐患基本消除，中小河流重要河段得到治理，治理6条重点山洪沟，山洪灾害防治区监测预警系统和群测群防体系基本建立；基本建成城市防洪保安体系。科学制定防洪治导线，建立和完善防汛抗旱体系，基本消除县城区及部分乡镇的内涝问题。</w:t>
            </w:r>
          </w:p>
          <w:p w14:paraId="06AB1382">
            <w:pPr>
              <w:pStyle w:val="6"/>
              <w:bidi w:val="0"/>
              <w:rPr>
                <w:rFonts w:hint="default" w:eastAsia="宋体"/>
                <w:color w:val="auto"/>
                <w:spacing w:val="-4"/>
                <w:lang w:val="en-US" w:eastAsia="zh-CN"/>
              </w:rPr>
            </w:pPr>
            <w:r>
              <w:rPr>
                <w:rFonts w:hint="default" w:eastAsia="宋体"/>
                <w:color w:val="auto"/>
                <w:spacing w:val="-4"/>
                <w:lang w:val="en-US" w:eastAsia="zh-CN"/>
              </w:rPr>
              <w:t>本项目堤线基本上是沿原岸线布置，堤线未侵占行洪断面，大部分河段为天然河岸，堤防建成后维持了现状行洪河道的基本格局。防洪堤建成后，由于防洪堤的抗冲性能较强，对岸坡起到保护作用，更有利于河势的稳定。河道经过防洪堤建设和整治，水流顺畅，河道行洪顶冲段消除，改变了洪水原有的流态，洪水主流沿河道中泓线顺畅宣泄，减少了对两岸防洪堤护坡的冲击，稳定了河势，有利于河段河槽的再造和行洪安全。</w:t>
            </w:r>
          </w:p>
          <w:p w14:paraId="5A745ACD">
            <w:pPr>
              <w:pStyle w:val="6"/>
              <w:bidi w:val="0"/>
              <w:rPr>
                <w:rFonts w:hint="default" w:eastAsia="宋体"/>
                <w:color w:val="auto"/>
                <w:spacing w:val="-4"/>
                <w:lang w:val="en-US" w:eastAsia="zh-CN"/>
              </w:rPr>
            </w:pPr>
            <w:r>
              <w:rPr>
                <w:rFonts w:hint="default" w:eastAsia="宋体"/>
                <w:color w:val="auto"/>
                <w:spacing w:val="-4"/>
                <w:lang w:val="en-US" w:eastAsia="zh-CN"/>
              </w:rPr>
              <w:t>同时，本项目对河道占用面积较小，对河道水位的影响不大，</w:t>
            </w:r>
            <w:r>
              <w:rPr>
                <w:rFonts w:hint="default" w:eastAsia="宋体"/>
                <w:color w:val="auto"/>
                <w:spacing w:val="-4"/>
                <w:highlight w:val="none"/>
                <w:lang w:val="en-US" w:eastAsia="zh-CN"/>
              </w:rPr>
              <w:t>且本项目设计水位高于常年水位，非汛期对水位几乎无影响，</w:t>
            </w:r>
            <w:r>
              <w:rPr>
                <w:rFonts w:hint="default" w:eastAsia="宋体"/>
                <w:color w:val="auto"/>
                <w:spacing w:val="-4"/>
                <w:lang w:val="en-US" w:eastAsia="zh-CN"/>
              </w:rPr>
              <w:t>在洪水期也不会导致水位较原河道有所上升。</w:t>
            </w:r>
          </w:p>
          <w:p w14:paraId="349B6C58">
            <w:pPr>
              <w:pStyle w:val="6"/>
              <w:bidi w:val="0"/>
              <w:rPr>
                <w:rFonts w:hint="eastAsia" w:ascii="Times New Roman" w:hAnsi="Times New Roman" w:eastAsia="宋体" w:cstheme="minorBidi"/>
                <w:kern w:val="2"/>
                <w:sz w:val="24"/>
                <w:szCs w:val="21"/>
                <w:lang w:val="en-US" w:eastAsia="zh-CN" w:bidi="ar-SA"/>
                <w14:ligatures w14:val="standardContextual"/>
              </w:rPr>
            </w:pPr>
            <w:r>
              <w:rPr>
                <w:rFonts w:hint="default" w:eastAsia="宋体"/>
                <w:color w:val="auto"/>
                <w:spacing w:val="-4"/>
                <w:lang w:val="en-US" w:eastAsia="zh-CN"/>
              </w:rPr>
              <w:t>综上所述，本项目的建设对河道行洪有正效益，对河道水位无影响，符合《宣汉县“十四五”水安全保障规划》。</w:t>
            </w:r>
            <w:bookmarkEnd w:id="34"/>
          </w:p>
        </w:tc>
      </w:tr>
      <w:tr w14:paraId="2EB6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5" w:hRule="atLeast"/>
        </w:trPr>
        <w:tc>
          <w:tcPr>
            <w:tcW w:w="362" w:type="pct"/>
            <w:shd w:val="clear" w:color="auto" w:fill="auto"/>
            <w:vAlign w:val="center"/>
          </w:tcPr>
          <w:p w14:paraId="22C1A43D">
            <w:pPr>
              <w:rPr>
                <w:rFonts w:hint="default" w:eastAsia="宋体"/>
                <w:lang w:val="en-US" w:eastAsia="zh-CN"/>
              </w:rPr>
            </w:pPr>
            <w:r>
              <w:rPr>
                <w:rFonts w:hint="eastAsia"/>
                <w:lang w:val="en-US" w:eastAsia="zh-CN"/>
              </w:rPr>
              <w:t>其他符合性分析</w:t>
            </w:r>
          </w:p>
        </w:tc>
        <w:tc>
          <w:tcPr>
            <w:tcW w:w="4637" w:type="pct"/>
            <w:gridSpan w:val="6"/>
            <w:shd w:val="clear" w:color="auto" w:fill="auto"/>
            <w:vAlign w:val="center"/>
          </w:tcPr>
          <w:p w14:paraId="451FC38F">
            <w:pPr>
              <w:pStyle w:val="3"/>
              <w:keepNext w:val="0"/>
              <w:keepLines w:val="0"/>
              <w:pageBreakBefore w:val="0"/>
              <w:widowControl w:val="0"/>
              <w:kinsoku/>
              <w:wordWrap/>
              <w:overflowPunct/>
              <w:topLinePunct w:val="0"/>
              <w:autoSpaceDE/>
              <w:autoSpaceDN/>
              <w:bidi w:val="0"/>
              <w:adjustRightInd/>
              <w:snapToGrid/>
              <w:textAlignment w:val="auto"/>
            </w:pPr>
            <w:r>
              <w:rPr>
                <w:rFonts w:hint="eastAsia"/>
                <w:lang w:val="en-US" w:eastAsia="zh-CN"/>
              </w:rPr>
              <w:t>与“生态环境分区管控单元”的符合性分析</w:t>
            </w:r>
          </w:p>
          <w:p w14:paraId="3FB3FFB5">
            <w:pPr>
              <w:pStyle w:val="4"/>
              <w:keepNext w:val="0"/>
              <w:keepLines w:val="0"/>
              <w:pageBreakBefore w:val="0"/>
              <w:widowControl w:val="0"/>
              <w:kinsoku/>
              <w:wordWrap/>
              <w:overflowPunct/>
              <w:topLinePunct w:val="0"/>
              <w:autoSpaceDE/>
              <w:autoSpaceDN/>
              <w:bidi w:val="0"/>
              <w:adjustRightInd/>
              <w:snapToGrid w:val="0"/>
              <w:textAlignment w:val="auto"/>
              <w:rPr>
                <w:rFonts w:hint="eastAsia"/>
                <w:color w:val="auto"/>
                <w:lang w:val="en-US" w:eastAsia="zh-CN"/>
              </w:rPr>
            </w:pPr>
            <w:r>
              <w:rPr>
                <w:rFonts w:hint="eastAsia"/>
                <w:color w:val="auto"/>
                <w:lang w:val="en-US" w:eastAsia="zh-CN"/>
              </w:rPr>
              <w:t>与达州市“生态环境分区管控单元”符合性分析</w:t>
            </w:r>
          </w:p>
          <w:p w14:paraId="10C5958D">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根据《达州市人民政府办公室关于加强生态环境分区管控的通知》（达市府办函〔2024〕31号），为贯彻落实《中共中央办公厅</w:t>
            </w:r>
            <w:r>
              <w:rPr>
                <w:rFonts w:hint="eastAsia"/>
                <w:color w:val="000000" w:themeColor="text1"/>
                <w:spacing w:val="-4"/>
                <w:lang w:val="en-US" w:eastAsia="zh-CN"/>
                <w14:textFill>
                  <w14:solidFill>
                    <w14:schemeClr w14:val="tx1"/>
                  </w14:solidFill>
                </w14:textFill>
              </w:rPr>
              <w:t xml:space="preserve"> </w:t>
            </w:r>
            <w:r>
              <w:rPr>
                <w:rFonts w:hint="default" w:eastAsia="宋体"/>
                <w:color w:val="000000" w:themeColor="text1"/>
                <w:spacing w:val="-4"/>
                <w14:textFill>
                  <w14:solidFill>
                    <w14:schemeClr w14:val="tx1"/>
                  </w14:solidFill>
                </w14:textFill>
              </w:rPr>
              <w:t>国务院办公厅关于加强分区管控的意见》《四川省环境保护委员会办公室关于印发&lt;2023年生态环境分区管控成果动态更新工作方案&gt;的通知》（川环委办〔2023〕11号）要求，充分衔接《达州市国土空间总体规划（2021-2035年）》最新成果、动态更新达州市生态环境分区管控要求，以高水平保护推助经济高质量发展。</w:t>
            </w:r>
          </w:p>
          <w:p w14:paraId="6D070940">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明确阶段目标，到2025年，生态环境质量明显改善，绿色低碳循环经济体系加快构建，能源资源开发利用效率大幅提升，主要污染物排放总量持续减少，二氧化碳排放强度持续下降，城乡人居环境明显改善，绿色低碳生活方式加快形成，生态文明制度体系更加健全，生态安全屏障更加牢固，美丽达州建设初见成效。到2035年，生态环境质量实现根本好转，经济社会发展与资源环境承载能力更加协调，碳排放达峰后稳中有降，绿色生产生活方式广泛形成，生态环境治理体系和治理能力现代化基本实现，生态文明建设水平全面提升，美丽达州建设目标基本实现。</w:t>
            </w:r>
          </w:p>
          <w:p w14:paraId="68E8C070">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达州市从生态环境保护角度划分为优先保护、重点管控和一般管控三类环境管控单元，全市划定生态环境分区管控单元47个。对每一个管控单元分别明确环境准入管控要求，其中：</w:t>
            </w:r>
          </w:p>
          <w:p w14:paraId="2C60769E">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——优先保护单元。以生态环境保护为主的区域，全市划分优先保护单元18个，主要包括生态保护红线、自然保护地、饮用水水源保护区等。</w:t>
            </w:r>
          </w:p>
          <w:p w14:paraId="4434BE54">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——重点管控单元。涉及水、大气、土壤、自然资源等资源环境要素重点管控的区域，全市划分重点管控单元22个，主要包括人口密集的城镇规划区和产业集聚的工业园区（工业集聚区）等。</w:t>
            </w:r>
          </w:p>
          <w:p w14:paraId="00CB98C7">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——一般管控单元。除优先保护单元和重点管控单元之外的其他区域，全市共划分一般管控单元7个。</w:t>
            </w:r>
          </w:p>
          <w:p w14:paraId="64B8C557">
            <w:pPr>
              <w:pStyle w:val="6"/>
              <w:bidi w:val="0"/>
              <w:rPr>
                <w:rFonts w:hint="default" w:eastAsia="宋体"/>
                <w:color w:val="000000" w:themeColor="text1"/>
                <w:spacing w:val="-4"/>
                <w14:textFill>
                  <w14:solidFill>
                    <w14:schemeClr w14:val="tx1"/>
                  </w14:solidFill>
                </w14:textFill>
              </w:rPr>
            </w:pPr>
            <w:r>
              <w:rPr>
                <w:rFonts w:hint="eastAsia"/>
                <w:color w:val="000000" w:themeColor="text1"/>
                <w:spacing w:val="-4"/>
                <w:lang w:val="en-US" w:eastAsia="zh-CN"/>
                <w14:textFill>
                  <w14:solidFill>
                    <w14:schemeClr w14:val="tx1"/>
                  </w14:solidFill>
                </w14:textFill>
              </w:rPr>
              <w:t>本项目涉及重点管控单元和一般管控单元，但本项目属于防洪治理工程项目，不属于大气污染物排放的项目，区域环境质量良好，污染物均能实现达标排放，满足环境质量管控要求。</w:t>
            </w:r>
            <w:r>
              <w:rPr>
                <w:rFonts w:hint="default" w:eastAsia="宋体"/>
                <w:color w:val="000000" w:themeColor="text1"/>
                <w:spacing w:val="-4"/>
                <w14:textFill>
                  <w14:solidFill>
                    <w14:schemeClr w14:val="tx1"/>
                  </w14:solidFill>
                </w14:textFill>
              </w:rPr>
              <w:t>本项目与达州市环境管控单元位置关系见</w:t>
            </w:r>
            <w:r>
              <w:rPr>
                <w:rFonts w:hint="eastAsia"/>
                <w:color w:val="000000" w:themeColor="text1"/>
                <w:spacing w:val="-4"/>
                <w:lang w:val="en-US" w:eastAsia="zh-CN"/>
                <w14:textFill>
                  <w14:solidFill>
                    <w14:schemeClr w14:val="tx1"/>
                  </w14:solidFill>
                </w14:textFill>
              </w:rPr>
              <w:t>下图</w:t>
            </w:r>
            <w:r>
              <w:rPr>
                <w:rFonts w:hint="default" w:eastAsia="宋体"/>
                <w:color w:val="000000" w:themeColor="text1"/>
                <w:spacing w:val="-4"/>
                <w14:textFill>
                  <w14:solidFill>
                    <w14:schemeClr w14:val="tx1"/>
                  </w14:solidFill>
                </w14:textFill>
              </w:rPr>
              <w:t>，宣汉县总体生态环境管控要求见</w:t>
            </w:r>
            <w:r>
              <w:rPr>
                <w:rFonts w:hint="eastAsia"/>
                <w:color w:val="000000" w:themeColor="text1"/>
                <w:spacing w:val="-4"/>
                <w:lang w:val="en-US" w:eastAsia="zh-CN"/>
                <w14:textFill>
                  <w14:solidFill>
                    <w14:schemeClr w14:val="tx1"/>
                  </w14:solidFill>
                </w14:textFill>
              </w:rPr>
              <w:t>下表</w:t>
            </w:r>
            <w:r>
              <w:rPr>
                <w:rFonts w:hint="default" w:eastAsia="宋体"/>
                <w:color w:val="000000" w:themeColor="text1"/>
                <w:spacing w:val="-4"/>
                <w14:textFill>
                  <w14:solidFill>
                    <w14:schemeClr w14:val="tx1"/>
                  </w14:solidFill>
                </w14:textFill>
              </w:rPr>
              <w:t>。</w:t>
            </w:r>
          </w:p>
          <w:p w14:paraId="472C89C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pacing w:val="-4"/>
                <w:lang w:eastAsia="zh-CN"/>
                <w14:textFill>
                  <w14:solidFill>
                    <w14:schemeClr w14:val="tx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column">
                        <wp:posOffset>2969895</wp:posOffset>
                      </wp:positionH>
                      <wp:positionV relativeFrom="paragraph">
                        <wp:posOffset>1745615</wp:posOffset>
                      </wp:positionV>
                      <wp:extent cx="802640" cy="325120"/>
                      <wp:effectExtent l="462280" t="0" r="11430" b="154305"/>
                      <wp:wrapNone/>
                      <wp:docPr id="10" name="线形标注 2(无边框) 10"/>
                      <wp:cNvGraphicFramePr/>
                      <a:graphic xmlns:a="http://schemas.openxmlformats.org/drawingml/2006/main">
                        <a:graphicData uri="http://schemas.microsoft.com/office/word/2010/wordprocessingShape">
                          <wps:wsp>
                            <wps:cNvSpPr/>
                            <wps:spPr>
                              <a:xfrm>
                                <a:off x="3784600" y="2668905"/>
                                <a:ext cx="802640" cy="325120"/>
                              </a:xfrm>
                              <a:prstGeom prst="callout2">
                                <a:avLst>
                                  <a:gd name="adj1" fmla="val 99376"/>
                                  <a:gd name="adj2" fmla="val 100293"/>
                                  <a:gd name="adj3" fmla="val 95327"/>
                                  <a:gd name="adj4" fmla="val 2639"/>
                                  <a:gd name="adj5" fmla="val 140234"/>
                                  <a:gd name="adj6" fmla="val -5735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2A6AE8D">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2" type="#_x0000_t42" style="position:absolute;left:0pt;margin-left:233.85pt;margin-top:137.45pt;height:25.6pt;width:63.2pt;z-index:251659264;v-text-anchor:middle;mso-width-relative:page;mso-height-relative:page;" filled="f" stroked="t" coordsize="21600,21600" o:gfxdata="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u6HYX3QAAAAsBAAAPAAAAAAAAAAEAIAAAACIA&#10;AABkcnMvZG93bnJldi54bWxQSwECFAAUAAAACACHTuJAC6VDCOgCAADdBQAADgAAAAAAAAABACAA&#10;AAAsAQAAZHJzL2Uyb0RvYy54bWxQSwUGAAAAAAYABgBZAQAAhgYAAAAA&#10;" adj="-12389,30291,570,20591,21663,21465">
                      <v:fill on="f" focussize="0,0"/>
                      <v:stroke weight="1pt" color="#FF0000 [2404]" miterlimit="8" joinstyle="miter"/>
                      <v:imagedata o:title=""/>
                      <o:lock v:ext="edit" aspectratio="f"/>
                      <v:textbox>
                        <w:txbxContent>
                          <w:p w14:paraId="22A6AE8D">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color w:val="FF0000"/>
                                <w:lang w:val="en-US" w:eastAsia="zh-CN"/>
                              </w:rPr>
                            </w:pPr>
                            <w:r>
                              <w:rPr>
                                <w:rFonts w:hint="eastAsia"/>
                                <w:b/>
                                <w:bCs/>
                                <w:color w:val="FF0000"/>
                                <w:lang w:val="en-US" w:eastAsia="zh-CN"/>
                              </w:rPr>
                              <w:t>本项目</w:t>
                            </w:r>
                          </w:p>
                        </w:txbxContent>
                      </v:textbox>
                    </v:shape>
                  </w:pict>
                </mc:Fallback>
              </mc:AlternateContent>
            </w:r>
            <w:r>
              <w:rPr>
                <w:rFonts w:hint="eastAsia" w:eastAsia="宋体"/>
                <w:color w:val="000000" w:themeColor="text1"/>
                <w:spacing w:val="-4"/>
                <w:lang w:eastAsia="zh-CN"/>
                <w14:textFill>
                  <w14:solidFill>
                    <w14:schemeClr w14:val="tx1"/>
                  </w14:solidFill>
                </w14:textFill>
              </w:rPr>
              <w:drawing>
                <wp:inline distT="0" distB="0" distL="114300" distR="114300">
                  <wp:extent cx="5442585" cy="3862070"/>
                  <wp:effectExtent l="0" t="0" r="5715" b="5080"/>
                  <wp:docPr id="9" name="图片 9" descr="990835fca72ccb6f6e7dadd749e8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90835fca72ccb6f6e7dadd749e87a6"/>
                          <pic:cNvPicPr>
                            <a:picLocks noChangeAspect="1"/>
                          </pic:cNvPicPr>
                        </pic:nvPicPr>
                        <pic:blipFill>
                          <a:blip r:embed="rId9"/>
                          <a:stretch>
                            <a:fillRect/>
                          </a:stretch>
                        </pic:blipFill>
                        <pic:spPr>
                          <a:xfrm>
                            <a:off x="0" y="0"/>
                            <a:ext cx="5442585" cy="3862070"/>
                          </a:xfrm>
                          <a:prstGeom prst="rect">
                            <a:avLst/>
                          </a:prstGeom>
                        </pic:spPr>
                      </pic:pic>
                    </a:graphicData>
                  </a:graphic>
                </wp:inline>
              </w:drawing>
            </w:r>
          </w:p>
          <w:p w14:paraId="4FAC27AE">
            <w:pPr>
              <w:pStyle w:val="8"/>
              <w:bidi w:val="0"/>
              <w:rPr>
                <w:rFonts w:hint="eastAsia"/>
                <w:lang w:val="en-US" w:eastAsia="zh-CN"/>
              </w:rPr>
            </w:pPr>
            <w:r>
              <w:rPr>
                <w:rFonts w:hint="eastAsia"/>
                <w:lang w:val="en-US" w:eastAsia="zh-CN"/>
              </w:rPr>
              <w:t xml:space="preserve"> 项目与达州市生态环境管控单元位置关系图</w:t>
            </w:r>
          </w:p>
          <w:p w14:paraId="6D3664D3">
            <w:pPr>
              <w:pStyle w:val="7"/>
              <w:bidi w:val="0"/>
            </w:pPr>
            <w:r>
              <w:rPr>
                <w:rFonts w:hint="eastAsia"/>
                <w:lang w:eastAsia="zh-CN"/>
              </w:rPr>
              <w:t>项目与</w:t>
            </w:r>
            <w:r>
              <w:rPr>
                <w:rFonts w:hint="eastAsia"/>
                <w:lang w:val="en-US" w:eastAsia="zh-CN"/>
              </w:rPr>
              <w:t>达州市生态环境分区管控要求的</w:t>
            </w:r>
            <w:r>
              <w:rPr>
                <w:rFonts w:hint="eastAsia"/>
                <w:lang w:eastAsia="zh-CN"/>
              </w:rPr>
              <w:t>符合性分析</w:t>
            </w:r>
          </w:p>
          <w:tbl>
            <w:tblPr>
              <w:tblStyle w:val="81"/>
              <w:tblW w:w="4998"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1"/>
              <w:gridCol w:w="4452"/>
              <w:gridCol w:w="2202"/>
              <w:gridCol w:w="856"/>
            </w:tblGrid>
            <w:tr w14:paraId="5C836C2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9" w:type="pct"/>
                  <w:vAlign w:val="center"/>
                </w:tcPr>
                <w:p w14:paraId="269DBD36">
                  <w:pPr>
                    <w:pStyle w:val="98"/>
                    <w:rPr>
                      <w:rFonts w:hint="default" w:eastAsia="宋体"/>
                      <w:sz w:val="22"/>
                      <w:szCs w:val="22"/>
                      <w:lang w:val="en-US" w:eastAsia="zh-CN"/>
                    </w:rPr>
                  </w:pPr>
                  <w:r>
                    <w:rPr>
                      <w:rFonts w:hint="eastAsia"/>
                      <w:sz w:val="22"/>
                      <w:szCs w:val="22"/>
                      <w:lang w:val="en-US" w:eastAsia="zh-CN"/>
                    </w:rPr>
                    <w:t>管控单元类型</w:t>
                  </w:r>
                </w:p>
              </w:tc>
              <w:tc>
                <w:tcPr>
                  <w:tcW w:w="2555" w:type="pct"/>
                  <w:vAlign w:val="center"/>
                </w:tcPr>
                <w:p w14:paraId="096E0331">
                  <w:pPr>
                    <w:pStyle w:val="98"/>
                    <w:rPr>
                      <w:rFonts w:hint="default" w:eastAsia="宋体"/>
                      <w:sz w:val="22"/>
                      <w:szCs w:val="22"/>
                      <w:lang w:val="en-US" w:eastAsia="zh-CN"/>
                    </w:rPr>
                  </w:pPr>
                  <w:r>
                    <w:rPr>
                      <w:rFonts w:hint="eastAsia"/>
                      <w:sz w:val="22"/>
                      <w:szCs w:val="22"/>
                      <w:lang w:val="en-US" w:eastAsia="zh-CN"/>
                    </w:rPr>
                    <w:t>文件内容</w:t>
                  </w:r>
                </w:p>
              </w:tc>
              <w:tc>
                <w:tcPr>
                  <w:tcW w:w="1263" w:type="pct"/>
                  <w:vAlign w:val="center"/>
                </w:tcPr>
                <w:p w14:paraId="08DB0AA6">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491" w:type="pct"/>
                  <w:vAlign w:val="center"/>
                </w:tcPr>
                <w:p w14:paraId="018A9735">
                  <w:pPr>
                    <w:pStyle w:val="98"/>
                    <w:rPr>
                      <w:rFonts w:hint="eastAsia" w:eastAsia="宋体"/>
                      <w:sz w:val="22"/>
                      <w:szCs w:val="22"/>
                      <w:lang w:eastAsia="zh-CN"/>
                    </w:rPr>
                  </w:pPr>
                  <w:r>
                    <w:rPr>
                      <w:rFonts w:hint="eastAsia"/>
                      <w:sz w:val="22"/>
                      <w:szCs w:val="22"/>
                      <w:lang w:val="en-US" w:eastAsia="zh-CN"/>
                    </w:rPr>
                    <w:t>符合性</w:t>
                  </w:r>
                </w:p>
              </w:tc>
            </w:tr>
            <w:tr w14:paraId="74D90F2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9" w:type="pct"/>
                  <w:vAlign w:val="center"/>
                </w:tcPr>
                <w:p w14:paraId="7869575C">
                  <w:pPr>
                    <w:pStyle w:val="98"/>
                    <w:rPr>
                      <w:rFonts w:hint="default" w:eastAsia="宋体"/>
                      <w:sz w:val="22"/>
                      <w:szCs w:val="22"/>
                      <w:lang w:val="en-US" w:eastAsia="zh-CN"/>
                    </w:rPr>
                  </w:pPr>
                  <w:r>
                    <w:rPr>
                      <w:rFonts w:hint="eastAsia"/>
                      <w:sz w:val="22"/>
                      <w:szCs w:val="22"/>
                      <w:lang w:val="en-US" w:eastAsia="zh-CN"/>
                    </w:rPr>
                    <w:t>优先管控单元</w:t>
                  </w:r>
                </w:p>
              </w:tc>
              <w:tc>
                <w:tcPr>
                  <w:tcW w:w="2555" w:type="pct"/>
                  <w:vAlign w:val="center"/>
                </w:tcPr>
                <w:p w14:paraId="17AC810E">
                  <w:pPr>
                    <w:pStyle w:val="98"/>
                    <w:jc w:val="both"/>
                    <w:rPr>
                      <w:sz w:val="22"/>
                      <w:szCs w:val="22"/>
                    </w:rPr>
                  </w:pPr>
                  <w:r>
                    <w:rPr>
                      <w:rFonts w:hint="eastAsia"/>
                      <w:sz w:val="22"/>
                      <w:szCs w:val="22"/>
                    </w:rPr>
                    <w:t>优先保护单元中，应以生态环境保护优先为原则，严格执行相关法律、法规要求，严守生态环境质量底线，确保生态环境功能不降低。</w:t>
                  </w:r>
                </w:p>
              </w:tc>
              <w:tc>
                <w:tcPr>
                  <w:tcW w:w="1263" w:type="pct"/>
                  <w:vAlign w:val="center"/>
                </w:tcPr>
                <w:p w14:paraId="28DB5ADB">
                  <w:pPr>
                    <w:pStyle w:val="98"/>
                    <w:jc w:val="both"/>
                    <w:rPr>
                      <w:sz w:val="22"/>
                      <w:szCs w:val="22"/>
                    </w:rPr>
                  </w:pPr>
                  <w:r>
                    <w:rPr>
                      <w:rFonts w:hint="eastAsia"/>
                      <w:sz w:val="22"/>
                      <w:szCs w:val="22"/>
                    </w:rPr>
                    <w:t>根据查询结果，本项目不</w:t>
                  </w:r>
                  <w:r>
                    <w:rPr>
                      <w:rFonts w:hint="eastAsia"/>
                      <w:sz w:val="22"/>
                      <w:szCs w:val="22"/>
                      <w:lang w:val="en-US" w:eastAsia="zh-CN"/>
                    </w:rPr>
                    <w:t>涉及</w:t>
                  </w:r>
                  <w:r>
                    <w:rPr>
                      <w:rFonts w:hint="eastAsia"/>
                      <w:sz w:val="22"/>
                      <w:szCs w:val="22"/>
                    </w:rPr>
                    <w:t>达州优先管控单元。</w:t>
                  </w:r>
                </w:p>
              </w:tc>
              <w:tc>
                <w:tcPr>
                  <w:tcW w:w="491" w:type="pct"/>
                  <w:vAlign w:val="center"/>
                </w:tcPr>
                <w:p w14:paraId="49A32DEA">
                  <w:pPr>
                    <w:pStyle w:val="98"/>
                    <w:rPr>
                      <w:rFonts w:hint="eastAsia" w:eastAsia="宋体"/>
                      <w:sz w:val="22"/>
                      <w:szCs w:val="22"/>
                      <w:lang w:val="en-US" w:eastAsia="zh-CN"/>
                    </w:rPr>
                  </w:pPr>
                  <w:r>
                    <w:rPr>
                      <w:rFonts w:hint="eastAsia"/>
                      <w:sz w:val="22"/>
                      <w:szCs w:val="22"/>
                      <w:lang w:val="en-US" w:eastAsia="zh-CN"/>
                    </w:rPr>
                    <w:t>符合</w:t>
                  </w:r>
                </w:p>
              </w:tc>
            </w:tr>
            <w:tr w14:paraId="7F5CB8D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9" w:type="pct"/>
                  <w:vAlign w:val="center"/>
                </w:tcPr>
                <w:p w14:paraId="53614A0B">
                  <w:pPr>
                    <w:pStyle w:val="98"/>
                    <w:rPr>
                      <w:rFonts w:hint="default" w:eastAsia="宋体"/>
                      <w:sz w:val="22"/>
                      <w:szCs w:val="22"/>
                      <w:lang w:val="en-US" w:eastAsia="zh-CN"/>
                    </w:rPr>
                  </w:pPr>
                  <w:r>
                    <w:rPr>
                      <w:rFonts w:hint="eastAsia"/>
                      <w:sz w:val="22"/>
                      <w:szCs w:val="22"/>
                      <w:lang w:val="en-US" w:eastAsia="zh-CN"/>
                    </w:rPr>
                    <w:t>重点管控单元</w:t>
                  </w:r>
                </w:p>
              </w:tc>
              <w:tc>
                <w:tcPr>
                  <w:tcW w:w="2555" w:type="pct"/>
                  <w:vAlign w:val="center"/>
                </w:tcPr>
                <w:p w14:paraId="12B2A2D5">
                  <w:pPr>
                    <w:pStyle w:val="98"/>
                    <w:jc w:val="both"/>
                    <w:rPr>
                      <w:sz w:val="22"/>
                      <w:szCs w:val="22"/>
                    </w:rPr>
                  </w:pPr>
                  <w:r>
                    <w:rPr>
                      <w:rFonts w:hint="eastAsia"/>
                      <w:sz w:val="22"/>
                      <w:szCs w:val="22"/>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263" w:type="pct"/>
                  <w:vAlign w:val="center"/>
                </w:tcPr>
                <w:p w14:paraId="7DA5EA01">
                  <w:pPr>
                    <w:pStyle w:val="98"/>
                    <w:jc w:val="both"/>
                    <w:rPr>
                      <w:sz w:val="22"/>
                      <w:szCs w:val="22"/>
                    </w:rPr>
                  </w:pPr>
                  <w:r>
                    <w:rPr>
                      <w:rFonts w:hint="eastAsia"/>
                      <w:sz w:val="22"/>
                      <w:szCs w:val="22"/>
                    </w:rPr>
                    <w:t>根据查询结果，本项目不</w:t>
                  </w:r>
                  <w:r>
                    <w:rPr>
                      <w:rFonts w:hint="eastAsia"/>
                      <w:sz w:val="22"/>
                      <w:szCs w:val="22"/>
                      <w:lang w:val="en-US" w:eastAsia="zh-CN"/>
                    </w:rPr>
                    <w:t>涉及</w:t>
                  </w:r>
                  <w:r>
                    <w:rPr>
                      <w:rFonts w:hint="eastAsia"/>
                      <w:sz w:val="22"/>
                      <w:szCs w:val="22"/>
                    </w:rPr>
                    <w:t>达州</w:t>
                  </w:r>
                  <w:r>
                    <w:rPr>
                      <w:rFonts w:hint="eastAsia"/>
                      <w:sz w:val="22"/>
                      <w:szCs w:val="22"/>
                      <w:lang w:val="en-US" w:eastAsia="zh-CN"/>
                    </w:rPr>
                    <w:t>重点</w:t>
                  </w:r>
                  <w:r>
                    <w:rPr>
                      <w:rFonts w:hint="eastAsia"/>
                      <w:sz w:val="22"/>
                      <w:szCs w:val="22"/>
                    </w:rPr>
                    <w:t>管控单元。</w:t>
                  </w:r>
                </w:p>
              </w:tc>
              <w:tc>
                <w:tcPr>
                  <w:tcW w:w="491" w:type="pct"/>
                  <w:vAlign w:val="center"/>
                </w:tcPr>
                <w:p w14:paraId="5DA6679B">
                  <w:pPr>
                    <w:pStyle w:val="98"/>
                    <w:rPr>
                      <w:rFonts w:hint="eastAsia" w:eastAsia="宋体"/>
                      <w:sz w:val="22"/>
                      <w:szCs w:val="22"/>
                      <w:lang w:val="en-US" w:eastAsia="zh-CN"/>
                    </w:rPr>
                  </w:pPr>
                  <w:r>
                    <w:rPr>
                      <w:rFonts w:hint="eastAsia"/>
                      <w:sz w:val="22"/>
                      <w:szCs w:val="22"/>
                      <w:lang w:val="en-US" w:eastAsia="zh-CN"/>
                    </w:rPr>
                    <w:t>符合</w:t>
                  </w:r>
                </w:p>
              </w:tc>
            </w:tr>
            <w:tr w14:paraId="69FE80E0">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689" w:type="pct"/>
                  <w:vAlign w:val="center"/>
                </w:tcPr>
                <w:p w14:paraId="5678B6B6">
                  <w:pPr>
                    <w:pStyle w:val="98"/>
                    <w:rPr>
                      <w:rFonts w:hint="default" w:eastAsia="宋体"/>
                      <w:sz w:val="22"/>
                      <w:szCs w:val="22"/>
                      <w:lang w:val="en-US" w:eastAsia="zh-CN"/>
                    </w:rPr>
                  </w:pPr>
                  <w:r>
                    <w:rPr>
                      <w:rFonts w:hint="eastAsia"/>
                      <w:sz w:val="22"/>
                      <w:szCs w:val="22"/>
                      <w:lang w:val="en-US" w:eastAsia="zh-CN"/>
                    </w:rPr>
                    <w:t>一般管控单元</w:t>
                  </w:r>
                </w:p>
              </w:tc>
              <w:tc>
                <w:tcPr>
                  <w:tcW w:w="2555" w:type="pct"/>
                  <w:vAlign w:val="center"/>
                </w:tcPr>
                <w:p w14:paraId="554CB7A2">
                  <w:pPr>
                    <w:pStyle w:val="98"/>
                    <w:jc w:val="both"/>
                    <w:rPr>
                      <w:sz w:val="22"/>
                      <w:szCs w:val="22"/>
                    </w:rPr>
                  </w:pPr>
                  <w:r>
                    <w:rPr>
                      <w:rFonts w:hint="eastAsia"/>
                      <w:sz w:val="22"/>
                      <w:szCs w:val="22"/>
                    </w:rPr>
                    <w:t>一般管控单元中，执行区域生态环境保护的基本要求，重点加强农业、生活等领域污染治理。</w:t>
                  </w:r>
                </w:p>
              </w:tc>
              <w:tc>
                <w:tcPr>
                  <w:tcW w:w="1263" w:type="pct"/>
                  <w:vAlign w:val="center"/>
                </w:tcPr>
                <w:p w14:paraId="3A803DF8">
                  <w:pPr>
                    <w:pStyle w:val="98"/>
                    <w:jc w:val="both"/>
                    <w:rPr>
                      <w:rFonts w:hint="default" w:eastAsia="宋体"/>
                      <w:b w:val="0"/>
                      <w:bCs w:val="0"/>
                      <w:sz w:val="22"/>
                      <w:szCs w:val="22"/>
                      <w:lang w:val="en-US" w:eastAsia="zh-CN"/>
                    </w:rPr>
                  </w:pPr>
                  <w:r>
                    <w:rPr>
                      <w:rFonts w:hint="default" w:eastAsia="宋体"/>
                      <w:b w:val="0"/>
                      <w:bCs w:val="0"/>
                      <w:sz w:val="22"/>
                      <w:szCs w:val="22"/>
                      <w:lang w:val="en-US" w:eastAsia="zh-CN"/>
                    </w:rPr>
                    <w:t>本项目位于宣汉县一般管控区，属于河道水系连通和岸线生态修复工程。</w:t>
                  </w:r>
                </w:p>
              </w:tc>
              <w:tc>
                <w:tcPr>
                  <w:tcW w:w="491" w:type="pct"/>
                  <w:vAlign w:val="center"/>
                </w:tcPr>
                <w:p w14:paraId="50D986CC">
                  <w:pPr>
                    <w:pStyle w:val="98"/>
                    <w:rPr>
                      <w:rFonts w:hint="eastAsia" w:eastAsia="宋体"/>
                      <w:b w:val="0"/>
                      <w:bCs w:val="0"/>
                      <w:sz w:val="22"/>
                      <w:szCs w:val="22"/>
                      <w:lang w:eastAsia="zh-CN"/>
                    </w:rPr>
                  </w:pPr>
                  <w:r>
                    <w:rPr>
                      <w:rFonts w:hint="eastAsia"/>
                      <w:sz w:val="22"/>
                      <w:szCs w:val="22"/>
                      <w:lang w:val="en-US" w:eastAsia="zh-CN"/>
                    </w:rPr>
                    <w:t>符合</w:t>
                  </w:r>
                </w:p>
              </w:tc>
            </w:tr>
          </w:tbl>
          <w:p w14:paraId="739F0C65">
            <w:pPr>
              <w:pStyle w:val="7"/>
              <w:bidi w:val="0"/>
            </w:pPr>
            <w:r>
              <w:rPr>
                <w:rFonts w:hint="eastAsia"/>
                <w:lang w:eastAsia="zh-CN"/>
              </w:rPr>
              <w:t>项目与</w:t>
            </w:r>
            <w:r>
              <w:rPr>
                <w:rFonts w:hint="eastAsia"/>
                <w:lang w:val="en-US" w:eastAsia="zh-CN"/>
              </w:rPr>
              <w:t>宣汉县总体生态环境分区管控要求的</w:t>
            </w:r>
            <w:r>
              <w:rPr>
                <w:rFonts w:hint="eastAsia"/>
                <w:lang w:eastAsia="zh-CN"/>
              </w:rPr>
              <w:t>符合性分析</w:t>
            </w:r>
          </w:p>
          <w:tbl>
            <w:tblPr>
              <w:tblStyle w:val="81"/>
              <w:tblW w:w="4998"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94"/>
              <w:gridCol w:w="4883"/>
              <w:gridCol w:w="2079"/>
              <w:gridCol w:w="955"/>
            </w:tblGrid>
            <w:tr w14:paraId="2825992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55" w:type="pct"/>
                  <w:vAlign w:val="center"/>
                </w:tcPr>
                <w:p w14:paraId="765101D5">
                  <w:pPr>
                    <w:pStyle w:val="98"/>
                    <w:rPr>
                      <w:rFonts w:hint="default" w:eastAsia="宋体"/>
                      <w:sz w:val="22"/>
                      <w:szCs w:val="22"/>
                      <w:lang w:val="en-US" w:eastAsia="zh-CN"/>
                    </w:rPr>
                  </w:pPr>
                  <w:r>
                    <w:rPr>
                      <w:rFonts w:hint="eastAsia"/>
                      <w:sz w:val="22"/>
                      <w:szCs w:val="22"/>
                      <w:lang w:val="en-US" w:eastAsia="zh-CN"/>
                    </w:rPr>
                    <w:t>序号</w:t>
                  </w:r>
                </w:p>
              </w:tc>
              <w:tc>
                <w:tcPr>
                  <w:tcW w:w="2802" w:type="pct"/>
                  <w:vAlign w:val="center"/>
                </w:tcPr>
                <w:p w14:paraId="67B12E29">
                  <w:pPr>
                    <w:pStyle w:val="98"/>
                    <w:rPr>
                      <w:rFonts w:hint="default" w:eastAsia="宋体"/>
                      <w:sz w:val="22"/>
                      <w:szCs w:val="22"/>
                      <w:lang w:val="en-US" w:eastAsia="zh-CN"/>
                    </w:rPr>
                  </w:pPr>
                  <w:r>
                    <w:rPr>
                      <w:rFonts w:hint="eastAsia"/>
                      <w:sz w:val="22"/>
                      <w:szCs w:val="22"/>
                      <w:lang w:val="en-US" w:eastAsia="zh-CN"/>
                    </w:rPr>
                    <w:t>文件内容</w:t>
                  </w:r>
                </w:p>
              </w:tc>
              <w:tc>
                <w:tcPr>
                  <w:tcW w:w="1193" w:type="pct"/>
                  <w:vAlign w:val="center"/>
                </w:tcPr>
                <w:p w14:paraId="2DECB16F">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0B82D0FB">
                  <w:pPr>
                    <w:pStyle w:val="98"/>
                    <w:rPr>
                      <w:rFonts w:hint="eastAsia" w:eastAsia="宋体"/>
                      <w:sz w:val="22"/>
                      <w:szCs w:val="22"/>
                      <w:lang w:eastAsia="zh-CN"/>
                    </w:rPr>
                  </w:pPr>
                  <w:r>
                    <w:rPr>
                      <w:rFonts w:hint="eastAsia"/>
                      <w:sz w:val="22"/>
                      <w:szCs w:val="22"/>
                      <w:lang w:val="en-US" w:eastAsia="zh-CN"/>
                    </w:rPr>
                    <w:t>符合性</w:t>
                  </w:r>
                </w:p>
              </w:tc>
            </w:tr>
            <w:tr w14:paraId="3CB2BA4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55" w:type="pct"/>
                  <w:vAlign w:val="center"/>
                </w:tcPr>
                <w:p w14:paraId="2A747FDD">
                  <w:pPr>
                    <w:pStyle w:val="98"/>
                    <w:rPr>
                      <w:rFonts w:hint="default" w:eastAsia="宋体"/>
                      <w:sz w:val="22"/>
                      <w:szCs w:val="22"/>
                      <w:lang w:val="en-US" w:eastAsia="zh-CN"/>
                    </w:rPr>
                  </w:pPr>
                  <w:r>
                    <w:rPr>
                      <w:rFonts w:hint="eastAsia"/>
                      <w:sz w:val="22"/>
                      <w:szCs w:val="22"/>
                      <w:lang w:val="en-US" w:eastAsia="zh-CN"/>
                    </w:rPr>
                    <w:t>1</w:t>
                  </w:r>
                </w:p>
              </w:tc>
              <w:tc>
                <w:tcPr>
                  <w:tcW w:w="2802" w:type="pct"/>
                  <w:vAlign w:val="center"/>
                </w:tcPr>
                <w:p w14:paraId="7A6E29D5">
                  <w:pPr>
                    <w:pStyle w:val="98"/>
                    <w:jc w:val="both"/>
                    <w:rPr>
                      <w:sz w:val="22"/>
                      <w:szCs w:val="22"/>
                    </w:rPr>
                  </w:pPr>
                  <w:r>
                    <w:rPr>
                      <w:rFonts w:hint="eastAsia"/>
                      <w:sz w:val="22"/>
                      <w:szCs w:val="22"/>
                    </w:rPr>
                    <w:t>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193" w:type="pct"/>
                  <w:vAlign w:val="center"/>
                </w:tcPr>
                <w:p w14:paraId="799F5E82">
                  <w:pPr>
                    <w:pStyle w:val="98"/>
                    <w:jc w:val="both"/>
                    <w:rPr>
                      <w:rFonts w:hint="eastAsia" w:eastAsia="宋体"/>
                      <w:sz w:val="22"/>
                      <w:szCs w:val="22"/>
                      <w:lang w:val="en-US" w:eastAsia="zh-CN"/>
                    </w:rPr>
                  </w:pPr>
                  <w:r>
                    <w:rPr>
                      <w:rFonts w:hint="eastAsia"/>
                      <w:sz w:val="22"/>
                      <w:szCs w:val="22"/>
                      <w:lang w:val="en-US" w:eastAsia="zh-CN"/>
                    </w:rPr>
                    <w:t>本项目不属于</w:t>
                  </w:r>
                  <w:r>
                    <w:rPr>
                      <w:rFonts w:hint="eastAsia"/>
                      <w:sz w:val="22"/>
                      <w:szCs w:val="22"/>
                    </w:rPr>
                    <w:t>天然气化工、硫化工、锂钾综合开发、冶金建材、新材料</w:t>
                  </w:r>
                  <w:r>
                    <w:rPr>
                      <w:rFonts w:hint="eastAsia"/>
                      <w:sz w:val="22"/>
                      <w:szCs w:val="22"/>
                      <w:lang w:val="en-US" w:eastAsia="zh-CN"/>
                    </w:rPr>
                    <w:t>项目。</w:t>
                  </w:r>
                </w:p>
              </w:tc>
              <w:tc>
                <w:tcPr>
                  <w:tcW w:w="548" w:type="pct"/>
                  <w:vAlign w:val="center"/>
                </w:tcPr>
                <w:p w14:paraId="0897F45A">
                  <w:pPr>
                    <w:pStyle w:val="98"/>
                    <w:rPr>
                      <w:rFonts w:hint="eastAsia" w:eastAsia="宋体"/>
                      <w:sz w:val="22"/>
                      <w:szCs w:val="22"/>
                      <w:lang w:val="en-US" w:eastAsia="zh-CN"/>
                    </w:rPr>
                  </w:pPr>
                  <w:r>
                    <w:rPr>
                      <w:rFonts w:hint="eastAsia"/>
                      <w:sz w:val="22"/>
                      <w:szCs w:val="22"/>
                      <w:lang w:val="en-US" w:eastAsia="zh-CN"/>
                    </w:rPr>
                    <w:t>符合</w:t>
                  </w:r>
                </w:p>
              </w:tc>
            </w:tr>
            <w:tr w14:paraId="7CA269C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55" w:type="pct"/>
                  <w:vAlign w:val="center"/>
                </w:tcPr>
                <w:p w14:paraId="544C8D83">
                  <w:pPr>
                    <w:pStyle w:val="98"/>
                    <w:rPr>
                      <w:rFonts w:hint="default" w:eastAsia="宋体"/>
                      <w:sz w:val="22"/>
                      <w:szCs w:val="22"/>
                      <w:lang w:val="en-US" w:eastAsia="zh-CN"/>
                    </w:rPr>
                  </w:pPr>
                  <w:r>
                    <w:rPr>
                      <w:rFonts w:hint="eastAsia"/>
                      <w:sz w:val="22"/>
                      <w:szCs w:val="22"/>
                      <w:lang w:val="en-US" w:eastAsia="zh-CN"/>
                    </w:rPr>
                    <w:t>2</w:t>
                  </w:r>
                </w:p>
              </w:tc>
              <w:tc>
                <w:tcPr>
                  <w:tcW w:w="2802" w:type="pct"/>
                  <w:vAlign w:val="center"/>
                </w:tcPr>
                <w:p w14:paraId="3413A9E6">
                  <w:pPr>
                    <w:pStyle w:val="98"/>
                    <w:jc w:val="both"/>
                    <w:rPr>
                      <w:sz w:val="22"/>
                      <w:szCs w:val="22"/>
                    </w:rPr>
                  </w:pPr>
                  <w:r>
                    <w:rPr>
                      <w:rFonts w:hint="eastAsia"/>
                      <w:sz w:val="22"/>
                      <w:szCs w:val="22"/>
                    </w:rPr>
                    <w:t>打好升级版污染防治攻坚战。持续优化调整产业布局，以PM</w:t>
                  </w:r>
                  <w:r>
                    <w:rPr>
                      <w:rFonts w:hint="eastAsia"/>
                      <w:sz w:val="22"/>
                      <w:szCs w:val="22"/>
                      <w:vertAlign w:val="subscript"/>
                    </w:rPr>
                    <w:t>2.5</w:t>
                  </w:r>
                  <w:r>
                    <w:rPr>
                      <w:rFonts w:hint="eastAsia"/>
                      <w:sz w:val="22"/>
                      <w:szCs w:val="22"/>
                    </w:rPr>
                    <w:t>和臭氧污染协同控制为重点，全面开展VOCs治理，实施移动源整治，持续推进空气质量精细化管理。引进项目应符合园区规划环评和区域产业准入清单要求。</w:t>
                  </w:r>
                </w:p>
              </w:tc>
              <w:tc>
                <w:tcPr>
                  <w:tcW w:w="1193" w:type="pct"/>
                  <w:vAlign w:val="center"/>
                </w:tcPr>
                <w:p w14:paraId="10B759CD">
                  <w:pPr>
                    <w:pStyle w:val="98"/>
                    <w:jc w:val="both"/>
                    <w:rPr>
                      <w:rFonts w:hint="default" w:eastAsia="宋体"/>
                      <w:sz w:val="22"/>
                      <w:szCs w:val="22"/>
                      <w:lang w:val="en-US" w:eastAsia="zh-CN"/>
                    </w:rPr>
                  </w:pPr>
                  <w:r>
                    <w:rPr>
                      <w:rFonts w:hint="eastAsia"/>
                      <w:sz w:val="22"/>
                      <w:szCs w:val="22"/>
                      <w:lang w:val="en-US" w:eastAsia="zh-CN"/>
                    </w:rPr>
                    <w:t>本项目属于防洪治理工程项目，不涉及VOCs等重点污染物排放。</w:t>
                  </w:r>
                </w:p>
              </w:tc>
              <w:tc>
                <w:tcPr>
                  <w:tcW w:w="548" w:type="pct"/>
                  <w:vAlign w:val="center"/>
                </w:tcPr>
                <w:p w14:paraId="26CB93CA">
                  <w:pPr>
                    <w:pStyle w:val="98"/>
                    <w:rPr>
                      <w:rFonts w:hint="eastAsia" w:eastAsia="宋体"/>
                      <w:sz w:val="22"/>
                      <w:szCs w:val="22"/>
                      <w:lang w:val="en-US" w:eastAsia="zh-CN"/>
                    </w:rPr>
                  </w:pPr>
                  <w:r>
                    <w:rPr>
                      <w:rFonts w:hint="eastAsia"/>
                      <w:sz w:val="22"/>
                      <w:szCs w:val="22"/>
                      <w:lang w:val="en-US" w:eastAsia="zh-CN"/>
                    </w:rPr>
                    <w:t>符合</w:t>
                  </w:r>
                </w:p>
              </w:tc>
            </w:tr>
            <w:tr w14:paraId="3E6CB6B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55" w:type="pct"/>
                  <w:vAlign w:val="center"/>
                </w:tcPr>
                <w:p w14:paraId="7FC0E80E">
                  <w:pPr>
                    <w:pStyle w:val="98"/>
                    <w:rPr>
                      <w:rFonts w:hint="default" w:eastAsia="宋体"/>
                      <w:sz w:val="22"/>
                      <w:szCs w:val="22"/>
                      <w:lang w:val="en-US" w:eastAsia="zh-CN"/>
                    </w:rPr>
                  </w:pPr>
                  <w:r>
                    <w:rPr>
                      <w:rFonts w:hint="eastAsia"/>
                      <w:sz w:val="22"/>
                      <w:szCs w:val="22"/>
                      <w:lang w:val="en-US" w:eastAsia="zh-CN"/>
                    </w:rPr>
                    <w:t>3</w:t>
                  </w:r>
                </w:p>
              </w:tc>
              <w:tc>
                <w:tcPr>
                  <w:tcW w:w="2802" w:type="pct"/>
                  <w:vAlign w:val="center"/>
                </w:tcPr>
                <w:p w14:paraId="3254858B">
                  <w:pPr>
                    <w:pStyle w:val="98"/>
                    <w:jc w:val="both"/>
                    <w:rPr>
                      <w:sz w:val="22"/>
                      <w:szCs w:val="22"/>
                    </w:rPr>
                  </w:pPr>
                  <w:r>
                    <w:rPr>
                      <w:rFonts w:hint="eastAsia"/>
                      <w:sz w:val="22"/>
                      <w:szCs w:val="22"/>
                    </w:rPr>
                    <w:t>加强小流域水环境保护，推动农村环保基础设施建设，全面推进农村环境综合整治、生活污水处理项目。</w:t>
                  </w:r>
                </w:p>
              </w:tc>
              <w:tc>
                <w:tcPr>
                  <w:tcW w:w="1193" w:type="pct"/>
                  <w:vAlign w:val="center"/>
                </w:tcPr>
                <w:p w14:paraId="75551CDF">
                  <w:pPr>
                    <w:pStyle w:val="98"/>
                    <w:jc w:val="both"/>
                    <w:rPr>
                      <w:rFonts w:hint="default" w:eastAsia="宋体"/>
                      <w:b w:val="0"/>
                      <w:bCs w:val="0"/>
                      <w:sz w:val="22"/>
                      <w:szCs w:val="22"/>
                      <w:lang w:val="en-US" w:eastAsia="zh-CN"/>
                    </w:rPr>
                  </w:pPr>
                  <w:r>
                    <w:rPr>
                      <w:rFonts w:hint="default" w:eastAsia="宋体"/>
                      <w:b w:val="0"/>
                      <w:bCs w:val="0"/>
                      <w:sz w:val="22"/>
                      <w:szCs w:val="22"/>
                      <w:lang w:val="en-US" w:eastAsia="zh-CN"/>
                    </w:rPr>
                    <w:t>本项目属于</w:t>
                  </w:r>
                  <w:r>
                    <w:rPr>
                      <w:rFonts w:hint="eastAsia"/>
                      <w:b w:val="0"/>
                      <w:bCs w:val="0"/>
                      <w:sz w:val="22"/>
                      <w:szCs w:val="22"/>
                      <w:lang w:val="en-US" w:eastAsia="zh-CN"/>
                    </w:rPr>
                    <w:t>防洪治理工程</w:t>
                  </w:r>
                  <w:r>
                    <w:rPr>
                      <w:rFonts w:hint="default" w:eastAsia="宋体"/>
                      <w:b w:val="0"/>
                      <w:bCs w:val="0"/>
                      <w:sz w:val="22"/>
                      <w:szCs w:val="22"/>
                      <w:lang w:val="en-US" w:eastAsia="zh-CN"/>
                    </w:rPr>
                    <w:t>，不涉及该类管控要求。</w:t>
                  </w:r>
                </w:p>
              </w:tc>
              <w:tc>
                <w:tcPr>
                  <w:tcW w:w="548" w:type="pct"/>
                  <w:vAlign w:val="center"/>
                </w:tcPr>
                <w:p w14:paraId="25F7A9E8">
                  <w:pPr>
                    <w:pStyle w:val="98"/>
                    <w:rPr>
                      <w:rFonts w:hint="eastAsia" w:eastAsia="宋体"/>
                      <w:b w:val="0"/>
                      <w:bCs w:val="0"/>
                      <w:sz w:val="22"/>
                      <w:szCs w:val="22"/>
                      <w:lang w:eastAsia="zh-CN"/>
                    </w:rPr>
                  </w:pPr>
                  <w:r>
                    <w:rPr>
                      <w:rFonts w:hint="eastAsia"/>
                      <w:sz w:val="22"/>
                      <w:szCs w:val="22"/>
                      <w:lang w:val="en-US" w:eastAsia="zh-CN"/>
                    </w:rPr>
                    <w:t>符合</w:t>
                  </w:r>
                </w:p>
              </w:tc>
            </w:tr>
            <w:tr w14:paraId="70AA303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55" w:type="pct"/>
                  <w:vAlign w:val="center"/>
                </w:tcPr>
                <w:p w14:paraId="55A7B9FB">
                  <w:pPr>
                    <w:pStyle w:val="98"/>
                    <w:rPr>
                      <w:rFonts w:hint="default"/>
                      <w:sz w:val="22"/>
                      <w:szCs w:val="22"/>
                      <w:lang w:val="en-US" w:eastAsia="zh-CN"/>
                    </w:rPr>
                  </w:pPr>
                  <w:r>
                    <w:rPr>
                      <w:rFonts w:hint="eastAsia"/>
                      <w:sz w:val="22"/>
                      <w:szCs w:val="22"/>
                      <w:lang w:val="en-US" w:eastAsia="zh-CN"/>
                    </w:rPr>
                    <w:t>4</w:t>
                  </w:r>
                </w:p>
              </w:tc>
              <w:tc>
                <w:tcPr>
                  <w:tcW w:w="2802" w:type="pct"/>
                  <w:vAlign w:val="center"/>
                </w:tcPr>
                <w:p w14:paraId="17B5AE50">
                  <w:pPr>
                    <w:pStyle w:val="98"/>
                    <w:jc w:val="both"/>
                    <w:rPr>
                      <w:rFonts w:hint="eastAsia"/>
                      <w:sz w:val="22"/>
                      <w:szCs w:val="22"/>
                    </w:rPr>
                  </w:pPr>
                  <w:r>
                    <w:rPr>
                      <w:rFonts w:hint="eastAsia"/>
                      <w:sz w:val="22"/>
                      <w:szCs w:val="22"/>
                    </w:rPr>
                    <w:t>大力开展沿河畜禽养殖污染整治，大力推广生态种植，减少农药化肥使用量；普光气田开发污染防治和环境管理等方面要达国内先进水平。</w:t>
                  </w:r>
                </w:p>
              </w:tc>
              <w:tc>
                <w:tcPr>
                  <w:tcW w:w="1193" w:type="pct"/>
                  <w:vAlign w:val="center"/>
                </w:tcPr>
                <w:p w14:paraId="12F0802D">
                  <w:pPr>
                    <w:pStyle w:val="98"/>
                    <w:jc w:val="both"/>
                    <w:rPr>
                      <w:rFonts w:hint="default" w:eastAsia="宋体"/>
                      <w:b w:val="0"/>
                      <w:bCs w:val="0"/>
                      <w:sz w:val="22"/>
                      <w:szCs w:val="22"/>
                      <w:lang w:val="en-US" w:eastAsia="zh-CN"/>
                    </w:rPr>
                  </w:pPr>
                  <w:r>
                    <w:rPr>
                      <w:rFonts w:hint="default" w:eastAsia="宋体"/>
                      <w:b w:val="0"/>
                      <w:bCs w:val="0"/>
                      <w:sz w:val="22"/>
                      <w:szCs w:val="22"/>
                      <w:lang w:val="en-US" w:eastAsia="zh-CN"/>
                    </w:rPr>
                    <w:t>本项目属于</w:t>
                  </w:r>
                  <w:r>
                    <w:rPr>
                      <w:rFonts w:hint="eastAsia"/>
                      <w:b w:val="0"/>
                      <w:bCs w:val="0"/>
                      <w:sz w:val="22"/>
                      <w:szCs w:val="22"/>
                      <w:lang w:val="en-US" w:eastAsia="zh-CN"/>
                    </w:rPr>
                    <w:t>防洪治理工程</w:t>
                  </w:r>
                  <w:r>
                    <w:rPr>
                      <w:rFonts w:hint="default" w:eastAsia="宋体"/>
                      <w:b w:val="0"/>
                      <w:bCs w:val="0"/>
                      <w:sz w:val="22"/>
                      <w:szCs w:val="22"/>
                      <w:lang w:val="en-US" w:eastAsia="zh-CN"/>
                    </w:rPr>
                    <w:t>，不涉及该类管控要求。</w:t>
                  </w:r>
                </w:p>
              </w:tc>
              <w:tc>
                <w:tcPr>
                  <w:tcW w:w="548" w:type="pct"/>
                  <w:vAlign w:val="center"/>
                </w:tcPr>
                <w:p w14:paraId="6E446BB1">
                  <w:pPr>
                    <w:pStyle w:val="98"/>
                    <w:rPr>
                      <w:rFonts w:hint="eastAsia"/>
                      <w:sz w:val="22"/>
                      <w:szCs w:val="22"/>
                      <w:lang w:val="en-US" w:eastAsia="zh-CN"/>
                    </w:rPr>
                  </w:pPr>
                  <w:r>
                    <w:rPr>
                      <w:rFonts w:hint="eastAsia"/>
                      <w:sz w:val="22"/>
                      <w:szCs w:val="22"/>
                      <w:lang w:val="en-US" w:eastAsia="zh-CN"/>
                    </w:rPr>
                    <w:t>符合</w:t>
                  </w:r>
                </w:p>
              </w:tc>
            </w:tr>
          </w:tbl>
          <w:p w14:paraId="6F36E1DA">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本项目位于宣汉县</w:t>
            </w:r>
            <w:r>
              <w:rPr>
                <w:rFonts w:hint="eastAsia"/>
                <w:color w:val="000000" w:themeColor="text1"/>
                <w:spacing w:val="-4"/>
                <w:lang w:val="en-US" w:eastAsia="zh-CN"/>
                <w14:textFill>
                  <w14:solidFill>
                    <w14:schemeClr w14:val="tx1"/>
                  </w14:solidFill>
                </w14:textFill>
              </w:rPr>
              <w:t>天生</w:t>
            </w:r>
            <w:r>
              <w:rPr>
                <w:rFonts w:hint="default" w:eastAsia="宋体"/>
                <w:color w:val="000000" w:themeColor="text1"/>
                <w:spacing w:val="-4"/>
                <w14:textFill>
                  <w14:solidFill>
                    <w14:schemeClr w14:val="tx1"/>
                  </w14:solidFill>
                </w14:textFill>
              </w:rPr>
              <w:t>镇，项目涉及</w:t>
            </w:r>
            <w:r>
              <w:rPr>
                <w:rFonts w:hint="eastAsia"/>
                <w:color w:val="000000" w:themeColor="text1"/>
                <w:spacing w:val="-4"/>
                <w:lang w:val="en-US" w:eastAsia="zh-CN"/>
                <w14:textFill>
                  <w14:solidFill>
                    <w14:schemeClr w14:val="tx1"/>
                  </w14:solidFill>
                </w14:textFill>
              </w:rPr>
              <w:t>重点管控单元和</w:t>
            </w:r>
            <w:r>
              <w:rPr>
                <w:rFonts w:hint="default" w:eastAsia="宋体"/>
                <w:color w:val="000000" w:themeColor="text1"/>
                <w:spacing w:val="-4"/>
                <w14:textFill>
                  <w14:solidFill>
                    <w14:schemeClr w14:val="tx1"/>
                  </w14:solidFill>
                </w14:textFill>
              </w:rPr>
              <w:t>一般管控单元，满足达州市人民政府发布的《关于加强生态环境分区管控的通知》（达市府办函〔2024〕31号）相关生态保护要求。</w:t>
            </w:r>
          </w:p>
          <w:p w14:paraId="2B9A678E">
            <w:pPr>
              <w:pStyle w:val="4"/>
              <w:rPr>
                <w:rFonts w:hint="eastAsia"/>
                <w:color w:val="auto"/>
                <w:lang w:val="en-US" w:eastAsia="zh-CN"/>
              </w:rPr>
            </w:pPr>
            <w:r>
              <w:rPr>
                <w:rFonts w:hint="eastAsia"/>
                <w:color w:val="auto"/>
                <w:lang w:val="en-US" w:eastAsia="zh-CN"/>
              </w:rPr>
              <w:t>项目所在生态环境分区管控单元的符合性分析</w:t>
            </w:r>
          </w:p>
          <w:p w14:paraId="056D93F0">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本项目为</w:t>
            </w:r>
            <w:r>
              <w:rPr>
                <w:rFonts w:hint="eastAsia"/>
                <w:lang w:val="en-US" w:eastAsia="zh-CN"/>
              </w:rPr>
              <w:t>四川省宣汉县新宁河天生镇防洪治理工程</w:t>
            </w:r>
            <w:r>
              <w:rPr>
                <w:rFonts w:hint="default" w:eastAsia="宋体"/>
                <w:color w:val="000000" w:themeColor="text1"/>
                <w:spacing w:val="-4"/>
                <w14:textFill>
                  <w14:solidFill>
                    <w14:schemeClr w14:val="tx1"/>
                  </w14:solidFill>
                </w14:textFill>
              </w:rPr>
              <w:t>，项目位于</w:t>
            </w:r>
            <w:r>
              <w:rPr>
                <w:rFonts w:hint="eastAsia"/>
                <w:color w:val="000000" w:themeColor="text1"/>
                <w:spacing w:val="-4"/>
                <w:lang w:val="en-US" w:eastAsia="zh-CN"/>
                <w14:textFill>
                  <w14:solidFill>
                    <w14:schemeClr w14:val="tx1"/>
                  </w14:solidFill>
                </w14:textFill>
              </w:rPr>
              <w:t>达州市宣汉县天生镇</w:t>
            </w:r>
            <w:r>
              <w:rPr>
                <w:rFonts w:hint="default" w:eastAsia="宋体"/>
                <w:color w:val="000000" w:themeColor="text1"/>
                <w:spacing w:val="-4"/>
                <w14:textFill>
                  <w14:solidFill>
                    <w14:schemeClr w14:val="tx1"/>
                  </w14:solidFill>
                </w14:textFill>
              </w:rPr>
              <w:t>，</w:t>
            </w:r>
            <w:r>
              <w:rPr>
                <w:rFonts w:ascii="宋体" w:hAnsi="宋体"/>
                <w:color w:val="auto"/>
              </w:rPr>
              <w:t>经在四川省</w:t>
            </w:r>
            <w:r>
              <w:rPr>
                <w:rFonts w:hint="eastAsia" w:ascii="宋体" w:hAnsi="宋体"/>
                <w:color w:val="auto"/>
              </w:rPr>
              <w:t>政务</w:t>
            </w:r>
            <w:r>
              <w:rPr>
                <w:rFonts w:ascii="宋体" w:hAnsi="宋体"/>
                <w:color w:val="auto"/>
              </w:rPr>
              <w:t>服务网</w:t>
            </w:r>
            <w:r>
              <w:rPr>
                <w:color w:val="auto"/>
              </w:rPr>
              <w:t>“</w:t>
            </w:r>
            <w:r>
              <w:rPr>
                <w:rFonts w:ascii="宋体" w:hAnsi="宋体"/>
                <w:color w:val="auto"/>
              </w:rPr>
              <w:t>生态环境分区管控公众服务</w:t>
            </w:r>
            <w:r>
              <w:rPr>
                <w:color w:val="auto"/>
              </w:rPr>
              <w:t>”</w:t>
            </w:r>
            <w:r>
              <w:rPr>
                <w:rFonts w:ascii="宋体" w:hAnsi="宋体"/>
                <w:color w:val="auto"/>
              </w:rPr>
              <w:t>中</w:t>
            </w:r>
            <w:r>
              <w:rPr>
                <w:color w:val="auto"/>
              </w:rPr>
              <w:t>“</w:t>
            </w:r>
            <w:r>
              <w:rPr>
                <w:rFonts w:hint="eastAsia" w:ascii="宋体" w:hAnsi="宋体"/>
                <w:color w:val="auto"/>
              </w:rPr>
              <w:t>辅助研判</w:t>
            </w:r>
            <w:r>
              <w:rPr>
                <w:color w:val="auto"/>
              </w:rPr>
              <w:t>”</w:t>
            </w:r>
            <w:r>
              <w:rPr>
                <w:rFonts w:ascii="宋体" w:hAnsi="宋体"/>
                <w:color w:val="auto"/>
              </w:rPr>
              <w:t>查询，</w:t>
            </w:r>
            <w:r>
              <w:rPr>
                <w:rFonts w:hint="eastAsia" w:ascii="宋体" w:hAnsi="宋体"/>
                <w:color w:val="auto"/>
                <w:lang w:val="en-US" w:eastAsia="zh-CN"/>
              </w:rPr>
              <w:t>本项目涉及1个生态环境管控单元、4个环境要素管控分区，具体如下</w:t>
            </w:r>
            <w:r>
              <w:rPr>
                <w:rFonts w:hint="default" w:eastAsia="宋体"/>
                <w:color w:val="000000" w:themeColor="text1"/>
                <w:spacing w:val="-4"/>
                <w14:textFill>
                  <w14:solidFill>
                    <w14:schemeClr w14:val="tx1"/>
                  </w14:solidFill>
                </w14:textFill>
              </w:rPr>
              <w:t>。</w:t>
            </w:r>
          </w:p>
          <w:p w14:paraId="149B0C75">
            <w:pPr>
              <w:pStyle w:val="7"/>
              <w:bidi w:val="0"/>
            </w:pPr>
            <w:r>
              <w:rPr>
                <w:rFonts w:hint="eastAsia"/>
                <w:lang w:eastAsia="zh-CN"/>
              </w:rPr>
              <w:t>项目</w:t>
            </w:r>
            <w:r>
              <w:rPr>
                <w:rFonts w:hint="eastAsia"/>
                <w:lang w:val="en-US" w:eastAsia="zh-CN"/>
              </w:rPr>
              <w:t>涉及的生态环境管控单元一览表</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562"/>
              <w:gridCol w:w="2403"/>
              <w:gridCol w:w="1274"/>
              <w:gridCol w:w="1708"/>
            </w:tblGrid>
            <w:tr w14:paraId="6DBC6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Align w:val="center"/>
                </w:tcPr>
                <w:p w14:paraId="3AB8436B">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序号</w:t>
                  </w:r>
                </w:p>
              </w:tc>
              <w:tc>
                <w:tcPr>
                  <w:tcW w:w="1470" w:type="pct"/>
                  <w:vAlign w:val="center"/>
                </w:tcPr>
                <w:p w14:paraId="77D55A15">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涉及环境管控单元名称</w:t>
                  </w:r>
                </w:p>
              </w:tc>
              <w:tc>
                <w:tcPr>
                  <w:tcW w:w="1378" w:type="pct"/>
                  <w:vAlign w:val="center"/>
                </w:tcPr>
                <w:p w14:paraId="6580D018">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涉及环境管控单元编码</w:t>
                  </w:r>
                </w:p>
              </w:tc>
              <w:tc>
                <w:tcPr>
                  <w:tcW w:w="731" w:type="pct"/>
                  <w:vAlign w:val="center"/>
                </w:tcPr>
                <w:p w14:paraId="43E82EB1">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行政区划</w:t>
                  </w:r>
                </w:p>
              </w:tc>
              <w:tc>
                <w:tcPr>
                  <w:tcW w:w="980" w:type="pct"/>
                  <w:vAlign w:val="center"/>
                </w:tcPr>
                <w:p w14:paraId="1FC68CA4">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环境管控单元类型</w:t>
                  </w:r>
                </w:p>
              </w:tc>
            </w:tr>
            <w:tr w14:paraId="03CAF4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Align w:val="center"/>
                </w:tcPr>
                <w:p w14:paraId="433619C9">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1</w:t>
                  </w:r>
                </w:p>
              </w:tc>
              <w:tc>
                <w:tcPr>
                  <w:tcW w:w="1470" w:type="pct"/>
                  <w:vAlign w:val="center"/>
                </w:tcPr>
                <w:p w14:paraId="6D50D4F4">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宣汉县一般管控单元</w:t>
                  </w:r>
                </w:p>
              </w:tc>
              <w:tc>
                <w:tcPr>
                  <w:tcW w:w="1378" w:type="pct"/>
                  <w:vAlign w:val="center"/>
                </w:tcPr>
                <w:p w14:paraId="06C89F76">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ZH51172230001</w:t>
                  </w:r>
                </w:p>
              </w:tc>
              <w:tc>
                <w:tcPr>
                  <w:tcW w:w="731" w:type="pct"/>
                  <w:vAlign w:val="center"/>
                </w:tcPr>
                <w:p w14:paraId="683FC06E">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达州市</w:t>
                  </w:r>
                </w:p>
              </w:tc>
              <w:tc>
                <w:tcPr>
                  <w:tcW w:w="980" w:type="pct"/>
                  <w:vAlign w:val="center"/>
                </w:tcPr>
                <w:p w14:paraId="1DE7129B">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一般管控单元</w:t>
                  </w:r>
                </w:p>
              </w:tc>
            </w:tr>
          </w:tbl>
          <w:p w14:paraId="25EA30B6">
            <w:pPr>
              <w:pStyle w:val="7"/>
              <w:bidi w:val="0"/>
            </w:pPr>
            <w:r>
              <w:rPr>
                <w:rFonts w:hint="eastAsia"/>
                <w:lang w:eastAsia="zh-CN"/>
              </w:rPr>
              <w:t>项目</w:t>
            </w:r>
            <w:r>
              <w:rPr>
                <w:rFonts w:hint="eastAsia"/>
                <w:lang w:val="en-US" w:eastAsia="zh-CN"/>
              </w:rPr>
              <w:t>涉及的环境要素管控分区一览表</w:t>
            </w:r>
          </w:p>
          <w:tbl>
            <w:tblPr>
              <w:tblStyle w:val="4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456"/>
              <w:gridCol w:w="1699"/>
              <w:gridCol w:w="929"/>
              <w:gridCol w:w="1182"/>
              <w:gridCol w:w="1774"/>
            </w:tblGrid>
            <w:tr w14:paraId="10C79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3F2147FE">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序号</w:t>
                  </w:r>
                </w:p>
              </w:tc>
              <w:tc>
                <w:tcPr>
                  <w:tcW w:w="1409" w:type="pct"/>
                  <w:vAlign w:val="center"/>
                </w:tcPr>
                <w:p w14:paraId="1B3E043C">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涉及环境 要素管控分区名称</w:t>
                  </w:r>
                </w:p>
              </w:tc>
              <w:tc>
                <w:tcPr>
                  <w:tcW w:w="974" w:type="pct"/>
                  <w:vAlign w:val="center"/>
                </w:tcPr>
                <w:p w14:paraId="0EB1F072">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涉及环境要素管控分区编码</w:t>
                  </w:r>
                </w:p>
              </w:tc>
              <w:tc>
                <w:tcPr>
                  <w:tcW w:w="533" w:type="pct"/>
                  <w:vAlign w:val="center"/>
                </w:tcPr>
                <w:p w14:paraId="780CBC01">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行政区划</w:t>
                  </w:r>
                </w:p>
              </w:tc>
              <w:tc>
                <w:tcPr>
                  <w:tcW w:w="678" w:type="pct"/>
                  <w:vAlign w:val="center"/>
                </w:tcPr>
                <w:p w14:paraId="4A634407">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环境要素类型</w:t>
                  </w:r>
                </w:p>
              </w:tc>
              <w:tc>
                <w:tcPr>
                  <w:tcW w:w="1017" w:type="pct"/>
                  <w:vAlign w:val="center"/>
                </w:tcPr>
                <w:p w14:paraId="36C4E6CF">
                  <w:pPr>
                    <w:pStyle w:val="107"/>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cs="Times New Roman"/>
                      <w:color w:val="000000" w:themeColor="text1"/>
                      <w:sz w:val="22"/>
                      <w:szCs w:val="22"/>
                      <w:lang w:val="en-US" w:eastAsia="zh-CN"/>
                      <w14:textFill>
                        <w14:solidFill>
                          <w14:schemeClr w14:val="tx1"/>
                        </w14:solidFill>
                      </w14:textFill>
                    </w:rPr>
                    <w:t>环境要素细类</w:t>
                  </w:r>
                </w:p>
              </w:tc>
            </w:tr>
            <w:tr w14:paraId="7B9593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501462CF">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1</w:t>
                  </w:r>
                </w:p>
              </w:tc>
              <w:tc>
                <w:tcPr>
                  <w:tcW w:w="1409" w:type="pct"/>
                  <w:vAlign w:val="center"/>
                </w:tcPr>
                <w:p w14:paraId="4AE58475">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宣汉县其他区域</w:t>
                  </w:r>
                </w:p>
              </w:tc>
              <w:tc>
                <w:tcPr>
                  <w:tcW w:w="974" w:type="pct"/>
                  <w:vAlign w:val="center"/>
                </w:tcPr>
                <w:p w14:paraId="7CC17595">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YS5117223110001</w:t>
                  </w:r>
                </w:p>
              </w:tc>
              <w:tc>
                <w:tcPr>
                  <w:tcW w:w="533" w:type="pct"/>
                  <w:vAlign w:val="center"/>
                </w:tcPr>
                <w:p w14:paraId="1C201888">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达州市</w:t>
                  </w:r>
                </w:p>
              </w:tc>
              <w:tc>
                <w:tcPr>
                  <w:tcW w:w="678" w:type="pct"/>
                  <w:vAlign w:val="center"/>
                </w:tcPr>
                <w:p w14:paraId="3AC6731B">
                  <w:pPr>
                    <w:pStyle w:val="175"/>
                    <w:widowControl/>
                    <w:spacing w:line="240" w:lineRule="auto"/>
                    <w:ind w:firstLine="0" w:firstLineChars="0"/>
                    <w:jc w:val="center"/>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生态</w:t>
                  </w:r>
                </w:p>
              </w:tc>
              <w:tc>
                <w:tcPr>
                  <w:tcW w:w="1017" w:type="pct"/>
                  <w:vAlign w:val="center"/>
                </w:tcPr>
                <w:p w14:paraId="7673DE05">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一般管控区</w:t>
                  </w:r>
                </w:p>
              </w:tc>
            </w:tr>
            <w:tr w14:paraId="1422C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56BA01BB">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2</w:t>
                  </w:r>
                </w:p>
              </w:tc>
              <w:tc>
                <w:tcPr>
                  <w:tcW w:w="1409" w:type="pct"/>
                  <w:vAlign w:val="center"/>
                </w:tcPr>
                <w:p w14:paraId="217C6072">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明月江-宣汉县-李家渡-控制单元</w:t>
                  </w:r>
                </w:p>
              </w:tc>
              <w:tc>
                <w:tcPr>
                  <w:tcW w:w="974" w:type="pct"/>
                  <w:vAlign w:val="center"/>
                </w:tcPr>
                <w:p w14:paraId="3402F0B3">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YS5117223210003</w:t>
                  </w:r>
                </w:p>
              </w:tc>
              <w:tc>
                <w:tcPr>
                  <w:tcW w:w="533" w:type="pct"/>
                  <w:vAlign w:val="center"/>
                </w:tcPr>
                <w:p w14:paraId="1B80C513">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达州市</w:t>
                  </w:r>
                </w:p>
              </w:tc>
              <w:tc>
                <w:tcPr>
                  <w:tcW w:w="678" w:type="pct"/>
                  <w:vAlign w:val="center"/>
                </w:tcPr>
                <w:p w14:paraId="721F88D5">
                  <w:pPr>
                    <w:pStyle w:val="175"/>
                    <w:widowControl/>
                    <w:spacing w:line="240" w:lineRule="auto"/>
                    <w:ind w:firstLine="0" w:firstLineChars="0"/>
                    <w:jc w:val="center"/>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水</w:t>
                  </w:r>
                </w:p>
              </w:tc>
              <w:tc>
                <w:tcPr>
                  <w:tcW w:w="1017" w:type="pct"/>
                  <w:vAlign w:val="center"/>
                </w:tcPr>
                <w:p w14:paraId="6A4B83E8">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水环境一般管控区</w:t>
                  </w:r>
                </w:p>
              </w:tc>
            </w:tr>
            <w:tr w14:paraId="294BBD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36D94B00">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3</w:t>
                  </w:r>
                </w:p>
              </w:tc>
              <w:tc>
                <w:tcPr>
                  <w:tcW w:w="1409" w:type="pct"/>
                  <w:vAlign w:val="center"/>
                </w:tcPr>
                <w:p w14:paraId="6A945AF9">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宣汉县大气环境布局敏感重点管控区</w:t>
                  </w:r>
                </w:p>
              </w:tc>
              <w:tc>
                <w:tcPr>
                  <w:tcW w:w="974" w:type="pct"/>
                  <w:vAlign w:val="center"/>
                </w:tcPr>
                <w:p w14:paraId="625015CD">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YS5117222320001</w:t>
                  </w:r>
                </w:p>
              </w:tc>
              <w:tc>
                <w:tcPr>
                  <w:tcW w:w="533" w:type="pct"/>
                  <w:vAlign w:val="center"/>
                </w:tcPr>
                <w:p w14:paraId="173B6F4A">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达州市</w:t>
                  </w:r>
                </w:p>
              </w:tc>
              <w:tc>
                <w:tcPr>
                  <w:tcW w:w="678" w:type="pct"/>
                  <w:vAlign w:val="center"/>
                </w:tcPr>
                <w:p w14:paraId="688C562E">
                  <w:pPr>
                    <w:pStyle w:val="175"/>
                    <w:widowControl/>
                    <w:spacing w:line="240" w:lineRule="auto"/>
                    <w:ind w:firstLine="0" w:firstLineChars="0"/>
                    <w:jc w:val="center"/>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大气</w:t>
                  </w:r>
                </w:p>
              </w:tc>
              <w:tc>
                <w:tcPr>
                  <w:tcW w:w="1017" w:type="pct"/>
                  <w:vAlign w:val="center"/>
                </w:tcPr>
                <w:p w14:paraId="24149BAD">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大气环境布局敏感重点管控区</w:t>
                  </w:r>
                </w:p>
              </w:tc>
            </w:tr>
            <w:tr w14:paraId="500C6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5FDBE9BB">
                  <w:pPr>
                    <w:pStyle w:val="175"/>
                    <w:widowControl/>
                    <w:spacing w:line="240" w:lineRule="auto"/>
                    <w:ind w:firstLine="0" w:firstLineChars="0"/>
                    <w:jc w:val="center"/>
                    <w:rPr>
                      <w:rFonts w:hint="default"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4</w:t>
                  </w:r>
                </w:p>
              </w:tc>
              <w:tc>
                <w:tcPr>
                  <w:tcW w:w="1409" w:type="pct"/>
                  <w:vAlign w:val="center"/>
                </w:tcPr>
                <w:p w14:paraId="072F0773">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eastAsia="宋体" w:cs="Times New Roman"/>
                      <w:color w:val="000000" w:themeColor="text1"/>
                      <w:sz w:val="22"/>
                      <w:szCs w:val="22"/>
                      <w:lang w:val="en-US" w:eastAsia="zh-CN"/>
                      <w14:textFill>
                        <w14:solidFill>
                          <w14:schemeClr w14:val="tx1"/>
                        </w14:solidFill>
                      </w14:textFill>
                    </w:rPr>
                    <w:t>宣汉县自然资源一般管控区</w:t>
                  </w:r>
                </w:p>
              </w:tc>
              <w:tc>
                <w:tcPr>
                  <w:tcW w:w="974" w:type="pct"/>
                  <w:vAlign w:val="center"/>
                </w:tcPr>
                <w:p w14:paraId="75313D49">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YS5117223510001</w:t>
                  </w:r>
                </w:p>
              </w:tc>
              <w:tc>
                <w:tcPr>
                  <w:tcW w:w="533" w:type="pct"/>
                  <w:vAlign w:val="center"/>
                </w:tcPr>
                <w:p w14:paraId="424F4059">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达州市</w:t>
                  </w:r>
                </w:p>
              </w:tc>
              <w:tc>
                <w:tcPr>
                  <w:tcW w:w="678" w:type="pct"/>
                  <w:vAlign w:val="center"/>
                </w:tcPr>
                <w:p w14:paraId="17F53603">
                  <w:pPr>
                    <w:pStyle w:val="175"/>
                    <w:widowControl/>
                    <w:spacing w:line="240" w:lineRule="auto"/>
                    <w:ind w:firstLine="0" w:firstLineChars="0"/>
                    <w:jc w:val="center"/>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自然资源</w:t>
                  </w:r>
                </w:p>
              </w:tc>
              <w:tc>
                <w:tcPr>
                  <w:tcW w:w="1017" w:type="pct"/>
                  <w:vAlign w:val="center"/>
                </w:tcPr>
                <w:p w14:paraId="504C808B">
                  <w:pPr>
                    <w:pStyle w:val="175"/>
                    <w:widowControl/>
                    <w:spacing w:line="240" w:lineRule="auto"/>
                    <w:ind w:firstLine="0" w:firstLineChars="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自然资源一般管控区</w:t>
                  </w:r>
                </w:p>
              </w:tc>
            </w:tr>
          </w:tbl>
          <w:p w14:paraId="17D88085">
            <w:pPr>
              <w:pStyle w:val="6"/>
              <w:bidi w:val="0"/>
              <w:rPr>
                <w:rFonts w:hint="eastAsia" w:eastAsia="宋体"/>
                <w:color w:val="000000" w:themeColor="text1"/>
                <w:spacing w:val="-4"/>
                <w:lang w:eastAsia="zh-CN"/>
                <w14:textFill>
                  <w14:solidFill>
                    <w14:schemeClr w14:val="tx1"/>
                  </w14:solidFill>
                </w14:textFill>
              </w:rPr>
            </w:pPr>
            <w:r>
              <w:rPr>
                <w:rFonts w:hint="eastAsia"/>
              </w:rPr>
              <w:t>项目与</w:t>
            </w:r>
            <w:r>
              <w:rPr>
                <w:rFonts w:hint="eastAsia"/>
                <w:lang w:val="en-US" w:eastAsia="zh-CN"/>
              </w:rPr>
              <w:t>所在区域的生态环境</w:t>
            </w:r>
            <w:r>
              <w:rPr>
                <w:rFonts w:hint="eastAsia"/>
              </w:rPr>
              <w:t>管控单元相对位置关系见</w:t>
            </w:r>
            <w:r>
              <w:rPr>
                <w:rFonts w:hint="eastAsia"/>
                <w:lang w:val="en-US" w:eastAsia="zh-CN"/>
              </w:rPr>
              <w:t>下</w:t>
            </w:r>
            <w:r>
              <w:rPr>
                <w:rFonts w:hint="eastAsia"/>
              </w:rPr>
              <w:t>图</w:t>
            </w:r>
            <w:r>
              <w:rPr>
                <w:rFonts w:hint="eastAsia"/>
                <w:lang w:eastAsia="zh-CN"/>
              </w:rPr>
              <w:t>。</w:t>
            </w:r>
          </w:p>
          <w:p w14:paraId="03B3CF7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pacing w:val="-4"/>
                <w14:textFill>
                  <w14:solidFill>
                    <w14:schemeClr w14:val="tx1"/>
                  </w14:solidFill>
                </w14:textFill>
              </w:rPr>
            </w:pPr>
            <w:r>
              <w:rPr>
                <w:rFonts w:hint="default" w:ascii="Helvetica" w:hAnsi="Helvetica" w:eastAsia="Helvetica"/>
                <w:sz w:val="28"/>
                <w:szCs w:val="24"/>
              </w:rPr>
              <w:drawing>
                <wp:inline distT="0" distB="0" distL="114300" distR="114300">
                  <wp:extent cx="5526405" cy="2372995"/>
                  <wp:effectExtent l="0" t="0" r="17145" b="8255"/>
                  <wp:docPr id="3" name="图片 3" descr="天生河段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生河段地图"/>
                          <pic:cNvPicPr>
                            <a:picLocks noChangeAspect="1"/>
                          </pic:cNvPicPr>
                        </pic:nvPicPr>
                        <pic:blipFill>
                          <a:blip r:embed="rId10"/>
                          <a:stretch>
                            <a:fillRect/>
                          </a:stretch>
                        </pic:blipFill>
                        <pic:spPr>
                          <a:xfrm>
                            <a:off x="0" y="0"/>
                            <a:ext cx="5526405" cy="2372995"/>
                          </a:xfrm>
                          <a:prstGeom prst="rect">
                            <a:avLst/>
                          </a:prstGeom>
                        </pic:spPr>
                      </pic:pic>
                    </a:graphicData>
                  </a:graphic>
                </wp:inline>
              </w:drawing>
            </w:r>
          </w:p>
          <w:p w14:paraId="049F0C37">
            <w:pPr>
              <w:pStyle w:val="8"/>
              <w:bidi w:val="0"/>
              <w:rPr>
                <w:rFonts w:hint="eastAsia"/>
                <w:lang w:val="en-US" w:eastAsia="zh-CN"/>
              </w:rPr>
            </w:pPr>
            <w:r>
              <w:rPr>
                <w:rFonts w:hint="eastAsia"/>
                <w:lang w:val="en-US" w:eastAsia="zh-CN"/>
              </w:rPr>
              <w:t xml:space="preserve"> 项目天生河段与管控单元相对位置关系图</w:t>
            </w:r>
          </w:p>
          <w:p w14:paraId="53235C3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pacing w:val="-4"/>
                <w14:textFill>
                  <w14:solidFill>
                    <w14:schemeClr w14:val="tx1"/>
                  </w14:solidFill>
                </w14:textFill>
              </w:rPr>
            </w:pPr>
            <w:r>
              <w:rPr>
                <w:sz w:val="24"/>
              </w:rPr>
              <w:drawing>
                <wp:inline distT="0" distB="0" distL="114300" distR="114300">
                  <wp:extent cx="5526405" cy="2372995"/>
                  <wp:effectExtent l="0" t="0" r="17145" b="8255"/>
                  <wp:docPr id="5" name="图片 5" descr="黎家沟段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黎家沟段地图"/>
                          <pic:cNvPicPr>
                            <a:picLocks noChangeAspect="1"/>
                          </pic:cNvPicPr>
                        </pic:nvPicPr>
                        <pic:blipFill>
                          <a:blip r:embed="rId11"/>
                          <a:stretch>
                            <a:fillRect/>
                          </a:stretch>
                        </pic:blipFill>
                        <pic:spPr>
                          <a:xfrm>
                            <a:off x="0" y="0"/>
                            <a:ext cx="5526405" cy="2372995"/>
                          </a:xfrm>
                          <a:prstGeom prst="rect">
                            <a:avLst/>
                          </a:prstGeom>
                        </pic:spPr>
                      </pic:pic>
                    </a:graphicData>
                  </a:graphic>
                </wp:inline>
              </w:drawing>
            </w:r>
          </w:p>
          <w:p w14:paraId="711BF9AC">
            <w:pPr>
              <w:pStyle w:val="8"/>
              <w:bidi w:val="0"/>
              <w:rPr>
                <w:rFonts w:hint="default" w:eastAsia="宋体"/>
                <w:color w:val="000000" w:themeColor="text1"/>
                <w:spacing w:val="-4"/>
                <w14:textFill>
                  <w14:solidFill>
                    <w14:schemeClr w14:val="tx1"/>
                  </w14:solidFill>
                </w14:textFill>
              </w:rPr>
            </w:pPr>
            <w:r>
              <w:rPr>
                <w:rFonts w:hint="eastAsia"/>
                <w:lang w:val="en-US" w:eastAsia="zh-CN"/>
              </w:rPr>
              <w:t xml:space="preserve"> 项目黎家沟段与管控单元相对位置关系图</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4"/>
            </w:tblGrid>
            <w:tr w14:paraId="587E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482EDBDF">
                  <w:pPr>
                    <w:pStyle w:val="6"/>
                    <w:bidi w:val="0"/>
                    <w:spacing w:line="240" w:lineRule="auto"/>
                    <w:ind w:firstLine="0" w:firstLineChars="0"/>
                    <w:jc w:val="center"/>
                    <w:rPr>
                      <w:rFonts w:hint="eastAsia" w:eastAsia="宋体"/>
                      <w:color w:val="000000" w:themeColor="text1"/>
                      <w:spacing w:val="-4"/>
                      <w:vertAlign w:val="baseline"/>
                      <w:lang w:eastAsia="zh-CN"/>
                      <w14:textFill>
                        <w14:solidFill>
                          <w14:schemeClr w14:val="tx1"/>
                        </w14:solidFill>
                      </w14:textFill>
                    </w:rPr>
                  </w:pPr>
                  <w:r>
                    <w:rPr>
                      <w:rFonts w:hint="eastAsia" w:eastAsia="宋体"/>
                      <w:color w:val="000000" w:themeColor="text1"/>
                      <w:spacing w:val="-4"/>
                      <w:vertAlign w:val="baseline"/>
                      <w:lang w:eastAsia="zh-CN"/>
                      <w14:textFill>
                        <w14:solidFill>
                          <w14:schemeClr w14:val="tx1"/>
                        </w14:solidFill>
                      </w14:textFill>
                    </w:rPr>
                    <w:drawing>
                      <wp:inline distT="0" distB="0" distL="114300" distR="114300">
                        <wp:extent cx="5384165" cy="2312035"/>
                        <wp:effectExtent l="0" t="0" r="6985" b="1206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2"/>
                                <a:stretch>
                                  <a:fillRect/>
                                </a:stretch>
                              </pic:blipFill>
                              <pic:spPr>
                                <a:xfrm>
                                  <a:off x="0" y="0"/>
                                  <a:ext cx="5384165" cy="2312035"/>
                                </a:xfrm>
                                <a:prstGeom prst="rect">
                                  <a:avLst/>
                                </a:prstGeom>
                              </pic:spPr>
                            </pic:pic>
                          </a:graphicData>
                        </a:graphic>
                      </wp:inline>
                    </w:drawing>
                  </w:r>
                </w:p>
              </w:tc>
            </w:tr>
            <w:tr w14:paraId="5AEF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5470361C">
                  <w:pPr>
                    <w:pStyle w:val="6"/>
                    <w:bidi w:val="0"/>
                    <w:spacing w:line="240" w:lineRule="auto"/>
                    <w:ind w:firstLine="0" w:firstLineChars="0"/>
                    <w:jc w:val="center"/>
                    <w:rPr>
                      <w:rFonts w:hint="default" w:eastAsia="宋体"/>
                      <w:color w:val="000000" w:themeColor="text1"/>
                      <w:spacing w:val="-4"/>
                      <w:vertAlign w:val="baseline"/>
                      <w:lang w:val="en-US" w:eastAsia="zh-CN"/>
                      <w14:textFill>
                        <w14:solidFill>
                          <w14:schemeClr w14:val="tx1"/>
                        </w14:solidFill>
                      </w14:textFill>
                    </w:rPr>
                  </w:pPr>
                  <w:r>
                    <w:rPr>
                      <w:rFonts w:hint="eastAsia"/>
                      <w:color w:val="000000" w:themeColor="text1"/>
                      <w:spacing w:val="-4"/>
                      <w:vertAlign w:val="baseline"/>
                      <w:lang w:val="en-US" w:eastAsia="zh-CN"/>
                      <w14:textFill>
                        <w14:solidFill>
                          <w14:schemeClr w14:val="tx1"/>
                        </w14:solidFill>
                      </w14:textFill>
                    </w:rPr>
                    <w:t>1#河道疏浚点</w:t>
                  </w:r>
                </w:p>
              </w:tc>
            </w:tr>
            <w:tr w14:paraId="677A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38907E00">
                  <w:pPr>
                    <w:pStyle w:val="6"/>
                    <w:bidi w:val="0"/>
                    <w:spacing w:line="240" w:lineRule="auto"/>
                    <w:ind w:firstLine="0" w:firstLineChars="0"/>
                    <w:jc w:val="center"/>
                    <w:rPr>
                      <w:rFonts w:hint="eastAsia" w:eastAsia="宋体"/>
                      <w:color w:val="000000" w:themeColor="text1"/>
                      <w:spacing w:val="-4"/>
                      <w:vertAlign w:val="baseline"/>
                      <w:lang w:eastAsia="zh-CN"/>
                      <w14:textFill>
                        <w14:solidFill>
                          <w14:schemeClr w14:val="tx1"/>
                        </w14:solidFill>
                      </w14:textFill>
                    </w:rPr>
                  </w:pPr>
                  <w:r>
                    <w:rPr>
                      <w:rFonts w:hint="eastAsia" w:eastAsia="宋体"/>
                      <w:color w:val="000000" w:themeColor="text1"/>
                      <w:spacing w:val="-4"/>
                      <w:vertAlign w:val="baseline"/>
                      <w:lang w:eastAsia="zh-CN"/>
                      <w14:textFill>
                        <w14:solidFill>
                          <w14:schemeClr w14:val="tx1"/>
                        </w14:solidFill>
                      </w14:textFill>
                    </w:rPr>
                    <w:drawing>
                      <wp:inline distT="0" distB="0" distL="114300" distR="114300">
                        <wp:extent cx="5384165" cy="2312035"/>
                        <wp:effectExtent l="0" t="0" r="6985" b="1206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3"/>
                                <a:stretch>
                                  <a:fillRect/>
                                </a:stretch>
                              </pic:blipFill>
                              <pic:spPr>
                                <a:xfrm>
                                  <a:off x="0" y="0"/>
                                  <a:ext cx="5384165" cy="2312035"/>
                                </a:xfrm>
                                <a:prstGeom prst="rect">
                                  <a:avLst/>
                                </a:prstGeom>
                              </pic:spPr>
                            </pic:pic>
                          </a:graphicData>
                        </a:graphic>
                      </wp:inline>
                    </w:drawing>
                  </w:r>
                </w:p>
              </w:tc>
            </w:tr>
            <w:tr w14:paraId="6FAF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7AA64523">
                  <w:pPr>
                    <w:pStyle w:val="6"/>
                    <w:bidi w:val="0"/>
                    <w:spacing w:line="240" w:lineRule="auto"/>
                    <w:ind w:firstLine="0" w:firstLineChars="0"/>
                    <w:jc w:val="center"/>
                    <w:rPr>
                      <w:rFonts w:hint="default" w:eastAsia="宋体"/>
                      <w:color w:val="000000" w:themeColor="text1"/>
                      <w:spacing w:val="-4"/>
                      <w:vertAlign w:val="baseline"/>
                      <w14:textFill>
                        <w14:solidFill>
                          <w14:schemeClr w14:val="tx1"/>
                        </w14:solidFill>
                      </w14:textFill>
                    </w:rPr>
                  </w:pPr>
                  <w:r>
                    <w:rPr>
                      <w:rFonts w:hint="eastAsia"/>
                      <w:color w:val="000000" w:themeColor="text1"/>
                      <w:spacing w:val="-4"/>
                      <w:vertAlign w:val="baseline"/>
                      <w:lang w:val="en-US" w:eastAsia="zh-CN"/>
                      <w14:textFill>
                        <w14:solidFill>
                          <w14:schemeClr w14:val="tx1"/>
                        </w14:solidFill>
                      </w14:textFill>
                    </w:rPr>
                    <w:t>2#河道疏浚点</w:t>
                  </w:r>
                </w:p>
              </w:tc>
            </w:tr>
            <w:tr w14:paraId="280B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3AEAE4F4">
                  <w:pPr>
                    <w:pStyle w:val="6"/>
                    <w:bidi w:val="0"/>
                    <w:spacing w:line="240" w:lineRule="auto"/>
                    <w:ind w:firstLine="0" w:firstLineChars="0"/>
                    <w:jc w:val="center"/>
                    <w:rPr>
                      <w:rFonts w:hint="eastAsia" w:eastAsia="宋体"/>
                      <w:color w:val="000000" w:themeColor="text1"/>
                      <w:spacing w:val="-4"/>
                      <w:vertAlign w:val="baseline"/>
                      <w:lang w:eastAsia="zh-CN"/>
                      <w14:textFill>
                        <w14:solidFill>
                          <w14:schemeClr w14:val="tx1"/>
                        </w14:solidFill>
                      </w14:textFill>
                    </w:rPr>
                  </w:pPr>
                  <w:r>
                    <w:rPr>
                      <w:rFonts w:hint="eastAsia" w:eastAsia="宋体"/>
                      <w:color w:val="000000" w:themeColor="text1"/>
                      <w:spacing w:val="-4"/>
                      <w:vertAlign w:val="baseline"/>
                      <w:lang w:eastAsia="zh-CN"/>
                      <w14:textFill>
                        <w14:solidFill>
                          <w14:schemeClr w14:val="tx1"/>
                        </w14:solidFill>
                      </w14:textFill>
                    </w:rPr>
                    <w:drawing>
                      <wp:inline distT="0" distB="0" distL="114300" distR="114300">
                        <wp:extent cx="5384165" cy="2312035"/>
                        <wp:effectExtent l="0" t="0" r="6985" b="12065"/>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14"/>
                                <a:stretch>
                                  <a:fillRect/>
                                </a:stretch>
                              </pic:blipFill>
                              <pic:spPr>
                                <a:xfrm>
                                  <a:off x="0" y="0"/>
                                  <a:ext cx="5384165" cy="2312035"/>
                                </a:xfrm>
                                <a:prstGeom prst="rect">
                                  <a:avLst/>
                                </a:prstGeom>
                              </pic:spPr>
                            </pic:pic>
                          </a:graphicData>
                        </a:graphic>
                      </wp:inline>
                    </w:drawing>
                  </w:r>
                </w:p>
              </w:tc>
            </w:tr>
            <w:tr w14:paraId="6D62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24024F21">
                  <w:pPr>
                    <w:pStyle w:val="6"/>
                    <w:bidi w:val="0"/>
                    <w:spacing w:line="240" w:lineRule="auto"/>
                    <w:ind w:firstLine="0" w:firstLineChars="0"/>
                    <w:jc w:val="center"/>
                    <w:rPr>
                      <w:rFonts w:hint="default" w:eastAsia="宋体"/>
                      <w:color w:val="000000" w:themeColor="text1"/>
                      <w:spacing w:val="-4"/>
                      <w:vertAlign w:val="baseline"/>
                      <w14:textFill>
                        <w14:solidFill>
                          <w14:schemeClr w14:val="tx1"/>
                        </w14:solidFill>
                      </w14:textFill>
                    </w:rPr>
                  </w:pPr>
                  <w:r>
                    <w:rPr>
                      <w:rFonts w:hint="eastAsia"/>
                      <w:color w:val="000000" w:themeColor="text1"/>
                      <w:spacing w:val="-4"/>
                      <w:vertAlign w:val="baseline"/>
                      <w:lang w:val="en-US" w:eastAsia="zh-CN"/>
                      <w14:textFill>
                        <w14:solidFill>
                          <w14:schemeClr w14:val="tx1"/>
                        </w14:solidFill>
                      </w14:textFill>
                    </w:rPr>
                    <w:t>3#河道疏浚点</w:t>
                  </w:r>
                </w:p>
              </w:tc>
            </w:tr>
            <w:tr w14:paraId="5F95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167C7850">
                  <w:pPr>
                    <w:pStyle w:val="6"/>
                    <w:bidi w:val="0"/>
                    <w:spacing w:line="240" w:lineRule="auto"/>
                    <w:ind w:firstLine="0" w:firstLineChars="0"/>
                    <w:jc w:val="center"/>
                    <w:rPr>
                      <w:rFonts w:hint="eastAsia" w:eastAsia="宋体"/>
                      <w:color w:val="000000" w:themeColor="text1"/>
                      <w:spacing w:val="-4"/>
                      <w:vertAlign w:val="baseline"/>
                      <w:lang w:eastAsia="zh-CN"/>
                      <w14:textFill>
                        <w14:solidFill>
                          <w14:schemeClr w14:val="tx1"/>
                        </w14:solidFill>
                      </w14:textFill>
                    </w:rPr>
                  </w:pPr>
                  <w:r>
                    <w:rPr>
                      <w:rFonts w:hint="eastAsia" w:eastAsia="宋体"/>
                      <w:color w:val="000000" w:themeColor="text1"/>
                      <w:spacing w:val="-4"/>
                      <w:vertAlign w:val="baseline"/>
                      <w:lang w:eastAsia="zh-CN"/>
                      <w14:textFill>
                        <w14:solidFill>
                          <w14:schemeClr w14:val="tx1"/>
                        </w14:solidFill>
                      </w14:textFill>
                    </w:rPr>
                    <w:drawing>
                      <wp:inline distT="0" distB="0" distL="114300" distR="114300">
                        <wp:extent cx="5384165" cy="2312035"/>
                        <wp:effectExtent l="0" t="0" r="6985" b="12065"/>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5"/>
                                <a:stretch>
                                  <a:fillRect/>
                                </a:stretch>
                              </pic:blipFill>
                              <pic:spPr>
                                <a:xfrm>
                                  <a:off x="0" y="0"/>
                                  <a:ext cx="5384165" cy="2312035"/>
                                </a:xfrm>
                                <a:prstGeom prst="rect">
                                  <a:avLst/>
                                </a:prstGeom>
                              </pic:spPr>
                            </pic:pic>
                          </a:graphicData>
                        </a:graphic>
                      </wp:inline>
                    </w:drawing>
                  </w:r>
                </w:p>
              </w:tc>
            </w:tr>
            <w:tr w14:paraId="5B75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3059950A">
                  <w:pPr>
                    <w:pStyle w:val="6"/>
                    <w:bidi w:val="0"/>
                    <w:spacing w:line="240" w:lineRule="auto"/>
                    <w:ind w:firstLine="0" w:firstLineChars="0"/>
                    <w:jc w:val="center"/>
                    <w:rPr>
                      <w:rFonts w:hint="default" w:eastAsia="宋体"/>
                      <w:color w:val="000000" w:themeColor="text1"/>
                      <w:spacing w:val="-4"/>
                      <w:vertAlign w:val="baseline"/>
                      <w14:textFill>
                        <w14:solidFill>
                          <w14:schemeClr w14:val="tx1"/>
                        </w14:solidFill>
                      </w14:textFill>
                    </w:rPr>
                  </w:pPr>
                  <w:r>
                    <w:rPr>
                      <w:rFonts w:hint="eastAsia"/>
                      <w:color w:val="000000" w:themeColor="text1"/>
                      <w:spacing w:val="-4"/>
                      <w:vertAlign w:val="baseline"/>
                      <w:lang w:val="en-US" w:eastAsia="zh-CN"/>
                      <w14:textFill>
                        <w14:solidFill>
                          <w14:schemeClr w14:val="tx1"/>
                        </w14:solidFill>
                      </w14:textFill>
                    </w:rPr>
                    <w:t>4#河道疏浚点</w:t>
                  </w:r>
                </w:p>
              </w:tc>
            </w:tr>
            <w:tr w14:paraId="4588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5D58414E">
                  <w:pPr>
                    <w:pStyle w:val="6"/>
                    <w:bidi w:val="0"/>
                    <w:spacing w:line="240" w:lineRule="auto"/>
                    <w:ind w:firstLine="0" w:firstLineChars="0"/>
                    <w:jc w:val="center"/>
                    <w:rPr>
                      <w:rFonts w:hint="eastAsia" w:eastAsia="宋体"/>
                      <w:color w:val="000000" w:themeColor="text1"/>
                      <w:spacing w:val="-4"/>
                      <w:vertAlign w:val="baseline"/>
                      <w:lang w:eastAsia="zh-CN"/>
                      <w14:textFill>
                        <w14:solidFill>
                          <w14:schemeClr w14:val="tx1"/>
                        </w14:solidFill>
                      </w14:textFill>
                    </w:rPr>
                  </w:pPr>
                  <w:r>
                    <w:rPr>
                      <w:rFonts w:hint="eastAsia" w:eastAsia="宋体"/>
                      <w:color w:val="000000" w:themeColor="text1"/>
                      <w:spacing w:val="-4"/>
                      <w:vertAlign w:val="baseline"/>
                      <w:lang w:eastAsia="zh-CN"/>
                      <w14:textFill>
                        <w14:solidFill>
                          <w14:schemeClr w14:val="tx1"/>
                        </w14:solidFill>
                      </w14:textFill>
                    </w:rPr>
                    <w:drawing>
                      <wp:inline distT="0" distB="0" distL="114300" distR="114300">
                        <wp:extent cx="5384165" cy="2312035"/>
                        <wp:effectExtent l="0" t="0" r="6985" b="12065"/>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16"/>
                                <a:stretch>
                                  <a:fillRect/>
                                </a:stretch>
                              </pic:blipFill>
                              <pic:spPr>
                                <a:xfrm>
                                  <a:off x="0" y="0"/>
                                  <a:ext cx="5384165" cy="2312035"/>
                                </a:xfrm>
                                <a:prstGeom prst="rect">
                                  <a:avLst/>
                                </a:prstGeom>
                              </pic:spPr>
                            </pic:pic>
                          </a:graphicData>
                        </a:graphic>
                      </wp:inline>
                    </w:drawing>
                  </w:r>
                </w:p>
              </w:tc>
            </w:tr>
            <w:tr w14:paraId="3EDB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075C3F42">
                  <w:pPr>
                    <w:pStyle w:val="6"/>
                    <w:bidi w:val="0"/>
                    <w:spacing w:line="240" w:lineRule="auto"/>
                    <w:ind w:firstLine="0" w:firstLineChars="0"/>
                    <w:jc w:val="center"/>
                    <w:rPr>
                      <w:rFonts w:hint="default" w:eastAsia="宋体"/>
                      <w:color w:val="000000" w:themeColor="text1"/>
                      <w:spacing w:val="-4"/>
                      <w:vertAlign w:val="baseline"/>
                      <w14:textFill>
                        <w14:solidFill>
                          <w14:schemeClr w14:val="tx1"/>
                        </w14:solidFill>
                      </w14:textFill>
                    </w:rPr>
                  </w:pPr>
                  <w:r>
                    <w:rPr>
                      <w:rFonts w:hint="eastAsia"/>
                      <w:color w:val="000000" w:themeColor="text1"/>
                      <w:spacing w:val="-4"/>
                      <w:vertAlign w:val="baseline"/>
                      <w:lang w:val="en-US" w:eastAsia="zh-CN"/>
                      <w14:textFill>
                        <w14:solidFill>
                          <w14:schemeClr w14:val="tx1"/>
                        </w14:solidFill>
                      </w14:textFill>
                    </w:rPr>
                    <w:t>5#河道疏浚点</w:t>
                  </w:r>
                </w:p>
              </w:tc>
            </w:tr>
            <w:tr w14:paraId="7797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1A7983C9">
                  <w:pPr>
                    <w:pStyle w:val="6"/>
                    <w:bidi w:val="0"/>
                    <w:spacing w:line="240" w:lineRule="auto"/>
                    <w:ind w:firstLine="0" w:firstLineChars="0"/>
                    <w:jc w:val="center"/>
                    <w:rPr>
                      <w:rFonts w:hint="eastAsia" w:eastAsia="宋体"/>
                      <w:color w:val="000000" w:themeColor="text1"/>
                      <w:spacing w:val="-4"/>
                      <w:vertAlign w:val="baseline"/>
                      <w:lang w:eastAsia="zh-CN"/>
                      <w14:textFill>
                        <w14:solidFill>
                          <w14:schemeClr w14:val="tx1"/>
                        </w14:solidFill>
                      </w14:textFill>
                    </w:rPr>
                  </w:pPr>
                  <w:r>
                    <w:rPr>
                      <w:rFonts w:hint="eastAsia" w:eastAsia="宋体"/>
                      <w:color w:val="000000" w:themeColor="text1"/>
                      <w:spacing w:val="-4"/>
                      <w:vertAlign w:val="baseline"/>
                      <w:lang w:eastAsia="zh-CN"/>
                      <w14:textFill>
                        <w14:solidFill>
                          <w14:schemeClr w14:val="tx1"/>
                        </w14:solidFill>
                      </w14:textFill>
                    </w:rPr>
                    <w:drawing>
                      <wp:inline distT="0" distB="0" distL="114300" distR="114300">
                        <wp:extent cx="5384165" cy="2312035"/>
                        <wp:effectExtent l="0" t="0" r="6985" b="12065"/>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17"/>
                                <a:stretch>
                                  <a:fillRect/>
                                </a:stretch>
                              </pic:blipFill>
                              <pic:spPr>
                                <a:xfrm>
                                  <a:off x="0" y="0"/>
                                  <a:ext cx="5384165" cy="2312035"/>
                                </a:xfrm>
                                <a:prstGeom prst="rect">
                                  <a:avLst/>
                                </a:prstGeom>
                              </pic:spPr>
                            </pic:pic>
                          </a:graphicData>
                        </a:graphic>
                      </wp:inline>
                    </w:drawing>
                  </w:r>
                </w:p>
              </w:tc>
            </w:tr>
            <w:tr w14:paraId="51CA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14" w:type="dxa"/>
                  <w:vAlign w:val="center"/>
                </w:tcPr>
                <w:p w14:paraId="51A2EDCA">
                  <w:pPr>
                    <w:pStyle w:val="6"/>
                    <w:bidi w:val="0"/>
                    <w:spacing w:line="240" w:lineRule="auto"/>
                    <w:ind w:firstLine="0" w:firstLineChars="0"/>
                    <w:jc w:val="center"/>
                    <w:rPr>
                      <w:rFonts w:hint="default" w:eastAsia="宋体"/>
                      <w:color w:val="000000" w:themeColor="text1"/>
                      <w:spacing w:val="-4"/>
                      <w:vertAlign w:val="baseline"/>
                      <w14:textFill>
                        <w14:solidFill>
                          <w14:schemeClr w14:val="tx1"/>
                        </w14:solidFill>
                      </w14:textFill>
                    </w:rPr>
                  </w:pPr>
                  <w:r>
                    <w:rPr>
                      <w:rFonts w:hint="eastAsia"/>
                      <w:color w:val="000000" w:themeColor="text1"/>
                      <w:spacing w:val="-4"/>
                      <w:vertAlign w:val="baseline"/>
                      <w:lang w:val="en-US" w:eastAsia="zh-CN"/>
                      <w14:textFill>
                        <w14:solidFill>
                          <w14:schemeClr w14:val="tx1"/>
                        </w14:solidFill>
                      </w14:textFill>
                    </w:rPr>
                    <w:t>6#河道疏浚点</w:t>
                  </w:r>
                </w:p>
              </w:tc>
            </w:tr>
          </w:tbl>
          <w:p w14:paraId="1B851C2B">
            <w:pPr>
              <w:pStyle w:val="8"/>
              <w:bidi w:val="0"/>
              <w:rPr>
                <w:rFonts w:hint="default" w:eastAsia="宋体"/>
                <w:color w:val="000000" w:themeColor="text1"/>
                <w:spacing w:val="-4"/>
                <w14:textFill>
                  <w14:solidFill>
                    <w14:schemeClr w14:val="tx1"/>
                  </w14:solidFill>
                </w14:textFill>
              </w:rPr>
            </w:pPr>
            <w:r>
              <w:rPr>
                <w:rFonts w:hint="eastAsia"/>
                <w:lang w:val="en-US" w:eastAsia="zh-CN"/>
              </w:rPr>
              <w:t xml:space="preserve"> 项目1#~6#河道疏浚点与管控单元相对位置关系图</w:t>
            </w:r>
          </w:p>
          <w:p w14:paraId="6C687378">
            <w:pPr>
              <w:pStyle w:val="6"/>
              <w:bidi w:val="0"/>
              <w:rPr>
                <w:rFonts w:hint="default" w:eastAsia="宋体"/>
                <w:color w:val="000000" w:themeColor="text1"/>
                <w:spacing w:val="-4"/>
                <w14:textFill>
                  <w14:solidFill>
                    <w14:schemeClr w14:val="tx1"/>
                  </w14:solidFill>
                </w14:textFill>
              </w:rPr>
            </w:pPr>
          </w:p>
          <w:p w14:paraId="30D7257A">
            <w:pPr>
              <w:pStyle w:val="6"/>
              <w:bidi w:val="0"/>
              <w:rPr>
                <w:rFonts w:hint="default" w:eastAsia="宋体"/>
                <w:color w:val="auto"/>
                <w:spacing w:val="-4"/>
                <w:lang w:val="en-US" w:eastAsia="zh-CN"/>
              </w:rPr>
            </w:pPr>
          </w:p>
        </w:tc>
      </w:tr>
    </w:tbl>
    <w:p w14:paraId="2B558BF8"/>
    <w:p w14:paraId="1B45877F">
      <w:pPr>
        <w:pStyle w:val="21"/>
      </w:pPr>
    </w:p>
    <w:p w14:paraId="0AA8BC7A">
      <w:pPr>
        <w:pStyle w:val="26"/>
        <w:widowControl w:val="0"/>
        <w:numPr>
          <w:ilvl w:val="0"/>
          <w:numId w:val="0"/>
        </w:numPr>
        <w:spacing w:line="400" w:lineRule="exact"/>
        <w:jc w:val="center"/>
      </w:pPr>
    </w:p>
    <w:p w14:paraId="3F55824D">
      <w:pPr>
        <w:pStyle w:val="26"/>
        <w:widowControl w:val="0"/>
        <w:numPr>
          <w:ilvl w:val="0"/>
          <w:numId w:val="0"/>
        </w:numPr>
        <w:spacing w:line="400" w:lineRule="exact"/>
        <w:jc w:val="center"/>
        <w:sectPr>
          <w:footerReference r:id="rId7" w:type="first"/>
          <w:pgSz w:w="11906" w:h="16838"/>
          <w:pgMar w:top="1247" w:right="1247" w:bottom="1247" w:left="1247" w:header="851" w:footer="992" w:gutter="0"/>
          <w:pgBorders>
            <w:top w:val="none" w:sz="0" w:space="0"/>
            <w:left w:val="none" w:sz="0" w:space="0"/>
            <w:bottom w:val="none" w:sz="0" w:space="0"/>
            <w:right w:val="none" w:sz="0" w:space="0"/>
          </w:pgBorders>
          <w:pgNumType w:start="1"/>
          <w:cols w:space="425" w:num="1"/>
          <w:titlePg/>
          <w:docGrid w:type="lines" w:linePitch="326" w:charSpace="0"/>
        </w:sectPr>
      </w:pP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0"/>
      </w:tblGrid>
      <w:tr w14:paraId="314F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E99EB69">
            <w:pPr>
              <w:pStyle w:val="100"/>
              <w:rPr>
                <w:highlight w:val="none"/>
              </w:rPr>
            </w:pPr>
            <w:r>
              <w:rPr>
                <w:rFonts w:hint="eastAsia"/>
                <w:highlight w:val="none"/>
              </w:rPr>
              <w:t>项目与“分区管控单元”相关要求的符合性分析</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846"/>
              <w:gridCol w:w="801"/>
              <w:gridCol w:w="8967"/>
              <w:gridCol w:w="1708"/>
              <w:gridCol w:w="706"/>
            </w:tblGrid>
            <w:tr w14:paraId="4070E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58" w:type="pct"/>
                  <w:gridSpan w:val="4"/>
                  <w:vAlign w:val="center"/>
                </w:tcPr>
                <w:p w14:paraId="599704B9">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“生态环境分区管控”要求</w:t>
                  </w:r>
                </w:p>
              </w:tc>
              <w:tc>
                <w:tcPr>
                  <w:tcW w:w="595" w:type="pct"/>
                  <w:vMerge w:val="restart"/>
                  <w:vAlign w:val="center"/>
                </w:tcPr>
                <w:p w14:paraId="119D12D0">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项目情况</w:t>
                  </w:r>
                </w:p>
              </w:tc>
              <w:tc>
                <w:tcPr>
                  <w:tcW w:w="246" w:type="pct"/>
                  <w:vMerge w:val="restart"/>
                  <w:vAlign w:val="center"/>
                </w:tcPr>
                <w:p w14:paraId="78A91F3A">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符合性</w:t>
                  </w:r>
                </w:p>
                <w:p w14:paraId="3775E221">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分析</w:t>
                  </w:r>
                </w:p>
              </w:tc>
            </w:tr>
            <w:tr w14:paraId="306107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gridSpan w:val="3"/>
                </w:tcPr>
                <w:p w14:paraId="7AF4DF69">
                  <w:pPr>
                    <w:pStyle w:val="107"/>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类别</w:t>
                  </w:r>
                </w:p>
              </w:tc>
              <w:tc>
                <w:tcPr>
                  <w:tcW w:w="3125" w:type="pct"/>
                </w:tcPr>
                <w:p w14:paraId="106B9ACC">
                  <w:pPr>
                    <w:pStyle w:val="107"/>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管控要求</w:t>
                  </w:r>
                </w:p>
              </w:tc>
              <w:tc>
                <w:tcPr>
                  <w:tcW w:w="595" w:type="pct"/>
                  <w:vMerge w:val="continue"/>
                </w:tcPr>
                <w:p w14:paraId="0B1E369E">
                  <w:pPr>
                    <w:pStyle w:val="107"/>
                    <w:rPr>
                      <w:rFonts w:hint="default" w:ascii="Times New Roman" w:hAnsi="Times New Roman" w:cs="Times New Roman"/>
                      <w:color w:val="auto"/>
                      <w:sz w:val="22"/>
                      <w:szCs w:val="22"/>
                    </w:rPr>
                  </w:pPr>
                </w:p>
              </w:tc>
              <w:tc>
                <w:tcPr>
                  <w:tcW w:w="246" w:type="pct"/>
                  <w:vMerge w:val="continue"/>
                </w:tcPr>
                <w:p w14:paraId="2121FFDA">
                  <w:pPr>
                    <w:pStyle w:val="107"/>
                    <w:rPr>
                      <w:rFonts w:hint="default" w:ascii="Times New Roman" w:hAnsi="Times New Roman" w:cs="Times New Roman"/>
                      <w:color w:val="auto"/>
                      <w:sz w:val="22"/>
                      <w:szCs w:val="22"/>
                    </w:rPr>
                  </w:pPr>
                </w:p>
              </w:tc>
            </w:tr>
            <w:tr w14:paraId="59366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restart"/>
                  <w:vAlign w:val="center"/>
                </w:tcPr>
                <w:p w14:paraId="2EF84A52">
                  <w:pPr>
                    <w:pStyle w:val="107"/>
                    <w:jc w:val="center"/>
                    <w:rPr>
                      <w:rFonts w:hint="default" w:ascii="Times New Roman" w:hAnsi="Times New Roman" w:cs="Times New Roman"/>
                      <w:color w:val="auto"/>
                      <w:sz w:val="22"/>
                      <w:szCs w:val="22"/>
                    </w:rPr>
                  </w:pPr>
                  <w:r>
                    <w:rPr>
                      <w:rStyle w:val="47"/>
                      <w:rFonts w:hint="eastAsia" w:ascii="宋体" w:hAnsi="宋体" w:eastAsia="宋体" w:cs="Times New Roman"/>
                      <w:kern w:val="2"/>
                      <w:sz w:val="22"/>
                      <w:szCs w:val="22"/>
                      <w:lang w:val="en-US" w:eastAsia="zh-CN" w:bidi="ar-SA"/>
                    </w:rPr>
                    <w:t>宣汉县一般管控单元</w:t>
                  </w:r>
                  <w:r>
                    <w:rPr>
                      <w:rFonts w:hint="default" w:ascii="Times New Roman" w:hAnsi="Times New Roman" w:cs="Times New Roman"/>
                      <w:color w:val="auto"/>
                      <w:sz w:val="22"/>
                      <w:szCs w:val="22"/>
                    </w:rPr>
                    <w:t>-ZH51172230001</w:t>
                  </w:r>
                </w:p>
              </w:tc>
              <w:tc>
                <w:tcPr>
                  <w:tcW w:w="294" w:type="pct"/>
                  <w:vMerge w:val="restart"/>
                  <w:vAlign w:val="center"/>
                </w:tcPr>
                <w:p w14:paraId="0647E81C">
                  <w:pPr>
                    <w:pStyle w:val="107"/>
                    <w:jc w:val="center"/>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宣汉县</w:t>
                  </w:r>
                  <w:r>
                    <w:rPr>
                      <w:rFonts w:hint="default" w:ascii="Times New Roman" w:hAnsi="Times New Roman" w:cs="Times New Roman"/>
                      <w:color w:val="auto"/>
                      <w:sz w:val="22"/>
                      <w:szCs w:val="22"/>
                    </w:rPr>
                    <w:t>普适性清单</w:t>
                  </w:r>
                </w:p>
              </w:tc>
              <w:tc>
                <w:tcPr>
                  <w:tcW w:w="279" w:type="pct"/>
                  <w:vAlign w:val="center"/>
                </w:tcPr>
                <w:p w14:paraId="0FA0361E">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空间布局约束</w:t>
                  </w:r>
                </w:p>
              </w:tc>
              <w:tc>
                <w:tcPr>
                  <w:tcW w:w="3125" w:type="pct"/>
                </w:tcPr>
                <w:p w14:paraId="420790D1">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禁止开发建设活动的要求</w:t>
                  </w:r>
                </w:p>
                <w:p w14:paraId="50731737">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-禁止在长江干支流1公里范围内新建、扩建化工园区和化工项目。</w:t>
                  </w:r>
                </w:p>
                <w:p w14:paraId="3D8FEBFC">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-禁止在法律法规规定的禁采区内新建矿山；禁止土法采、选、冶严重污染环境的矿产资源。</w:t>
                  </w:r>
                </w:p>
                <w:p w14:paraId="4754AF66">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-涉及永久基本农田的区域，除法律规定的重点建设项目选址确实无法避让外，其他任何建设不得占用。</w:t>
                  </w:r>
                </w:p>
                <w:p w14:paraId="56E08650">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-禁止在长江流域河湖管理范围内倾倒、填埋、堆放、弃置、处理固体废物。</w:t>
                  </w:r>
                </w:p>
                <w:p w14:paraId="698B695F">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-禁止在永久基本农田集中区域和其他需要特别保护的区域选址建设尾矿库、冶炼渣库、磷石膏库。</w:t>
                  </w:r>
                </w:p>
                <w:p w14:paraId="3B4AD39D">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-禁止在长江干流岸线三公里范围内和重要支流岸线一公里范围内新建、改建、扩建尾矿库、冶炼渣库、磷石膏库，以提升安全、生态环境保护水平为目的的改建除外。</w:t>
                  </w:r>
                </w:p>
                <w:p w14:paraId="3D9DDCF6">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限制开发建设活动的要求</w:t>
                  </w:r>
                </w:p>
                <w:p w14:paraId="0977C13C">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-按照相关要求严控水泥新增产能。</w:t>
                  </w:r>
                </w:p>
                <w:p w14:paraId="64C51FD5">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-涉及法定保护地，严格按照国家及地方法律法规、管理办法等相关要求进行控制。配套旅游、基础设施等建设项目，在符合规划和相关保护要求的前提下，应实施生态避让、减缓影响及生态恢复措施。</w:t>
                  </w:r>
                </w:p>
                <w:p w14:paraId="4889CC4B">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按照相关要求严控水泥新增产能。</w:t>
                  </w:r>
                </w:p>
                <w:p w14:paraId="368741AE">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17BA27BA">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14:paraId="2B151978">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14:paraId="4881C03C">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不符合空间布局要求活动的退出要求</w:t>
                  </w:r>
                </w:p>
                <w:p w14:paraId="1DAEEF09">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针对现有水泥企业，强化污染治理和污染物减排，依法依规整治或搬迁。</w:t>
                  </w:r>
                </w:p>
                <w:p w14:paraId="0A233CDE">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全面取缔禁养区内规模化畜禽养殖场。</w:t>
                  </w:r>
                </w:p>
                <w:p w14:paraId="2C082DDE">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2025年基本完成全域内“散乱污”企业整治工作。</w:t>
                  </w:r>
                </w:p>
                <w:p w14:paraId="2732FA9C">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在全市范围深入开展集中整治“散乱污”工业企业，对不符合产业政策和规划布局的，一律责令停产、限期搬迁或关停；</w:t>
                  </w:r>
                </w:p>
                <w:p w14:paraId="555C7E2D">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其他空间布局约束要求</w:t>
                  </w:r>
                </w:p>
                <w:p w14:paraId="16CBDB24">
                  <w:pPr>
                    <w:pStyle w:val="176"/>
                    <w:jc w:val="both"/>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新建矿山全部达到绿色矿山建设要求，生产矿山加快改造升级，逐步达到要求。</w:t>
                  </w:r>
                </w:p>
              </w:tc>
              <w:tc>
                <w:tcPr>
                  <w:tcW w:w="595" w:type="pct"/>
                  <w:vAlign w:val="center"/>
                </w:tcPr>
                <w:p w14:paraId="563AAFDB">
                  <w:pPr>
                    <w:pStyle w:val="176"/>
                    <w:jc w:val="both"/>
                    <w:rPr>
                      <w:rFonts w:hint="eastAsia" w:ascii="Times New Roman" w:hAnsi="Times New Roman" w:eastAsia="宋体" w:cs="Times New Roman"/>
                      <w:color w:val="auto"/>
                      <w:sz w:val="22"/>
                      <w:szCs w:val="22"/>
                      <w:lang w:eastAsia="zh-CN"/>
                    </w:rPr>
                  </w:pPr>
                  <w:r>
                    <w:rPr>
                      <w:rFonts w:hint="default" w:ascii="Times New Roman" w:hAnsi="Times New Roman" w:cs="Times New Roman"/>
                      <w:color w:val="auto"/>
                      <w:sz w:val="22"/>
                      <w:szCs w:val="22"/>
                    </w:rPr>
                    <w:t>本项目属于</w:t>
                  </w:r>
                  <w:r>
                    <w:rPr>
                      <w:rFonts w:hint="eastAsia" w:cs="Times New Roman"/>
                      <w:color w:val="auto"/>
                      <w:sz w:val="22"/>
                      <w:szCs w:val="22"/>
                      <w:lang w:val="en-US" w:eastAsia="zh-CN"/>
                    </w:rPr>
                    <w:t>防洪治理工程</w:t>
                  </w:r>
                  <w:r>
                    <w:rPr>
                      <w:rFonts w:hint="default" w:ascii="Times New Roman" w:hAnsi="Times New Roman" w:cs="Times New Roman"/>
                      <w:color w:val="auto"/>
                      <w:sz w:val="22"/>
                      <w:szCs w:val="22"/>
                    </w:rPr>
                    <w:t>，不属于生产性项目，也不属于大气污染类项目</w:t>
                  </w:r>
                  <w:r>
                    <w:rPr>
                      <w:rFonts w:hint="eastAsia" w:cs="Times New Roman"/>
                      <w:color w:val="auto"/>
                      <w:sz w:val="22"/>
                      <w:szCs w:val="22"/>
                      <w:lang w:eastAsia="zh-CN"/>
                    </w:rPr>
                    <w:t>。</w:t>
                  </w:r>
                </w:p>
              </w:tc>
              <w:tc>
                <w:tcPr>
                  <w:tcW w:w="246" w:type="pct"/>
                  <w:vAlign w:val="center"/>
                </w:tcPr>
                <w:p w14:paraId="247936C2">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r w14:paraId="5DF29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58" w:type="pct"/>
                  <w:vMerge w:val="continue"/>
                  <w:vAlign w:val="center"/>
                </w:tcPr>
                <w:p w14:paraId="218C2D49">
                  <w:pPr>
                    <w:pStyle w:val="107"/>
                    <w:jc w:val="center"/>
                    <w:rPr>
                      <w:rFonts w:hint="default" w:ascii="Times New Roman" w:hAnsi="Times New Roman" w:cs="Times New Roman"/>
                      <w:color w:val="auto"/>
                      <w:sz w:val="22"/>
                      <w:szCs w:val="22"/>
                    </w:rPr>
                  </w:pPr>
                </w:p>
              </w:tc>
              <w:tc>
                <w:tcPr>
                  <w:tcW w:w="294" w:type="pct"/>
                  <w:vMerge w:val="continue"/>
                  <w:vAlign w:val="center"/>
                </w:tcPr>
                <w:p w14:paraId="19B20B62">
                  <w:pPr>
                    <w:pStyle w:val="107"/>
                    <w:jc w:val="center"/>
                    <w:rPr>
                      <w:rFonts w:hint="default" w:ascii="Times New Roman" w:hAnsi="Times New Roman" w:cs="Times New Roman"/>
                      <w:color w:val="auto"/>
                      <w:sz w:val="22"/>
                      <w:szCs w:val="22"/>
                    </w:rPr>
                  </w:pPr>
                </w:p>
              </w:tc>
              <w:tc>
                <w:tcPr>
                  <w:tcW w:w="279" w:type="pct"/>
                  <w:vAlign w:val="center"/>
                </w:tcPr>
                <w:p w14:paraId="5E6B7B7A">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rPr>
                    <w:t>污染物排放管控</w:t>
                  </w:r>
                </w:p>
              </w:tc>
              <w:tc>
                <w:tcPr>
                  <w:tcW w:w="3125" w:type="pct"/>
                </w:tcPr>
                <w:p w14:paraId="6AB8132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允许排放量要求</w:t>
                  </w:r>
                  <w:r>
                    <w:rPr>
                      <w:rFonts w:hint="eastAsia" w:cs="Times New Roman"/>
                      <w:color w:val="auto"/>
                      <w:sz w:val="22"/>
                      <w:szCs w:val="22"/>
                      <w:lang w:eastAsia="zh-CN"/>
                    </w:rPr>
                    <w:t>：</w:t>
                  </w:r>
                  <w:r>
                    <w:rPr>
                      <w:rFonts w:hint="default" w:ascii="Times New Roman" w:hAnsi="Times New Roman" w:cs="Times New Roman"/>
                      <w:color w:val="auto"/>
                      <w:sz w:val="22"/>
                      <w:szCs w:val="22"/>
                    </w:rPr>
                    <w:t>/</w:t>
                  </w:r>
                </w:p>
                <w:p w14:paraId="6C30BD6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现有源提标升级改造</w:t>
                  </w:r>
                </w:p>
                <w:p w14:paraId="162E7995">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加快现有乡镇污水处理设施升级改造，按要求达《城镇污水处理厂污染物排放标准》一级A标后排放。</w:t>
                  </w:r>
                </w:p>
                <w:p w14:paraId="37702F49">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在矿产资源开发活动集中区域，废水执行重金属污染物排放特别限值。</w:t>
                  </w:r>
                </w:p>
                <w:p w14:paraId="09BE46D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火电、水泥等行业按相关要求推进大气污染物超低排放和深度治理。</w:t>
                  </w:r>
                </w:p>
                <w:p w14:paraId="27BF9CB9">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砖瓦行业实施脱硫、除尘升级改造，污染物排放达到《砖瓦工业大气污染物排放标准》相关要求。</w:t>
                  </w:r>
                </w:p>
                <w:p w14:paraId="5A11324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其他污染物排放管控要求</w:t>
                  </w:r>
                </w:p>
                <w:p w14:paraId="26940B89">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新增源等量或倍量替代</w:t>
                  </w:r>
                  <w:r>
                    <w:rPr>
                      <w:rFonts w:hint="eastAsia" w:cs="Times New Roman"/>
                      <w:color w:val="auto"/>
                      <w:sz w:val="22"/>
                      <w:szCs w:val="22"/>
                      <w:lang w:eastAsia="zh-CN"/>
                    </w:rPr>
                    <w:t>：</w:t>
                  </w:r>
                  <w:r>
                    <w:rPr>
                      <w:rFonts w:hint="default" w:ascii="Times New Roman" w:hAnsi="Times New Roman" w:cs="Times New Roman"/>
                      <w:color w:val="auto"/>
                      <w:sz w:val="22"/>
                      <w:szCs w:val="22"/>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14:paraId="2D511D0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污染物排放绩效水平准入要求</w:t>
                  </w:r>
                  <w:r>
                    <w:rPr>
                      <w:rFonts w:hint="eastAsia" w:cs="Times New Roman"/>
                      <w:color w:val="auto"/>
                      <w:sz w:val="22"/>
                      <w:szCs w:val="22"/>
                      <w:lang w:eastAsia="zh-CN"/>
                    </w:rPr>
                    <w:t>：</w:t>
                  </w:r>
                  <w:r>
                    <w:rPr>
                      <w:rFonts w:hint="default" w:ascii="Times New Roman" w:hAnsi="Times New Roman" w:cs="Times New Roman"/>
                      <w:color w:val="auto"/>
                      <w:sz w:val="22"/>
                      <w:szCs w:val="22"/>
                    </w:rPr>
                    <w:t>屠宰项目必须配套污水处理设施或进入城市污水管网。</w:t>
                  </w:r>
                </w:p>
                <w:p w14:paraId="45502973">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14:paraId="60FD324B">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-到2023年底，力争全市生活垃圾焚烧处理能力占比达60%以上，各县（市）生活垃圾无害化处理率保持95%以上，乡镇及行政村生活垃圾收转运处置体系基本实现全覆盖。</w:t>
                  </w:r>
                </w:p>
                <w:p w14:paraId="05551EB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-到2025年，农药包装废弃物回收率达80%；粮油绿色高质高效示范区、茶叶主产区和现代农业园区农药包装废弃物回收率100%。</w:t>
                  </w:r>
                </w:p>
                <w:p w14:paraId="5544AEDF">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-到2025年，全国主要农作物化肥、农药利用率达43%，测土配方施肥技术推广覆盖率保持在90%以上，控制农村面源污染，采取灌排分离等措施控制农田氮磷流失。</w:t>
                  </w:r>
                </w:p>
                <w:p w14:paraId="7621DE37">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23933BE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-到2025年，废旧农膜回收利用率达到85%以上。</w:t>
                  </w:r>
                </w:p>
                <w:p w14:paraId="6F4488E9">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-非金属矿行业绿色矿山建设要求：固体废物妥善处置率应达到100%；选矿废水重复利用率一般达到85%以上。</w:t>
                  </w:r>
                </w:p>
              </w:tc>
              <w:tc>
                <w:tcPr>
                  <w:tcW w:w="595" w:type="pct"/>
                  <w:vAlign w:val="center"/>
                </w:tcPr>
                <w:p w14:paraId="57B78B83">
                  <w:pPr>
                    <w:pStyle w:val="176"/>
                    <w:jc w:val="both"/>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rPr>
                    <w:t>本项目属于</w:t>
                  </w:r>
                  <w:r>
                    <w:rPr>
                      <w:rFonts w:hint="eastAsia" w:cs="Times New Roman"/>
                      <w:color w:val="auto"/>
                      <w:sz w:val="22"/>
                      <w:szCs w:val="22"/>
                      <w:lang w:val="en-US" w:eastAsia="zh-CN"/>
                    </w:rPr>
                    <w:t>防洪治理工程</w:t>
                  </w:r>
                  <w:r>
                    <w:rPr>
                      <w:rFonts w:hint="default" w:ascii="Times New Roman" w:hAnsi="Times New Roman" w:cs="Times New Roman"/>
                      <w:color w:val="auto"/>
                      <w:sz w:val="22"/>
                      <w:szCs w:val="22"/>
                    </w:rPr>
                    <w:t>，</w:t>
                  </w:r>
                  <w:r>
                    <w:rPr>
                      <w:rFonts w:hint="eastAsia" w:cs="Times New Roman"/>
                      <w:color w:val="auto"/>
                      <w:sz w:val="22"/>
                      <w:szCs w:val="22"/>
                      <w:lang w:val="en-US" w:eastAsia="zh-CN"/>
                    </w:rPr>
                    <w:t>项目建成后不产生废水、废气、固废、噪声等污染物。</w:t>
                  </w:r>
                </w:p>
              </w:tc>
              <w:tc>
                <w:tcPr>
                  <w:tcW w:w="246" w:type="pct"/>
                  <w:vAlign w:val="center"/>
                </w:tcPr>
                <w:p w14:paraId="376FFABB">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r w14:paraId="5A556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vAlign w:val="center"/>
                </w:tcPr>
                <w:p w14:paraId="1F7308EE">
                  <w:pPr>
                    <w:pStyle w:val="107"/>
                    <w:jc w:val="center"/>
                    <w:rPr>
                      <w:rFonts w:hint="default" w:ascii="Times New Roman" w:hAnsi="Times New Roman" w:cs="Times New Roman"/>
                      <w:color w:val="auto"/>
                      <w:sz w:val="22"/>
                      <w:szCs w:val="22"/>
                    </w:rPr>
                  </w:pPr>
                </w:p>
              </w:tc>
              <w:tc>
                <w:tcPr>
                  <w:tcW w:w="294" w:type="pct"/>
                  <w:vMerge w:val="continue"/>
                  <w:vAlign w:val="center"/>
                </w:tcPr>
                <w:p w14:paraId="1B2A4C62">
                  <w:pPr>
                    <w:pStyle w:val="107"/>
                    <w:jc w:val="center"/>
                    <w:rPr>
                      <w:rFonts w:hint="default" w:ascii="Times New Roman" w:hAnsi="Times New Roman" w:cs="Times New Roman"/>
                      <w:color w:val="auto"/>
                      <w:sz w:val="22"/>
                      <w:szCs w:val="22"/>
                    </w:rPr>
                  </w:pPr>
                </w:p>
              </w:tc>
              <w:tc>
                <w:tcPr>
                  <w:tcW w:w="279" w:type="pct"/>
                  <w:vAlign w:val="center"/>
                </w:tcPr>
                <w:p w14:paraId="40C10EBD">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环境风险防控</w:t>
                  </w:r>
                </w:p>
              </w:tc>
              <w:tc>
                <w:tcPr>
                  <w:tcW w:w="3125" w:type="pct"/>
                </w:tcPr>
                <w:p w14:paraId="55D5837E">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联防联控要求</w:t>
                  </w:r>
                </w:p>
                <w:p w14:paraId="643B406D">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强化区域联防联控，严格落实《关于建立跨省流域上下游突发水污染事件联防联控机制的指导意见》；定期召开区域大气环境</w:t>
                  </w:r>
                  <w:r>
                    <w:rPr>
                      <w:rFonts w:hint="eastAsia" w:cs="Times New Roman"/>
                      <w:color w:val="auto"/>
                      <w:sz w:val="22"/>
                      <w:szCs w:val="22"/>
                      <w:lang w:eastAsia="zh-CN"/>
                    </w:rPr>
                    <w:t>形势</w:t>
                  </w:r>
                  <w:r>
                    <w:rPr>
                      <w:rFonts w:hint="default" w:ascii="Times New Roman" w:hAnsi="Times New Roman" w:cs="Times New Roman"/>
                      <w:color w:val="auto"/>
                      <w:sz w:val="22"/>
                      <w:szCs w:val="22"/>
                    </w:rPr>
                    <w:t>分析会，强化信息共享和联动合作，实行环境规划，标准，环评，执法，信息公开“六统一”，协力推进大气污染源头防控，加强川东北区域大气污染防治合作。</w:t>
                  </w:r>
                </w:p>
                <w:p w14:paraId="683EDD7C">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其他环境风险防控要求</w:t>
                  </w:r>
                </w:p>
                <w:p w14:paraId="7CC66784">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企业环境风险防控要求</w:t>
                  </w:r>
                  <w:r>
                    <w:rPr>
                      <w:rFonts w:hint="eastAsia" w:cs="Times New Roman"/>
                      <w:color w:val="auto"/>
                      <w:sz w:val="22"/>
                      <w:szCs w:val="22"/>
                      <w:lang w:eastAsia="zh-CN"/>
                    </w:rPr>
                    <w:t>：</w:t>
                  </w:r>
                  <w:r>
                    <w:rPr>
                      <w:rFonts w:hint="default" w:ascii="Times New Roman" w:hAnsi="Times New Roman" w:cs="Times New Roman"/>
                      <w:color w:val="auto"/>
                      <w:sz w:val="22"/>
                      <w:szCs w:val="22"/>
                    </w:rPr>
                    <w:t>工业企业退出用地，须经评估、修复满足相应用地功能后，方可改变用途。</w:t>
                  </w:r>
                </w:p>
                <w:p w14:paraId="240836A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eastAsia" w:cs="Times New Roman"/>
                      <w:color w:val="auto"/>
                      <w:sz w:val="22"/>
                      <w:szCs w:val="22"/>
                      <w:lang w:eastAsia="zh-CN"/>
                    </w:rPr>
                    <w:t>：</w:t>
                  </w:r>
                  <w:r>
                    <w:rPr>
                      <w:rFonts w:hint="default" w:ascii="Times New Roman" w:hAnsi="Times New Roman" w:cs="Times New Roman"/>
                      <w:color w:val="auto"/>
                      <w:sz w:val="22"/>
                      <w:szCs w:val="22"/>
                    </w:rPr>
                    <w:t>严禁将城镇生活垃圾、污泥、工业废物直接用作肥料，禁止处理不达标的污泥进入耕地；禁止在农用地排放、倾倒、使用污泥、清淤底泥、尾矿（渣）等可能对土壤造成污染的固体废物。</w:t>
                  </w:r>
                </w:p>
                <w:p w14:paraId="2AF72BE5">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定期对单元内尾矿库进行风险巡查，建立监测系统和环境风险应急预案；完善各尾矿库渗滤液收集、处理、回用系统，杜绝事故排放；尾矿库闭矿后因地制宜进行植被恢复和综合利用。</w:t>
                  </w:r>
                </w:p>
                <w:p w14:paraId="63F0DC8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规范排土场、渣场等整治。禁止处理不达标的污泥进入耕地。</w:t>
                  </w:r>
                </w:p>
                <w:p w14:paraId="63349DF7">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严格控制林地、草地、园地的农药使用量，禁止使用高毒、高残留农药。</w:t>
                  </w:r>
                </w:p>
                <w:p w14:paraId="07E884E9">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到2030年，全市受污染耕地安全利用率达到95%以上，污染地块安全利用率达到95%以上。</w:t>
                  </w:r>
                </w:p>
              </w:tc>
              <w:tc>
                <w:tcPr>
                  <w:tcW w:w="595" w:type="pct"/>
                  <w:vAlign w:val="center"/>
                </w:tcPr>
                <w:p w14:paraId="65170AB9">
                  <w:pPr>
                    <w:pStyle w:val="176"/>
                    <w:jc w:val="both"/>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rPr>
                    <w:t>本项目属于</w:t>
                  </w:r>
                  <w:r>
                    <w:rPr>
                      <w:rFonts w:hint="eastAsia" w:cs="Times New Roman"/>
                      <w:color w:val="auto"/>
                      <w:sz w:val="22"/>
                      <w:szCs w:val="22"/>
                      <w:lang w:val="en-US" w:eastAsia="zh-CN"/>
                    </w:rPr>
                    <w:t>防洪治理工程</w:t>
                  </w:r>
                  <w:r>
                    <w:rPr>
                      <w:rFonts w:hint="default" w:ascii="Times New Roman" w:hAnsi="Times New Roman" w:cs="Times New Roman"/>
                      <w:color w:val="auto"/>
                      <w:sz w:val="22"/>
                      <w:szCs w:val="22"/>
                    </w:rPr>
                    <w:t>，</w:t>
                  </w:r>
                  <w:r>
                    <w:rPr>
                      <w:rFonts w:hint="eastAsia" w:cs="Times New Roman"/>
                      <w:color w:val="auto"/>
                      <w:sz w:val="22"/>
                      <w:szCs w:val="22"/>
                      <w:lang w:val="en-US" w:eastAsia="zh-CN"/>
                    </w:rPr>
                    <w:t>项目在采取相应的环境风险防范措施后，环境风险可控。</w:t>
                  </w:r>
                </w:p>
              </w:tc>
              <w:tc>
                <w:tcPr>
                  <w:tcW w:w="246" w:type="pct"/>
                  <w:vAlign w:val="center"/>
                </w:tcPr>
                <w:p w14:paraId="4003515F">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r w14:paraId="3835E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vAlign w:val="center"/>
                </w:tcPr>
                <w:p w14:paraId="61870410">
                  <w:pPr>
                    <w:pStyle w:val="107"/>
                    <w:jc w:val="center"/>
                    <w:rPr>
                      <w:rFonts w:hint="default" w:ascii="Times New Roman" w:hAnsi="Times New Roman" w:cs="Times New Roman"/>
                      <w:color w:val="auto"/>
                      <w:sz w:val="22"/>
                      <w:szCs w:val="22"/>
                    </w:rPr>
                  </w:pPr>
                </w:p>
              </w:tc>
              <w:tc>
                <w:tcPr>
                  <w:tcW w:w="294" w:type="pct"/>
                  <w:vMerge w:val="continue"/>
                  <w:vAlign w:val="center"/>
                </w:tcPr>
                <w:p w14:paraId="13B3B78D">
                  <w:pPr>
                    <w:pStyle w:val="107"/>
                    <w:jc w:val="center"/>
                    <w:rPr>
                      <w:rFonts w:hint="default" w:ascii="Times New Roman" w:hAnsi="Times New Roman" w:cs="Times New Roman"/>
                      <w:color w:val="auto"/>
                      <w:sz w:val="22"/>
                      <w:szCs w:val="22"/>
                    </w:rPr>
                  </w:pPr>
                </w:p>
              </w:tc>
              <w:tc>
                <w:tcPr>
                  <w:tcW w:w="279" w:type="pct"/>
                  <w:vAlign w:val="center"/>
                </w:tcPr>
                <w:p w14:paraId="7095589D">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资源开发利用效率要求</w:t>
                  </w:r>
                </w:p>
              </w:tc>
              <w:tc>
                <w:tcPr>
                  <w:tcW w:w="3125" w:type="pct"/>
                </w:tcPr>
                <w:p w14:paraId="46BB7F3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水资源利用总量要求</w:t>
                  </w:r>
                </w:p>
                <w:p w14:paraId="0E1C8193">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-到2025年，农田灌溉水有效利用系数达到0.57以上。</w:t>
                  </w:r>
                </w:p>
                <w:p w14:paraId="76FA7FC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地下水开采要求</w:t>
                  </w:r>
                </w:p>
                <w:p w14:paraId="419E2967">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以省市下发指标为准</w:t>
                  </w:r>
                </w:p>
                <w:p w14:paraId="75E16DA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能源利用总量及效率要求</w:t>
                  </w:r>
                </w:p>
                <w:p w14:paraId="416E1EE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推进清洁能源的推广使用，全面推进散煤清洁化整治；禁止新建每小时10蒸吨以下的燃煤锅炉及其他燃煤设施。</w:t>
                  </w:r>
                </w:p>
                <w:p w14:paraId="19F0B4CE">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禁止焚烧秸秆和垃圾，到2025年底，秸秆综合利用率达到86%以上。</w:t>
                  </w:r>
                </w:p>
                <w:p w14:paraId="2591573C">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禁燃区要求</w:t>
                  </w:r>
                </w:p>
                <w:p w14:paraId="1F41881E">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-高污染燃料禁燃区内禁止燃用的燃料为《高污染燃料目录》（2017）中</w:t>
                  </w:r>
                  <w:r>
                    <w:rPr>
                      <w:rFonts w:hint="eastAsia" w:cs="Times New Roman"/>
                      <w:color w:val="auto"/>
                      <w:sz w:val="22"/>
                      <w:szCs w:val="22"/>
                      <w:lang w:eastAsia="zh-CN"/>
                    </w:rPr>
                    <w:t>Ⅲ类</w:t>
                  </w:r>
                  <w:r>
                    <w:rPr>
                      <w:rFonts w:hint="default" w:ascii="Times New Roman" w:hAnsi="Times New Roman" w:cs="Times New Roman"/>
                      <w:color w:val="auto"/>
                      <w:sz w:val="22"/>
                      <w:szCs w:val="22"/>
                    </w:rPr>
                    <w:t>（严格）燃料组合，包括：（一）煤炭及其制品；（二）石油焦、油页岩、原油、重油、渣油、煤焦油；（三）非专用锅炉或未配置高效除尘设施的专用锅炉燃用的生物质成型燃料。</w:t>
                  </w:r>
                </w:p>
                <w:p w14:paraId="6B5E686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-禁燃区内禁止销售、燃用高污染燃料；禁止新建、改建、扩建燃用高污染燃料的设施和设备。</w:t>
                  </w:r>
                </w:p>
                <w:p w14:paraId="088EE4AB">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-禁燃区内已建成的高污染燃料燃用设施由辖区人民政府制定限期改造计划，改用天然气、页岩气、液化石油气、电或其他清洁能源。</w:t>
                  </w:r>
                </w:p>
                <w:p w14:paraId="3A4A9D0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其他资源利用效率要求</w:t>
                  </w:r>
                </w:p>
                <w:p w14:paraId="0B4FFE4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w:t>
                  </w:r>
                </w:p>
              </w:tc>
              <w:tc>
                <w:tcPr>
                  <w:tcW w:w="595" w:type="pct"/>
                  <w:vAlign w:val="center"/>
                </w:tcPr>
                <w:p w14:paraId="2F2F807B">
                  <w:pPr>
                    <w:pStyle w:val="176"/>
                    <w:jc w:val="both"/>
                    <w:rPr>
                      <w:rFonts w:hint="default" w:ascii="Times New Roman" w:hAnsi="Times New Roman" w:cs="Times New Roman"/>
                      <w:color w:val="auto"/>
                      <w:sz w:val="22"/>
                      <w:szCs w:val="22"/>
                    </w:rPr>
                  </w:pPr>
                  <w:r>
                    <w:rPr>
                      <w:rFonts w:hint="eastAsia" w:cs="Times New Roman"/>
                      <w:color w:val="auto"/>
                      <w:sz w:val="22"/>
                      <w:szCs w:val="22"/>
                      <w:lang w:val="en-US" w:eastAsia="zh-CN"/>
                    </w:rPr>
                    <w:t>本项目为防洪治理工程，施工期资源利用以电能和水资源为主，不属于高能耗项目。</w:t>
                  </w:r>
                </w:p>
              </w:tc>
              <w:tc>
                <w:tcPr>
                  <w:tcW w:w="246" w:type="pct"/>
                  <w:vAlign w:val="center"/>
                </w:tcPr>
                <w:p w14:paraId="4C60CA18">
                  <w:pPr>
                    <w:pStyle w:val="107"/>
                    <w:jc w:val="left"/>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符合</w:t>
                  </w:r>
                </w:p>
              </w:tc>
            </w:tr>
            <w:tr w14:paraId="71C9F2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vAlign w:val="center"/>
                </w:tcPr>
                <w:p w14:paraId="3A76C13F">
                  <w:pPr>
                    <w:pStyle w:val="107"/>
                    <w:jc w:val="center"/>
                    <w:rPr>
                      <w:rFonts w:hint="default" w:ascii="Times New Roman" w:hAnsi="Times New Roman" w:cs="Times New Roman"/>
                      <w:color w:val="auto"/>
                      <w:sz w:val="22"/>
                      <w:szCs w:val="22"/>
                    </w:rPr>
                  </w:pPr>
                </w:p>
              </w:tc>
              <w:tc>
                <w:tcPr>
                  <w:tcW w:w="294" w:type="pct"/>
                  <w:vMerge w:val="restart"/>
                  <w:vAlign w:val="center"/>
                </w:tcPr>
                <w:p w14:paraId="78E069BF">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单元管控要求</w:t>
                  </w:r>
                </w:p>
              </w:tc>
              <w:tc>
                <w:tcPr>
                  <w:tcW w:w="279" w:type="pct"/>
                  <w:vAlign w:val="center"/>
                </w:tcPr>
                <w:p w14:paraId="5445B8C0">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空间布局约束</w:t>
                  </w:r>
                </w:p>
              </w:tc>
              <w:tc>
                <w:tcPr>
                  <w:tcW w:w="3125" w:type="pct"/>
                </w:tcPr>
                <w:p w14:paraId="75B3FE8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禁止开发建设活动的要求</w:t>
                  </w:r>
                </w:p>
                <w:p w14:paraId="12259ABD">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476DA78B">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限制开发建设活动的要求</w:t>
                  </w:r>
                </w:p>
                <w:p w14:paraId="1F3381A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对四川省主体功能区划中的农产品主产区，应限制进行大规模高强度工业化城镇化开发，严格控制有色金属冶炼、石油加工、化工、焦化、电镀、制革等产能，原则上不增加产能</w:t>
                  </w:r>
                </w:p>
                <w:p w14:paraId="17FBAB50">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其他同达州市一般管控单元总体准入要求</w:t>
                  </w:r>
                </w:p>
                <w:p w14:paraId="630E085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允许开发建设活动的要求</w:t>
                  </w:r>
                  <w:r>
                    <w:rPr>
                      <w:rFonts w:hint="eastAsia" w:cs="Times New Roman"/>
                      <w:color w:val="auto"/>
                      <w:sz w:val="22"/>
                      <w:szCs w:val="22"/>
                      <w:lang w:eastAsia="zh-CN"/>
                    </w:rPr>
                    <w:t>：</w:t>
                  </w:r>
                  <w:r>
                    <w:rPr>
                      <w:rFonts w:hint="default" w:ascii="Times New Roman" w:hAnsi="Times New Roman" w:cs="Times New Roman"/>
                      <w:color w:val="auto"/>
                      <w:sz w:val="22"/>
                      <w:szCs w:val="22"/>
                    </w:rPr>
                    <w:t>/</w:t>
                  </w:r>
                </w:p>
                <w:p w14:paraId="125E4FC0">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不符合空间布局要求活动的退出要求</w:t>
                  </w:r>
                </w:p>
                <w:p w14:paraId="2D6C80DD">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7EC0A23B">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-其他同达州市一般管控单元总体准入要求</w:t>
                  </w:r>
                </w:p>
                <w:p w14:paraId="59DD483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其他空间布局约束要求</w:t>
                  </w:r>
                  <w:r>
                    <w:rPr>
                      <w:rFonts w:hint="eastAsia" w:cs="Times New Roman"/>
                      <w:color w:val="auto"/>
                      <w:sz w:val="22"/>
                      <w:szCs w:val="22"/>
                      <w:lang w:eastAsia="zh-CN"/>
                    </w:rPr>
                    <w:t>：</w:t>
                  </w:r>
                  <w:r>
                    <w:rPr>
                      <w:rFonts w:hint="default" w:ascii="Times New Roman" w:hAnsi="Times New Roman" w:cs="Times New Roman"/>
                      <w:color w:val="auto"/>
                      <w:sz w:val="22"/>
                      <w:szCs w:val="22"/>
                    </w:rPr>
                    <w:t>/</w:t>
                  </w:r>
                </w:p>
              </w:tc>
              <w:tc>
                <w:tcPr>
                  <w:tcW w:w="595" w:type="pct"/>
                  <w:vAlign w:val="center"/>
                </w:tcPr>
                <w:p w14:paraId="12F5E795">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本项目属于</w:t>
                  </w:r>
                  <w:r>
                    <w:rPr>
                      <w:rFonts w:hint="eastAsia" w:cs="Times New Roman"/>
                      <w:color w:val="auto"/>
                      <w:sz w:val="22"/>
                      <w:szCs w:val="22"/>
                      <w:lang w:val="en-US" w:eastAsia="zh-CN"/>
                    </w:rPr>
                    <w:t>防洪治理工程</w:t>
                  </w:r>
                  <w:r>
                    <w:rPr>
                      <w:rFonts w:hint="default" w:ascii="Times New Roman" w:hAnsi="Times New Roman" w:cs="Times New Roman"/>
                      <w:color w:val="auto"/>
                      <w:sz w:val="22"/>
                      <w:szCs w:val="22"/>
                    </w:rPr>
                    <w:t>，不属于生产性项目，也不属于大气污染类项目</w:t>
                  </w:r>
                  <w:r>
                    <w:rPr>
                      <w:rFonts w:hint="eastAsia" w:cs="Times New Roman"/>
                      <w:color w:val="auto"/>
                      <w:sz w:val="22"/>
                      <w:szCs w:val="22"/>
                      <w:lang w:eastAsia="zh-CN"/>
                    </w:rPr>
                    <w:t>。</w:t>
                  </w:r>
                </w:p>
              </w:tc>
              <w:tc>
                <w:tcPr>
                  <w:tcW w:w="246" w:type="pct"/>
                  <w:vAlign w:val="center"/>
                </w:tcPr>
                <w:p w14:paraId="7EC1F466">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r w14:paraId="04294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58" w:type="pct"/>
                  <w:vMerge w:val="continue"/>
                  <w:vAlign w:val="center"/>
                </w:tcPr>
                <w:p w14:paraId="6EEE52F4">
                  <w:pPr>
                    <w:pStyle w:val="107"/>
                    <w:jc w:val="center"/>
                    <w:rPr>
                      <w:rFonts w:hint="default" w:ascii="Times New Roman" w:hAnsi="Times New Roman" w:cs="Times New Roman"/>
                      <w:color w:val="auto"/>
                      <w:sz w:val="22"/>
                      <w:szCs w:val="22"/>
                    </w:rPr>
                  </w:pPr>
                </w:p>
              </w:tc>
              <w:tc>
                <w:tcPr>
                  <w:tcW w:w="294" w:type="pct"/>
                  <w:vMerge w:val="continue"/>
                  <w:vAlign w:val="center"/>
                </w:tcPr>
                <w:p w14:paraId="47F13FDE">
                  <w:pPr>
                    <w:pStyle w:val="107"/>
                    <w:jc w:val="center"/>
                    <w:rPr>
                      <w:rFonts w:hint="default" w:ascii="Times New Roman" w:hAnsi="Times New Roman" w:cs="Times New Roman"/>
                      <w:color w:val="auto"/>
                      <w:sz w:val="22"/>
                      <w:szCs w:val="22"/>
                    </w:rPr>
                  </w:pPr>
                </w:p>
              </w:tc>
              <w:tc>
                <w:tcPr>
                  <w:tcW w:w="279" w:type="pct"/>
                  <w:vAlign w:val="center"/>
                </w:tcPr>
                <w:p w14:paraId="0D2C10C7">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污染物排放管控</w:t>
                  </w:r>
                </w:p>
              </w:tc>
              <w:tc>
                <w:tcPr>
                  <w:tcW w:w="3125" w:type="pct"/>
                </w:tcPr>
                <w:p w14:paraId="4751D14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现有源提标升级改造</w:t>
                  </w:r>
                </w:p>
                <w:p w14:paraId="0A59283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57F7BBE3">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新增源等量或倍量替代</w:t>
                  </w:r>
                </w:p>
                <w:p w14:paraId="7ED067B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1CB31ADF">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新增源排放标准限值</w:t>
                  </w:r>
                </w:p>
                <w:p w14:paraId="1AABE805">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004B1F60">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污染物排放绩效水平准入要求</w:t>
                  </w:r>
                </w:p>
                <w:p w14:paraId="71E4611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-大气环境布局敏感和弱扩散重点管控区内，现有大气污染重点企业，限期进行深度治理或关停并转。</w:t>
                  </w:r>
                </w:p>
                <w:p w14:paraId="05FBA62C">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w:t>
                  </w:r>
                  <w:r>
                    <w:rPr>
                      <w:rFonts w:hint="eastAsia" w:cs="Times New Roman"/>
                      <w:color w:val="auto"/>
                      <w:sz w:val="22"/>
                      <w:szCs w:val="22"/>
                      <w:lang w:eastAsia="zh-CN"/>
                    </w:rPr>
                    <w:t>其他同</w:t>
                  </w:r>
                  <w:r>
                    <w:rPr>
                      <w:rFonts w:hint="default" w:ascii="Times New Roman" w:hAnsi="Times New Roman" w:cs="Times New Roman"/>
                      <w:color w:val="auto"/>
                      <w:sz w:val="22"/>
                      <w:szCs w:val="22"/>
                    </w:rPr>
                    <w:t>达州市一般管控单元总体准入要求</w:t>
                  </w:r>
                </w:p>
                <w:p w14:paraId="5B4E205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其他污染物排放管控要求</w:t>
                  </w:r>
                  <w:r>
                    <w:rPr>
                      <w:rFonts w:hint="eastAsia" w:cs="Times New Roman"/>
                      <w:color w:val="auto"/>
                      <w:sz w:val="22"/>
                      <w:szCs w:val="22"/>
                      <w:lang w:val="en-US" w:eastAsia="zh-CN"/>
                    </w:rPr>
                    <w:t>：</w:t>
                  </w:r>
                  <w:r>
                    <w:rPr>
                      <w:rFonts w:hint="default" w:ascii="Times New Roman" w:hAnsi="Times New Roman" w:cs="Times New Roman"/>
                      <w:color w:val="auto"/>
                      <w:sz w:val="22"/>
                      <w:szCs w:val="22"/>
                    </w:rPr>
                    <w:t>/</w:t>
                  </w:r>
                </w:p>
              </w:tc>
              <w:tc>
                <w:tcPr>
                  <w:tcW w:w="595" w:type="pct"/>
                  <w:vAlign w:val="center"/>
                </w:tcPr>
                <w:p w14:paraId="17DA62B7">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本项目属于</w:t>
                  </w:r>
                  <w:r>
                    <w:rPr>
                      <w:rFonts w:hint="eastAsia" w:cs="Times New Roman"/>
                      <w:color w:val="auto"/>
                      <w:sz w:val="22"/>
                      <w:szCs w:val="22"/>
                      <w:lang w:val="en-US" w:eastAsia="zh-CN"/>
                    </w:rPr>
                    <w:t>防洪治理工程</w:t>
                  </w:r>
                  <w:r>
                    <w:rPr>
                      <w:rFonts w:hint="default" w:ascii="Times New Roman" w:hAnsi="Times New Roman" w:cs="Times New Roman"/>
                      <w:color w:val="auto"/>
                      <w:sz w:val="22"/>
                      <w:szCs w:val="22"/>
                    </w:rPr>
                    <w:t>，</w:t>
                  </w:r>
                  <w:r>
                    <w:rPr>
                      <w:rFonts w:hint="eastAsia" w:cs="Times New Roman"/>
                      <w:color w:val="auto"/>
                      <w:sz w:val="22"/>
                      <w:szCs w:val="22"/>
                      <w:lang w:val="en-US" w:eastAsia="zh-CN"/>
                    </w:rPr>
                    <w:t>项目建成后不产生废水、废气、固废、噪声等污染物。</w:t>
                  </w:r>
                </w:p>
              </w:tc>
              <w:tc>
                <w:tcPr>
                  <w:tcW w:w="246" w:type="pct"/>
                  <w:vAlign w:val="center"/>
                </w:tcPr>
                <w:p w14:paraId="3009D47B">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r w14:paraId="7C61C3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vAlign w:val="center"/>
                </w:tcPr>
                <w:p w14:paraId="17F78C36">
                  <w:pPr>
                    <w:pStyle w:val="107"/>
                    <w:jc w:val="center"/>
                    <w:rPr>
                      <w:rFonts w:hint="default" w:ascii="Times New Roman" w:hAnsi="Times New Roman" w:cs="Times New Roman"/>
                      <w:color w:val="auto"/>
                      <w:sz w:val="22"/>
                      <w:szCs w:val="22"/>
                    </w:rPr>
                  </w:pPr>
                </w:p>
              </w:tc>
              <w:tc>
                <w:tcPr>
                  <w:tcW w:w="294" w:type="pct"/>
                  <w:vMerge w:val="continue"/>
                  <w:vAlign w:val="center"/>
                </w:tcPr>
                <w:p w14:paraId="0ECAA8AB">
                  <w:pPr>
                    <w:pStyle w:val="107"/>
                    <w:jc w:val="center"/>
                    <w:rPr>
                      <w:rFonts w:hint="default" w:ascii="Times New Roman" w:hAnsi="Times New Roman" w:cs="Times New Roman"/>
                      <w:color w:val="auto"/>
                      <w:sz w:val="22"/>
                      <w:szCs w:val="22"/>
                    </w:rPr>
                  </w:pPr>
                </w:p>
              </w:tc>
              <w:tc>
                <w:tcPr>
                  <w:tcW w:w="279" w:type="pct"/>
                  <w:vAlign w:val="center"/>
                </w:tcPr>
                <w:p w14:paraId="0FB572AE">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环境风险防控</w:t>
                  </w:r>
                </w:p>
              </w:tc>
              <w:tc>
                <w:tcPr>
                  <w:tcW w:w="3125" w:type="pct"/>
                </w:tcPr>
                <w:p w14:paraId="32C5DE5D">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严格管控类农用地管控要求</w:t>
                  </w:r>
                </w:p>
                <w:p w14:paraId="45AB26B2">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7B03C114">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安全利用类农用地管控要求</w:t>
                  </w:r>
                </w:p>
                <w:p w14:paraId="209AE5E4">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1524C025">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污染地块管控要求</w:t>
                  </w:r>
                </w:p>
                <w:p w14:paraId="5317475A">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7D4F5BD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园区环境风险防控要求</w:t>
                  </w:r>
                  <w:r>
                    <w:rPr>
                      <w:rFonts w:hint="eastAsia" w:cs="Times New Roman"/>
                      <w:color w:val="auto"/>
                      <w:sz w:val="22"/>
                      <w:szCs w:val="22"/>
                      <w:lang w:eastAsia="zh-CN"/>
                    </w:rPr>
                    <w:t>：</w:t>
                  </w:r>
                  <w:r>
                    <w:rPr>
                      <w:rFonts w:hint="default" w:ascii="Times New Roman" w:hAnsi="Times New Roman" w:cs="Times New Roman"/>
                      <w:color w:val="auto"/>
                      <w:sz w:val="22"/>
                      <w:szCs w:val="22"/>
                    </w:rPr>
                    <w:t>/</w:t>
                  </w:r>
                </w:p>
                <w:p w14:paraId="0C676A50">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企业环境风险防控要求</w:t>
                  </w:r>
                </w:p>
                <w:p w14:paraId="4F8C6FD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1D2C0430">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其他环境风险防控要求</w:t>
                  </w:r>
                  <w:r>
                    <w:rPr>
                      <w:rFonts w:hint="eastAsia" w:cs="Times New Roman"/>
                      <w:color w:val="auto"/>
                      <w:sz w:val="22"/>
                      <w:szCs w:val="22"/>
                      <w:lang w:eastAsia="zh-CN"/>
                    </w:rPr>
                    <w:t>：</w:t>
                  </w:r>
                  <w:r>
                    <w:rPr>
                      <w:rFonts w:hint="default" w:ascii="Times New Roman" w:hAnsi="Times New Roman" w:cs="Times New Roman"/>
                      <w:color w:val="auto"/>
                      <w:sz w:val="22"/>
                      <w:szCs w:val="22"/>
                    </w:rPr>
                    <w:t>/</w:t>
                  </w:r>
                </w:p>
              </w:tc>
              <w:tc>
                <w:tcPr>
                  <w:tcW w:w="595" w:type="pct"/>
                  <w:vAlign w:val="center"/>
                </w:tcPr>
                <w:p w14:paraId="10B7D355">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本项目属于</w:t>
                  </w:r>
                  <w:r>
                    <w:rPr>
                      <w:rFonts w:hint="eastAsia" w:cs="Times New Roman"/>
                      <w:color w:val="auto"/>
                      <w:sz w:val="22"/>
                      <w:szCs w:val="22"/>
                      <w:lang w:val="en-US" w:eastAsia="zh-CN"/>
                    </w:rPr>
                    <w:t>防洪治理工程</w:t>
                  </w:r>
                  <w:r>
                    <w:rPr>
                      <w:rFonts w:hint="default" w:ascii="Times New Roman" w:hAnsi="Times New Roman" w:cs="Times New Roman"/>
                      <w:color w:val="auto"/>
                      <w:sz w:val="22"/>
                      <w:szCs w:val="22"/>
                    </w:rPr>
                    <w:t>，</w:t>
                  </w:r>
                  <w:r>
                    <w:rPr>
                      <w:rFonts w:hint="eastAsia" w:cs="Times New Roman"/>
                      <w:color w:val="auto"/>
                      <w:sz w:val="22"/>
                      <w:szCs w:val="22"/>
                      <w:lang w:val="en-US" w:eastAsia="zh-CN"/>
                    </w:rPr>
                    <w:t>项目在采取相应的环境风险防范措施后，环境风险可控。</w:t>
                  </w:r>
                </w:p>
              </w:tc>
              <w:tc>
                <w:tcPr>
                  <w:tcW w:w="246" w:type="pct"/>
                  <w:vAlign w:val="center"/>
                </w:tcPr>
                <w:p w14:paraId="77330C0A">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r w14:paraId="626372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vAlign w:val="center"/>
                </w:tcPr>
                <w:p w14:paraId="657333D1">
                  <w:pPr>
                    <w:pStyle w:val="107"/>
                    <w:jc w:val="center"/>
                    <w:rPr>
                      <w:rFonts w:hint="default" w:ascii="Times New Roman" w:hAnsi="Times New Roman" w:cs="Times New Roman"/>
                      <w:color w:val="auto"/>
                      <w:sz w:val="22"/>
                      <w:szCs w:val="22"/>
                    </w:rPr>
                  </w:pPr>
                </w:p>
              </w:tc>
              <w:tc>
                <w:tcPr>
                  <w:tcW w:w="294" w:type="pct"/>
                  <w:vMerge w:val="continue"/>
                  <w:vAlign w:val="center"/>
                </w:tcPr>
                <w:p w14:paraId="0F97C1FB">
                  <w:pPr>
                    <w:pStyle w:val="107"/>
                    <w:jc w:val="center"/>
                    <w:rPr>
                      <w:rFonts w:hint="default" w:ascii="Times New Roman" w:hAnsi="Times New Roman" w:cs="Times New Roman"/>
                      <w:color w:val="auto"/>
                      <w:sz w:val="22"/>
                      <w:szCs w:val="22"/>
                    </w:rPr>
                  </w:pPr>
                </w:p>
              </w:tc>
              <w:tc>
                <w:tcPr>
                  <w:tcW w:w="279" w:type="pct"/>
                  <w:vAlign w:val="center"/>
                </w:tcPr>
                <w:p w14:paraId="4BF9609F">
                  <w:pPr>
                    <w:pStyle w:val="107"/>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资源开发利用效率要求</w:t>
                  </w:r>
                </w:p>
              </w:tc>
              <w:tc>
                <w:tcPr>
                  <w:tcW w:w="3125" w:type="pct"/>
                </w:tcPr>
                <w:p w14:paraId="5872D89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水资源利用效率要求</w:t>
                  </w:r>
                </w:p>
                <w:p w14:paraId="19D32A06">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37BC8893">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地下水开采要求</w:t>
                  </w:r>
                </w:p>
                <w:p w14:paraId="5B5DD09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18572F08">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能源利用效率要求</w:t>
                  </w:r>
                </w:p>
                <w:p w14:paraId="1D9A9A3B">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同达州市一般管控单元总体准入要求</w:t>
                  </w:r>
                </w:p>
                <w:p w14:paraId="2C701541">
                  <w:pPr>
                    <w:pStyle w:val="176"/>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其他资源利用效率要求</w:t>
                  </w:r>
                  <w:r>
                    <w:rPr>
                      <w:rFonts w:hint="eastAsia" w:cs="Times New Roman"/>
                      <w:color w:val="auto"/>
                      <w:sz w:val="22"/>
                      <w:szCs w:val="22"/>
                      <w:lang w:eastAsia="zh-CN"/>
                    </w:rPr>
                    <w:t>：</w:t>
                  </w:r>
                  <w:r>
                    <w:rPr>
                      <w:rFonts w:hint="default" w:ascii="Times New Roman" w:hAnsi="Times New Roman" w:cs="Times New Roman"/>
                      <w:color w:val="auto"/>
                      <w:sz w:val="22"/>
                      <w:szCs w:val="22"/>
                    </w:rPr>
                    <w:t>/</w:t>
                  </w:r>
                </w:p>
              </w:tc>
              <w:tc>
                <w:tcPr>
                  <w:tcW w:w="595" w:type="pct"/>
                  <w:vAlign w:val="center"/>
                </w:tcPr>
                <w:p w14:paraId="4CDC7297">
                  <w:pPr>
                    <w:pStyle w:val="176"/>
                    <w:jc w:val="both"/>
                    <w:rPr>
                      <w:rFonts w:hint="default" w:ascii="Times New Roman" w:hAnsi="Times New Roman" w:cs="Times New Roman"/>
                      <w:color w:val="auto"/>
                      <w:sz w:val="22"/>
                      <w:szCs w:val="22"/>
                    </w:rPr>
                  </w:pPr>
                  <w:r>
                    <w:rPr>
                      <w:rFonts w:hint="eastAsia" w:cs="Times New Roman"/>
                      <w:color w:val="auto"/>
                      <w:sz w:val="22"/>
                      <w:szCs w:val="22"/>
                      <w:lang w:val="en-US" w:eastAsia="zh-CN"/>
                    </w:rPr>
                    <w:t>本项目为防洪治理工程，施工期资源利用以电能和水资源为主，不属于高能耗项目。</w:t>
                  </w:r>
                </w:p>
              </w:tc>
              <w:tc>
                <w:tcPr>
                  <w:tcW w:w="246" w:type="pct"/>
                  <w:vAlign w:val="center"/>
                </w:tcPr>
                <w:p w14:paraId="4024E49F">
                  <w:pPr>
                    <w:pStyle w:val="107"/>
                    <w:jc w:val="lef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符合</w:t>
                  </w:r>
                </w:p>
              </w:tc>
            </w:tr>
          </w:tbl>
          <w:p w14:paraId="2D7D0C58">
            <w:pPr>
              <w:pStyle w:val="6"/>
            </w:pPr>
            <w:r>
              <w:rPr>
                <w:rFonts w:hint="eastAsia" w:ascii="Times New Roman" w:hAnsi="Times New Roman" w:eastAsia="宋体"/>
                <w:color w:val="auto"/>
              </w:rPr>
              <w:t>根据上述分析，本项目符合</w:t>
            </w:r>
            <w:r>
              <w:rPr>
                <w:rFonts w:hint="eastAsia"/>
                <w:color w:val="auto"/>
                <w:lang w:val="en-US" w:eastAsia="zh-CN"/>
              </w:rPr>
              <w:t>达州市</w:t>
            </w:r>
            <w:r>
              <w:rPr>
                <w:rFonts w:hint="eastAsia" w:ascii="Times New Roman" w:hAnsi="Times New Roman" w:eastAsia="宋体"/>
                <w:color w:val="auto"/>
              </w:rPr>
              <w:t>普适性及单元级生态环境分区管控的要求。</w:t>
            </w:r>
          </w:p>
        </w:tc>
      </w:tr>
    </w:tbl>
    <w:p w14:paraId="5EE448ED">
      <w:pPr>
        <w:pStyle w:val="26"/>
        <w:widowControl w:val="0"/>
        <w:numPr>
          <w:ilvl w:val="0"/>
          <w:numId w:val="0"/>
        </w:numPr>
        <w:spacing w:line="400" w:lineRule="exact"/>
        <w:jc w:val="center"/>
      </w:pPr>
    </w:p>
    <w:p w14:paraId="13B5B66A">
      <w:pPr>
        <w:pStyle w:val="26"/>
        <w:widowControl w:val="0"/>
        <w:numPr>
          <w:ilvl w:val="0"/>
          <w:numId w:val="0"/>
        </w:numPr>
        <w:spacing w:line="400" w:lineRule="exact"/>
        <w:jc w:val="center"/>
        <w:sectPr>
          <w:pgSz w:w="16838" w:h="11906" w:orient="landscape"/>
          <w:pgMar w:top="1247" w:right="1247" w:bottom="1247" w:left="1247" w:header="851" w:footer="992" w:gutter="0"/>
          <w:pgBorders>
            <w:top w:val="none" w:sz="0" w:space="0"/>
            <w:left w:val="none" w:sz="0" w:space="0"/>
            <w:bottom w:val="none" w:sz="0" w:space="0"/>
            <w:right w:val="none" w:sz="0" w:space="0"/>
          </w:pgBorders>
          <w:cols w:space="425" w:num="1"/>
          <w:titlePg/>
          <w:docGrid w:type="lines" w:linePitch="326" w:charSpace="0"/>
        </w:sect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8930"/>
      </w:tblGrid>
      <w:tr w14:paraId="67F6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7" w:hRule="atLeast"/>
        </w:trPr>
        <w:tc>
          <w:tcPr>
            <w:tcW w:w="362" w:type="pct"/>
            <w:shd w:val="clear" w:color="auto" w:fill="auto"/>
            <w:vAlign w:val="center"/>
          </w:tcPr>
          <w:p w14:paraId="7ECD35AB">
            <w:pPr>
              <w:rPr>
                <w:rFonts w:hint="default" w:eastAsia="宋体"/>
                <w:lang w:val="en-US" w:eastAsia="zh-CN"/>
              </w:rPr>
            </w:pPr>
            <w:r>
              <w:rPr>
                <w:rFonts w:hint="eastAsia"/>
                <w:lang w:val="en-US" w:eastAsia="zh-CN"/>
              </w:rPr>
              <w:t>其他符合性分析</w:t>
            </w:r>
          </w:p>
        </w:tc>
        <w:tc>
          <w:tcPr>
            <w:tcW w:w="4637" w:type="pct"/>
            <w:shd w:val="clear" w:color="auto" w:fill="auto"/>
            <w:vAlign w:val="center"/>
          </w:tcPr>
          <w:p w14:paraId="75A75F4A">
            <w:pPr>
              <w:pStyle w:val="3"/>
              <w:bidi w:val="0"/>
            </w:pPr>
            <w:r>
              <w:rPr>
                <w:rFonts w:hint="eastAsia"/>
                <w:lang w:val="en-US" w:eastAsia="zh-CN"/>
              </w:rPr>
              <w:t>产业政策</w:t>
            </w:r>
            <w:r>
              <w:rPr>
                <w:rFonts w:hint="eastAsia"/>
              </w:rPr>
              <w:t>符合性分析</w:t>
            </w:r>
          </w:p>
          <w:p w14:paraId="14764CE1">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本项目属于</w:t>
            </w:r>
            <w:r>
              <w:rPr>
                <w:rFonts w:hint="eastAsia"/>
                <w:color w:val="000000" w:themeColor="text1"/>
                <w:spacing w:val="-4"/>
                <w:lang w:eastAsia="zh-CN"/>
                <w14:textFill>
                  <w14:solidFill>
                    <w14:schemeClr w14:val="tx1"/>
                  </w14:solidFill>
                </w14:textFill>
              </w:rPr>
              <w:t>防洪治理工程</w:t>
            </w:r>
            <w:r>
              <w:rPr>
                <w:rFonts w:hint="default" w:eastAsia="宋体"/>
                <w:color w:val="000000" w:themeColor="text1"/>
                <w:spacing w:val="-4"/>
                <w14:textFill>
                  <w14:solidFill>
                    <w14:schemeClr w14:val="tx1"/>
                  </w14:solidFill>
                </w14:textFill>
              </w:rPr>
              <w:t>建设，符合《产业结构调整指导目录（2024年本）》</w:t>
            </w:r>
          </w:p>
          <w:p w14:paraId="6525BF27">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第一类鼓励类中“二、水利，3、防洪提升工程”中，江河湖海堤防建设及河道治理工程、江河湖库清淤疏浚工程。同时本项目建设不属于国土资源部“关于发布实施《限制用地项目目录（2012年本）》和《禁止用地项目目录（2012年本）》的通知”（国土资发</w:t>
            </w:r>
            <w:r>
              <w:rPr>
                <w:rFonts w:hint="default" w:eastAsia="宋体"/>
                <w:color w:val="000000" w:themeColor="text1"/>
                <w:lang w:val="en-US" w:eastAsia="zh-CN"/>
                <w14:textFill>
                  <w14:solidFill>
                    <w14:schemeClr w14:val="tx1"/>
                  </w14:solidFill>
                </w14:textFill>
              </w:rPr>
              <w:t>〔20</w:t>
            </w:r>
            <w:r>
              <w:rPr>
                <w:rFonts w:hint="eastAsia"/>
                <w:color w:val="000000" w:themeColor="text1"/>
                <w:lang w:val="en-US" w:eastAsia="zh-CN"/>
                <w14:textFill>
                  <w14:solidFill>
                    <w14:schemeClr w14:val="tx1"/>
                  </w14:solidFill>
                </w14:textFill>
              </w:rPr>
              <w:t>12</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spacing w:val="-4"/>
                <w14:textFill>
                  <w14:solidFill>
                    <w14:schemeClr w14:val="tx1"/>
                  </w14:solidFill>
                </w14:textFill>
              </w:rPr>
              <w:t>98号）规定的项目，项目建设符合国家现行产业政策。</w:t>
            </w:r>
          </w:p>
          <w:p w14:paraId="7AF570F1">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本项目已于</w:t>
            </w:r>
            <w:r>
              <w:rPr>
                <w:rFonts w:hint="eastAsia"/>
                <w:color w:val="000000" w:themeColor="text1"/>
                <w:spacing w:val="-4"/>
                <w:lang w:val="en-US" w:eastAsia="zh-CN"/>
                <w14:textFill>
                  <w14:solidFill>
                    <w14:schemeClr w14:val="tx1"/>
                  </w14:solidFill>
                </w14:textFill>
              </w:rPr>
              <w:t>2022</w:t>
            </w:r>
            <w:r>
              <w:rPr>
                <w:rFonts w:hint="default" w:eastAsia="宋体"/>
                <w:color w:val="000000" w:themeColor="text1"/>
                <w:spacing w:val="-4"/>
                <w14:textFill>
                  <w14:solidFill>
                    <w14:schemeClr w14:val="tx1"/>
                  </w14:solidFill>
                </w14:textFill>
              </w:rPr>
              <w:t>年</w:t>
            </w:r>
            <w:r>
              <w:rPr>
                <w:rFonts w:hint="eastAsia"/>
                <w:color w:val="000000" w:themeColor="text1"/>
                <w:spacing w:val="-4"/>
                <w:lang w:val="en-US" w:eastAsia="zh-CN"/>
                <w14:textFill>
                  <w14:solidFill>
                    <w14:schemeClr w14:val="tx1"/>
                  </w14:solidFill>
                </w14:textFill>
              </w:rPr>
              <w:t>6</w:t>
            </w:r>
            <w:r>
              <w:rPr>
                <w:rFonts w:hint="default" w:eastAsia="宋体"/>
                <w:color w:val="000000" w:themeColor="text1"/>
                <w:spacing w:val="-4"/>
                <w14:textFill>
                  <w14:solidFill>
                    <w14:schemeClr w14:val="tx1"/>
                  </w14:solidFill>
                </w14:textFill>
              </w:rPr>
              <w:t>月</w:t>
            </w:r>
            <w:r>
              <w:rPr>
                <w:rFonts w:hint="eastAsia"/>
                <w:color w:val="000000" w:themeColor="text1"/>
                <w:spacing w:val="-4"/>
                <w:lang w:val="en-US" w:eastAsia="zh-CN"/>
                <w14:textFill>
                  <w14:solidFill>
                    <w14:schemeClr w14:val="tx1"/>
                  </w14:solidFill>
                </w14:textFill>
              </w:rPr>
              <w:t>16</w:t>
            </w:r>
            <w:r>
              <w:rPr>
                <w:rFonts w:hint="default" w:eastAsia="宋体"/>
                <w:color w:val="000000" w:themeColor="text1"/>
                <w:spacing w:val="-4"/>
                <w14:textFill>
                  <w14:solidFill>
                    <w14:schemeClr w14:val="tx1"/>
                  </w14:solidFill>
                </w14:textFill>
              </w:rPr>
              <w:t>日取得了</w:t>
            </w:r>
            <w:r>
              <w:rPr>
                <w:rFonts w:hint="eastAsia"/>
                <w:color w:val="000000" w:themeColor="text1"/>
                <w:spacing w:val="-4"/>
                <w:lang w:val="en-US" w:eastAsia="zh-CN"/>
                <w14:textFill>
                  <w14:solidFill>
                    <w14:schemeClr w14:val="tx1"/>
                  </w14:solidFill>
                </w14:textFill>
              </w:rPr>
              <w:t>达州市水务局</w:t>
            </w:r>
            <w:r>
              <w:rPr>
                <w:rFonts w:hint="default" w:eastAsia="宋体"/>
                <w:color w:val="000000" w:themeColor="text1"/>
                <w:spacing w:val="-4"/>
                <w14:textFill>
                  <w14:solidFill>
                    <w14:schemeClr w14:val="tx1"/>
                  </w14:solidFill>
                </w14:textFill>
              </w:rPr>
              <w:t>“关于</w:t>
            </w:r>
            <w:r>
              <w:rPr>
                <w:rFonts w:hint="eastAsia"/>
                <w:color w:val="000000" w:themeColor="text1"/>
                <w:spacing w:val="-4"/>
                <w:lang w:val="en-US" w:eastAsia="zh-CN"/>
                <w14:textFill>
                  <w14:solidFill>
                    <w14:schemeClr w14:val="tx1"/>
                  </w14:solidFill>
                </w14:textFill>
              </w:rPr>
              <w:t>印发四川省宣汉县新宁河天生镇防洪治理工程初步设计报告的批复</w:t>
            </w:r>
            <w:r>
              <w:rPr>
                <w:rFonts w:hint="default" w:eastAsia="宋体"/>
                <w:color w:val="000000" w:themeColor="text1"/>
                <w:spacing w:val="-4"/>
                <w14:textFill>
                  <w14:solidFill>
                    <w14:schemeClr w14:val="tx1"/>
                  </w14:solidFill>
                </w14:textFill>
              </w:rPr>
              <w:t>”（</w:t>
            </w:r>
            <w:r>
              <w:rPr>
                <w:rFonts w:hint="eastAsia"/>
                <w:color w:val="000000" w:themeColor="text1"/>
                <w:spacing w:val="-4"/>
                <w:lang w:val="en-US" w:eastAsia="zh-CN"/>
                <w14:textFill>
                  <w14:solidFill>
                    <w14:schemeClr w14:val="tx1"/>
                  </w14:solidFill>
                </w14:textFill>
              </w:rPr>
              <w:t>达市水审函</w:t>
            </w:r>
            <w:r>
              <w:rPr>
                <w:rFonts w:hint="default" w:eastAsia="宋体"/>
                <w:color w:val="000000" w:themeColor="text1"/>
                <w:lang w:val="en-US" w:eastAsia="zh-CN"/>
                <w14:textFill>
                  <w14:solidFill>
                    <w14:schemeClr w14:val="tx1"/>
                  </w14:solidFill>
                </w14:textFill>
              </w:rPr>
              <w:t>〔20</w:t>
            </w:r>
            <w:r>
              <w:rPr>
                <w:rFonts w:hint="eastAsia"/>
                <w:color w:val="000000" w:themeColor="text1"/>
                <w:lang w:val="en-US" w:eastAsia="zh-CN"/>
                <w14:textFill>
                  <w14:solidFill>
                    <w14:schemeClr w14:val="tx1"/>
                  </w14:solidFill>
                </w14:textFill>
              </w:rPr>
              <w:t>22</w:t>
            </w:r>
            <w:r>
              <w:rPr>
                <w:rFonts w:hint="default" w:eastAsia="宋体"/>
                <w:color w:val="000000" w:themeColor="text1"/>
                <w:lang w:val="en-US"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89</w:t>
            </w:r>
            <w:r>
              <w:rPr>
                <w:rFonts w:hint="default" w:eastAsia="宋体"/>
                <w:color w:val="000000" w:themeColor="text1"/>
                <w:spacing w:val="-4"/>
                <w14:textFill>
                  <w14:solidFill>
                    <w14:schemeClr w14:val="tx1"/>
                  </w14:solidFill>
                </w14:textFill>
              </w:rPr>
              <w:t>号），详见附件</w:t>
            </w:r>
            <w:r>
              <w:rPr>
                <w:rFonts w:hint="eastAsia"/>
                <w:color w:val="000000" w:themeColor="text1"/>
                <w:spacing w:val="-4"/>
                <w:lang w:val="en-US" w:eastAsia="zh-CN"/>
                <w14:textFill>
                  <w14:solidFill>
                    <w14:schemeClr w14:val="tx1"/>
                  </w14:solidFill>
                </w14:textFill>
              </w:rPr>
              <w:t>2</w:t>
            </w:r>
            <w:r>
              <w:rPr>
                <w:rFonts w:hint="default" w:eastAsia="宋体"/>
                <w:color w:val="000000" w:themeColor="text1"/>
                <w:spacing w:val="-4"/>
                <w14:textFill>
                  <w14:solidFill>
                    <w14:schemeClr w14:val="tx1"/>
                  </w14:solidFill>
                </w14:textFill>
              </w:rPr>
              <w:t>。</w:t>
            </w:r>
          </w:p>
          <w:p w14:paraId="0FBA343B">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综上，本项目符合相关法律法规和政策规定，符合国家及地方现行产业政策。</w:t>
            </w:r>
          </w:p>
          <w:p w14:paraId="4F2E59E0">
            <w:pPr>
              <w:pStyle w:val="3"/>
              <w:bidi w:val="0"/>
            </w:pPr>
            <w:r>
              <w:rPr>
                <w:rFonts w:hint="eastAsia"/>
                <w:lang w:val="en-US" w:eastAsia="zh-CN"/>
              </w:rPr>
              <w:t>与当地防洪规划</w:t>
            </w:r>
            <w:r>
              <w:rPr>
                <w:rFonts w:hint="eastAsia"/>
              </w:rPr>
              <w:t>符合性分析</w:t>
            </w:r>
          </w:p>
          <w:p w14:paraId="4988905A">
            <w:pPr>
              <w:pStyle w:val="6"/>
              <w:bidi w:val="0"/>
              <w:rPr>
                <w:rFonts w:hint="eastAsia" w:eastAsia="宋体"/>
                <w:color w:val="000000" w:themeColor="text1"/>
                <w:spacing w:val="-4"/>
                <w:lang w:eastAsia="zh-CN"/>
                <w14:textFill>
                  <w14:solidFill>
                    <w14:schemeClr w14:val="tx1"/>
                  </w14:solidFill>
                </w14:textFill>
              </w:rPr>
            </w:pPr>
            <w:r>
              <w:rPr>
                <w:rFonts w:hint="default" w:eastAsia="宋体"/>
                <w:color w:val="000000" w:themeColor="text1"/>
                <w:spacing w:val="-4"/>
                <w14:textFill>
                  <w14:solidFill>
                    <w14:schemeClr w14:val="tx1"/>
                  </w14:solidFill>
                </w14:textFill>
              </w:rPr>
              <w:t>天生河、黎家沟目前未系统修建过防洪堤，两岸基本</w:t>
            </w:r>
            <w:r>
              <w:rPr>
                <w:rFonts w:hint="eastAsia"/>
                <w:color w:val="000000" w:themeColor="text1"/>
                <w:spacing w:val="-4"/>
                <w:lang w:val="en-US" w:eastAsia="zh-CN"/>
                <w14:textFill>
                  <w14:solidFill>
                    <w14:schemeClr w14:val="tx1"/>
                  </w14:solidFill>
                </w14:textFill>
              </w:rPr>
              <w:t>为</w:t>
            </w:r>
            <w:r>
              <w:rPr>
                <w:rFonts w:hint="default" w:eastAsia="宋体"/>
                <w:color w:val="000000" w:themeColor="text1"/>
                <w:spacing w:val="-4"/>
                <w14:textFill>
                  <w14:solidFill>
                    <w14:schemeClr w14:val="tx1"/>
                  </w14:solidFill>
                </w14:textFill>
              </w:rPr>
              <w:t>自然岸坡，部分河段岸坡地形平缓，无法形成封闭防洪圈，现状防洪能力较弱，一遇较大洪水两岸便被淹没、农田冲毁，容易造成水土流失，临河侧房屋和耕地受到洪水威胁，制约着该地区经济的发展</w:t>
            </w:r>
            <w:r>
              <w:rPr>
                <w:rFonts w:hint="eastAsia"/>
                <w:color w:val="000000" w:themeColor="text1"/>
                <w:spacing w:val="-4"/>
                <w:lang w:eastAsia="zh-CN"/>
                <w14:textFill>
                  <w14:solidFill>
                    <w14:schemeClr w14:val="tx1"/>
                  </w14:solidFill>
                </w14:textFill>
              </w:rPr>
              <w:t>。</w:t>
            </w:r>
          </w:p>
          <w:p w14:paraId="713D775B">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根据《渠江流域防洪规划》和防护区地理分布及社会经济发展状况，县级城镇防洪标准按10年一遇，本项目依照防洪法和防洪标准，防洪设计标准按10年（P＝10%）一遇，与场镇防洪标准一致，满足四川省宣汉县各乡镇规划的要求。</w:t>
            </w:r>
          </w:p>
          <w:p w14:paraId="040980A2">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本项目依照防洪法和防洪标准，防洪设计标准按10年(P＝10%)一遇，与场镇防洪标准一致，满足四川省宣汉县各乡镇规划的要求。本项目防洪设计标准按10年(P＝10%)一遇，与治理方案防洪标准一致。结合</w:t>
            </w:r>
            <w:r>
              <w:rPr>
                <w:rFonts w:hint="eastAsia"/>
                <w:color w:val="000000" w:themeColor="text1"/>
                <w:spacing w:val="-4"/>
                <w:lang w:val="en-US" w:eastAsia="zh-CN"/>
                <w14:textFill>
                  <w14:solidFill>
                    <w14:schemeClr w14:val="tx1"/>
                  </w14:solidFill>
                </w14:textFill>
              </w:rPr>
              <w:t>天生河</w:t>
            </w:r>
            <w:r>
              <w:rPr>
                <w:rFonts w:hint="default" w:eastAsia="宋体"/>
                <w:color w:val="000000" w:themeColor="text1"/>
                <w:spacing w:val="-4"/>
                <w14:textFill>
                  <w14:solidFill>
                    <w14:schemeClr w14:val="tx1"/>
                  </w14:solidFill>
                </w14:textFill>
              </w:rPr>
              <w:t>的水情特点和</w:t>
            </w:r>
            <w:r>
              <w:rPr>
                <w:rFonts w:hint="eastAsia"/>
                <w:color w:val="000000" w:themeColor="text1"/>
                <w:spacing w:val="-4"/>
                <w:lang w:val="en-US" w:eastAsia="zh-CN"/>
                <w14:textFill>
                  <w14:solidFill>
                    <w14:schemeClr w14:val="tx1"/>
                  </w14:solidFill>
                </w14:textFill>
              </w:rPr>
              <w:t>天生镇的</w:t>
            </w:r>
            <w:r>
              <w:rPr>
                <w:rFonts w:hint="default" w:eastAsia="宋体"/>
                <w:color w:val="000000" w:themeColor="text1"/>
                <w:spacing w:val="-4"/>
                <w14:textFill>
                  <w14:solidFill>
                    <w14:schemeClr w14:val="tx1"/>
                  </w14:solidFill>
                </w14:textFill>
              </w:rPr>
              <w:t>规划建设需要，因地制宜地修建防洪堤，恢复和完善防洪体系和环境体系，提高</w:t>
            </w:r>
            <w:r>
              <w:rPr>
                <w:rFonts w:hint="eastAsia"/>
                <w:color w:val="000000" w:themeColor="text1"/>
                <w:spacing w:val="-4"/>
                <w:lang w:val="en-US" w:eastAsia="zh-CN"/>
                <w14:textFill>
                  <w14:solidFill>
                    <w14:schemeClr w14:val="tx1"/>
                  </w14:solidFill>
                </w14:textFill>
              </w:rPr>
              <w:t>天生镇</w:t>
            </w:r>
            <w:r>
              <w:rPr>
                <w:rFonts w:hint="default" w:eastAsia="宋体"/>
                <w:color w:val="000000" w:themeColor="text1"/>
                <w:spacing w:val="-4"/>
                <w14:textFill>
                  <w14:solidFill>
                    <w14:schemeClr w14:val="tx1"/>
                  </w14:solidFill>
                </w14:textFill>
              </w:rPr>
              <w:t>的整体防洪能力和改善环境，确保汛期治理河段沿河两岸人民生命财产的安全和工农业的生产工作顺利进行，促进</w:t>
            </w:r>
            <w:r>
              <w:rPr>
                <w:rFonts w:hint="eastAsia"/>
                <w:color w:val="000000" w:themeColor="text1"/>
                <w:spacing w:val="-4"/>
                <w:lang w:val="en-US" w:eastAsia="zh-CN"/>
                <w14:textFill>
                  <w14:solidFill>
                    <w14:schemeClr w14:val="tx1"/>
                  </w14:solidFill>
                </w14:textFill>
              </w:rPr>
              <w:t>天生镇</w:t>
            </w:r>
            <w:r>
              <w:rPr>
                <w:rFonts w:hint="default" w:eastAsia="宋体"/>
                <w:color w:val="000000" w:themeColor="text1"/>
                <w:spacing w:val="-4"/>
                <w14:textFill>
                  <w14:solidFill>
                    <w14:schemeClr w14:val="tx1"/>
                  </w14:solidFill>
                </w14:textFill>
              </w:rPr>
              <w:t>经济、环境的发展。</w:t>
            </w:r>
          </w:p>
          <w:p w14:paraId="54F8C3A2">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综上，本项目防洪标准按10年（P＝10%）一遇，符合当地、治理方案防洪规划要求。</w:t>
            </w:r>
          </w:p>
          <w:p w14:paraId="1DCFA895">
            <w:pPr>
              <w:pStyle w:val="3"/>
              <w:bidi w:val="0"/>
            </w:pPr>
            <w:r>
              <w:rPr>
                <w:rFonts w:hint="eastAsia"/>
              </w:rPr>
              <w:t>与《中华人民共和国水污染防治法》符合性分析</w:t>
            </w:r>
          </w:p>
          <w:p w14:paraId="3CF227C2">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本项目与《中华人民共和国水污染防治法》符合性如下表。</w:t>
            </w:r>
          </w:p>
          <w:p w14:paraId="1A9C736C">
            <w:pPr>
              <w:pStyle w:val="7"/>
              <w:bidi w:val="0"/>
            </w:pPr>
            <w:r>
              <w:rPr>
                <w:rFonts w:hint="eastAsia"/>
                <w:lang w:eastAsia="zh-CN"/>
              </w:rPr>
              <w:t>项目与《中华人民共和国水污染防治法》符合性分析</w:t>
            </w:r>
          </w:p>
          <w:tbl>
            <w:tblPr>
              <w:tblStyle w:val="81"/>
              <w:tblW w:w="5000"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7"/>
              <w:gridCol w:w="3864"/>
              <w:gridCol w:w="3167"/>
              <w:gridCol w:w="955"/>
            </w:tblGrid>
            <w:tr w14:paraId="4070130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1C93C89">
                  <w:pPr>
                    <w:pStyle w:val="98"/>
                    <w:rPr>
                      <w:rFonts w:hint="eastAsia" w:eastAsia="宋体"/>
                      <w:sz w:val="22"/>
                      <w:szCs w:val="22"/>
                      <w:lang w:eastAsia="zh-CN"/>
                    </w:rPr>
                  </w:pPr>
                  <w:r>
                    <w:rPr>
                      <w:rFonts w:hint="eastAsia"/>
                      <w:sz w:val="22"/>
                      <w:szCs w:val="22"/>
                      <w:lang w:val="en-US" w:eastAsia="zh-CN"/>
                    </w:rPr>
                    <w:t>序号</w:t>
                  </w:r>
                </w:p>
              </w:tc>
              <w:tc>
                <w:tcPr>
                  <w:tcW w:w="2217" w:type="pct"/>
                  <w:vAlign w:val="center"/>
                </w:tcPr>
                <w:p w14:paraId="3FF510D1">
                  <w:pPr>
                    <w:pStyle w:val="98"/>
                    <w:rPr>
                      <w:rFonts w:hint="default" w:eastAsia="宋体"/>
                      <w:sz w:val="22"/>
                      <w:szCs w:val="22"/>
                      <w:lang w:val="en-US" w:eastAsia="zh-CN"/>
                    </w:rPr>
                  </w:pPr>
                  <w:r>
                    <w:rPr>
                      <w:rFonts w:hint="eastAsia"/>
                      <w:sz w:val="22"/>
                      <w:szCs w:val="22"/>
                      <w:lang w:val="en-US" w:eastAsia="zh-CN"/>
                    </w:rPr>
                    <w:t>文件内容</w:t>
                  </w:r>
                </w:p>
              </w:tc>
              <w:tc>
                <w:tcPr>
                  <w:tcW w:w="1817" w:type="pct"/>
                  <w:vAlign w:val="center"/>
                </w:tcPr>
                <w:p w14:paraId="35FFEA07">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2A2A0858">
                  <w:pPr>
                    <w:pStyle w:val="98"/>
                    <w:rPr>
                      <w:rFonts w:hint="eastAsia" w:eastAsia="宋体"/>
                      <w:sz w:val="22"/>
                      <w:szCs w:val="22"/>
                      <w:lang w:eastAsia="zh-CN"/>
                    </w:rPr>
                  </w:pPr>
                  <w:r>
                    <w:rPr>
                      <w:rFonts w:hint="eastAsia"/>
                      <w:sz w:val="22"/>
                      <w:szCs w:val="22"/>
                      <w:lang w:val="en-US" w:eastAsia="zh-CN"/>
                    </w:rPr>
                    <w:t>符合性</w:t>
                  </w:r>
                </w:p>
              </w:tc>
            </w:tr>
            <w:tr w14:paraId="42479791">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23C6ACC">
                  <w:pPr>
                    <w:pStyle w:val="98"/>
                    <w:rPr>
                      <w:rFonts w:hint="eastAsia" w:eastAsia="宋体"/>
                      <w:sz w:val="22"/>
                      <w:szCs w:val="22"/>
                      <w:lang w:val="en-US" w:eastAsia="zh-CN"/>
                    </w:rPr>
                  </w:pPr>
                  <w:r>
                    <w:rPr>
                      <w:rFonts w:hint="eastAsia"/>
                      <w:sz w:val="22"/>
                      <w:szCs w:val="22"/>
                      <w:lang w:val="en-US" w:eastAsia="zh-CN"/>
                    </w:rPr>
                    <w:t>1</w:t>
                  </w:r>
                </w:p>
              </w:tc>
              <w:tc>
                <w:tcPr>
                  <w:tcW w:w="2217" w:type="pct"/>
                  <w:vAlign w:val="center"/>
                </w:tcPr>
                <w:p w14:paraId="4F727A78">
                  <w:pPr>
                    <w:pStyle w:val="98"/>
                    <w:jc w:val="both"/>
                    <w:rPr>
                      <w:sz w:val="22"/>
                      <w:szCs w:val="22"/>
                    </w:rPr>
                  </w:pPr>
                  <w:r>
                    <w:rPr>
                      <w:rFonts w:hint="eastAsia"/>
                      <w:sz w:val="22"/>
                      <w:szCs w:val="22"/>
                    </w:rPr>
                    <w:t>第三十三条、禁止向水体排放油类、酸液、碱液或者剧毒废液。禁止在水体清洗装贮过油类或者有毒污染物的车辆和容器。</w:t>
                  </w:r>
                </w:p>
              </w:tc>
              <w:tc>
                <w:tcPr>
                  <w:tcW w:w="1817" w:type="pct"/>
                  <w:vAlign w:val="center"/>
                </w:tcPr>
                <w:p w14:paraId="39CF548F">
                  <w:pPr>
                    <w:pStyle w:val="98"/>
                    <w:jc w:val="both"/>
                    <w:rPr>
                      <w:sz w:val="22"/>
                      <w:szCs w:val="22"/>
                    </w:rPr>
                  </w:pPr>
                  <w:r>
                    <w:rPr>
                      <w:rFonts w:hint="eastAsia"/>
                      <w:sz w:val="22"/>
                      <w:szCs w:val="22"/>
                    </w:rPr>
                    <w:t>本项目为</w:t>
                  </w:r>
                  <w:r>
                    <w:rPr>
                      <w:rFonts w:hint="eastAsia"/>
                      <w:sz w:val="22"/>
                      <w:szCs w:val="22"/>
                      <w:lang w:eastAsia="zh-CN"/>
                    </w:rPr>
                    <w:t>防洪治理工程</w:t>
                  </w:r>
                  <w:r>
                    <w:rPr>
                      <w:rFonts w:hint="eastAsia"/>
                      <w:sz w:val="22"/>
                      <w:szCs w:val="22"/>
                    </w:rPr>
                    <w:t>，无废水外排，不涉及向水体排放油类、酸液、碱液或者剧毒废液。项目车辆冲洗废水经预处理后回用，不涉及在水体清洗装贮过油类或者有毒污染物的车辆和容器。</w:t>
                  </w:r>
                </w:p>
              </w:tc>
              <w:tc>
                <w:tcPr>
                  <w:tcW w:w="548" w:type="pct"/>
                  <w:vAlign w:val="center"/>
                </w:tcPr>
                <w:p w14:paraId="1CB8A6A3">
                  <w:pPr>
                    <w:pStyle w:val="98"/>
                    <w:rPr>
                      <w:rFonts w:hint="eastAsia" w:eastAsia="宋体"/>
                      <w:sz w:val="22"/>
                      <w:szCs w:val="22"/>
                      <w:lang w:val="en-US" w:eastAsia="zh-CN"/>
                    </w:rPr>
                  </w:pPr>
                  <w:r>
                    <w:rPr>
                      <w:rFonts w:hint="eastAsia"/>
                      <w:sz w:val="22"/>
                      <w:szCs w:val="22"/>
                      <w:lang w:val="en-US" w:eastAsia="zh-CN"/>
                    </w:rPr>
                    <w:t>符合</w:t>
                  </w:r>
                </w:p>
              </w:tc>
            </w:tr>
            <w:tr w14:paraId="7CF62CD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354CCE3">
                  <w:pPr>
                    <w:pStyle w:val="98"/>
                    <w:rPr>
                      <w:rFonts w:hint="eastAsia" w:eastAsia="宋体"/>
                      <w:sz w:val="22"/>
                      <w:szCs w:val="22"/>
                      <w:lang w:val="en-US" w:eastAsia="zh-CN"/>
                    </w:rPr>
                  </w:pPr>
                  <w:r>
                    <w:rPr>
                      <w:rFonts w:hint="eastAsia"/>
                      <w:sz w:val="22"/>
                      <w:szCs w:val="22"/>
                      <w:lang w:val="en-US" w:eastAsia="zh-CN"/>
                    </w:rPr>
                    <w:t>2</w:t>
                  </w:r>
                </w:p>
              </w:tc>
              <w:tc>
                <w:tcPr>
                  <w:tcW w:w="2217" w:type="pct"/>
                  <w:vAlign w:val="center"/>
                </w:tcPr>
                <w:p w14:paraId="19672185">
                  <w:pPr>
                    <w:pStyle w:val="98"/>
                    <w:jc w:val="both"/>
                    <w:rPr>
                      <w:sz w:val="22"/>
                      <w:szCs w:val="22"/>
                    </w:rPr>
                  </w:pPr>
                  <w:r>
                    <w:rPr>
                      <w:rFonts w:hint="eastAsia"/>
                      <w:sz w:val="22"/>
                      <w:szCs w:val="22"/>
                    </w:rPr>
                    <w:t>第三十七条、禁止向水体排放、倾倒工业废渣、城镇垃圾和其他废弃物。禁止将含有汞、镉、砷、铬、铅、氰化物、黄磷等的可溶性剧毒废渣向水体排放、倾倒或者直接埋入地下。存放可溶性剧毒废渣的场所，应当采取防水、防渗漏、防流失的措施。</w:t>
                  </w:r>
                </w:p>
              </w:tc>
              <w:tc>
                <w:tcPr>
                  <w:tcW w:w="1817" w:type="pct"/>
                  <w:vAlign w:val="center"/>
                </w:tcPr>
                <w:p w14:paraId="1698A435">
                  <w:pPr>
                    <w:pStyle w:val="98"/>
                    <w:jc w:val="both"/>
                    <w:rPr>
                      <w:sz w:val="22"/>
                      <w:szCs w:val="22"/>
                    </w:rPr>
                  </w:pPr>
                  <w:r>
                    <w:rPr>
                      <w:rFonts w:hint="eastAsia"/>
                      <w:sz w:val="22"/>
                      <w:szCs w:val="22"/>
                    </w:rPr>
                    <w:t>本项目为</w:t>
                  </w:r>
                  <w:r>
                    <w:rPr>
                      <w:rFonts w:hint="eastAsia"/>
                      <w:sz w:val="22"/>
                      <w:szCs w:val="22"/>
                      <w:lang w:eastAsia="zh-CN"/>
                    </w:rPr>
                    <w:t>防洪治理工程</w:t>
                  </w:r>
                  <w:r>
                    <w:rPr>
                      <w:rFonts w:hint="eastAsia"/>
                      <w:sz w:val="22"/>
                      <w:szCs w:val="22"/>
                    </w:rPr>
                    <w:t>，不存在可溶性剧毒废渣等，项目产生的固体废弃物均得到妥善处置，处置率100%，不存在以上行为。</w:t>
                  </w:r>
                </w:p>
              </w:tc>
              <w:tc>
                <w:tcPr>
                  <w:tcW w:w="548" w:type="pct"/>
                  <w:vAlign w:val="center"/>
                </w:tcPr>
                <w:p w14:paraId="550E34B9">
                  <w:pPr>
                    <w:pStyle w:val="98"/>
                    <w:rPr>
                      <w:rFonts w:hint="eastAsia" w:eastAsia="宋体"/>
                      <w:sz w:val="22"/>
                      <w:szCs w:val="22"/>
                      <w:lang w:val="en-US" w:eastAsia="zh-CN"/>
                    </w:rPr>
                  </w:pPr>
                  <w:r>
                    <w:rPr>
                      <w:rFonts w:hint="eastAsia"/>
                      <w:sz w:val="22"/>
                      <w:szCs w:val="22"/>
                      <w:lang w:val="en-US" w:eastAsia="zh-CN"/>
                    </w:rPr>
                    <w:t>符合</w:t>
                  </w:r>
                </w:p>
              </w:tc>
            </w:tr>
            <w:tr w14:paraId="2BF4E84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1B4DEDE4">
                  <w:pPr>
                    <w:pStyle w:val="98"/>
                    <w:rPr>
                      <w:rFonts w:hint="eastAsia" w:eastAsia="宋体"/>
                      <w:sz w:val="22"/>
                      <w:szCs w:val="22"/>
                      <w:lang w:val="en-US" w:eastAsia="zh-CN"/>
                    </w:rPr>
                  </w:pPr>
                  <w:r>
                    <w:rPr>
                      <w:rFonts w:hint="eastAsia"/>
                      <w:sz w:val="22"/>
                      <w:szCs w:val="22"/>
                      <w:lang w:val="en-US" w:eastAsia="zh-CN"/>
                    </w:rPr>
                    <w:t>3</w:t>
                  </w:r>
                </w:p>
              </w:tc>
              <w:tc>
                <w:tcPr>
                  <w:tcW w:w="2217" w:type="pct"/>
                  <w:vAlign w:val="center"/>
                </w:tcPr>
                <w:p w14:paraId="26F79228">
                  <w:pPr>
                    <w:pStyle w:val="98"/>
                    <w:jc w:val="both"/>
                    <w:rPr>
                      <w:sz w:val="22"/>
                      <w:szCs w:val="22"/>
                    </w:rPr>
                  </w:pPr>
                  <w:r>
                    <w:rPr>
                      <w:rFonts w:hint="eastAsia"/>
                      <w:sz w:val="22"/>
                      <w:szCs w:val="22"/>
                    </w:rPr>
                    <w:t>第六十四条、在饮用水水源保护区内，禁止设置排污口。</w:t>
                  </w:r>
                </w:p>
              </w:tc>
              <w:tc>
                <w:tcPr>
                  <w:tcW w:w="1817" w:type="pct"/>
                  <w:vAlign w:val="center"/>
                </w:tcPr>
                <w:p w14:paraId="244147DD">
                  <w:pPr>
                    <w:pStyle w:val="98"/>
                    <w:jc w:val="both"/>
                    <w:rPr>
                      <w:rFonts w:hint="default" w:eastAsia="宋体"/>
                      <w:b w:val="0"/>
                      <w:bCs w:val="0"/>
                      <w:sz w:val="22"/>
                      <w:szCs w:val="22"/>
                      <w:lang w:val="en-US" w:eastAsia="zh-CN"/>
                    </w:rPr>
                  </w:pPr>
                  <w:r>
                    <w:rPr>
                      <w:rFonts w:hint="eastAsia"/>
                      <w:b w:val="0"/>
                      <w:bCs w:val="0"/>
                      <w:sz w:val="22"/>
                      <w:szCs w:val="22"/>
                      <w:lang w:val="en-US" w:eastAsia="zh-CN"/>
                    </w:rPr>
                    <w:t>本项目位于天生镇镇区附近，不涉及饮用水水源保护区，项目建设不设置排污口。</w:t>
                  </w:r>
                </w:p>
              </w:tc>
              <w:tc>
                <w:tcPr>
                  <w:tcW w:w="548" w:type="pct"/>
                  <w:vAlign w:val="center"/>
                </w:tcPr>
                <w:p w14:paraId="39A76A6B">
                  <w:pPr>
                    <w:pStyle w:val="98"/>
                    <w:rPr>
                      <w:rFonts w:hint="eastAsia" w:eastAsia="宋体"/>
                      <w:b w:val="0"/>
                      <w:bCs w:val="0"/>
                      <w:sz w:val="22"/>
                      <w:szCs w:val="22"/>
                      <w:lang w:eastAsia="zh-CN"/>
                    </w:rPr>
                  </w:pPr>
                  <w:r>
                    <w:rPr>
                      <w:rFonts w:hint="eastAsia"/>
                      <w:sz w:val="22"/>
                      <w:szCs w:val="22"/>
                      <w:lang w:val="en-US" w:eastAsia="zh-CN"/>
                    </w:rPr>
                    <w:t>符合</w:t>
                  </w:r>
                </w:p>
              </w:tc>
            </w:tr>
            <w:tr w14:paraId="1DFC0E8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CFED2C0">
                  <w:pPr>
                    <w:pStyle w:val="98"/>
                    <w:rPr>
                      <w:rFonts w:hint="eastAsia" w:eastAsia="宋体"/>
                      <w:sz w:val="22"/>
                      <w:szCs w:val="22"/>
                      <w:lang w:val="en-US" w:eastAsia="zh-CN"/>
                    </w:rPr>
                  </w:pPr>
                  <w:r>
                    <w:rPr>
                      <w:rFonts w:hint="eastAsia"/>
                      <w:sz w:val="22"/>
                      <w:szCs w:val="22"/>
                      <w:lang w:val="en-US" w:eastAsia="zh-CN"/>
                    </w:rPr>
                    <w:t>4</w:t>
                  </w:r>
                </w:p>
              </w:tc>
              <w:tc>
                <w:tcPr>
                  <w:tcW w:w="2217" w:type="pct"/>
                  <w:vAlign w:val="center"/>
                </w:tcPr>
                <w:p w14:paraId="217D0365">
                  <w:pPr>
                    <w:pStyle w:val="98"/>
                    <w:jc w:val="both"/>
                    <w:rPr>
                      <w:sz w:val="22"/>
                      <w:szCs w:val="22"/>
                    </w:rPr>
                  </w:pPr>
                  <w:r>
                    <w:rPr>
                      <w:rFonts w:hint="eastAsia"/>
                      <w:sz w:val="22"/>
                      <w:szCs w:val="22"/>
                    </w:rPr>
                    <w:t>第六十五条、禁止在饮用水水源一级保护区内新建、改建、扩建与供水设施和保护水源无关的建设项目；已建成的与供水设施和保护水源无关的建设项目，由县级以上人民政府责令拆除或者关闭。</w:t>
                  </w:r>
                </w:p>
              </w:tc>
              <w:tc>
                <w:tcPr>
                  <w:tcW w:w="1817" w:type="pct"/>
                  <w:vAlign w:val="center"/>
                </w:tcPr>
                <w:p w14:paraId="3D9659F7">
                  <w:pPr>
                    <w:pStyle w:val="98"/>
                    <w:jc w:val="both"/>
                    <w:rPr>
                      <w:sz w:val="22"/>
                      <w:szCs w:val="22"/>
                    </w:rPr>
                  </w:pPr>
                  <w:r>
                    <w:rPr>
                      <w:rFonts w:hint="eastAsia"/>
                      <w:b w:val="0"/>
                      <w:bCs w:val="0"/>
                      <w:sz w:val="22"/>
                      <w:szCs w:val="22"/>
                      <w:lang w:val="en-US" w:eastAsia="zh-CN"/>
                    </w:rPr>
                    <w:t>本项目位于天生镇镇区附近，不涉及饮用水水源保护区。</w:t>
                  </w:r>
                </w:p>
              </w:tc>
              <w:tc>
                <w:tcPr>
                  <w:tcW w:w="548" w:type="pct"/>
                  <w:vAlign w:val="center"/>
                </w:tcPr>
                <w:p w14:paraId="04421AC0">
                  <w:pPr>
                    <w:pStyle w:val="98"/>
                    <w:rPr>
                      <w:sz w:val="22"/>
                      <w:szCs w:val="22"/>
                    </w:rPr>
                  </w:pPr>
                  <w:r>
                    <w:rPr>
                      <w:rFonts w:hint="eastAsia"/>
                      <w:sz w:val="22"/>
                      <w:szCs w:val="22"/>
                      <w:lang w:val="en-US" w:eastAsia="zh-CN"/>
                    </w:rPr>
                    <w:t>符合</w:t>
                  </w:r>
                </w:p>
              </w:tc>
            </w:tr>
            <w:tr w14:paraId="0B7BD16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E957DFE">
                  <w:pPr>
                    <w:pStyle w:val="98"/>
                    <w:rPr>
                      <w:rFonts w:hint="eastAsia" w:eastAsia="宋体"/>
                      <w:sz w:val="22"/>
                      <w:szCs w:val="22"/>
                      <w:lang w:val="en-US" w:eastAsia="zh-CN"/>
                    </w:rPr>
                  </w:pPr>
                  <w:r>
                    <w:rPr>
                      <w:rFonts w:hint="eastAsia"/>
                      <w:sz w:val="22"/>
                      <w:szCs w:val="22"/>
                      <w:lang w:val="en-US" w:eastAsia="zh-CN"/>
                    </w:rPr>
                    <w:t>5</w:t>
                  </w:r>
                </w:p>
              </w:tc>
              <w:tc>
                <w:tcPr>
                  <w:tcW w:w="2217" w:type="pct"/>
                  <w:vAlign w:val="center"/>
                </w:tcPr>
                <w:p w14:paraId="359095B0">
                  <w:pPr>
                    <w:pStyle w:val="98"/>
                    <w:jc w:val="both"/>
                    <w:rPr>
                      <w:sz w:val="22"/>
                      <w:szCs w:val="22"/>
                    </w:rPr>
                  </w:pPr>
                  <w:r>
                    <w:rPr>
                      <w:rFonts w:hint="eastAsia"/>
                      <w:sz w:val="22"/>
                      <w:szCs w:val="22"/>
                    </w:rPr>
                    <w:t>第六十七条、禁止在饮用水水源准保护区内新建、扩建对水体污染严重的建设项目；改建建设项目，不得增加排污量。</w:t>
                  </w:r>
                </w:p>
              </w:tc>
              <w:tc>
                <w:tcPr>
                  <w:tcW w:w="1817" w:type="pct"/>
                  <w:vAlign w:val="center"/>
                </w:tcPr>
                <w:p w14:paraId="4157BBCE">
                  <w:pPr>
                    <w:pStyle w:val="98"/>
                    <w:jc w:val="both"/>
                    <w:rPr>
                      <w:sz w:val="22"/>
                      <w:szCs w:val="22"/>
                    </w:rPr>
                  </w:pPr>
                  <w:r>
                    <w:rPr>
                      <w:rFonts w:hint="eastAsia"/>
                      <w:b w:val="0"/>
                      <w:bCs w:val="0"/>
                      <w:sz w:val="22"/>
                      <w:szCs w:val="22"/>
                      <w:lang w:val="en-US" w:eastAsia="zh-CN"/>
                    </w:rPr>
                    <w:t>本项目位于天生镇镇区附近，不涉及饮用水水源保护区。</w:t>
                  </w:r>
                </w:p>
              </w:tc>
              <w:tc>
                <w:tcPr>
                  <w:tcW w:w="548" w:type="pct"/>
                  <w:vAlign w:val="center"/>
                </w:tcPr>
                <w:p w14:paraId="79F82F12">
                  <w:pPr>
                    <w:pStyle w:val="98"/>
                    <w:rPr>
                      <w:sz w:val="22"/>
                      <w:szCs w:val="22"/>
                    </w:rPr>
                  </w:pPr>
                  <w:r>
                    <w:rPr>
                      <w:rFonts w:hint="eastAsia"/>
                      <w:sz w:val="22"/>
                      <w:szCs w:val="22"/>
                      <w:lang w:val="en-US" w:eastAsia="zh-CN"/>
                    </w:rPr>
                    <w:t>符合</w:t>
                  </w:r>
                </w:p>
              </w:tc>
            </w:tr>
          </w:tbl>
          <w:p w14:paraId="59345A79">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综上所述，本项目符合《中华人民共和国水污染防治法》要求。</w:t>
            </w:r>
          </w:p>
          <w:p w14:paraId="66C973CB">
            <w:pPr>
              <w:pStyle w:val="3"/>
              <w:bidi w:val="0"/>
            </w:pPr>
            <w:r>
              <w:rPr>
                <w:rFonts w:hint="eastAsia"/>
              </w:rPr>
              <w:t>与《长江经济带发展负面清单指南（试行，2022年版）》符合性分析</w:t>
            </w:r>
          </w:p>
          <w:p w14:paraId="102292EF">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根据《长江经济带发展负面清单指南（试行，2022年版）》，本项目不在负面清单之中，符合性分析见下表。</w:t>
            </w:r>
          </w:p>
          <w:p w14:paraId="434D116D">
            <w:pPr>
              <w:pStyle w:val="7"/>
              <w:bidi w:val="0"/>
              <w:jc w:val="center"/>
            </w:pPr>
            <w:r>
              <w:rPr>
                <w:rFonts w:hint="eastAsia"/>
                <w:lang w:eastAsia="zh-CN"/>
              </w:rPr>
              <w:t>项目与</w:t>
            </w:r>
            <w:r>
              <w:rPr>
                <w:rFonts w:hint="default" w:eastAsia="宋体"/>
                <w:color w:val="000000" w:themeColor="text1"/>
                <w:spacing w:val="-4"/>
                <w14:textFill>
                  <w14:solidFill>
                    <w14:schemeClr w14:val="tx1"/>
                  </w14:solidFill>
                </w14:textFill>
              </w:rPr>
              <w:t>《长江经济带发展负面清单指南》</w:t>
            </w:r>
            <w:r>
              <w:rPr>
                <w:rFonts w:hint="eastAsia"/>
                <w:lang w:eastAsia="zh-CN"/>
              </w:rPr>
              <w:t>符合性分析</w:t>
            </w:r>
          </w:p>
          <w:tbl>
            <w:tblPr>
              <w:tblStyle w:val="81"/>
              <w:tblW w:w="5000"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7"/>
              <w:gridCol w:w="3864"/>
              <w:gridCol w:w="3167"/>
              <w:gridCol w:w="955"/>
            </w:tblGrid>
            <w:tr w14:paraId="3B29E53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7D21FCA9">
                  <w:pPr>
                    <w:pStyle w:val="98"/>
                    <w:rPr>
                      <w:rFonts w:hint="eastAsia" w:eastAsia="宋体"/>
                      <w:sz w:val="22"/>
                      <w:szCs w:val="22"/>
                      <w:lang w:eastAsia="zh-CN"/>
                    </w:rPr>
                  </w:pPr>
                  <w:r>
                    <w:rPr>
                      <w:rFonts w:hint="eastAsia"/>
                      <w:sz w:val="22"/>
                      <w:szCs w:val="22"/>
                      <w:lang w:val="en-US" w:eastAsia="zh-CN"/>
                    </w:rPr>
                    <w:t>序号</w:t>
                  </w:r>
                </w:p>
              </w:tc>
              <w:tc>
                <w:tcPr>
                  <w:tcW w:w="2217" w:type="pct"/>
                  <w:vAlign w:val="center"/>
                </w:tcPr>
                <w:p w14:paraId="360B3A78">
                  <w:pPr>
                    <w:pStyle w:val="98"/>
                    <w:rPr>
                      <w:rFonts w:hint="eastAsia" w:eastAsia="宋体"/>
                      <w:sz w:val="22"/>
                      <w:szCs w:val="22"/>
                      <w:lang w:eastAsia="zh-CN"/>
                    </w:rPr>
                  </w:pPr>
                  <w:r>
                    <w:rPr>
                      <w:rFonts w:hint="eastAsia"/>
                      <w:sz w:val="22"/>
                      <w:szCs w:val="22"/>
                      <w:lang w:val="en-US" w:eastAsia="zh-CN"/>
                    </w:rPr>
                    <w:t>文件内容</w:t>
                  </w:r>
                </w:p>
              </w:tc>
              <w:tc>
                <w:tcPr>
                  <w:tcW w:w="1817" w:type="pct"/>
                  <w:vAlign w:val="center"/>
                </w:tcPr>
                <w:p w14:paraId="74643445">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5DE691BC">
                  <w:pPr>
                    <w:pStyle w:val="98"/>
                    <w:rPr>
                      <w:rFonts w:hint="eastAsia" w:eastAsia="宋体"/>
                      <w:sz w:val="22"/>
                      <w:szCs w:val="22"/>
                      <w:lang w:eastAsia="zh-CN"/>
                    </w:rPr>
                  </w:pPr>
                  <w:r>
                    <w:rPr>
                      <w:rFonts w:hint="eastAsia"/>
                      <w:sz w:val="22"/>
                      <w:szCs w:val="22"/>
                      <w:lang w:val="en-US" w:eastAsia="zh-CN"/>
                    </w:rPr>
                    <w:t>符合性</w:t>
                  </w:r>
                </w:p>
              </w:tc>
            </w:tr>
            <w:tr w14:paraId="7F0620A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A696636">
                  <w:pPr>
                    <w:pStyle w:val="98"/>
                    <w:rPr>
                      <w:rFonts w:hint="eastAsia" w:eastAsia="宋体"/>
                      <w:sz w:val="22"/>
                      <w:szCs w:val="22"/>
                      <w:lang w:val="en-US" w:eastAsia="zh-CN"/>
                    </w:rPr>
                  </w:pPr>
                  <w:r>
                    <w:rPr>
                      <w:rFonts w:hint="eastAsia"/>
                      <w:sz w:val="22"/>
                      <w:szCs w:val="22"/>
                      <w:lang w:val="en-US" w:eastAsia="zh-CN"/>
                    </w:rPr>
                    <w:t>1</w:t>
                  </w:r>
                </w:p>
              </w:tc>
              <w:tc>
                <w:tcPr>
                  <w:tcW w:w="2217" w:type="pct"/>
                  <w:vAlign w:val="center"/>
                </w:tcPr>
                <w:p w14:paraId="153E4143">
                  <w:pPr>
                    <w:pStyle w:val="98"/>
                    <w:jc w:val="both"/>
                    <w:rPr>
                      <w:sz w:val="22"/>
                      <w:szCs w:val="22"/>
                    </w:rPr>
                  </w:pPr>
                  <w:r>
                    <w:rPr>
                      <w:rFonts w:hint="eastAsia"/>
                      <w:sz w:val="22"/>
                      <w:szCs w:val="22"/>
                    </w:rPr>
                    <w:t>禁止建设不符合全国和省级港口布局规划以及港口总体规划的码头项目，禁止建设不符合《长江干线过江通道布局规划》的过长江通道项目。</w:t>
                  </w:r>
                </w:p>
              </w:tc>
              <w:tc>
                <w:tcPr>
                  <w:tcW w:w="1817" w:type="pct"/>
                  <w:vAlign w:val="center"/>
                </w:tcPr>
                <w:p w14:paraId="240B42D9">
                  <w:pPr>
                    <w:pStyle w:val="98"/>
                    <w:jc w:val="both"/>
                    <w:rPr>
                      <w:rFonts w:hint="default"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不属于码头项目。</w:t>
                  </w:r>
                </w:p>
              </w:tc>
              <w:tc>
                <w:tcPr>
                  <w:tcW w:w="548" w:type="pct"/>
                  <w:vAlign w:val="center"/>
                </w:tcPr>
                <w:p w14:paraId="5A20E757">
                  <w:pPr>
                    <w:pStyle w:val="98"/>
                    <w:rPr>
                      <w:rFonts w:hint="eastAsia" w:eastAsia="宋体"/>
                      <w:sz w:val="22"/>
                      <w:szCs w:val="22"/>
                      <w:lang w:val="en-US" w:eastAsia="zh-CN"/>
                    </w:rPr>
                  </w:pPr>
                  <w:r>
                    <w:rPr>
                      <w:rFonts w:hint="eastAsia"/>
                      <w:sz w:val="22"/>
                      <w:szCs w:val="22"/>
                      <w:lang w:val="en-US" w:eastAsia="zh-CN"/>
                    </w:rPr>
                    <w:t>符合</w:t>
                  </w:r>
                </w:p>
              </w:tc>
            </w:tr>
            <w:tr w14:paraId="087A5454">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42D9A00C">
                  <w:pPr>
                    <w:pStyle w:val="98"/>
                    <w:rPr>
                      <w:rFonts w:hint="eastAsia" w:eastAsia="宋体"/>
                      <w:sz w:val="22"/>
                      <w:szCs w:val="22"/>
                      <w:lang w:val="en-US" w:eastAsia="zh-CN"/>
                    </w:rPr>
                  </w:pPr>
                  <w:r>
                    <w:rPr>
                      <w:rFonts w:hint="eastAsia"/>
                      <w:sz w:val="22"/>
                      <w:szCs w:val="22"/>
                      <w:lang w:val="en-US" w:eastAsia="zh-CN"/>
                    </w:rPr>
                    <w:t>2</w:t>
                  </w:r>
                </w:p>
              </w:tc>
              <w:tc>
                <w:tcPr>
                  <w:tcW w:w="2217" w:type="pct"/>
                  <w:vAlign w:val="center"/>
                </w:tcPr>
                <w:p w14:paraId="1BA95EBF">
                  <w:pPr>
                    <w:pStyle w:val="98"/>
                    <w:jc w:val="both"/>
                    <w:rPr>
                      <w:sz w:val="22"/>
                      <w:szCs w:val="22"/>
                    </w:rPr>
                  </w:pPr>
                  <w:r>
                    <w:rPr>
                      <w:rFonts w:hint="eastAsia"/>
                      <w:sz w:val="22"/>
                      <w:szCs w:val="22"/>
                    </w:rPr>
                    <w:t>禁止在自然保护区核心区、缓冲区的岸线和河段范围内投资建设旅游和生产经营项目。禁止在风景名胜区核心景区的岸线和河段范围内投资建设与风景名胜资源保护无关的项目。</w:t>
                  </w:r>
                </w:p>
              </w:tc>
              <w:tc>
                <w:tcPr>
                  <w:tcW w:w="1817" w:type="pct"/>
                  <w:vAlign w:val="center"/>
                </w:tcPr>
                <w:p w14:paraId="6CCE3690">
                  <w:pPr>
                    <w:pStyle w:val="98"/>
                    <w:jc w:val="both"/>
                    <w:rPr>
                      <w:rFonts w:hint="default" w:eastAsia="宋体"/>
                      <w:sz w:val="22"/>
                      <w:szCs w:val="22"/>
                      <w:lang w:val="en-US" w:eastAsia="zh-CN"/>
                    </w:rPr>
                  </w:pPr>
                  <w:r>
                    <w:rPr>
                      <w:rFonts w:hint="eastAsia"/>
                      <w:sz w:val="22"/>
                      <w:szCs w:val="22"/>
                      <w:lang w:val="en-US" w:eastAsia="zh-CN"/>
                    </w:rPr>
                    <w:t>本项目位于天生镇镇区附近，不涉及自然保护区。</w:t>
                  </w:r>
                </w:p>
              </w:tc>
              <w:tc>
                <w:tcPr>
                  <w:tcW w:w="548" w:type="pct"/>
                  <w:vAlign w:val="center"/>
                </w:tcPr>
                <w:p w14:paraId="4796C57A">
                  <w:pPr>
                    <w:pStyle w:val="98"/>
                    <w:rPr>
                      <w:rFonts w:hint="eastAsia" w:eastAsia="宋体"/>
                      <w:sz w:val="22"/>
                      <w:szCs w:val="22"/>
                      <w:lang w:val="en-US" w:eastAsia="zh-CN"/>
                    </w:rPr>
                  </w:pPr>
                  <w:r>
                    <w:rPr>
                      <w:rFonts w:hint="eastAsia"/>
                      <w:sz w:val="22"/>
                      <w:szCs w:val="22"/>
                      <w:lang w:val="en-US" w:eastAsia="zh-CN"/>
                    </w:rPr>
                    <w:t>符合</w:t>
                  </w:r>
                </w:p>
              </w:tc>
            </w:tr>
            <w:tr w14:paraId="3ED642E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38044868">
                  <w:pPr>
                    <w:pStyle w:val="98"/>
                    <w:rPr>
                      <w:rFonts w:hint="eastAsia" w:eastAsia="宋体"/>
                      <w:sz w:val="22"/>
                      <w:szCs w:val="22"/>
                      <w:lang w:val="en-US" w:eastAsia="zh-CN"/>
                    </w:rPr>
                  </w:pPr>
                  <w:r>
                    <w:rPr>
                      <w:rFonts w:hint="eastAsia"/>
                      <w:sz w:val="22"/>
                      <w:szCs w:val="22"/>
                      <w:lang w:val="en-US" w:eastAsia="zh-CN"/>
                    </w:rPr>
                    <w:t>3</w:t>
                  </w:r>
                </w:p>
              </w:tc>
              <w:tc>
                <w:tcPr>
                  <w:tcW w:w="2217" w:type="pct"/>
                  <w:vAlign w:val="center"/>
                </w:tcPr>
                <w:p w14:paraId="261DB420">
                  <w:pPr>
                    <w:pStyle w:val="98"/>
                    <w:jc w:val="both"/>
                    <w:rPr>
                      <w:sz w:val="22"/>
                      <w:szCs w:val="22"/>
                    </w:rPr>
                  </w:pPr>
                  <w:r>
                    <w:rPr>
                      <w:rFonts w:hint="eastAsia"/>
                      <w:sz w:val="22"/>
                      <w:szCs w:val="22"/>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17" w:type="pct"/>
                  <w:vAlign w:val="center"/>
                </w:tcPr>
                <w:p w14:paraId="13DD2AC2">
                  <w:pPr>
                    <w:pStyle w:val="98"/>
                    <w:jc w:val="both"/>
                    <w:rPr>
                      <w:rFonts w:hint="default" w:eastAsia="宋体"/>
                      <w:b w:val="0"/>
                      <w:bCs w:val="0"/>
                      <w:sz w:val="22"/>
                      <w:szCs w:val="22"/>
                      <w:lang w:val="en-US" w:eastAsia="zh-CN"/>
                    </w:rPr>
                  </w:pPr>
                  <w:r>
                    <w:rPr>
                      <w:rFonts w:hint="eastAsia"/>
                      <w:sz w:val="22"/>
                      <w:szCs w:val="22"/>
                    </w:rPr>
                    <w:t>本项目</w:t>
                  </w:r>
                  <w:r>
                    <w:rPr>
                      <w:rFonts w:hint="eastAsia"/>
                      <w:sz w:val="22"/>
                      <w:szCs w:val="22"/>
                      <w:lang w:val="en-US" w:eastAsia="zh-CN"/>
                    </w:rPr>
                    <w:t>不涉及饮用水水源保护区。</w:t>
                  </w:r>
                </w:p>
              </w:tc>
              <w:tc>
                <w:tcPr>
                  <w:tcW w:w="548" w:type="pct"/>
                  <w:vAlign w:val="center"/>
                </w:tcPr>
                <w:p w14:paraId="017F6F17">
                  <w:pPr>
                    <w:pStyle w:val="98"/>
                    <w:rPr>
                      <w:rFonts w:hint="eastAsia" w:eastAsia="宋体"/>
                      <w:b w:val="0"/>
                      <w:bCs w:val="0"/>
                      <w:sz w:val="22"/>
                      <w:szCs w:val="22"/>
                      <w:lang w:eastAsia="zh-CN"/>
                    </w:rPr>
                  </w:pPr>
                  <w:r>
                    <w:rPr>
                      <w:rFonts w:hint="eastAsia"/>
                      <w:sz w:val="22"/>
                      <w:szCs w:val="22"/>
                      <w:lang w:val="en-US" w:eastAsia="zh-CN"/>
                    </w:rPr>
                    <w:t>符合</w:t>
                  </w:r>
                </w:p>
              </w:tc>
            </w:tr>
            <w:tr w14:paraId="7C1126E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7A927112">
                  <w:pPr>
                    <w:pStyle w:val="98"/>
                    <w:rPr>
                      <w:rFonts w:hint="eastAsia" w:eastAsia="宋体"/>
                      <w:sz w:val="22"/>
                      <w:szCs w:val="22"/>
                      <w:lang w:val="en-US" w:eastAsia="zh-CN"/>
                    </w:rPr>
                  </w:pPr>
                  <w:r>
                    <w:rPr>
                      <w:rFonts w:hint="eastAsia"/>
                      <w:sz w:val="22"/>
                      <w:szCs w:val="22"/>
                      <w:lang w:val="en-US" w:eastAsia="zh-CN"/>
                    </w:rPr>
                    <w:t>4</w:t>
                  </w:r>
                </w:p>
              </w:tc>
              <w:tc>
                <w:tcPr>
                  <w:tcW w:w="2217" w:type="pct"/>
                  <w:vAlign w:val="center"/>
                </w:tcPr>
                <w:p w14:paraId="405E5245">
                  <w:pPr>
                    <w:pStyle w:val="98"/>
                    <w:jc w:val="both"/>
                    <w:rPr>
                      <w:sz w:val="22"/>
                      <w:szCs w:val="22"/>
                    </w:rPr>
                  </w:pPr>
                  <w:r>
                    <w:rPr>
                      <w:rFonts w:hint="eastAsia"/>
                      <w:sz w:val="22"/>
                      <w:szCs w:val="22"/>
                    </w:rPr>
                    <w:t>禁止在水产种质资源保护区的岸线和河段范围内新建围湖造田、围海造地或填海等投资建设项目。禁止在国家湿地公园的岸线和河段范围内挖沙、采矿，以及任何不符合主体功能定位的投资建设项目。</w:t>
                  </w:r>
                </w:p>
              </w:tc>
              <w:tc>
                <w:tcPr>
                  <w:tcW w:w="1817" w:type="pct"/>
                  <w:vAlign w:val="center"/>
                </w:tcPr>
                <w:p w14:paraId="003DFEC4">
                  <w:pPr>
                    <w:pStyle w:val="98"/>
                    <w:jc w:val="both"/>
                    <w:rPr>
                      <w:rFonts w:hint="eastAsia" w:eastAsia="宋体"/>
                      <w:sz w:val="22"/>
                      <w:szCs w:val="22"/>
                      <w:lang w:val="en-US" w:eastAsia="zh-CN"/>
                    </w:rPr>
                  </w:pPr>
                  <w:r>
                    <w:rPr>
                      <w:rFonts w:hint="eastAsia"/>
                      <w:sz w:val="22"/>
                      <w:szCs w:val="22"/>
                      <w:lang w:val="en-US" w:eastAsia="zh-CN"/>
                    </w:rPr>
                    <w:t>本项目不涉及</w:t>
                  </w:r>
                  <w:r>
                    <w:rPr>
                      <w:rFonts w:hint="eastAsia"/>
                      <w:sz w:val="22"/>
                      <w:szCs w:val="22"/>
                    </w:rPr>
                    <w:t>水产种质资源保护区</w:t>
                  </w:r>
                  <w:r>
                    <w:rPr>
                      <w:rFonts w:hint="eastAsia"/>
                      <w:sz w:val="22"/>
                      <w:szCs w:val="22"/>
                      <w:lang w:eastAsia="zh-CN"/>
                    </w:rPr>
                    <w:t>。</w:t>
                  </w:r>
                </w:p>
              </w:tc>
              <w:tc>
                <w:tcPr>
                  <w:tcW w:w="548" w:type="pct"/>
                  <w:vAlign w:val="center"/>
                </w:tcPr>
                <w:p w14:paraId="60100E7D">
                  <w:pPr>
                    <w:pStyle w:val="98"/>
                    <w:rPr>
                      <w:sz w:val="22"/>
                      <w:szCs w:val="22"/>
                    </w:rPr>
                  </w:pPr>
                  <w:r>
                    <w:rPr>
                      <w:rFonts w:hint="eastAsia"/>
                      <w:sz w:val="22"/>
                      <w:szCs w:val="22"/>
                      <w:lang w:val="en-US" w:eastAsia="zh-CN"/>
                    </w:rPr>
                    <w:t>符合</w:t>
                  </w:r>
                </w:p>
              </w:tc>
            </w:tr>
            <w:tr w14:paraId="2C23A87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568C040">
                  <w:pPr>
                    <w:pStyle w:val="98"/>
                    <w:rPr>
                      <w:rFonts w:hint="eastAsia" w:eastAsia="宋体"/>
                      <w:sz w:val="22"/>
                      <w:szCs w:val="22"/>
                      <w:lang w:val="en-US" w:eastAsia="zh-CN"/>
                    </w:rPr>
                  </w:pPr>
                  <w:r>
                    <w:rPr>
                      <w:rFonts w:hint="eastAsia"/>
                      <w:sz w:val="22"/>
                      <w:szCs w:val="22"/>
                      <w:lang w:val="en-US" w:eastAsia="zh-CN"/>
                    </w:rPr>
                    <w:t>5</w:t>
                  </w:r>
                </w:p>
              </w:tc>
              <w:tc>
                <w:tcPr>
                  <w:tcW w:w="2217" w:type="pct"/>
                  <w:vAlign w:val="center"/>
                </w:tcPr>
                <w:p w14:paraId="3DAC6582">
                  <w:pPr>
                    <w:pStyle w:val="98"/>
                    <w:jc w:val="both"/>
                    <w:rPr>
                      <w:sz w:val="22"/>
                      <w:szCs w:val="22"/>
                    </w:rPr>
                  </w:pPr>
                  <w:r>
                    <w:rPr>
                      <w:rFonts w:hint="eastAsia"/>
                      <w:sz w:val="22"/>
                      <w:szCs w:val="22"/>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17" w:type="pct"/>
                  <w:vAlign w:val="center"/>
                </w:tcPr>
                <w:p w14:paraId="509DF74E">
                  <w:pPr>
                    <w:pStyle w:val="98"/>
                    <w:jc w:val="both"/>
                    <w:rPr>
                      <w:rFonts w:hint="eastAsia" w:eastAsia="宋体"/>
                      <w:sz w:val="22"/>
                      <w:szCs w:val="22"/>
                      <w:lang w:eastAsia="zh-CN"/>
                    </w:rPr>
                  </w:pPr>
                  <w:r>
                    <w:rPr>
                      <w:rFonts w:hint="eastAsia"/>
                      <w:sz w:val="22"/>
                      <w:szCs w:val="22"/>
                    </w:rPr>
                    <w:t>本项目为</w:t>
                  </w:r>
                  <w:r>
                    <w:rPr>
                      <w:rFonts w:hint="eastAsia"/>
                      <w:sz w:val="22"/>
                      <w:szCs w:val="22"/>
                      <w:lang w:eastAsia="zh-CN"/>
                    </w:rPr>
                    <w:t>防洪治理工程</w:t>
                  </w:r>
                  <w:r>
                    <w:rPr>
                      <w:rFonts w:hint="eastAsia"/>
                      <w:sz w:val="22"/>
                      <w:szCs w:val="22"/>
                    </w:rPr>
                    <w:t>，不涉及利用、占用长江流域河湖岸线；不涉及相关保护区</w:t>
                  </w:r>
                  <w:r>
                    <w:rPr>
                      <w:rFonts w:hint="eastAsia"/>
                      <w:sz w:val="22"/>
                      <w:szCs w:val="22"/>
                      <w:lang w:eastAsia="zh-CN"/>
                    </w:rPr>
                    <w:t>。</w:t>
                  </w:r>
                </w:p>
              </w:tc>
              <w:tc>
                <w:tcPr>
                  <w:tcW w:w="548" w:type="pct"/>
                  <w:vAlign w:val="center"/>
                </w:tcPr>
                <w:p w14:paraId="2999E1EB">
                  <w:pPr>
                    <w:pStyle w:val="98"/>
                    <w:rPr>
                      <w:sz w:val="22"/>
                      <w:szCs w:val="22"/>
                    </w:rPr>
                  </w:pPr>
                  <w:r>
                    <w:rPr>
                      <w:rFonts w:hint="eastAsia"/>
                      <w:sz w:val="22"/>
                      <w:szCs w:val="22"/>
                      <w:lang w:val="en-US" w:eastAsia="zh-CN"/>
                    </w:rPr>
                    <w:t>符合</w:t>
                  </w:r>
                </w:p>
              </w:tc>
            </w:tr>
            <w:tr w14:paraId="374E0C1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E1FC65A">
                  <w:pPr>
                    <w:pStyle w:val="98"/>
                    <w:rPr>
                      <w:rFonts w:hint="default"/>
                      <w:sz w:val="22"/>
                      <w:szCs w:val="22"/>
                      <w:lang w:val="en-US" w:eastAsia="zh-CN"/>
                    </w:rPr>
                  </w:pPr>
                  <w:r>
                    <w:rPr>
                      <w:rFonts w:hint="eastAsia"/>
                      <w:sz w:val="22"/>
                      <w:szCs w:val="22"/>
                      <w:lang w:val="en-US" w:eastAsia="zh-CN"/>
                    </w:rPr>
                    <w:t>6</w:t>
                  </w:r>
                </w:p>
              </w:tc>
              <w:tc>
                <w:tcPr>
                  <w:tcW w:w="2217" w:type="pct"/>
                  <w:vAlign w:val="center"/>
                </w:tcPr>
                <w:p w14:paraId="30CF180F">
                  <w:pPr>
                    <w:pStyle w:val="98"/>
                    <w:jc w:val="both"/>
                    <w:rPr>
                      <w:sz w:val="22"/>
                      <w:szCs w:val="22"/>
                    </w:rPr>
                  </w:pPr>
                  <w:r>
                    <w:rPr>
                      <w:rFonts w:hint="eastAsia"/>
                      <w:sz w:val="22"/>
                      <w:szCs w:val="22"/>
                    </w:rPr>
                    <w:t>禁止未经许可在长江干支流及湖泊新设、改设或扩大排污口。</w:t>
                  </w:r>
                </w:p>
              </w:tc>
              <w:tc>
                <w:tcPr>
                  <w:tcW w:w="1817" w:type="pct"/>
                  <w:vAlign w:val="center"/>
                </w:tcPr>
                <w:p w14:paraId="1327A3D5">
                  <w:pPr>
                    <w:pStyle w:val="98"/>
                    <w:jc w:val="both"/>
                    <w:rPr>
                      <w:rFonts w:hint="eastAsia" w:eastAsia="宋体"/>
                      <w:sz w:val="22"/>
                      <w:szCs w:val="22"/>
                      <w:lang w:eastAsia="zh-CN"/>
                    </w:rPr>
                  </w:pPr>
                  <w:r>
                    <w:rPr>
                      <w:rFonts w:hint="eastAsia"/>
                      <w:sz w:val="22"/>
                      <w:szCs w:val="22"/>
                      <w:lang w:val="en-US" w:eastAsia="zh-CN"/>
                    </w:rPr>
                    <w:t>本</w:t>
                  </w:r>
                  <w:r>
                    <w:rPr>
                      <w:rFonts w:hint="eastAsia"/>
                      <w:sz w:val="22"/>
                      <w:szCs w:val="22"/>
                    </w:rPr>
                    <w:t>项目施工废水不排放，施工场地生活废水依托附近民宅既有污水处理设施收集处理，不</w:t>
                  </w:r>
                  <w:r>
                    <w:rPr>
                      <w:rFonts w:hint="eastAsia"/>
                      <w:sz w:val="22"/>
                      <w:szCs w:val="22"/>
                      <w:lang w:val="en-US" w:eastAsia="zh-CN"/>
                    </w:rPr>
                    <w:t>新增</w:t>
                  </w:r>
                  <w:r>
                    <w:rPr>
                      <w:rFonts w:hint="eastAsia"/>
                      <w:sz w:val="22"/>
                      <w:szCs w:val="22"/>
                    </w:rPr>
                    <w:t>排污口</w:t>
                  </w:r>
                  <w:r>
                    <w:rPr>
                      <w:rFonts w:hint="eastAsia"/>
                      <w:sz w:val="22"/>
                      <w:szCs w:val="22"/>
                      <w:lang w:eastAsia="zh-CN"/>
                    </w:rPr>
                    <w:t>。</w:t>
                  </w:r>
                </w:p>
              </w:tc>
              <w:tc>
                <w:tcPr>
                  <w:tcW w:w="934" w:type="dxa"/>
                  <w:vAlign w:val="center"/>
                </w:tcPr>
                <w:p w14:paraId="79D205B9">
                  <w:pPr>
                    <w:pStyle w:val="98"/>
                    <w:rPr>
                      <w:rFonts w:hint="eastAsia"/>
                      <w:sz w:val="22"/>
                      <w:szCs w:val="22"/>
                      <w:lang w:val="en-US" w:eastAsia="zh-CN"/>
                    </w:rPr>
                  </w:pPr>
                  <w:r>
                    <w:rPr>
                      <w:rFonts w:hint="eastAsia"/>
                      <w:sz w:val="22"/>
                      <w:szCs w:val="22"/>
                      <w:lang w:val="en-US" w:eastAsia="zh-CN"/>
                    </w:rPr>
                    <w:t>符合</w:t>
                  </w:r>
                </w:p>
              </w:tc>
            </w:tr>
            <w:tr w14:paraId="1398B134">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7CA67FDF">
                  <w:pPr>
                    <w:pStyle w:val="98"/>
                    <w:rPr>
                      <w:rFonts w:hint="default"/>
                      <w:sz w:val="22"/>
                      <w:szCs w:val="22"/>
                      <w:lang w:val="en-US" w:eastAsia="zh-CN"/>
                    </w:rPr>
                  </w:pPr>
                  <w:r>
                    <w:rPr>
                      <w:rFonts w:hint="eastAsia"/>
                      <w:sz w:val="22"/>
                      <w:szCs w:val="22"/>
                      <w:lang w:val="en-US" w:eastAsia="zh-CN"/>
                    </w:rPr>
                    <w:t>7</w:t>
                  </w:r>
                </w:p>
              </w:tc>
              <w:tc>
                <w:tcPr>
                  <w:tcW w:w="2217" w:type="pct"/>
                  <w:vAlign w:val="center"/>
                </w:tcPr>
                <w:p w14:paraId="3B84D255">
                  <w:pPr>
                    <w:pStyle w:val="98"/>
                    <w:jc w:val="both"/>
                    <w:rPr>
                      <w:sz w:val="22"/>
                      <w:szCs w:val="22"/>
                    </w:rPr>
                  </w:pPr>
                  <w:r>
                    <w:rPr>
                      <w:rFonts w:hint="eastAsia"/>
                      <w:sz w:val="22"/>
                      <w:szCs w:val="22"/>
                    </w:rPr>
                    <w:t>禁止在“一江一口两湖七河”和322个水生生物保护区开展生产性捕捞。</w:t>
                  </w:r>
                </w:p>
              </w:tc>
              <w:tc>
                <w:tcPr>
                  <w:tcW w:w="1817" w:type="pct"/>
                  <w:vAlign w:val="center"/>
                </w:tcPr>
                <w:p w14:paraId="11834E6A">
                  <w:pPr>
                    <w:pStyle w:val="98"/>
                    <w:jc w:val="both"/>
                    <w:rPr>
                      <w:rFonts w:hint="default"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不涉及捕捞。</w:t>
                  </w:r>
                </w:p>
              </w:tc>
              <w:tc>
                <w:tcPr>
                  <w:tcW w:w="934" w:type="dxa"/>
                  <w:vAlign w:val="center"/>
                </w:tcPr>
                <w:p w14:paraId="516D9EE6">
                  <w:pPr>
                    <w:pStyle w:val="98"/>
                    <w:rPr>
                      <w:rFonts w:hint="eastAsia"/>
                      <w:sz w:val="22"/>
                      <w:szCs w:val="22"/>
                      <w:lang w:val="en-US" w:eastAsia="zh-CN"/>
                    </w:rPr>
                  </w:pPr>
                  <w:r>
                    <w:rPr>
                      <w:rFonts w:hint="eastAsia"/>
                      <w:sz w:val="22"/>
                      <w:szCs w:val="22"/>
                      <w:lang w:val="en-US" w:eastAsia="zh-CN"/>
                    </w:rPr>
                    <w:t>符合</w:t>
                  </w:r>
                </w:p>
              </w:tc>
            </w:tr>
            <w:tr w14:paraId="767A951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06D69EA">
                  <w:pPr>
                    <w:pStyle w:val="98"/>
                    <w:rPr>
                      <w:rFonts w:hint="default"/>
                      <w:sz w:val="22"/>
                      <w:szCs w:val="22"/>
                      <w:lang w:val="en-US" w:eastAsia="zh-CN"/>
                    </w:rPr>
                  </w:pPr>
                  <w:r>
                    <w:rPr>
                      <w:rFonts w:hint="eastAsia"/>
                      <w:sz w:val="22"/>
                      <w:szCs w:val="22"/>
                      <w:lang w:val="en-US" w:eastAsia="zh-CN"/>
                    </w:rPr>
                    <w:t>8</w:t>
                  </w:r>
                </w:p>
              </w:tc>
              <w:tc>
                <w:tcPr>
                  <w:tcW w:w="2217" w:type="pct"/>
                  <w:vAlign w:val="center"/>
                </w:tcPr>
                <w:p w14:paraId="0ED29E55">
                  <w:pPr>
                    <w:pStyle w:val="98"/>
                    <w:jc w:val="both"/>
                    <w:rPr>
                      <w:sz w:val="22"/>
                      <w:szCs w:val="22"/>
                    </w:rPr>
                  </w:pPr>
                  <w:r>
                    <w:rPr>
                      <w:rFonts w:hint="eastAsia"/>
                      <w:sz w:val="22"/>
                      <w:szCs w:val="22"/>
                    </w:rPr>
                    <w:t>禁止在长江干支流、重要湖泊岸线一公里范围内新建、扩建化工园区和化工项目。禁止在长江干流岸线三公里范围内和重要支流岸线一公里范围内新建、改建、扩建尾矿库、冶炼渣库、磷石膏库，已提升安全、生态环境保护水平为目的的改建除外。</w:t>
                  </w:r>
                </w:p>
              </w:tc>
              <w:tc>
                <w:tcPr>
                  <w:tcW w:w="1817" w:type="pct"/>
                  <w:vAlign w:val="center"/>
                </w:tcPr>
                <w:p w14:paraId="492572DC">
                  <w:pPr>
                    <w:pStyle w:val="98"/>
                    <w:jc w:val="both"/>
                    <w:rPr>
                      <w:rFonts w:hint="default"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不属于化工、</w:t>
                  </w:r>
                  <w:r>
                    <w:rPr>
                      <w:rFonts w:hint="eastAsia"/>
                      <w:sz w:val="22"/>
                      <w:szCs w:val="22"/>
                    </w:rPr>
                    <w:t>尾矿库、冶炼渣库、磷石膏库</w:t>
                  </w:r>
                  <w:r>
                    <w:rPr>
                      <w:rFonts w:hint="eastAsia"/>
                      <w:sz w:val="22"/>
                      <w:szCs w:val="22"/>
                      <w:lang w:val="en-US" w:eastAsia="zh-CN"/>
                    </w:rPr>
                    <w:t>等项目。</w:t>
                  </w:r>
                </w:p>
              </w:tc>
              <w:tc>
                <w:tcPr>
                  <w:tcW w:w="934" w:type="dxa"/>
                  <w:vAlign w:val="center"/>
                </w:tcPr>
                <w:p w14:paraId="00E3F895">
                  <w:pPr>
                    <w:pStyle w:val="98"/>
                    <w:rPr>
                      <w:rFonts w:hint="eastAsia"/>
                      <w:sz w:val="22"/>
                      <w:szCs w:val="22"/>
                      <w:lang w:val="en-US" w:eastAsia="zh-CN"/>
                    </w:rPr>
                  </w:pPr>
                  <w:r>
                    <w:rPr>
                      <w:rFonts w:hint="eastAsia"/>
                      <w:sz w:val="22"/>
                      <w:szCs w:val="22"/>
                      <w:lang w:val="en-US" w:eastAsia="zh-CN"/>
                    </w:rPr>
                    <w:t>符合</w:t>
                  </w:r>
                </w:p>
              </w:tc>
            </w:tr>
            <w:tr w14:paraId="526123F4">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08724DB">
                  <w:pPr>
                    <w:pStyle w:val="98"/>
                    <w:rPr>
                      <w:rFonts w:hint="default"/>
                      <w:sz w:val="22"/>
                      <w:szCs w:val="22"/>
                      <w:lang w:val="en-US" w:eastAsia="zh-CN"/>
                    </w:rPr>
                  </w:pPr>
                  <w:r>
                    <w:rPr>
                      <w:rFonts w:hint="eastAsia"/>
                      <w:sz w:val="22"/>
                      <w:szCs w:val="22"/>
                      <w:lang w:val="en-US" w:eastAsia="zh-CN"/>
                    </w:rPr>
                    <w:t>9</w:t>
                  </w:r>
                </w:p>
              </w:tc>
              <w:tc>
                <w:tcPr>
                  <w:tcW w:w="2217" w:type="pct"/>
                  <w:vAlign w:val="center"/>
                </w:tcPr>
                <w:p w14:paraId="7D5637AC">
                  <w:pPr>
                    <w:pStyle w:val="98"/>
                    <w:jc w:val="both"/>
                    <w:rPr>
                      <w:sz w:val="22"/>
                      <w:szCs w:val="22"/>
                    </w:rPr>
                  </w:pPr>
                  <w:r>
                    <w:rPr>
                      <w:rFonts w:hint="eastAsia"/>
                      <w:sz w:val="22"/>
                      <w:szCs w:val="22"/>
                    </w:rPr>
                    <w:t>禁止在合规园区外新建、扩建钢铁、石化、化工、焦化、建材、有色、制浆造纸等高污染项目。</w:t>
                  </w:r>
                </w:p>
              </w:tc>
              <w:tc>
                <w:tcPr>
                  <w:tcW w:w="1817" w:type="pct"/>
                  <w:vAlign w:val="center"/>
                </w:tcPr>
                <w:p w14:paraId="0F2194F6">
                  <w:pPr>
                    <w:pStyle w:val="98"/>
                    <w:jc w:val="both"/>
                    <w:rPr>
                      <w:rFonts w:hint="eastAsia"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w:t>
                  </w:r>
                  <w:r>
                    <w:rPr>
                      <w:rFonts w:hint="eastAsia"/>
                      <w:sz w:val="22"/>
                      <w:szCs w:val="22"/>
                    </w:rPr>
                    <w:t>钢铁、石化、化工、焦化、建材、有色、制浆造纸等高污染项目</w:t>
                  </w:r>
                  <w:r>
                    <w:rPr>
                      <w:rFonts w:hint="eastAsia"/>
                      <w:sz w:val="22"/>
                      <w:szCs w:val="22"/>
                      <w:lang w:eastAsia="zh-CN"/>
                    </w:rPr>
                    <w:t>。</w:t>
                  </w:r>
                </w:p>
              </w:tc>
              <w:tc>
                <w:tcPr>
                  <w:tcW w:w="934" w:type="dxa"/>
                  <w:vAlign w:val="center"/>
                </w:tcPr>
                <w:p w14:paraId="656AE218">
                  <w:pPr>
                    <w:pStyle w:val="98"/>
                    <w:rPr>
                      <w:rFonts w:hint="eastAsia"/>
                      <w:sz w:val="22"/>
                      <w:szCs w:val="22"/>
                      <w:lang w:val="en-US" w:eastAsia="zh-CN"/>
                    </w:rPr>
                  </w:pPr>
                  <w:r>
                    <w:rPr>
                      <w:rFonts w:hint="eastAsia"/>
                      <w:sz w:val="22"/>
                      <w:szCs w:val="22"/>
                      <w:lang w:val="en-US" w:eastAsia="zh-CN"/>
                    </w:rPr>
                    <w:t>符合</w:t>
                  </w:r>
                </w:p>
              </w:tc>
            </w:tr>
            <w:tr w14:paraId="0EA0D13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B8EC829">
                  <w:pPr>
                    <w:pStyle w:val="98"/>
                    <w:rPr>
                      <w:rFonts w:hint="default"/>
                      <w:sz w:val="22"/>
                      <w:szCs w:val="22"/>
                      <w:lang w:val="en-US" w:eastAsia="zh-CN"/>
                    </w:rPr>
                  </w:pPr>
                  <w:r>
                    <w:rPr>
                      <w:rFonts w:hint="eastAsia"/>
                      <w:sz w:val="22"/>
                      <w:szCs w:val="22"/>
                      <w:lang w:val="en-US" w:eastAsia="zh-CN"/>
                    </w:rPr>
                    <w:t>10</w:t>
                  </w:r>
                </w:p>
              </w:tc>
              <w:tc>
                <w:tcPr>
                  <w:tcW w:w="2217" w:type="pct"/>
                  <w:vAlign w:val="center"/>
                </w:tcPr>
                <w:p w14:paraId="21C5E509">
                  <w:pPr>
                    <w:pStyle w:val="98"/>
                    <w:jc w:val="both"/>
                    <w:rPr>
                      <w:sz w:val="22"/>
                      <w:szCs w:val="22"/>
                    </w:rPr>
                  </w:pPr>
                  <w:r>
                    <w:rPr>
                      <w:rFonts w:hint="eastAsia"/>
                      <w:sz w:val="22"/>
                      <w:szCs w:val="22"/>
                    </w:rPr>
                    <w:t>禁止新建、扩建不符合国家石化、现代煤化工等产业布局规划的项目。</w:t>
                  </w:r>
                </w:p>
              </w:tc>
              <w:tc>
                <w:tcPr>
                  <w:tcW w:w="1817" w:type="pct"/>
                  <w:vAlign w:val="center"/>
                </w:tcPr>
                <w:p w14:paraId="33A122E8">
                  <w:pPr>
                    <w:pStyle w:val="98"/>
                    <w:jc w:val="both"/>
                    <w:rPr>
                      <w:rFonts w:hint="eastAsia"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w:t>
                  </w:r>
                  <w:r>
                    <w:rPr>
                      <w:rFonts w:hint="eastAsia"/>
                      <w:sz w:val="22"/>
                      <w:szCs w:val="22"/>
                    </w:rPr>
                    <w:t>石化、现代煤化工</w:t>
                  </w:r>
                  <w:r>
                    <w:rPr>
                      <w:rFonts w:hint="eastAsia"/>
                      <w:sz w:val="22"/>
                      <w:szCs w:val="22"/>
                      <w:lang w:val="en-US" w:eastAsia="zh-CN"/>
                    </w:rPr>
                    <w:t>项目。</w:t>
                  </w:r>
                </w:p>
              </w:tc>
              <w:tc>
                <w:tcPr>
                  <w:tcW w:w="934" w:type="dxa"/>
                  <w:vAlign w:val="center"/>
                </w:tcPr>
                <w:p w14:paraId="5C1E3DB4">
                  <w:pPr>
                    <w:pStyle w:val="98"/>
                    <w:rPr>
                      <w:rFonts w:hint="eastAsia"/>
                      <w:sz w:val="22"/>
                      <w:szCs w:val="22"/>
                      <w:lang w:val="en-US" w:eastAsia="zh-CN"/>
                    </w:rPr>
                  </w:pPr>
                  <w:r>
                    <w:rPr>
                      <w:rFonts w:hint="eastAsia"/>
                      <w:sz w:val="22"/>
                      <w:szCs w:val="22"/>
                      <w:lang w:val="en-US" w:eastAsia="zh-CN"/>
                    </w:rPr>
                    <w:t>符合</w:t>
                  </w:r>
                </w:p>
              </w:tc>
            </w:tr>
            <w:tr w14:paraId="505A1CE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411DBE2A">
                  <w:pPr>
                    <w:pStyle w:val="98"/>
                    <w:rPr>
                      <w:rFonts w:hint="default"/>
                      <w:sz w:val="22"/>
                      <w:szCs w:val="22"/>
                      <w:lang w:val="en-US" w:eastAsia="zh-CN"/>
                    </w:rPr>
                  </w:pPr>
                  <w:r>
                    <w:rPr>
                      <w:rFonts w:hint="eastAsia"/>
                      <w:sz w:val="22"/>
                      <w:szCs w:val="22"/>
                      <w:lang w:val="en-US" w:eastAsia="zh-CN"/>
                    </w:rPr>
                    <w:t>11</w:t>
                  </w:r>
                </w:p>
              </w:tc>
              <w:tc>
                <w:tcPr>
                  <w:tcW w:w="2217" w:type="pct"/>
                  <w:vAlign w:val="center"/>
                </w:tcPr>
                <w:p w14:paraId="69031C71">
                  <w:pPr>
                    <w:pStyle w:val="98"/>
                    <w:jc w:val="both"/>
                    <w:rPr>
                      <w:sz w:val="22"/>
                      <w:szCs w:val="22"/>
                    </w:rPr>
                  </w:pPr>
                  <w:r>
                    <w:rPr>
                      <w:rFonts w:hint="eastAsia"/>
                      <w:sz w:val="22"/>
                      <w:szCs w:val="22"/>
                    </w:rPr>
                    <w:t>禁止新建、扩建法律法规和相关政策明令禁止的落后产能项目。禁止新建、扩建不符合国家产能置换要求的严重过剩产能行业的项目。禁止新建、扩建不符合要求的高耗能高排放项目。</w:t>
                  </w:r>
                </w:p>
              </w:tc>
              <w:tc>
                <w:tcPr>
                  <w:tcW w:w="1817" w:type="pct"/>
                  <w:vAlign w:val="center"/>
                </w:tcPr>
                <w:p w14:paraId="420EE395">
                  <w:pPr>
                    <w:pStyle w:val="98"/>
                    <w:jc w:val="both"/>
                    <w:rPr>
                      <w:rFonts w:hint="eastAsia"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w:t>
                  </w:r>
                  <w:r>
                    <w:rPr>
                      <w:rFonts w:hint="eastAsia"/>
                      <w:sz w:val="22"/>
                      <w:szCs w:val="22"/>
                    </w:rPr>
                    <w:t>落后产能项目</w:t>
                  </w:r>
                  <w:r>
                    <w:rPr>
                      <w:rFonts w:hint="eastAsia"/>
                      <w:sz w:val="22"/>
                      <w:szCs w:val="22"/>
                      <w:lang w:eastAsia="zh-CN"/>
                    </w:rPr>
                    <w:t>、</w:t>
                  </w:r>
                  <w:r>
                    <w:rPr>
                      <w:rFonts w:hint="eastAsia"/>
                      <w:sz w:val="22"/>
                      <w:szCs w:val="22"/>
                    </w:rPr>
                    <w:t>高耗能高排放项目</w:t>
                  </w:r>
                  <w:r>
                    <w:rPr>
                      <w:rFonts w:hint="eastAsia"/>
                      <w:sz w:val="22"/>
                      <w:szCs w:val="22"/>
                      <w:lang w:eastAsia="zh-CN"/>
                    </w:rPr>
                    <w:t>。</w:t>
                  </w:r>
                </w:p>
              </w:tc>
              <w:tc>
                <w:tcPr>
                  <w:tcW w:w="934" w:type="dxa"/>
                  <w:vAlign w:val="center"/>
                </w:tcPr>
                <w:p w14:paraId="49C3989A">
                  <w:pPr>
                    <w:pStyle w:val="98"/>
                    <w:rPr>
                      <w:rFonts w:hint="eastAsia"/>
                      <w:sz w:val="22"/>
                      <w:szCs w:val="22"/>
                      <w:lang w:val="en-US" w:eastAsia="zh-CN"/>
                    </w:rPr>
                  </w:pPr>
                  <w:r>
                    <w:rPr>
                      <w:rFonts w:hint="eastAsia"/>
                      <w:sz w:val="22"/>
                      <w:szCs w:val="22"/>
                      <w:lang w:val="en-US" w:eastAsia="zh-CN"/>
                    </w:rPr>
                    <w:t>符合</w:t>
                  </w:r>
                </w:p>
              </w:tc>
            </w:tr>
            <w:tr w14:paraId="740EA250">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2080045E">
                  <w:pPr>
                    <w:pStyle w:val="98"/>
                    <w:rPr>
                      <w:rFonts w:hint="default"/>
                      <w:sz w:val="22"/>
                      <w:szCs w:val="22"/>
                      <w:lang w:val="en-US" w:eastAsia="zh-CN"/>
                    </w:rPr>
                  </w:pPr>
                  <w:r>
                    <w:rPr>
                      <w:rFonts w:hint="eastAsia"/>
                      <w:sz w:val="22"/>
                      <w:szCs w:val="22"/>
                      <w:lang w:val="en-US" w:eastAsia="zh-CN"/>
                    </w:rPr>
                    <w:t>12</w:t>
                  </w:r>
                </w:p>
              </w:tc>
              <w:tc>
                <w:tcPr>
                  <w:tcW w:w="2217" w:type="pct"/>
                  <w:vAlign w:val="center"/>
                </w:tcPr>
                <w:p w14:paraId="0107AFB8">
                  <w:pPr>
                    <w:pStyle w:val="98"/>
                    <w:jc w:val="both"/>
                    <w:rPr>
                      <w:sz w:val="22"/>
                      <w:szCs w:val="22"/>
                    </w:rPr>
                  </w:pPr>
                  <w:r>
                    <w:rPr>
                      <w:rFonts w:hint="eastAsia"/>
                      <w:sz w:val="22"/>
                      <w:szCs w:val="22"/>
                    </w:rPr>
                    <w:t>法律法规及相关政策文件有更加严格规定的从其规定。</w:t>
                  </w:r>
                </w:p>
              </w:tc>
              <w:tc>
                <w:tcPr>
                  <w:tcW w:w="1817" w:type="pct"/>
                  <w:vAlign w:val="center"/>
                </w:tcPr>
                <w:p w14:paraId="79EB5D30">
                  <w:pPr>
                    <w:pStyle w:val="98"/>
                    <w:jc w:val="both"/>
                    <w:rPr>
                      <w:rFonts w:hint="eastAsia" w:eastAsia="宋体"/>
                      <w:sz w:val="22"/>
                      <w:szCs w:val="22"/>
                      <w:lang w:eastAsia="zh-CN"/>
                    </w:rPr>
                  </w:pPr>
                  <w:r>
                    <w:rPr>
                      <w:rFonts w:hint="eastAsia"/>
                      <w:sz w:val="22"/>
                      <w:szCs w:val="22"/>
                    </w:rPr>
                    <w:t>本项目符合相关法律法规及政策规定</w:t>
                  </w:r>
                  <w:r>
                    <w:rPr>
                      <w:rFonts w:hint="eastAsia"/>
                      <w:sz w:val="22"/>
                      <w:szCs w:val="22"/>
                      <w:lang w:eastAsia="zh-CN"/>
                    </w:rPr>
                    <w:t>。</w:t>
                  </w:r>
                </w:p>
              </w:tc>
              <w:tc>
                <w:tcPr>
                  <w:tcW w:w="934" w:type="dxa"/>
                  <w:vAlign w:val="center"/>
                </w:tcPr>
                <w:p w14:paraId="47EC9DA9">
                  <w:pPr>
                    <w:pStyle w:val="98"/>
                    <w:rPr>
                      <w:rFonts w:hint="eastAsia"/>
                      <w:sz w:val="22"/>
                      <w:szCs w:val="22"/>
                      <w:lang w:val="en-US" w:eastAsia="zh-CN"/>
                    </w:rPr>
                  </w:pPr>
                  <w:r>
                    <w:rPr>
                      <w:rFonts w:hint="eastAsia"/>
                      <w:sz w:val="22"/>
                      <w:szCs w:val="22"/>
                      <w:lang w:val="en-US" w:eastAsia="zh-CN"/>
                    </w:rPr>
                    <w:t>符合</w:t>
                  </w:r>
                </w:p>
              </w:tc>
            </w:tr>
          </w:tbl>
          <w:p w14:paraId="07CDCA6D">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综上分析，本项目不属于《长江经济带发展负面清单指南（试行，2022年版）》禁止及限制建设内容。</w:t>
            </w:r>
          </w:p>
          <w:p w14:paraId="4209B316">
            <w:pPr>
              <w:pStyle w:val="3"/>
              <w:bidi w:val="0"/>
            </w:pPr>
            <w:r>
              <w:rPr>
                <w:rFonts w:hint="eastAsia"/>
              </w:rPr>
              <w:t>与《四川省、重庆市长江经济带发展负面清单实施细则（试行，2022 年版）》（川长江办〔20</w:t>
            </w:r>
            <w:r>
              <w:rPr>
                <w:rFonts w:hint="eastAsia"/>
                <w:lang w:val="en-US" w:eastAsia="zh-CN"/>
              </w:rPr>
              <w:t>2</w:t>
            </w:r>
            <w:r>
              <w:rPr>
                <w:rFonts w:hint="eastAsia"/>
              </w:rPr>
              <w:t>2〕17号）符合性分析</w:t>
            </w:r>
          </w:p>
          <w:p w14:paraId="3083D191">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根据《四川省、重庆市长江经济带发展负面清单实施细则（试行，2022年版）》（川长江办〔2022〕17号），本项目不在负面清单之中，符合性分析见下表。</w:t>
            </w:r>
          </w:p>
          <w:p w14:paraId="611BFC8F">
            <w:pPr>
              <w:pStyle w:val="7"/>
              <w:bidi w:val="0"/>
              <w:jc w:val="center"/>
            </w:pPr>
            <w:r>
              <w:rPr>
                <w:rFonts w:hint="eastAsia"/>
                <w:lang w:eastAsia="zh-CN"/>
              </w:rPr>
              <w:t>项目与《</w:t>
            </w:r>
            <w:r>
              <w:rPr>
                <w:rFonts w:hint="eastAsia"/>
              </w:rPr>
              <w:t>川长江办〔20</w:t>
            </w:r>
            <w:r>
              <w:rPr>
                <w:rFonts w:hint="eastAsia"/>
                <w:lang w:val="en-US" w:eastAsia="zh-CN"/>
              </w:rPr>
              <w:t>2</w:t>
            </w:r>
            <w:r>
              <w:rPr>
                <w:rFonts w:hint="eastAsia"/>
              </w:rPr>
              <w:t>2〕17号</w:t>
            </w:r>
            <w:r>
              <w:rPr>
                <w:rFonts w:hint="eastAsia"/>
                <w:lang w:eastAsia="zh-CN"/>
              </w:rPr>
              <w:t>》符合性分析</w:t>
            </w:r>
          </w:p>
          <w:tbl>
            <w:tblPr>
              <w:tblStyle w:val="81"/>
              <w:tblW w:w="4999"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7"/>
              <w:gridCol w:w="4216"/>
              <w:gridCol w:w="2815"/>
              <w:gridCol w:w="955"/>
            </w:tblGrid>
            <w:tr w14:paraId="0C62C9D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17" w:type="pct"/>
                  <w:vAlign w:val="center"/>
                </w:tcPr>
                <w:p w14:paraId="1A2C2564">
                  <w:pPr>
                    <w:pStyle w:val="98"/>
                    <w:rPr>
                      <w:rFonts w:hint="eastAsia" w:eastAsia="宋体"/>
                      <w:sz w:val="22"/>
                      <w:szCs w:val="22"/>
                      <w:lang w:eastAsia="zh-CN"/>
                    </w:rPr>
                  </w:pPr>
                  <w:r>
                    <w:rPr>
                      <w:rFonts w:hint="eastAsia"/>
                      <w:sz w:val="22"/>
                      <w:szCs w:val="22"/>
                      <w:lang w:val="en-US" w:eastAsia="zh-CN"/>
                    </w:rPr>
                    <w:t>序号</w:t>
                  </w:r>
                </w:p>
              </w:tc>
              <w:tc>
                <w:tcPr>
                  <w:tcW w:w="2419" w:type="pct"/>
                  <w:vAlign w:val="center"/>
                </w:tcPr>
                <w:p w14:paraId="47A4B286">
                  <w:pPr>
                    <w:pStyle w:val="98"/>
                    <w:rPr>
                      <w:rFonts w:hint="eastAsia" w:eastAsia="宋体"/>
                      <w:sz w:val="22"/>
                      <w:szCs w:val="22"/>
                      <w:lang w:eastAsia="zh-CN"/>
                    </w:rPr>
                  </w:pPr>
                  <w:r>
                    <w:rPr>
                      <w:rFonts w:hint="eastAsia"/>
                      <w:sz w:val="22"/>
                      <w:szCs w:val="22"/>
                      <w:lang w:val="en-US" w:eastAsia="zh-CN"/>
                    </w:rPr>
                    <w:t>文件内容</w:t>
                  </w:r>
                </w:p>
              </w:tc>
              <w:tc>
                <w:tcPr>
                  <w:tcW w:w="1615" w:type="pct"/>
                  <w:vAlign w:val="center"/>
                </w:tcPr>
                <w:p w14:paraId="78D0E0A9">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3773032D">
                  <w:pPr>
                    <w:pStyle w:val="98"/>
                    <w:rPr>
                      <w:rFonts w:hint="eastAsia" w:eastAsia="宋体"/>
                      <w:sz w:val="22"/>
                      <w:szCs w:val="22"/>
                      <w:lang w:eastAsia="zh-CN"/>
                    </w:rPr>
                  </w:pPr>
                  <w:r>
                    <w:rPr>
                      <w:rFonts w:hint="eastAsia"/>
                      <w:sz w:val="22"/>
                      <w:szCs w:val="22"/>
                      <w:lang w:val="en-US" w:eastAsia="zh-CN"/>
                    </w:rPr>
                    <w:t>符合性</w:t>
                  </w:r>
                </w:p>
              </w:tc>
            </w:tr>
            <w:tr w14:paraId="6F3DD83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A07EFD3">
                  <w:pPr>
                    <w:pStyle w:val="98"/>
                    <w:rPr>
                      <w:rFonts w:hint="eastAsia" w:eastAsia="宋体"/>
                      <w:sz w:val="22"/>
                      <w:szCs w:val="22"/>
                      <w:lang w:val="en-US" w:eastAsia="zh-CN"/>
                    </w:rPr>
                  </w:pPr>
                  <w:r>
                    <w:rPr>
                      <w:rFonts w:hint="eastAsia"/>
                      <w:sz w:val="22"/>
                      <w:szCs w:val="22"/>
                      <w:lang w:val="en-US" w:eastAsia="zh-CN"/>
                    </w:rPr>
                    <w:t>1</w:t>
                  </w:r>
                </w:p>
              </w:tc>
              <w:tc>
                <w:tcPr>
                  <w:tcW w:w="2419" w:type="pct"/>
                  <w:vAlign w:val="center"/>
                </w:tcPr>
                <w:p w14:paraId="00F83830">
                  <w:pPr>
                    <w:pStyle w:val="98"/>
                    <w:jc w:val="both"/>
                    <w:rPr>
                      <w:sz w:val="22"/>
                      <w:szCs w:val="22"/>
                    </w:rPr>
                  </w:pPr>
                  <w:r>
                    <w:rPr>
                      <w:rFonts w:hint="eastAsia"/>
                      <w:sz w:val="22"/>
                      <w:szCs w:val="22"/>
                    </w:rPr>
                    <w:t>禁止新建、改建和扩建不符合全国港口布局规划，以及《四川省内河水运发展规划》《泸州—宜宾—乐山港口群布局规划》《重庆港总体规划（2035年）》等省级港口布局规划及市级港口总体规划的码头项目。</w:t>
                  </w:r>
                </w:p>
              </w:tc>
              <w:tc>
                <w:tcPr>
                  <w:tcW w:w="1615" w:type="pct"/>
                  <w:vAlign w:val="center"/>
                </w:tcPr>
                <w:p w14:paraId="2DB8A5F5">
                  <w:pPr>
                    <w:pStyle w:val="98"/>
                    <w:jc w:val="both"/>
                    <w:rPr>
                      <w:rFonts w:hint="default"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不属于码头项目。</w:t>
                  </w:r>
                </w:p>
              </w:tc>
              <w:tc>
                <w:tcPr>
                  <w:tcW w:w="548" w:type="pct"/>
                  <w:vAlign w:val="center"/>
                </w:tcPr>
                <w:p w14:paraId="5E7E20E8">
                  <w:pPr>
                    <w:pStyle w:val="98"/>
                    <w:rPr>
                      <w:rFonts w:hint="eastAsia" w:eastAsia="宋体"/>
                      <w:sz w:val="22"/>
                      <w:szCs w:val="22"/>
                      <w:lang w:val="en-US" w:eastAsia="zh-CN"/>
                    </w:rPr>
                  </w:pPr>
                  <w:r>
                    <w:rPr>
                      <w:rFonts w:hint="eastAsia"/>
                      <w:sz w:val="22"/>
                      <w:szCs w:val="22"/>
                      <w:lang w:val="en-US" w:eastAsia="zh-CN"/>
                    </w:rPr>
                    <w:t>符合</w:t>
                  </w:r>
                </w:p>
              </w:tc>
            </w:tr>
            <w:tr w14:paraId="04485FD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263D6A9">
                  <w:pPr>
                    <w:pStyle w:val="98"/>
                    <w:rPr>
                      <w:rFonts w:hint="eastAsia" w:eastAsia="宋体"/>
                      <w:sz w:val="22"/>
                      <w:szCs w:val="22"/>
                      <w:lang w:val="en-US" w:eastAsia="zh-CN"/>
                    </w:rPr>
                  </w:pPr>
                  <w:r>
                    <w:rPr>
                      <w:rFonts w:hint="eastAsia"/>
                      <w:sz w:val="22"/>
                      <w:szCs w:val="22"/>
                      <w:lang w:val="en-US" w:eastAsia="zh-CN"/>
                    </w:rPr>
                    <w:t>2</w:t>
                  </w:r>
                </w:p>
              </w:tc>
              <w:tc>
                <w:tcPr>
                  <w:tcW w:w="2419" w:type="pct"/>
                  <w:vAlign w:val="center"/>
                </w:tcPr>
                <w:p w14:paraId="74FAD059">
                  <w:pPr>
                    <w:pStyle w:val="98"/>
                    <w:jc w:val="both"/>
                    <w:rPr>
                      <w:sz w:val="22"/>
                      <w:szCs w:val="22"/>
                    </w:rPr>
                  </w:pPr>
                  <w:r>
                    <w:rPr>
                      <w:rFonts w:hint="eastAsia"/>
                      <w:sz w:val="22"/>
                      <w:szCs w:val="22"/>
                    </w:rPr>
                    <w:t>禁止新建、改建和扩建不符合《长江干线过江通道布局规划（2020—2035年）》的过长江通道项目（含桥梁、隧道），国家发展改革委同意过长江通道线位调整的除外。</w:t>
                  </w:r>
                </w:p>
              </w:tc>
              <w:tc>
                <w:tcPr>
                  <w:tcW w:w="1615" w:type="pct"/>
                  <w:vAlign w:val="center"/>
                </w:tcPr>
                <w:p w14:paraId="44437916">
                  <w:pPr>
                    <w:pStyle w:val="98"/>
                    <w:jc w:val="both"/>
                    <w:rPr>
                      <w:rFonts w:hint="eastAsia" w:eastAsia="宋体"/>
                      <w:sz w:val="22"/>
                      <w:szCs w:val="22"/>
                      <w:lang w:val="en-US" w:eastAsia="zh-CN"/>
                    </w:rPr>
                  </w:pPr>
                  <w:r>
                    <w:rPr>
                      <w:rFonts w:hint="eastAsia"/>
                      <w:sz w:val="22"/>
                      <w:szCs w:val="22"/>
                    </w:rPr>
                    <w:t>本项目为</w:t>
                  </w:r>
                  <w:r>
                    <w:rPr>
                      <w:rFonts w:hint="eastAsia"/>
                      <w:sz w:val="22"/>
                      <w:szCs w:val="22"/>
                      <w:lang w:eastAsia="zh-CN"/>
                    </w:rPr>
                    <w:t>防洪治理工程</w:t>
                  </w:r>
                  <w:r>
                    <w:rPr>
                      <w:rFonts w:hint="eastAsia"/>
                      <w:sz w:val="22"/>
                      <w:szCs w:val="22"/>
                    </w:rPr>
                    <w:t>，</w:t>
                  </w:r>
                  <w:r>
                    <w:rPr>
                      <w:rFonts w:hint="eastAsia"/>
                      <w:sz w:val="22"/>
                      <w:szCs w:val="22"/>
                      <w:lang w:val="en-US" w:eastAsia="zh-CN"/>
                    </w:rPr>
                    <w:t>不属于</w:t>
                  </w:r>
                  <w:r>
                    <w:rPr>
                      <w:rFonts w:hint="eastAsia"/>
                      <w:sz w:val="22"/>
                      <w:szCs w:val="22"/>
                    </w:rPr>
                    <w:t>过长江通道项目</w:t>
                  </w:r>
                  <w:r>
                    <w:rPr>
                      <w:rFonts w:hint="eastAsia"/>
                      <w:sz w:val="22"/>
                      <w:szCs w:val="22"/>
                      <w:lang w:eastAsia="zh-CN"/>
                    </w:rPr>
                    <w:t>。</w:t>
                  </w:r>
                </w:p>
              </w:tc>
              <w:tc>
                <w:tcPr>
                  <w:tcW w:w="548" w:type="pct"/>
                  <w:vAlign w:val="center"/>
                </w:tcPr>
                <w:p w14:paraId="17B49C0D">
                  <w:pPr>
                    <w:pStyle w:val="98"/>
                    <w:rPr>
                      <w:rFonts w:hint="eastAsia" w:eastAsia="宋体"/>
                      <w:sz w:val="22"/>
                      <w:szCs w:val="22"/>
                      <w:lang w:val="en-US" w:eastAsia="zh-CN"/>
                    </w:rPr>
                  </w:pPr>
                  <w:r>
                    <w:rPr>
                      <w:rFonts w:hint="eastAsia"/>
                      <w:sz w:val="22"/>
                      <w:szCs w:val="22"/>
                      <w:lang w:val="en-US" w:eastAsia="zh-CN"/>
                    </w:rPr>
                    <w:t>符合</w:t>
                  </w:r>
                </w:p>
              </w:tc>
            </w:tr>
            <w:tr w14:paraId="33375F1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5DF2E5D">
                  <w:pPr>
                    <w:pStyle w:val="98"/>
                    <w:rPr>
                      <w:rFonts w:hint="eastAsia" w:eastAsia="宋体"/>
                      <w:sz w:val="22"/>
                      <w:szCs w:val="22"/>
                      <w:lang w:val="en-US" w:eastAsia="zh-CN"/>
                    </w:rPr>
                  </w:pPr>
                  <w:r>
                    <w:rPr>
                      <w:rFonts w:hint="eastAsia"/>
                      <w:sz w:val="22"/>
                      <w:szCs w:val="22"/>
                      <w:lang w:val="en-US" w:eastAsia="zh-CN"/>
                    </w:rPr>
                    <w:t>3</w:t>
                  </w:r>
                </w:p>
              </w:tc>
              <w:tc>
                <w:tcPr>
                  <w:tcW w:w="2419" w:type="pct"/>
                  <w:vAlign w:val="center"/>
                </w:tcPr>
                <w:p w14:paraId="49617FEE">
                  <w:pPr>
                    <w:pStyle w:val="98"/>
                    <w:jc w:val="both"/>
                    <w:rPr>
                      <w:sz w:val="22"/>
                      <w:szCs w:val="22"/>
                    </w:rPr>
                  </w:pPr>
                  <w:r>
                    <w:rPr>
                      <w:rFonts w:hint="eastAsia"/>
                      <w:sz w:val="22"/>
                      <w:szCs w:val="22"/>
                    </w:rPr>
                    <w:t>禁止在自然保护区核心区、缓冲区的岸线和河段范围内投资建设旅游和生产经营项目。自然保护区的内部未分区的，依照核心区和缓冲区的规定管控。</w:t>
                  </w:r>
                </w:p>
              </w:tc>
              <w:tc>
                <w:tcPr>
                  <w:tcW w:w="1615" w:type="pct"/>
                  <w:vAlign w:val="center"/>
                </w:tcPr>
                <w:p w14:paraId="44589804">
                  <w:pPr>
                    <w:pStyle w:val="98"/>
                    <w:jc w:val="both"/>
                    <w:rPr>
                      <w:rFonts w:hint="default" w:eastAsia="宋体"/>
                      <w:b w:val="0"/>
                      <w:bCs w:val="0"/>
                      <w:sz w:val="22"/>
                      <w:szCs w:val="22"/>
                      <w:lang w:val="en-US" w:eastAsia="zh-CN"/>
                    </w:rPr>
                  </w:pPr>
                  <w:r>
                    <w:rPr>
                      <w:rFonts w:hint="eastAsia"/>
                      <w:sz w:val="22"/>
                      <w:szCs w:val="22"/>
                      <w:lang w:val="en-US" w:eastAsia="zh-CN"/>
                    </w:rPr>
                    <w:t>本项目位于天生镇镇区附近，不涉及自然保护区。</w:t>
                  </w:r>
                </w:p>
              </w:tc>
              <w:tc>
                <w:tcPr>
                  <w:tcW w:w="548" w:type="pct"/>
                  <w:vAlign w:val="center"/>
                </w:tcPr>
                <w:p w14:paraId="6548D300">
                  <w:pPr>
                    <w:pStyle w:val="98"/>
                    <w:rPr>
                      <w:rFonts w:hint="eastAsia" w:eastAsia="宋体"/>
                      <w:b w:val="0"/>
                      <w:bCs w:val="0"/>
                      <w:sz w:val="22"/>
                      <w:szCs w:val="22"/>
                      <w:lang w:eastAsia="zh-CN"/>
                    </w:rPr>
                  </w:pPr>
                  <w:r>
                    <w:rPr>
                      <w:rFonts w:hint="eastAsia"/>
                      <w:sz w:val="22"/>
                      <w:szCs w:val="22"/>
                      <w:lang w:val="en-US" w:eastAsia="zh-CN"/>
                    </w:rPr>
                    <w:t>符合</w:t>
                  </w:r>
                </w:p>
              </w:tc>
            </w:tr>
            <w:tr w14:paraId="388F257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B7D1E37">
                  <w:pPr>
                    <w:pStyle w:val="98"/>
                    <w:rPr>
                      <w:rFonts w:hint="eastAsia" w:eastAsia="宋体"/>
                      <w:sz w:val="22"/>
                      <w:szCs w:val="22"/>
                      <w:lang w:val="en-US" w:eastAsia="zh-CN"/>
                    </w:rPr>
                  </w:pPr>
                  <w:r>
                    <w:rPr>
                      <w:rFonts w:hint="eastAsia"/>
                      <w:sz w:val="22"/>
                      <w:szCs w:val="22"/>
                      <w:lang w:val="en-US" w:eastAsia="zh-CN"/>
                    </w:rPr>
                    <w:t>4</w:t>
                  </w:r>
                </w:p>
              </w:tc>
              <w:tc>
                <w:tcPr>
                  <w:tcW w:w="2419" w:type="pct"/>
                  <w:vAlign w:val="center"/>
                </w:tcPr>
                <w:p w14:paraId="645A7710">
                  <w:pPr>
                    <w:pStyle w:val="98"/>
                    <w:jc w:val="both"/>
                    <w:rPr>
                      <w:sz w:val="22"/>
                      <w:szCs w:val="22"/>
                    </w:rPr>
                  </w:pPr>
                  <w:r>
                    <w:rPr>
                      <w:rFonts w:hint="eastAsia"/>
                      <w:sz w:val="22"/>
                      <w:szCs w:val="22"/>
                    </w:rPr>
                    <w:t>禁止违反风景名胜区规划，在风景名胜区内设立各类开发区。禁止在风景名胜区核心景区的岸线和河段范围内建设宾馆、招待所、培训中心、疗养院以及与风景名胜资源保护无关的项目。</w:t>
                  </w:r>
                </w:p>
              </w:tc>
              <w:tc>
                <w:tcPr>
                  <w:tcW w:w="1615" w:type="pct"/>
                  <w:vAlign w:val="center"/>
                </w:tcPr>
                <w:p w14:paraId="0241F29E">
                  <w:pPr>
                    <w:pStyle w:val="98"/>
                    <w:jc w:val="both"/>
                    <w:rPr>
                      <w:rFonts w:hint="eastAsia" w:eastAsia="宋体"/>
                      <w:sz w:val="22"/>
                      <w:szCs w:val="22"/>
                      <w:lang w:val="en-US" w:eastAsia="zh-CN"/>
                    </w:rPr>
                  </w:pPr>
                  <w:r>
                    <w:rPr>
                      <w:rFonts w:hint="eastAsia"/>
                      <w:sz w:val="22"/>
                      <w:szCs w:val="22"/>
                      <w:lang w:val="en-US" w:eastAsia="zh-CN"/>
                    </w:rPr>
                    <w:t>本项目位于天生镇镇区附近，不涉及风景名胜区。</w:t>
                  </w:r>
                </w:p>
              </w:tc>
              <w:tc>
                <w:tcPr>
                  <w:tcW w:w="548" w:type="pct"/>
                  <w:vAlign w:val="center"/>
                </w:tcPr>
                <w:p w14:paraId="779A71A9">
                  <w:pPr>
                    <w:pStyle w:val="98"/>
                    <w:rPr>
                      <w:sz w:val="22"/>
                      <w:szCs w:val="22"/>
                    </w:rPr>
                  </w:pPr>
                  <w:r>
                    <w:rPr>
                      <w:rFonts w:hint="eastAsia"/>
                      <w:sz w:val="22"/>
                      <w:szCs w:val="22"/>
                      <w:lang w:val="en-US" w:eastAsia="zh-CN"/>
                    </w:rPr>
                    <w:t>符合</w:t>
                  </w:r>
                </w:p>
              </w:tc>
            </w:tr>
            <w:tr w14:paraId="5C6581B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7B547403">
                  <w:pPr>
                    <w:pStyle w:val="98"/>
                    <w:rPr>
                      <w:rFonts w:hint="eastAsia" w:eastAsia="宋体"/>
                      <w:sz w:val="22"/>
                      <w:szCs w:val="22"/>
                      <w:lang w:val="en-US" w:eastAsia="zh-CN"/>
                    </w:rPr>
                  </w:pPr>
                  <w:r>
                    <w:rPr>
                      <w:rFonts w:hint="eastAsia"/>
                      <w:sz w:val="22"/>
                      <w:szCs w:val="22"/>
                      <w:lang w:val="en-US" w:eastAsia="zh-CN"/>
                    </w:rPr>
                    <w:t>5</w:t>
                  </w:r>
                </w:p>
              </w:tc>
              <w:tc>
                <w:tcPr>
                  <w:tcW w:w="2419" w:type="pct"/>
                  <w:vAlign w:val="center"/>
                </w:tcPr>
                <w:p w14:paraId="5C00DECA">
                  <w:pPr>
                    <w:pStyle w:val="98"/>
                    <w:jc w:val="both"/>
                    <w:rPr>
                      <w:sz w:val="22"/>
                      <w:szCs w:val="22"/>
                    </w:rPr>
                  </w:pPr>
                  <w:r>
                    <w:rPr>
                      <w:rFonts w:hint="eastAsia"/>
                      <w:sz w:val="22"/>
                      <w:szCs w:val="22"/>
                    </w:rPr>
                    <w:t>禁止在饮用水水源准保护区的岸线和河段范围内新建、扩建对水体污染严重的建设项目，禁止改建增加排污量的建设项目。</w:t>
                  </w:r>
                </w:p>
              </w:tc>
              <w:tc>
                <w:tcPr>
                  <w:tcW w:w="1615" w:type="pct"/>
                  <w:vAlign w:val="center"/>
                </w:tcPr>
                <w:p w14:paraId="2322DAFE">
                  <w:pPr>
                    <w:pStyle w:val="98"/>
                    <w:jc w:val="both"/>
                    <w:rPr>
                      <w:rFonts w:hint="eastAsia" w:eastAsia="宋体"/>
                      <w:sz w:val="22"/>
                      <w:szCs w:val="22"/>
                      <w:lang w:eastAsia="zh-CN"/>
                    </w:rPr>
                  </w:pPr>
                  <w:r>
                    <w:rPr>
                      <w:rFonts w:hint="eastAsia"/>
                      <w:sz w:val="22"/>
                      <w:szCs w:val="22"/>
                      <w:lang w:val="en-US" w:eastAsia="zh-CN"/>
                    </w:rPr>
                    <w:t>本项目位于天生镇镇区附近，不涉及饮用水水源保护区。</w:t>
                  </w:r>
                </w:p>
              </w:tc>
              <w:tc>
                <w:tcPr>
                  <w:tcW w:w="548" w:type="pct"/>
                  <w:vAlign w:val="center"/>
                </w:tcPr>
                <w:p w14:paraId="4FB1E901">
                  <w:pPr>
                    <w:pStyle w:val="98"/>
                    <w:rPr>
                      <w:sz w:val="22"/>
                      <w:szCs w:val="22"/>
                    </w:rPr>
                  </w:pPr>
                  <w:r>
                    <w:rPr>
                      <w:rFonts w:hint="eastAsia"/>
                      <w:sz w:val="22"/>
                      <w:szCs w:val="22"/>
                      <w:lang w:val="en-US" w:eastAsia="zh-CN"/>
                    </w:rPr>
                    <w:t>符合</w:t>
                  </w:r>
                </w:p>
              </w:tc>
            </w:tr>
            <w:tr w14:paraId="4EFAF240">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FCFA67E">
                  <w:pPr>
                    <w:pStyle w:val="98"/>
                    <w:rPr>
                      <w:rFonts w:hint="default"/>
                      <w:sz w:val="22"/>
                      <w:szCs w:val="22"/>
                      <w:lang w:val="en-US" w:eastAsia="zh-CN"/>
                    </w:rPr>
                  </w:pPr>
                  <w:r>
                    <w:rPr>
                      <w:rFonts w:hint="eastAsia"/>
                      <w:sz w:val="22"/>
                      <w:szCs w:val="22"/>
                      <w:lang w:val="en-US" w:eastAsia="zh-CN"/>
                    </w:rPr>
                    <w:t>6</w:t>
                  </w:r>
                </w:p>
              </w:tc>
              <w:tc>
                <w:tcPr>
                  <w:tcW w:w="2419" w:type="pct"/>
                  <w:vAlign w:val="center"/>
                </w:tcPr>
                <w:p w14:paraId="4A30017F">
                  <w:pPr>
                    <w:pStyle w:val="98"/>
                    <w:jc w:val="both"/>
                    <w:rPr>
                      <w:rFonts w:hint="eastAsia" w:eastAsia="宋体"/>
                      <w:sz w:val="22"/>
                      <w:szCs w:val="22"/>
                      <w:lang w:eastAsia="zh-CN"/>
                    </w:rPr>
                  </w:pPr>
                  <w:r>
                    <w:rPr>
                      <w:rFonts w:hint="eastAsia"/>
                      <w:sz w:val="22"/>
                      <w:szCs w:val="22"/>
                    </w:rPr>
                    <w:t>饮用水水源二级保护区的岸线和河段范围内，除应遵守准保护区规定外，禁止新建、改建、扩建排放污染物的投资建设项目；禁止从事采石（砂）、对水体有污染的水产养殖等活动</w:t>
                  </w:r>
                  <w:r>
                    <w:rPr>
                      <w:rFonts w:hint="eastAsia"/>
                      <w:sz w:val="22"/>
                      <w:szCs w:val="22"/>
                      <w:lang w:eastAsia="zh-CN"/>
                    </w:rPr>
                    <w:t>。</w:t>
                  </w:r>
                </w:p>
              </w:tc>
              <w:tc>
                <w:tcPr>
                  <w:tcW w:w="1615" w:type="pct"/>
                  <w:vAlign w:val="center"/>
                </w:tcPr>
                <w:p w14:paraId="79F1B91F">
                  <w:pPr>
                    <w:pStyle w:val="98"/>
                    <w:jc w:val="both"/>
                    <w:rPr>
                      <w:rFonts w:hint="eastAsia" w:eastAsia="宋体"/>
                      <w:sz w:val="22"/>
                      <w:szCs w:val="22"/>
                      <w:lang w:eastAsia="zh-CN"/>
                    </w:rPr>
                  </w:pPr>
                  <w:r>
                    <w:rPr>
                      <w:rFonts w:hint="eastAsia"/>
                      <w:sz w:val="22"/>
                      <w:szCs w:val="22"/>
                      <w:lang w:val="en-US" w:eastAsia="zh-CN"/>
                    </w:rPr>
                    <w:t>本项目位于天生镇镇区附近，不涉及饮用水水源保护区。</w:t>
                  </w:r>
                </w:p>
              </w:tc>
              <w:tc>
                <w:tcPr>
                  <w:tcW w:w="548" w:type="pct"/>
                  <w:vAlign w:val="center"/>
                </w:tcPr>
                <w:p w14:paraId="5BF2EF3F">
                  <w:pPr>
                    <w:pStyle w:val="98"/>
                    <w:rPr>
                      <w:rFonts w:hint="eastAsia"/>
                      <w:sz w:val="22"/>
                      <w:szCs w:val="22"/>
                      <w:lang w:val="en-US" w:eastAsia="zh-CN"/>
                    </w:rPr>
                  </w:pPr>
                  <w:r>
                    <w:rPr>
                      <w:rFonts w:hint="eastAsia"/>
                      <w:sz w:val="22"/>
                      <w:szCs w:val="22"/>
                      <w:lang w:val="en-US" w:eastAsia="zh-CN"/>
                    </w:rPr>
                    <w:t>符合</w:t>
                  </w:r>
                </w:p>
              </w:tc>
            </w:tr>
            <w:tr w14:paraId="41A4766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5B55385">
                  <w:pPr>
                    <w:pStyle w:val="98"/>
                    <w:rPr>
                      <w:rFonts w:hint="default"/>
                      <w:sz w:val="22"/>
                      <w:szCs w:val="22"/>
                      <w:lang w:val="en-US" w:eastAsia="zh-CN"/>
                    </w:rPr>
                  </w:pPr>
                  <w:r>
                    <w:rPr>
                      <w:rFonts w:hint="eastAsia"/>
                      <w:sz w:val="22"/>
                      <w:szCs w:val="22"/>
                      <w:lang w:val="en-US" w:eastAsia="zh-CN"/>
                    </w:rPr>
                    <w:t>7</w:t>
                  </w:r>
                </w:p>
              </w:tc>
              <w:tc>
                <w:tcPr>
                  <w:tcW w:w="2419" w:type="pct"/>
                  <w:vAlign w:val="center"/>
                </w:tcPr>
                <w:p w14:paraId="558C2D32">
                  <w:pPr>
                    <w:pStyle w:val="98"/>
                    <w:jc w:val="both"/>
                    <w:rPr>
                      <w:sz w:val="22"/>
                      <w:szCs w:val="22"/>
                    </w:rPr>
                  </w:pPr>
                  <w:r>
                    <w:rPr>
                      <w:rFonts w:hint="eastAsia"/>
                      <w:sz w:val="22"/>
                      <w:szCs w:val="22"/>
                    </w:rPr>
                    <w:t>饮用水水源一级保护区的岸线和河段范围内，除应遵守二级保护区规定外，禁止新建、改建、扩建与供水设施和保护水源无关的项目，以及网箱养殖、畜禽养殖、旅游等可能污染饮用水水体的投资建设项目。</w:t>
                  </w:r>
                </w:p>
              </w:tc>
              <w:tc>
                <w:tcPr>
                  <w:tcW w:w="1615" w:type="pct"/>
                  <w:vAlign w:val="center"/>
                </w:tcPr>
                <w:p w14:paraId="36FD5365">
                  <w:pPr>
                    <w:pStyle w:val="98"/>
                    <w:jc w:val="both"/>
                    <w:rPr>
                      <w:rFonts w:hint="default" w:eastAsia="宋体"/>
                      <w:sz w:val="22"/>
                      <w:szCs w:val="22"/>
                      <w:lang w:val="en-US" w:eastAsia="zh-CN"/>
                    </w:rPr>
                  </w:pPr>
                  <w:r>
                    <w:rPr>
                      <w:rFonts w:hint="eastAsia"/>
                      <w:sz w:val="22"/>
                      <w:szCs w:val="22"/>
                      <w:lang w:val="en-US" w:eastAsia="zh-CN"/>
                    </w:rPr>
                    <w:t>本项目位于天生镇镇区附近，不涉及饮用水水源保护区。</w:t>
                  </w:r>
                </w:p>
              </w:tc>
              <w:tc>
                <w:tcPr>
                  <w:tcW w:w="548" w:type="pct"/>
                  <w:vAlign w:val="center"/>
                </w:tcPr>
                <w:p w14:paraId="63F2DEEF">
                  <w:pPr>
                    <w:pStyle w:val="98"/>
                    <w:rPr>
                      <w:rFonts w:hint="eastAsia"/>
                      <w:sz w:val="22"/>
                      <w:szCs w:val="22"/>
                      <w:lang w:val="en-US" w:eastAsia="zh-CN"/>
                    </w:rPr>
                  </w:pPr>
                  <w:r>
                    <w:rPr>
                      <w:rFonts w:hint="eastAsia"/>
                      <w:sz w:val="22"/>
                      <w:szCs w:val="22"/>
                      <w:lang w:val="en-US" w:eastAsia="zh-CN"/>
                    </w:rPr>
                    <w:t>符合</w:t>
                  </w:r>
                </w:p>
              </w:tc>
            </w:tr>
            <w:tr w14:paraId="13893E4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451116B7">
                  <w:pPr>
                    <w:pStyle w:val="98"/>
                    <w:rPr>
                      <w:rFonts w:hint="default"/>
                      <w:sz w:val="22"/>
                      <w:szCs w:val="22"/>
                      <w:lang w:val="en-US" w:eastAsia="zh-CN"/>
                    </w:rPr>
                  </w:pPr>
                  <w:r>
                    <w:rPr>
                      <w:rFonts w:hint="eastAsia"/>
                      <w:sz w:val="22"/>
                      <w:szCs w:val="22"/>
                      <w:lang w:val="en-US" w:eastAsia="zh-CN"/>
                    </w:rPr>
                    <w:t>8</w:t>
                  </w:r>
                </w:p>
              </w:tc>
              <w:tc>
                <w:tcPr>
                  <w:tcW w:w="2419" w:type="pct"/>
                  <w:vAlign w:val="center"/>
                </w:tcPr>
                <w:p w14:paraId="09F23FDD">
                  <w:pPr>
                    <w:pStyle w:val="98"/>
                    <w:jc w:val="both"/>
                    <w:rPr>
                      <w:sz w:val="22"/>
                      <w:szCs w:val="22"/>
                    </w:rPr>
                  </w:pPr>
                  <w:r>
                    <w:rPr>
                      <w:rFonts w:hint="eastAsia"/>
                      <w:sz w:val="22"/>
                      <w:szCs w:val="22"/>
                    </w:rPr>
                    <w:t>禁止在水产种质资源保护区岸线和河段范围内新建围湖造田、围湖造地或挖沙采石等投资建设项目。</w:t>
                  </w:r>
                </w:p>
              </w:tc>
              <w:tc>
                <w:tcPr>
                  <w:tcW w:w="1615" w:type="pct"/>
                  <w:vAlign w:val="center"/>
                </w:tcPr>
                <w:p w14:paraId="02235BB2">
                  <w:pPr>
                    <w:pStyle w:val="98"/>
                    <w:jc w:val="both"/>
                    <w:rPr>
                      <w:rFonts w:hint="default" w:eastAsia="宋体"/>
                      <w:sz w:val="22"/>
                      <w:szCs w:val="22"/>
                      <w:lang w:val="en-US" w:eastAsia="zh-CN"/>
                    </w:rPr>
                  </w:pPr>
                  <w:r>
                    <w:rPr>
                      <w:rFonts w:hint="eastAsia"/>
                      <w:sz w:val="22"/>
                      <w:szCs w:val="22"/>
                      <w:lang w:val="en-US" w:eastAsia="zh-CN"/>
                    </w:rPr>
                    <w:t>本项目位于天生镇镇区附近，不涉及</w:t>
                  </w:r>
                  <w:r>
                    <w:rPr>
                      <w:rFonts w:hint="eastAsia"/>
                      <w:sz w:val="22"/>
                      <w:szCs w:val="22"/>
                    </w:rPr>
                    <w:t>水产种质资源保护区岸线和河段</w:t>
                  </w:r>
                  <w:r>
                    <w:rPr>
                      <w:rFonts w:hint="eastAsia"/>
                      <w:sz w:val="22"/>
                      <w:szCs w:val="22"/>
                      <w:lang w:val="en-US" w:eastAsia="zh-CN"/>
                    </w:rPr>
                    <w:t>。</w:t>
                  </w:r>
                </w:p>
              </w:tc>
              <w:tc>
                <w:tcPr>
                  <w:tcW w:w="548" w:type="pct"/>
                  <w:vAlign w:val="center"/>
                </w:tcPr>
                <w:p w14:paraId="5FB27D51">
                  <w:pPr>
                    <w:pStyle w:val="98"/>
                    <w:rPr>
                      <w:rFonts w:hint="eastAsia"/>
                      <w:sz w:val="22"/>
                      <w:szCs w:val="22"/>
                      <w:lang w:val="en-US" w:eastAsia="zh-CN"/>
                    </w:rPr>
                  </w:pPr>
                  <w:r>
                    <w:rPr>
                      <w:rFonts w:hint="eastAsia"/>
                      <w:sz w:val="22"/>
                      <w:szCs w:val="22"/>
                      <w:lang w:val="en-US" w:eastAsia="zh-CN"/>
                    </w:rPr>
                    <w:t>符合</w:t>
                  </w:r>
                </w:p>
              </w:tc>
            </w:tr>
            <w:tr w14:paraId="43E43C3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375752E">
                  <w:pPr>
                    <w:pStyle w:val="98"/>
                    <w:rPr>
                      <w:rFonts w:hint="default"/>
                      <w:sz w:val="22"/>
                      <w:szCs w:val="22"/>
                      <w:lang w:val="en-US" w:eastAsia="zh-CN"/>
                    </w:rPr>
                  </w:pPr>
                  <w:r>
                    <w:rPr>
                      <w:rFonts w:hint="eastAsia"/>
                      <w:sz w:val="22"/>
                      <w:szCs w:val="22"/>
                      <w:lang w:val="en-US" w:eastAsia="zh-CN"/>
                    </w:rPr>
                    <w:t>9</w:t>
                  </w:r>
                </w:p>
              </w:tc>
              <w:tc>
                <w:tcPr>
                  <w:tcW w:w="2419" w:type="pct"/>
                  <w:vAlign w:val="center"/>
                </w:tcPr>
                <w:p w14:paraId="02CB961C">
                  <w:pPr>
                    <w:pStyle w:val="98"/>
                    <w:jc w:val="both"/>
                    <w:rPr>
                      <w:sz w:val="22"/>
                      <w:szCs w:val="22"/>
                    </w:rPr>
                  </w:pPr>
                  <w:r>
                    <w:rPr>
                      <w:rFonts w:hint="eastAsia"/>
                      <w:sz w:val="22"/>
                      <w:szCs w:val="22"/>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615" w:type="pct"/>
                  <w:vAlign w:val="center"/>
                </w:tcPr>
                <w:p w14:paraId="5CEE1F54">
                  <w:pPr>
                    <w:pStyle w:val="98"/>
                    <w:jc w:val="both"/>
                    <w:rPr>
                      <w:rFonts w:hint="eastAsia" w:eastAsia="宋体"/>
                      <w:sz w:val="22"/>
                      <w:szCs w:val="22"/>
                      <w:lang w:val="en-US" w:eastAsia="zh-CN"/>
                    </w:rPr>
                  </w:pPr>
                  <w:r>
                    <w:rPr>
                      <w:rFonts w:hint="eastAsia"/>
                      <w:sz w:val="22"/>
                      <w:szCs w:val="22"/>
                      <w:lang w:val="en-US" w:eastAsia="zh-CN"/>
                    </w:rPr>
                    <w:t>本项目位于天生镇镇区附近，不涉及</w:t>
                  </w:r>
                  <w:r>
                    <w:rPr>
                      <w:rFonts w:hint="eastAsia"/>
                      <w:sz w:val="22"/>
                      <w:szCs w:val="22"/>
                    </w:rPr>
                    <w:t>国家湿地公园</w:t>
                  </w:r>
                  <w:r>
                    <w:rPr>
                      <w:rFonts w:hint="eastAsia"/>
                      <w:sz w:val="22"/>
                      <w:szCs w:val="22"/>
                      <w:lang w:val="en-US" w:eastAsia="zh-CN"/>
                    </w:rPr>
                    <w:t>。</w:t>
                  </w:r>
                </w:p>
              </w:tc>
              <w:tc>
                <w:tcPr>
                  <w:tcW w:w="548" w:type="pct"/>
                  <w:vAlign w:val="center"/>
                </w:tcPr>
                <w:p w14:paraId="17D372FE">
                  <w:pPr>
                    <w:pStyle w:val="98"/>
                    <w:rPr>
                      <w:rFonts w:hint="eastAsia"/>
                      <w:sz w:val="22"/>
                      <w:szCs w:val="22"/>
                      <w:lang w:val="en-US" w:eastAsia="zh-CN"/>
                    </w:rPr>
                  </w:pPr>
                  <w:r>
                    <w:rPr>
                      <w:rFonts w:hint="eastAsia"/>
                      <w:sz w:val="22"/>
                      <w:szCs w:val="22"/>
                      <w:lang w:val="en-US" w:eastAsia="zh-CN"/>
                    </w:rPr>
                    <w:t>符合</w:t>
                  </w:r>
                </w:p>
              </w:tc>
            </w:tr>
            <w:tr w14:paraId="186F9B40">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91EF164">
                  <w:pPr>
                    <w:pStyle w:val="98"/>
                    <w:rPr>
                      <w:rFonts w:hint="default"/>
                      <w:sz w:val="22"/>
                      <w:szCs w:val="22"/>
                      <w:lang w:val="en-US" w:eastAsia="zh-CN"/>
                    </w:rPr>
                  </w:pPr>
                  <w:r>
                    <w:rPr>
                      <w:rFonts w:hint="eastAsia"/>
                      <w:sz w:val="22"/>
                      <w:szCs w:val="22"/>
                      <w:lang w:val="en-US" w:eastAsia="zh-CN"/>
                    </w:rPr>
                    <w:t>10</w:t>
                  </w:r>
                </w:p>
              </w:tc>
              <w:tc>
                <w:tcPr>
                  <w:tcW w:w="2419" w:type="pct"/>
                  <w:vAlign w:val="center"/>
                </w:tcPr>
                <w:p w14:paraId="219B3A90">
                  <w:pPr>
                    <w:pStyle w:val="98"/>
                    <w:jc w:val="both"/>
                    <w:rPr>
                      <w:sz w:val="22"/>
                      <w:szCs w:val="22"/>
                    </w:rPr>
                  </w:pPr>
                  <w:r>
                    <w:rPr>
                      <w:rFonts w:hint="eastAsia"/>
                      <w:sz w:val="22"/>
                      <w:szCs w:val="22"/>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15" w:type="pct"/>
                  <w:vAlign w:val="center"/>
                </w:tcPr>
                <w:p w14:paraId="04CE8450">
                  <w:pPr>
                    <w:pStyle w:val="98"/>
                    <w:jc w:val="both"/>
                    <w:rPr>
                      <w:rFonts w:hint="eastAsia" w:eastAsia="宋体"/>
                      <w:sz w:val="22"/>
                      <w:szCs w:val="22"/>
                      <w:lang w:val="en-US" w:eastAsia="zh-CN"/>
                    </w:rPr>
                  </w:pPr>
                  <w:r>
                    <w:rPr>
                      <w:rFonts w:hint="eastAsia"/>
                      <w:sz w:val="22"/>
                      <w:szCs w:val="22"/>
                      <w:lang w:val="en-US" w:eastAsia="zh-CN"/>
                    </w:rPr>
                    <w:t>本项目不涉及</w:t>
                  </w:r>
                  <w:r>
                    <w:rPr>
                      <w:rFonts w:hint="eastAsia"/>
                      <w:sz w:val="22"/>
                      <w:szCs w:val="22"/>
                    </w:rPr>
                    <w:t>利用、占用长江流域河湖岸线</w:t>
                  </w:r>
                  <w:r>
                    <w:rPr>
                      <w:rFonts w:hint="eastAsia"/>
                      <w:sz w:val="22"/>
                      <w:szCs w:val="22"/>
                      <w:lang w:eastAsia="zh-CN"/>
                    </w:rPr>
                    <w:t>。</w:t>
                  </w:r>
                </w:p>
              </w:tc>
              <w:tc>
                <w:tcPr>
                  <w:tcW w:w="548" w:type="pct"/>
                  <w:vAlign w:val="center"/>
                </w:tcPr>
                <w:p w14:paraId="43A117DB">
                  <w:pPr>
                    <w:pStyle w:val="98"/>
                    <w:rPr>
                      <w:rFonts w:hint="eastAsia"/>
                      <w:sz w:val="22"/>
                      <w:szCs w:val="22"/>
                      <w:lang w:val="en-US" w:eastAsia="zh-CN"/>
                    </w:rPr>
                  </w:pPr>
                  <w:r>
                    <w:rPr>
                      <w:rFonts w:hint="eastAsia"/>
                      <w:sz w:val="22"/>
                      <w:szCs w:val="22"/>
                      <w:lang w:val="en-US" w:eastAsia="zh-CN"/>
                    </w:rPr>
                    <w:t>符合</w:t>
                  </w:r>
                </w:p>
              </w:tc>
            </w:tr>
            <w:tr w14:paraId="7898D21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1FAFC31">
                  <w:pPr>
                    <w:pStyle w:val="98"/>
                    <w:rPr>
                      <w:rFonts w:hint="default"/>
                      <w:sz w:val="22"/>
                      <w:szCs w:val="22"/>
                      <w:lang w:val="en-US" w:eastAsia="zh-CN"/>
                    </w:rPr>
                  </w:pPr>
                  <w:r>
                    <w:rPr>
                      <w:rFonts w:hint="eastAsia"/>
                      <w:sz w:val="22"/>
                      <w:szCs w:val="22"/>
                      <w:lang w:val="en-US" w:eastAsia="zh-CN"/>
                    </w:rPr>
                    <w:t>11</w:t>
                  </w:r>
                </w:p>
              </w:tc>
              <w:tc>
                <w:tcPr>
                  <w:tcW w:w="2419" w:type="pct"/>
                  <w:vAlign w:val="center"/>
                </w:tcPr>
                <w:p w14:paraId="515D5C42">
                  <w:pPr>
                    <w:pStyle w:val="98"/>
                    <w:jc w:val="both"/>
                    <w:rPr>
                      <w:sz w:val="22"/>
                      <w:szCs w:val="22"/>
                    </w:rPr>
                  </w:pPr>
                  <w:r>
                    <w:rPr>
                      <w:rFonts w:hint="eastAsia"/>
                      <w:sz w:val="22"/>
                      <w:szCs w:val="22"/>
                    </w:rPr>
                    <w:t>禁止在《全国重要江河湖泊水功能区划》划定的河段及湖泊保护区、保留区内投资建设不利于水资源及自然生态保护的项目。</w:t>
                  </w:r>
                </w:p>
              </w:tc>
              <w:tc>
                <w:tcPr>
                  <w:tcW w:w="1615" w:type="pct"/>
                  <w:vAlign w:val="center"/>
                </w:tcPr>
                <w:p w14:paraId="4BEA9C4F">
                  <w:pPr>
                    <w:pStyle w:val="98"/>
                    <w:jc w:val="both"/>
                    <w:rPr>
                      <w:rFonts w:hint="eastAsia" w:eastAsia="宋体"/>
                      <w:sz w:val="22"/>
                      <w:szCs w:val="22"/>
                      <w:lang w:val="en-US" w:eastAsia="zh-CN"/>
                    </w:rPr>
                  </w:pPr>
                  <w:r>
                    <w:rPr>
                      <w:rFonts w:hint="eastAsia"/>
                      <w:sz w:val="22"/>
                      <w:szCs w:val="22"/>
                      <w:lang w:val="en-US" w:eastAsia="zh-CN"/>
                    </w:rPr>
                    <w:t>本项目不涉及《</w:t>
                  </w:r>
                  <w:r>
                    <w:rPr>
                      <w:rFonts w:hint="eastAsia"/>
                      <w:sz w:val="22"/>
                      <w:szCs w:val="22"/>
                    </w:rPr>
                    <w:t>全国重要江河湖泊水功能区划》划定的河段及湖泊保护区、保留区</w:t>
                  </w:r>
                  <w:r>
                    <w:rPr>
                      <w:rFonts w:hint="eastAsia"/>
                      <w:sz w:val="22"/>
                      <w:szCs w:val="22"/>
                      <w:lang w:eastAsia="zh-CN"/>
                    </w:rPr>
                    <w:t>。</w:t>
                  </w:r>
                </w:p>
              </w:tc>
              <w:tc>
                <w:tcPr>
                  <w:tcW w:w="548" w:type="pct"/>
                  <w:vAlign w:val="center"/>
                </w:tcPr>
                <w:p w14:paraId="7EB8AE68">
                  <w:pPr>
                    <w:pStyle w:val="98"/>
                    <w:rPr>
                      <w:rFonts w:hint="eastAsia"/>
                      <w:sz w:val="22"/>
                      <w:szCs w:val="22"/>
                      <w:lang w:val="en-US" w:eastAsia="zh-CN"/>
                    </w:rPr>
                  </w:pPr>
                  <w:r>
                    <w:rPr>
                      <w:rFonts w:hint="eastAsia"/>
                      <w:sz w:val="22"/>
                      <w:szCs w:val="22"/>
                      <w:lang w:val="en-US" w:eastAsia="zh-CN"/>
                    </w:rPr>
                    <w:t>符合</w:t>
                  </w:r>
                </w:p>
              </w:tc>
            </w:tr>
            <w:tr w14:paraId="2B869C3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35586FA">
                  <w:pPr>
                    <w:pStyle w:val="98"/>
                    <w:rPr>
                      <w:rFonts w:hint="eastAsia"/>
                      <w:sz w:val="22"/>
                      <w:szCs w:val="22"/>
                      <w:lang w:val="en-US" w:eastAsia="zh-CN"/>
                    </w:rPr>
                  </w:pPr>
                  <w:r>
                    <w:rPr>
                      <w:rFonts w:hint="eastAsia"/>
                      <w:sz w:val="22"/>
                      <w:szCs w:val="22"/>
                      <w:lang w:val="en-US" w:eastAsia="zh-CN"/>
                    </w:rPr>
                    <w:t>12</w:t>
                  </w:r>
                </w:p>
              </w:tc>
              <w:tc>
                <w:tcPr>
                  <w:tcW w:w="2419" w:type="pct"/>
                  <w:vAlign w:val="center"/>
                </w:tcPr>
                <w:p w14:paraId="410EBD11">
                  <w:pPr>
                    <w:pStyle w:val="98"/>
                    <w:jc w:val="both"/>
                    <w:rPr>
                      <w:sz w:val="22"/>
                      <w:szCs w:val="22"/>
                    </w:rPr>
                  </w:pPr>
                  <w:r>
                    <w:rPr>
                      <w:rFonts w:hint="eastAsia"/>
                      <w:sz w:val="22"/>
                      <w:szCs w:val="22"/>
                    </w:rPr>
                    <w:t>禁止在长江流域江河、湖泊新设、改设或者扩大排污口，经有管辖权的生态环境主管部门或者长江流域生态环境监督管理机构同意的除外。</w:t>
                  </w:r>
                </w:p>
              </w:tc>
              <w:tc>
                <w:tcPr>
                  <w:tcW w:w="1615" w:type="pct"/>
                  <w:vAlign w:val="center"/>
                </w:tcPr>
                <w:p w14:paraId="6A5DEB7C">
                  <w:pPr>
                    <w:pStyle w:val="98"/>
                    <w:jc w:val="both"/>
                    <w:rPr>
                      <w:rFonts w:hint="eastAsia" w:eastAsia="宋体"/>
                      <w:sz w:val="22"/>
                      <w:szCs w:val="22"/>
                      <w:lang w:val="en-US" w:eastAsia="zh-CN"/>
                    </w:rPr>
                  </w:pPr>
                  <w:r>
                    <w:rPr>
                      <w:rFonts w:hint="eastAsia"/>
                      <w:sz w:val="22"/>
                      <w:szCs w:val="22"/>
                      <w:lang w:val="en-US" w:eastAsia="zh-CN"/>
                    </w:rPr>
                    <w:t>本</w:t>
                  </w:r>
                  <w:r>
                    <w:rPr>
                      <w:rFonts w:hint="eastAsia"/>
                      <w:sz w:val="22"/>
                      <w:szCs w:val="22"/>
                    </w:rPr>
                    <w:t>项目施工废水不排放，施工场地生活废水依托附近民宅既有污水处理设施收集处理，不</w:t>
                  </w:r>
                  <w:r>
                    <w:rPr>
                      <w:rFonts w:hint="eastAsia"/>
                      <w:sz w:val="22"/>
                      <w:szCs w:val="22"/>
                      <w:lang w:val="en-US" w:eastAsia="zh-CN"/>
                    </w:rPr>
                    <w:t>新增</w:t>
                  </w:r>
                  <w:r>
                    <w:rPr>
                      <w:rFonts w:hint="eastAsia"/>
                      <w:sz w:val="22"/>
                      <w:szCs w:val="22"/>
                    </w:rPr>
                    <w:t>排污口</w:t>
                  </w:r>
                  <w:r>
                    <w:rPr>
                      <w:rFonts w:hint="eastAsia"/>
                      <w:sz w:val="22"/>
                      <w:szCs w:val="22"/>
                      <w:lang w:eastAsia="zh-CN"/>
                    </w:rPr>
                    <w:t>。</w:t>
                  </w:r>
                </w:p>
              </w:tc>
              <w:tc>
                <w:tcPr>
                  <w:tcW w:w="548" w:type="pct"/>
                  <w:vAlign w:val="center"/>
                </w:tcPr>
                <w:p w14:paraId="340E42DD">
                  <w:pPr>
                    <w:pStyle w:val="98"/>
                    <w:rPr>
                      <w:rFonts w:hint="eastAsia"/>
                      <w:sz w:val="22"/>
                      <w:szCs w:val="22"/>
                      <w:lang w:val="en-US" w:eastAsia="zh-CN"/>
                    </w:rPr>
                  </w:pPr>
                  <w:r>
                    <w:rPr>
                      <w:rFonts w:hint="eastAsia"/>
                      <w:sz w:val="22"/>
                      <w:szCs w:val="22"/>
                      <w:lang w:val="en-US" w:eastAsia="zh-CN"/>
                    </w:rPr>
                    <w:t>符合</w:t>
                  </w:r>
                </w:p>
              </w:tc>
            </w:tr>
            <w:tr w14:paraId="1B0301D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D96F37A">
                  <w:pPr>
                    <w:pStyle w:val="98"/>
                    <w:rPr>
                      <w:rFonts w:hint="default"/>
                      <w:sz w:val="22"/>
                      <w:szCs w:val="22"/>
                      <w:lang w:val="en-US" w:eastAsia="zh-CN"/>
                    </w:rPr>
                  </w:pPr>
                  <w:r>
                    <w:rPr>
                      <w:rFonts w:hint="eastAsia"/>
                      <w:sz w:val="22"/>
                      <w:szCs w:val="22"/>
                      <w:lang w:val="en-US" w:eastAsia="zh-CN"/>
                    </w:rPr>
                    <w:t>13</w:t>
                  </w:r>
                </w:p>
              </w:tc>
              <w:tc>
                <w:tcPr>
                  <w:tcW w:w="2419" w:type="pct"/>
                  <w:vAlign w:val="center"/>
                </w:tcPr>
                <w:p w14:paraId="3307DB8A">
                  <w:pPr>
                    <w:pStyle w:val="98"/>
                    <w:jc w:val="both"/>
                    <w:rPr>
                      <w:sz w:val="22"/>
                      <w:szCs w:val="22"/>
                    </w:rPr>
                  </w:pPr>
                  <w:r>
                    <w:rPr>
                      <w:rFonts w:hint="eastAsia"/>
                      <w:sz w:val="22"/>
                      <w:szCs w:val="22"/>
                    </w:rPr>
                    <w:t>禁止在长江干流、大渡河、岷江、赤水河、沱江、嘉陵江、乌江、汉江和51个（四川省45个、重庆市6个）水生生物保护区开展生产性捕捞。</w:t>
                  </w:r>
                </w:p>
              </w:tc>
              <w:tc>
                <w:tcPr>
                  <w:tcW w:w="1615" w:type="pct"/>
                  <w:vAlign w:val="center"/>
                </w:tcPr>
                <w:p w14:paraId="2B426140">
                  <w:pPr>
                    <w:pStyle w:val="98"/>
                    <w:jc w:val="both"/>
                    <w:rPr>
                      <w:rFonts w:hint="default" w:eastAsia="宋体"/>
                      <w:sz w:val="22"/>
                      <w:szCs w:val="22"/>
                      <w:lang w:val="en-US" w:eastAsia="zh-CN"/>
                    </w:rPr>
                  </w:pPr>
                  <w:r>
                    <w:rPr>
                      <w:rFonts w:hint="eastAsia"/>
                      <w:sz w:val="22"/>
                      <w:szCs w:val="22"/>
                      <w:lang w:val="en-US" w:eastAsia="zh-CN"/>
                    </w:rPr>
                    <w:t>本项目不涉及捕捞。</w:t>
                  </w:r>
                </w:p>
              </w:tc>
              <w:tc>
                <w:tcPr>
                  <w:tcW w:w="548" w:type="pct"/>
                  <w:shd w:val="clear" w:color="auto" w:fill="auto"/>
                  <w:vAlign w:val="center"/>
                </w:tcPr>
                <w:p w14:paraId="681CAF39">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698ABC0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605D778">
                  <w:pPr>
                    <w:pStyle w:val="98"/>
                    <w:rPr>
                      <w:rFonts w:hint="default"/>
                      <w:sz w:val="22"/>
                      <w:szCs w:val="22"/>
                      <w:lang w:val="en-US" w:eastAsia="zh-CN"/>
                    </w:rPr>
                  </w:pPr>
                  <w:r>
                    <w:rPr>
                      <w:rFonts w:hint="eastAsia"/>
                      <w:sz w:val="22"/>
                      <w:szCs w:val="22"/>
                      <w:lang w:val="en-US" w:eastAsia="zh-CN"/>
                    </w:rPr>
                    <w:t>14</w:t>
                  </w:r>
                </w:p>
              </w:tc>
              <w:tc>
                <w:tcPr>
                  <w:tcW w:w="2419" w:type="pct"/>
                  <w:vAlign w:val="center"/>
                </w:tcPr>
                <w:p w14:paraId="4B749548">
                  <w:pPr>
                    <w:pStyle w:val="98"/>
                    <w:jc w:val="both"/>
                    <w:rPr>
                      <w:sz w:val="22"/>
                      <w:szCs w:val="22"/>
                    </w:rPr>
                  </w:pPr>
                  <w:r>
                    <w:rPr>
                      <w:rFonts w:hint="eastAsia"/>
                      <w:sz w:val="22"/>
                      <w:szCs w:val="22"/>
                    </w:rPr>
                    <w:t>禁止在长江干支流、重要湖泊岸线一公里范围内新建、扩建化工园区和化工项目。</w:t>
                  </w:r>
                </w:p>
              </w:tc>
              <w:tc>
                <w:tcPr>
                  <w:tcW w:w="1615" w:type="pct"/>
                  <w:vAlign w:val="center"/>
                </w:tcPr>
                <w:p w14:paraId="160FC164">
                  <w:pPr>
                    <w:pStyle w:val="98"/>
                    <w:jc w:val="both"/>
                    <w:rPr>
                      <w:rFonts w:hint="default" w:eastAsia="宋体"/>
                      <w:sz w:val="22"/>
                      <w:szCs w:val="22"/>
                      <w:lang w:val="en-US" w:eastAsia="zh-CN"/>
                    </w:rPr>
                  </w:pPr>
                  <w:r>
                    <w:rPr>
                      <w:rFonts w:hint="eastAsia"/>
                      <w:sz w:val="22"/>
                      <w:szCs w:val="22"/>
                      <w:lang w:val="en-US" w:eastAsia="zh-CN"/>
                    </w:rPr>
                    <w:t>本项目不属于化工项目。</w:t>
                  </w:r>
                </w:p>
              </w:tc>
              <w:tc>
                <w:tcPr>
                  <w:tcW w:w="548" w:type="pct"/>
                  <w:shd w:val="clear" w:color="auto" w:fill="auto"/>
                  <w:vAlign w:val="center"/>
                </w:tcPr>
                <w:p w14:paraId="10B3D667">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0187F9A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022AA6D">
                  <w:pPr>
                    <w:pStyle w:val="98"/>
                    <w:rPr>
                      <w:rFonts w:hint="default"/>
                      <w:sz w:val="22"/>
                      <w:szCs w:val="22"/>
                      <w:lang w:val="en-US" w:eastAsia="zh-CN"/>
                    </w:rPr>
                  </w:pPr>
                  <w:r>
                    <w:rPr>
                      <w:rFonts w:hint="eastAsia"/>
                      <w:sz w:val="22"/>
                      <w:szCs w:val="22"/>
                      <w:lang w:val="en-US" w:eastAsia="zh-CN"/>
                    </w:rPr>
                    <w:t>15</w:t>
                  </w:r>
                </w:p>
              </w:tc>
              <w:tc>
                <w:tcPr>
                  <w:tcW w:w="2419" w:type="pct"/>
                  <w:vAlign w:val="center"/>
                </w:tcPr>
                <w:p w14:paraId="0998F620">
                  <w:pPr>
                    <w:pStyle w:val="98"/>
                    <w:jc w:val="both"/>
                    <w:rPr>
                      <w:sz w:val="22"/>
                      <w:szCs w:val="22"/>
                    </w:rPr>
                  </w:pPr>
                  <w:r>
                    <w:rPr>
                      <w:rFonts w:hint="eastAsia"/>
                      <w:sz w:val="22"/>
                      <w:szCs w:val="22"/>
                    </w:rPr>
                    <w:t>禁止在长江干流岸线三公里范围内和重要支流岸线一公里范围内新建、改建、扩建尾矿库、冶炼渣库、磷石膏库，以提升安全、生态环境保护水平为目的的改建除外。</w:t>
                  </w:r>
                </w:p>
              </w:tc>
              <w:tc>
                <w:tcPr>
                  <w:tcW w:w="1615" w:type="pct"/>
                  <w:vAlign w:val="center"/>
                </w:tcPr>
                <w:p w14:paraId="01EB84F0">
                  <w:pPr>
                    <w:pStyle w:val="98"/>
                    <w:jc w:val="both"/>
                    <w:rPr>
                      <w:rFonts w:hint="eastAsia" w:eastAsia="宋体"/>
                      <w:sz w:val="22"/>
                      <w:szCs w:val="22"/>
                      <w:lang w:val="en-US" w:eastAsia="zh-CN"/>
                    </w:rPr>
                  </w:pPr>
                  <w:r>
                    <w:rPr>
                      <w:rFonts w:hint="eastAsia"/>
                      <w:sz w:val="22"/>
                      <w:szCs w:val="22"/>
                      <w:lang w:val="en-US" w:eastAsia="zh-CN"/>
                    </w:rPr>
                    <w:t>本项目不属于</w:t>
                  </w:r>
                  <w:r>
                    <w:rPr>
                      <w:rFonts w:hint="eastAsia"/>
                      <w:sz w:val="22"/>
                      <w:szCs w:val="22"/>
                    </w:rPr>
                    <w:t>尾矿库、冶炼渣库、磷石膏库</w:t>
                  </w:r>
                  <w:r>
                    <w:rPr>
                      <w:rFonts w:hint="eastAsia"/>
                      <w:sz w:val="22"/>
                      <w:szCs w:val="22"/>
                      <w:lang w:val="en-US" w:eastAsia="zh-CN"/>
                    </w:rPr>
                    <w:t>项目。</w:t>
                  </w:r>
                </w:p>
              </w:tc>
              <w:tc>
                <w:tcPr>
                  <w:tcW w:w="548" w:type="pct"/>
                  <w:shd w:val="clear" w:color="auto" w:fill="auto"/>
                  <w:vAlign w:val="center"/>
                </w:tcPr>
                <w:p w14:paraId="71595946">
                  <w:pPr>
                    <w:pStyle w:val="98"/>
                    <w:rPr>
                      <w:rFonts w:hint="eastAsia" w:ascii="Times New Roman" w:hAnsi="Times New Roman" w:eastAsia="宋体" w:cs="Times New Roman"/>
                      <w:b w:val="0"/>
                      <w:bCs w:val="0"/>
                      <w:snapToGrid w:val="0"/>
                      <w:kern w:val="2"/>
                      <w:sz w:val="22"/>
                      <w:szCs w:val="22"/>
                      <w:lang w:val="en-US" w:eastAsia="zh-CN" w:bidi="ar-SA"/>
                    </w:rPr>
                  </w:pPr>
                  <w:r>
                    <w:rPr>
                      <w:rFonts w:hint="eastAsia"/>
                      <w:sz w:val="22"/>
                      <w:szCs w:val="22"/>
                      <w:lang w:val="en-US" w:eastAsia="zh-CN"/>
                    </w:rPr>
                    <w:t>符合</w:t>
                  </w:r>
                </w:p>
              </w:tc>
            </w:tr>
            <w:tr w14:paraId="7C567F8B">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7A0314F">
                  <w:pPr>
                    <w:pStyle w:val="98"/>
                    <w:rPr>
                      <w:rFonts w:hint="default"/>
                      <w:sz w:val="22"/>
                      <w:szCs w:val="22"/>
                      <w:lang w:val="en-US" w:eastAsia="zh-CN"/>
                    </w:rPr>
                  </w:pPr>
                  <w:r>
                    <w:rPr>
                      <w:rFonts w:hint="eastAsia"/>
                      <w:sz w:val="22"/>
                      <w:szCs w:val="22"/>
                      <w:lang w:val="en-US" w:eastAsia="zh-CN"/>
                    </w:rPr>
                    <w:t>16</w:t>
                  </w:r>
                </w:p>
              </w:tc>
              <w:tc>
                <w:tcPr>
                  <w:tcW w:w="2419" w:type="pct"/>
                  <w:vAlign w:val="center"/>
                </w:tcPr>
                <w:p w14:paraId="3C7B2A50">
                  <w:pPr>
                    <w:pStyle w:val="98"/>
                    <w:jc w:val="both"/>
                    <w:rPr>
                      <w:rFonts w:hint="eastAsia" w:eastAsia="宋体"/>
                      <w:sz w:val="22"/>
                      <w:szCs w:val="22"/>
                      <w:lang w:eastAsia="zh-CN"/>
                    </w:rPr>
                  </w:pPr>
                  <w:r>
                    <w:rPr>
                      <w:rFonts w:hint="eastAsia"/>
                      <w:sz w:val="22"/>
                      <w:szCs w:val="22"/>
                    </w:rPr>
                    <w:t>禁止在生态保护红线区域、永久基本农田集中区域和其他需要特别保护的区域内选址建设尾矿库、冶炼渣库、磷石膏库</w:t>
                  </w:r>
                  <w:r>
                    <w:rPr>
                      <w:rFonts w:hint="eastAsia"/>
                      <w:sz w:val="22"/>
                      <w:szCs w:val="22"/>
                      <w:lang w:eastAsia="zh-CN"/>
                    </w:rPr>
                    <w:t>。</w:t>
                  </w:r>
                </w:p>
              </w:tc>
              <w:tc>
                <w:tcPr>
                  <w:tcW w:w="1615" w:type="pct"/>
                  <w:vAlign w:val="center"/>
                </w:tcPr>
                <w:p w14:paraId="6E539E8E">
                  <w:pPr>
                    <w:pStyle w:val="98"/>
                    <w:jc w:val="both"/>
                    <w:rPr>
                      <w:rFonts w:hint="eastAsia" w:eastAsia="宋体"/>
                      <w:sz w:val="22"/>
                      <w:szCs w:val="22"/>
                      <w:lang w:eastAsia="zh-CN"/>
                    </w:rPr>
                  </w:pPr>
                  <w:r>
                    <w:rPr>
                      <w:rFonts w:hint="eastAsia"/>
                      <w:sz w:val="22"/>
                      <w:szCs w:val="22"/>
                      <w:lang w:val="en-US" w:eastAsia="zh-CN"/>
                    </w:rPr>
                    <w:t>本项目不属于</w:t>
                  </w:r>
                  <w:r>
                    <w:rPr>
                      <w:rFonts w:hint="eastAsia"/>
                      <w:sz w:val="22"/>
                      <w:szCs w:val="22"/>
                    </w:rPr>
                    <w:t>尾矿库、冶炼渣库、磷石膏库</w:t>
                  </w:r>
                  <w:r>
                    <w:rPr>
                      <w:rFonts w:hint="eastAsia"/>
                      <w:sz w:val="22"/>
                      <w:szCs w:val="22"/>
                      <w:lang w:val="en-US" w:eastAsia="zh-CN"/>
                    </w:rPr>
                    <w:t>项目。</w:t>
                  </w:r>
                </w:p>
              </w:tc>
              <w:tc>
                <w:tcPr>
                  <w:tcW w:w="548" w:type="pct"/>
                  <w:shd w:val="clear" w:color="auto" w:fill="auto"/>
                  <w:vAlign w:val="center"/>
                </w:tcPr>
                <w:p w14:paraId="3242D043">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6EDC20C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77D54793">
                  <w:pPr>
                    <w:pStyle w:val="98"/>
                    <w:rPr>
                      <w:rFonts w:hint="default"/>
                      <w:sz w:val="22"/>
                      <w:szCs w:val="22"/>
                      <w:lang w:val="en-US" w:eastAsia="zh-CN"/>
                    </w:rPr>
                  </w:pPr>
                  <w:r>
                    <w:rPr>
                      <w:rFonts w:hint="eastAsia"/>
                      <w:sz w:val="22"/>
                      <w:szCs w:val="22"/>
                      <w:lang w:val="en-US" w:eastAsia="zh-CN"/>
                    </w:rPr>
                    <w:t>17</w:t>
                  </w:r>
                </w:p>
              </w:tc>
              <w:tc>
                <w:tcPr>
                  <w:tcW w:w="2419" w:type="pct"/>
                  <w:vAlign w:val="center"/>
                </w:tcPr>
                <w:p w14:paraId="013324EE">
                  <w:pPr>
                    <w:pStyle w:val="98"/>
                    <w:jc w:val="both"/>
                    <w:rPr>
                      <w:sz w:val="22"/>
                      <w:szCs w:val="22"/>
                    </w:rPr>
                  </w:pPr>
                  <w:r>
                    <w:rPr>
                      <w:rFonts w:hint="eastAsia"/>
                      <w:sz w:val="22"/>
                      <w:szCs w:val="22"/>
                    </w:rPr>
                    <w:t>禁止在合规园区外新建、扩建钢铁、石化、化工、焦化、建材、有色、制浆造纸等高污染项目。</w:t>
                  </w:r>
                </w:p>
              </w:tc>
              <w:tc>
                <w:tcPr>
                  <w:tcW w:w="1615" w:type="pct"/>
                  <w:vAlign w:val="center"/>
                </w:tcPr>
                <w:p w14:paraId="7A2DC74E">
                  <w:pPr>
                    <w:pStyle w:val="98"/>
                    <w:jc w:val="both"/>
                    <w:rPr>
                      <w:rFonts w:hint="eastAsia" w:eastAsia="宋体"/>
                      <w:sz w:val="22"/>
                      <w:szCs w:val="22"/>
                      <w:lang w:eastAsia="zh-CN"/>
                    </w:rPr>
                  </w:pPr>
                  <w:r>
                    <w:rPr>
                      <w:rFonts w:hint="eastAsia"/>
                      <w:sz w:val="22"/>
                      <w:szCs w:val="22"/>
                      <w:lang w:val="en-US" w:eastAsia="zh-CN"/>
                    </w:rPr>
                    <w:t>本项目不属于</w:t>
                  </w:r>
                  <w:r>
                    <w:rPr>
                      <w:rFonts w:hint="eastAsia"/>
                      <w:sz w:val="22"/>
                      <w:szCs w:val="22"/>
                    </w:rPr>
                    <w:t>钢铁、石化、化工、焦化、建材、有色、制浆造纸等高污染项目</w:t>
                  </w:r>
                  <w:r>
                    <w:rPr>
                      <w:rFonts w:hint="eastAsia"/>
                      <w:sz w:val="22"/>
                      <w:szCs w:val="22"/>
                      <w:lang w:eastAsia="zh-CN"/>
                    </w:rPr>
                    <w:t>。</w:t>
                  </w:r>
                </w:p>
              </w:tc>
              <w:tc>
                <w:tcPr>
                  <w:tcW w:w="548" w:type="pct"/>
                  <w:shd w:val="clear" w:color="auto" w:fill="auto"/>
                  <w:vAlign w:val="center"/>
                </w:tcPr>
                <w:p w14:paraId="02A1F0F3">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59725E6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25E9C479">
                  <w:pPr>
                    <w:pStyle w:val="98"/>
                    <w:rPr>
                      <w:rFonts w:hint="default"/>
                      <w:sz w:val="22"/>
                      <w:szCs w:val="22"/>
                      <w:lang w:val="en-US" w:eastAsia="zh-CN"/>
                    </w:rPr>
                  </w:pPr>
                  <w:r>
                    <w:rPr>
                      <w:rFonts w:hint="eastAsia"/>
                      <w:sz w:val="22"/>
                      <w:szCs w:val="22"/>
                      <w:lang w:val="en-US" w:eastAsia="zh-CN"/>
                    </w:rPr>
                    <w:t>18</w:t>
                  </w:r>
                </w:p>
              </w:tc>
              <w:tc>
                <w:tcPr>
                  <w:tcW w:w="2419" w:type="pct"/>
                  <w:vAlign w:val="center"/>
                </w:tcPr>
                <w:p w14:paraId="308D6A1E">
                  <w:pPr>
                    <w:pStyle w:val="98"/>
                    <w:jc w:val="both"/>
                    <w:rPr>
                      <w:rFonts w:hint="eastAsia"/>
                      <w:sz w:val="22"/>
                      <w:szCs w:val="22"/>
                    </w:rPr>
                  </w:pPr>
                  <w:r>
                    <w:rPr>
                      <w:rFonts w:hint="eastAsia"/>
                      <w:sz w:val="22"/>
                      <w:szCs w:val="22"/>
                    </w:rPr>
                    <w:t>禁止新建、扩建不符合国家石化、现代煤化工等产业布局规划的项目。（一）严格控制新增炼油项目，未列入《石化产业规划布局方案（修订版）》的新增炼油产能一律不得建设。（二）</w:t>
                  </w:r>
                </w:p>
                <w:p w14:paraId="47DDDBB4">
                  <w:pPr>
                    <w:pStyle w:val="98"/>
                    <w:jc w:val="both"/>
                    <w:rPr>
                      <w:rFonts w:hint="eastAsia" w:eastAsia="宋体"/>
                      <w:sz w:val="22"/>
                      <w:szCs w:val="22"/>
                      <w:lang w:eastAsia="zh-CN"/>
                    </w:rPr>
                  </w:pPr>
                  <w:r>
                    <w:rPr>
                      <w:rFonts w:hint="eastAsia"/>
                      <w:sz w:val="22"/>
                      <w:szCs w:val="22"/>
                    </w:rPr>
                    <w:t>新建煤制烯烃、煤制芳烃项目必须列入《现代煤化工产业创新发展布局方案》，必须符合《现代煤化工建设项目环境准入条件（试行）》要求</w:t>
                  </w:r>
                  <w:r>
                    <w:rPr>
                      <w:rFonts w:hint="eastAsia"/>
                      <w:sz w:val="22"/>
                      <w:szCs w:val="22"/>
                      <w:lang w:eastAsia="zh-CN"/>
                    </w:rPr>
                    <w:t>。</w:t>
                  </w:r>
                </w:p>
              </w:tc>
              <w:tc>
                <w:tcPr>
                  <w:tcW w:w="1615" w:type="pct"/>
                  <w:vAlign w:val="center"/>
                </w:tcPr>
                <w:p w14:paraId="583C0604">
                  <w:pPr>
                    <w:pStyle w:val="98"/>
                    <w:jc w:val="both"/>
                    <w:rPr>
                      <w:rFonts w:hint="eastAsia" w:eastAsia="宋体"/>
                      <w:sz w:val="22"/>
                      <w:szCs w:val="22"/>
                      <w:lang w:val="en-US" w:eastAsia="zh-CN"/>
                    </w:rPr>
                  </w:pPr>
                  <w:r>
                    <w:rPr>
                      <w:rFonts w:hint="eastAsia"/>
                      <w:sz w:val="22"/>
                      <w:szCs w:val="22"/>
                      <w:lang w:val="en-US" w:eastAsia="zh-CN"/>
                    </w:rPr>
                    <w:t>本项目不属于</w:t>
                  </w:r>
                  <w:r>
                    <w:rPr>
                      <w:rFonts w:hint="eastAsia"/>
                      <w:sz w:val="22"/>
                      <w:szCs w:val="22"/>
                    </w:rPr>
                    <w:t>石化、现代煤化工</w:t>
                  </w:r>
                  <w:r>
                    <w:rPr>
                      <w:rFonts w:hint="eastAsia"/>
                      <w:sz w:val="22"/>
                      <w:szCs w:val="22"/>
                      <w:lang w:val="en-US" w:eastAsia="zh-CN"/>
                    </w:rPr>
                    <w:t>项目。</w:t>
                  </w:r>
                </w:p>
              </w:tc>
              <w:tc>
                <w:tcPr>
                  <w:tcW w:w="548" w:type="pct"/>
                  <w:shd w:val="clear" w:color="auto" w:fill="auto"/>
                  <w:vAlign w:val="center"/>
                </w:tcPr>
                <w:p w14:paraId="4F4E2F59">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28F9C53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9A1760E">
                  <w:pPr>
                    <w:pStyle w:val="98"/>
                    <w:rPr>
                      <w:rFonts w:hint="default"/>
                      <w:sz w:val="22"/>
                      <w:szCs w:val="22"/>
                      <w:lang w:val="en-US" w:eastAsia="zh-CN"/>
                    </w:rPr>
                  </w:pPr>
                  <w:r>
                    <w:rPr>
                      <w:rFonts w:hint="eastAsia"/>
                      <w:sz w:val="22"/>
                      <w:szCs w:val="22"/>
                      <w:lang w:val="en-US" w:eastAsia="zh-CN"/>
                    </w:rPr>
                    <w:t>19</w:t>
                  </w:r>
                </w:p>
              </w:tc>
              <w:tc>
                <w:tcPr>
                  <w:tcW w:w="2419" w:type="pct"/>
                  <w:vAlign w:val="center"/>
                </w:tcPr>
                <w:p w14:paraId="7ACAA91B">
                  <w:pPr>
                    <w:pStyle w:val="98"/>
                    <w:jc w:val="both"/>
                    <w:rPr>
                      <w:sz w:val="22"/>
                      <w:szCs w:val="22"/>
                    </w:rPr>
                  </w:pPr>
                  <w:r>
                    <w:rPr>
                      <w:rFonts w:hint="eastAsia"/>
                      <w:sz w:val="22"/>
                      <w:szCs w:val="22"/>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15" w:type="pct"/>
                  <w:vAlign w:val="center"/>
                </w:tcPr>
                <w:p w14:paraId="348EAD63">
                  <w:pPr>
                    <w:pStyle w:val="98"/>
                    <w:jc w:val="both"/>
                    <w:rPr>
                      <w:rFonts w:hint="eastAsia" w:eastAsia="宋体"/>
                      <w:sz w:val="22"/>
                      <w:szCs w:val="22"/>
                      <w:lang w:eastAsia="zh-CN"/>
                    </w:rPr>
                  </w:pPr>
                  <w:r>
                    <w:rPr>
                      <w:rFonts w:hint="eastAsia" w:eastAsia="宋体"/>
                      <w:sz w:val="22"/>
                      <w:szCs w:val="22"/>
                      <w:lang w:eastAsia="zh-CN"/>
                    </w:rPr>
                    <w:t>本项目属于鼓励类</w:t>
                  </w:r>
                  <w:r>
                    <w:rPr>
                      <w:rFonts w:hint="eastAsia"/>
                      <w:sz w:val="22"/>
                      <w:szCs w:val="22"/>
                      <w:lang w:eastAsia="zh-CN"/>
                    </w:rPr>
                    <w:t>，</w:t>
                  </w:r>
                  <w:r>
                    <w:rPr>
                      <w:rFonts w:hint="eastAsia" w:eastAsia="宋体"/>
                      <w:sz w:val="22"/>
                      <w:szCs w:val="22"/>
                      <w:lang w:eastAsia="zh-CN"/>
                    </w:rPr>
                    <w:t>不属于淘汰类和限制类。</w:t>
                  </w:r>
                </w:p>
              </w:tc>
              <w:tc>
                <w:tcPr>
                  <w:tcW w:w="548" w:type="pct"/>
                  <w:shd w:val="clear" w:color="auto" w:fill="auto"/>
                  <w:vAlign w:val="center"/>
                </w:tcPr>
                <w:p w14:paraId="505ECD5B">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4E9EE2E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81A7828">
                  <w:pPr>
                    <w:pStyle w:val="98"/>
                    <w:rPr>
                      <w:rFonts w:hint="default"/>
                      <w:sz w:val="22"/>
                      <w:szCs w:val="22"/>
                      <w:lang w:val="en-US" w:eastAsia="zh-CN"/>
                    </w:rPr>
                  </w:pPr>
                  <w:r>
                    <w:rPr>
                      <w:rFonts w:hint="eastAsia"/>
                      <w:sz w:val="22"/>
                      <w:szCs w:val="22"/>
                      <w:lang w:val="en-US" w:eastAsia="zh-CN"/>
                    </w:rPr>
                    <w:t>20</w:t>
                  </w:r>
                </w:p>
              </w:tc>
              <w:tc>
                <w:tcPr>
                  <w:tcW w:w="2419" w:type="pct"/>
                  <w:vAlign w:val="center"/>
                </w:tcPr>
                <w:p w14:paraId="64D616E9">
                  <w:pPr>
                    <w:pStyle w:val="98"/>
                    <w:jc w:val="both"/>
                    <w:rPr>
                      <w:sz w:val="22"/>
                      <w:szCs w:val="22"/>
                    </w:rPr>
                  </w:pPr>
                  <w:r>
                    <w:rPr>
                      <w:rFonts w:hint="eastAsia"/>
                      <w:sz w:val="22"/>
                      <w:szCs w:val="22"/>
                    </w:rPr>
                    <w:t>禁止新建、扩建不符合国家产能置换要求的严重过剩产能行业的项目。对于不符合国家产能置换要求的严重过剩产能行业，不得以其他任何名义、任何方式备案新增产能项目。</w:t>
                  </w:r>
                </w:p>
              </w:tc>
              <w:tc>
                <w:tcPr>
                  <w:tcW w:w="1615" w:type="pct"/>
                  <w:vAlign w:val="center"/>
                </w:tcPr>
                <w:p w14:paraId="6CEC3915">
                  <w:pPr>
                    <w:pStyle w:val="98"/>
                    <w:jc w:val="both"/>
                    <w:rPr>
                      <w:rFonts w:hint="eastAsia" w:eastAsia="宋体"/>
                      <w:sz w:val="22"/>
                      <w:szCs w:val="22"/>
                      <w:lang w:eastAsia="zh-CN"/>
                    </w:rPr>
                  </w:pPr>
                  <w:r>
                    <w:rPr>
                      <w:rFonts w:hint="eastAsia"/>
                      <w:sz w:val="22"/>
                      <w:szCs w:val="22"/>
                      <w:lang w:val="en-US" w:eastAsia="zh-CN"/>
                    </w:rPr>
                    <w:t>本项目</w:t>
                  </w:r>
                  <w:r>
                    <w:rPr>
                      <w:rFonts w:hint="eastAsia" w:eastAsia="宋体"/>
                      <w:sz w:val="22"/>
                      <w:szCs w:val="22"/>
                      <w:lang w:eastAsia="zh-CN"/>
                    </w:rPr>
                    <w:t>不属于国家产能置换要求严重过剩产能行业的项目</w:t>
                  </w:r>
                </w:p>
              </w:tc>
              <w:tc>
                <w:tcPr>
                  <w:tcW w:w="548" w:type="pct"/>
                  <w:shd w:val="clear" w:color="auto" w:fill="auto"/>
                  <w:vAlign w:val="center"/>
                </w:tcPr>
                <w:p w14:paraId="7C952805">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59CDD801">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3E5D826">
                  <w:pPr>
                    <w:pStyle w:val="98"/>
                    <w:rPr>
                      <w:rFonts w:hint="default"/>
                      <w:sz w:val="22"/>
                      <w:szCs w:val="22"/>
                      <w:lang w:val="en-US" w:eastAsia="zh-CN"/>
                    </w:rPr>
                  </w:pPr>
                  <w:r>
                    <w:rPr>
                      <w:rFonts w:hint="eastAsia"/>
                      <w:sz w:val="22"/>
                      <w:szCs w:val="22"/>
                      <w:lang w:val="en-US" w:eastAsia="zh-CN"/>
                    </w:rPr>
                    <w:t>21</w:t>
                  </w:r>
                </w:p>
              </w:tc>
              <w:tc>
                <w:tcPr>
                  <w:tcW w:w="2419" w:type="pct"/>
                  <w:vAlign w:val="center"/>
                </w:tcPr>
                <w:p w14:paraId="07D548F0">
                  <w:pPr>
                    <w:pStyle w:val="98"/>
                    <w:jc w:val="both"/>
                    <w:rPr>
                      <w:sz w:val="22"/>
                      <w:szCs w:val="22"/>
                    </w:rPr>
                  </w:pPr>
                  <w:r>
                    <w:rPr>
                      <w:rFonts w:hint="eastAsia"/>
                      <w:sz w:val="22"/>
                      <w:szCs w:val="22"/>
                    </w:rPr>
                    <w:t>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 （企业原有股东投资或将该企业转为非独立法人的投资项目除外）。</w:t>
                  </w:r>
                </w:p>
              </w:tc>
              <w:tc>
                <w:tcPr>
                  <w:tcW w:w="1615" w:type="pct"/>
                  <w:vAlign w:val="center"/>
                </w:tcPr>
                <w:p w14:paraId="01EA897A">
                  <w:pPr>
                    <w:pStyle w:val="98"/>
                    <w:jc w:val="both"/>
                    <w:rPr>
                      <w:rFonts w:hint="default" w:eastAsia="宋体"/>
                      <w:sz w:val="22"/>
                      <w:szCs w:val="22"/>
                      <w:lang w:val="en-US" w:eastAsia="zh-CN"/>
                    </w:rPr>
                  </w:pPr>
                  <w:r>
                    <w:rPr>
                      <w:rFonts w:hint="eastAsia"/>
                      <w:sz w:val="22"/>
                      <w:szCs w:val="22"/>
                      <w:lang w:val="en-US" w:eastAsia="zh-CN"/>
                    </w:rPr>
                    <w:t>本项目不属于燃油汽车投资项目。</w:t>
                  </w:r>
                </w:p>
              </w:tc>
              <w:tc>
                <w:tcPr>
                  <w:tcW w:w="548" w:type="pct"/>
                  <w:shd w:val="clear" w:color="auto" w:fill="auto"/>
                  <w:vAlign w:val="center"/>
                </w:tcPr>
                <w:p w14:paraId="25E8D271">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r w14:paraId="20BEB90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3E1979E">
                  <w:pPr>
                    <w:pStyle w:val="98"/>
                    <w:rPr>
                      <w:rFonts w:hint="default"/>
                      <w:sz w:val="22"/>
                      <w:szCs w:val="22"/>
                      <w:lang w:val="en-US" w:eastAsia="zh-CN"/>
                    </w:rPr>
                  </w:pPr>
                  <w:r>
                    <w:rPr>
                      <w:rFonts w:hint="eastAsia"/>
                      <w:sz w:val="22"/>
                      <w:szCs w:val="22"/>
                      <w:lang w:val="en-US" w:eastAsia="zh-CN"/>
                    </w:rPr>
                    <w:t>22</w:t>
                  </w:r>
                </w:p>
              </w:tc>
              <w:tc>
                <w:tcPr>
                  <w:tcW w:w="2419" w:type="pct"/>
                  <w:vAlign w:val="center"/>
                </w:tcPr>
                <w:p w14:paraId="1690E5C2">
                  <w:pPr>
                    <w:pStyle w:val="98"/>
                    <w:jc w:val="both"/>
                    <w:rPr>
                      <w:rFonts w:hint="eastAsia" w:eastAsia="宋体"/>
                      <w:sz w:val="22"/>
                      <w:szCs w:val="22"/>
                      <w:lang w:eastAsia="zh-CN"/>
                    </w:rPr>
                  </w:pPr>
                  <w:r>
                    <w:rPr>
                      <w:rFonts w:hint="eastAsia"/>
                      <w:sz w:val="22"/>
                      <w:szCs w:val="22"/>
                    </w:rPr>
                    <w:t>禁止新建、扩建不符合要求的高耗能、高排放、低水平项目</w:t>
                  </w:r>
                  <w:r>
                    <w:rPr>
                      <w:rFonts w:hint="eastAsia"/>
                      <w:sz w:val="22"/>
                      <w:szCs w:val="22"/>
                      <w:lang w:eastAsia="zh-CN"/>
                    </w:rPr>
                    <w:t>。</w:t>
                  </w:r>
                </w:p>
              </w:tc>
              <w:tc>
                <w:tcPr>
                  <w:tcW w:w="1615" w:type="pct"/>
                  <w:vAlign w:val="center"/>
                </w:tcPr>
                <w:p w14:paraId="7BBA9CCB">
                  <w:pPr>
                    <w:pStyle w:val="98"/>
                    <w:jc w:val="both"/>
                    <w:rPr>
                      <w:rFonts w:hint="eastAsia" w:eastAsia="宋体"/>
                      <w:sz w:val="22"/>
                      <w:szCs w:val="22"/>
                      <w:lang w:eastAsia="zh-CN"/>
                    </w:rPr>
                  </w:pPr>
                  <w:r>
                    <w:rPr>
                      <w:rFonts w:hint="eastAsia"/>
                      <w:sz w:val="22"/>
                      <w:szCs w:val="22"/>
                      <w:lang w:val="en-US" w:eastAsia="zh-CN"/>
                    </w:rPr>
                    <w:t>本项目不属于</w:t>
                  </w:r>
                  <w:r>
                    <w:rPr>
                      <w:rFonts w:hint="eastAsia"/>
                      <w:sz w:val="22"/>
                      <w:szCs w:val="22"/>
                    </w:rPr>
                    <w:t>高耗能、高排放、低水平项目</w:t>
                  </w:r>
                  <w:r>
                    <w:rPr>
                      <w:rFonts w:hint="eastAsia"/>
                      <w:sz w:val="22"/>
                      <w:szCs w:val="22"/>
                      <w:lang w:eastAsia="zh-CN"/>
                    </w:rPr>
                    <w:t>。</w:t>
                  </w:r>
                </w:p>
              </w:tc>
              <w:tc>
                <w:tcPr>
                  <w:tcW w:w="548" w:type="pct"/>
                  <w:shd w:val="clear" w:color="auto" w:fill="auto"/>
                  <w:vAlign w:val="center"/>
                </w:tcPr>
                <w:p w14:paraId="039365AE">
                  <w:pPr>
                    <w:pStyle w:val="98"/>
                    <w:rPr>
                      <w:rFonts w:hint="eastAsia" w:ascii="Times New Roman" w:hAnsi="Times New Roman" w:eastAsia="宋体" w:cs="Times New Roman"/>
                      <w:snapToGrid w:val="0"/>
                      <w:kern w:val="2"/>
                      <w:sz w:val="22"/>
                      <w:szCs w:val="22"/>
                      <w:lang w:val="en-US" w:eastAsia="zh-CN" w:bidi="ar-SA"/>
                    </w:rPr>
                  </w:pPr>
                  <w:r>
                    <w:rPr>
                      <w:rFonts w:hint="eastAsia"/>
                      <w:sz w:val="22"/>
                      <w:szCs w:val="22"/>
                      <w:lang w:val="en-US" w:eastAsia="zh-CN"/>
                    </w:rPr>
                    <w:t>符合</w:t>
                  </w:r>
                </w:p>
              </w:tc>
            </w:tr>
          </w:tbl>
          <w:p w14:paraId="5D74E3EA">
            <w:pPr>
              <w:pStyle w:val="3"/>
              <w:bidi w:val="0"/>
            </w:pPr>
            <w:r>
              <w:rPr>
                <w:rFonts w:hint="eastAsia"/>
              </w:rPr>
              <w:t>与河道管理条例</w:t>
            </w:r>
            <w:r>
              <w:rPr>
                <w:rFonts w:hint="eastAsia"/>
                <w:lang w:val="en-US" w:eastAsia="zh-CN"/>
              </w:rPr>
              <w:t>相关</w:t>
            </w:r>
            <w:r>
              <w:rPr>
                <w:rFonts w:hint="eastAsia"/>
              </w:rPr>
              <w:t>规定</w:t>
            </w:r>
            <w:r>
              <w:rPr>
                <w:rFonts w:hint="eastAsia"/>
                <w:lang w:val="en-US" w:eastAsia="zh-CN"/>
              </w:rPr>
              <w:t>的</w:t>
            </w:r>
            <w:r>
              <w:rPr>
                <w:rFonts w:hint="eastAsia"/>
              </w:rPr>
              <w:t>符合性分析</w:t>
            </w:r>
          </w:p>
          <w:p w14:paraId="7A033FDF">
            <w:pPr>
              <w:pStyle w:val="4"/>
              <w:rPr>
                <w:rFonts w:hint="default"/>
                <w:color w:val="auto"/>
                <w:lang w:val="en-US" w:eastAsia="zh-CN"/>
              </w:rPr>
            </w:pPr>
            <w:r>
              <w:rPr>
                <w:rFonts w:hint="default"/>
                <w:color w:val="auto"/>
                <w:lang w:val="en-US" w:eastAsia="zh-CN"/>
              </w:rPr>
              <w:t>与《中华人民共和国河道管理条例》的符合性分析</w:t>
            </w:r>
          </w:p>
          <w:p w14:paraId="714005BC">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本项目属于河道综合治理项目，与《中华人民共和国河道管理条例》的符合性分析见下表。</w:t>
            </w:r>
          </w:p>
          <w:p w14:paraId="07AB87D3">
            <w:pPr>
              <w:pStyle w:val="7"/>
              <w:bidi w:val="0"/>
              <w:jc w:val="center"/>
            </w:pPr>
            <w:r>
              <w:rPr>
                <w:rFonts w:hint="eastAsia"/>
                <w:lang w:eastAsia="zh-CN"/>
              </w:rPr>
              <w:t>项目与《中华人民共和国河道管理条例》符合性分析</w:t>
            </w:r>
          </w:p>
          <w:tbl>
            <w:tblPr>
              <w:tblStyle w:val="81"/>
              <w:tblW w:w="4999"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7"/>
              <w:gridCol w:w="3948"/>
              <w:gridCol w:w="3083"/>
              <w:gridCol w:w="955"/>
            </w:tblGrid>
            <w:tr w14:paraId="161DA57B">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9DBB929">
                  <w:pPr>
                    <w:pStyle w:val="98"/>
                    <w:rPr>
                      <w:rFonts w:hint="eastAsia" w:eastAsia="宋体"/>
                      <w:sz w:val="22"/>
                      <w:szCs w:val="22"/>
                      <w:lang w:eastAsia="zh-CN"/>
                    </w:rPr>
                  </w:pPr>
                  <w:r>
                    <w:rPr>
                      <w:rFonts w:hint="eastAsia"/>
                      <w:sz w:val="22"/>
                      <w:szCs w:val="22"/>
                      <w:lang w:val="en-US" w:eastAsia="zh-CN"/>
                    </w:rPr>
                    <w:t>序号</w:t>
                  </w:r>
                </w:p>
              </w:tc>
              <w:tc>
                <w:tcPr>
                  <w:tcW w:w="2265" w:type="pct"/>
                  <w:vAlign w:val="center"/>
                </w:tcPr>
                <w:p w14:paraId="36E340C8">
                  <w:pPr>
                    <w:pStyle w:val="98"/>
                    <w:rPr>
                      <w:rFonts w:hint="default" w:eastAsia="宋体"/>
                      <w:sz w:val="22"/>
                      <w:szCs w:val="22"/>
                      <w:lang w:val="en-US" w:eastAsia="zh-CN"/>
                    </w:rPr>
                  </w:pPr>
                  <w:r>
                    <w:rPr>
                      <w:rFonts w:hint="eastAsia"/>
                      <w:sz w:val="22"/>
                      <w:szCs w:val="22"/>
                      <w:lang w:val="en-US" w:eastAsia="zh-CN"/>
                    </w:rPr>
                    <w:t>文件相关内容</w:t>
                  </w:r>
                </w:p>
              </w:tc>
              <w:tc>
                <w:tcPr>
                  <w:tcW w:w="1769" w:type="pct"/>
                  <w:vAlign w:val="center"/>
                </w:tcPr>
                <w:p w14:paraId="1C45D99E">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154B818B">
                  <w:pPr>
                    <w:pStyle w:val="98"/>
                    <w:rPr>
                      <w:rFonts w:hint="eastAsia" w:eastAsia="宋体"/>
                      <w:sz w:val="22"/>
                      <w:szCs w:val="22"/>
                      <w:lang w:eastAsia="zh-CN"/>
                    </w:rPr>
                  </w:pPr>
                  <w:r>
                    <w:rPr>
                      <w:rFonts w:hint="eastAsia"/>
                      <w:sz w:val="22"/>
                      <w:szCs w:val="22"/>
                      <w:lang w:val="en-US" w:eastAsia="zh-CN"/>
                    </w:rPr>
                    <w:t>符合性</w:t>
                  </w:r>
                </w:p>
              </w:tc>
            </w:tr>
            <w:tr w14:paraId="1BE29B3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072D8AE">
                  <w:pPr>
                    <w:pStyle w:val="98"/>
                    <w:rPr>
                      <w:rFonts w:hint="eastAsia" w:eastAsia="宋体"/>
                      <w:sz w:val="22"/>
                      <w:szCs w:val="22"/>
                      <w:lang w:val="en-US" w:eastAsia="zh-CN"/>
                    </w:rPr>
                  </w:pPr>
                  <w:r>
                    <w:rPr>
                      <w:rFonts w:hint="eastAsia"/>
                      <w:sz w:val="22"/>
                      <w:szCs w:val="22"/>
                      <w:lang w:val="en-US" w:eastAsia="zh-CN"/>
                    </w:rPr>
                    <w:t>1</w:t>
                  </w:r>
                </w:p>
              </w:tc>
              <w:tc>
                <w:tcPr>
                  <w:tcW w:w="2265" w:type="pct"/>
                  <w:vAlign w:val="center"/>
                </w:tcPr>
                <w:p w14:paraId="4EFFCB41">
                  <w:pPr>
                    <w:widowControl/>
                    <w:spacing w:line="240" w:lineRule="auto"/>
                    <w:ind w:firstLine="0" w:firstLineChars="0"/>
                    <w:jc w:val="both"/>
                    <w:rPr>
                      <w:rFonts w:hint="eastAsia" w:eastAsia="宋体"/>
                      <w:sz w:val="22"/>
                      <w:szCs w:val="22"/>
                      <w:lang w:eastAsia="zh-CN"/>
                    </w:rPr>
                  </w:pPr>
                  <w:r>
                    <w:rPr>
                      <w:kern w:val="0"/>
                      <w:sz w:val="22"/>
                      <w:szCs w:val="22"/>
                      <w:lang w:bidi="ar"/>
                    </w:rPr>
                    <w:t>第二章第十条河道的整治与建设，应当服从流域综合规划，符合国家规定的防洪标准、通航标准和其他有关技术要求，维护堤防安全，保持河势稳定和行洪、航运通畅</w:t>
                  </w:r>
                  <w:r>
                    <w:rPr>
                      <w:rFonts w:hint="eastAsia"/>
                      <w:kern w:val="0"/>
                      <w:sz w:val="22"/>
                      <w:szCs w:val="22"/>
                      <w:lang w:eastAsia="zh-CN" w:bidi="ar"/>
                    </w:rPr>
                    <w:t>。</w:t>
                  </w:r>
                </w:p>
              </w:tc>
              <w:tc>
                <w:tcPr>
                  <w:tcW w:w="1769" w:type="pct"/>
                  <w:vAlign w:val="center"/>
                </w:tcPr>
                <w:p w14:paraId="69B56A43">
                  <w:pPr>
                    <w:pStyle w:val="98"/>
                    <w:jc w:val="both"/>
                    <w:rPr>
                      <w:rFonts w:hint="eastAsia" w:eastAsia="宋体"/>
                      <w:sz w:val="22"/>
                      <w:szCs w:val="22"/>
                      <w:lang w:eastAsia="zh-CN"/>
                    </w:rPr>
                  </w:pPr>
                  <w:r>
                    <w:rPr>
                      <w:rFonts w:hint="eastAsia"/>
                      <w:sz w:val="22"/>
                      <w:szCs w:val="22"/>
                    </w:rPr>
                    <w:t>本项目属于河道综合治理项目，项目所在河道不涉及通航，防洪等级符合国家规定的防洪标准，项目建设能保持河势稳定和行洪安全</w:t>
                  </w:r>
                  <w:r>
                    <w:rPr>
                      <w:rFonts w:hint="eastAsia"/>
                      <w:sz w:val="22"/>
                      <w:szCs w:val="22"/>
                      <w:lang w:eastAsia="zh-CN"/>
                    </w:rPr>
                    <w:t>。</w:t>
                  </w:r>
                </w:p>
              </w:tc>
              <w:tc>
                <w:tcPr>
                  <w:tcW w:w="548" w:type="pct"/>
                  <w:vAlign w:val="center"/>
                </w:tcPr>
                <w:p w14:paraId="506B8457">
                  <w:pPr>
                    <w:pStyle w:val="98"/>
                    <w:rPr>
                      <w:rFonts w:hint="eastAsia" w:eastAsia="宋体"/>
                      <w:sz w:val="22"/>
                      <w:szCs w:val="22"/>
                      <w:lang w:val="en-US" w:eastAsia="zh-CN"/>
                    </w:rPr>
                  </w:pPr>
                  <w:r>
                    <w:rPr>
                      <w:rFonts w:hint="eastAsia"/>
                      <w:sz w:val="22"/>
                      <w:szCs w:val="22"/>
                      <w:lang w:val="en-US" w:eastAsia="zh-CN"/>
                    </w:rPr>
                    <w:t>符合</w:t>
                  </w:r>
                </w:p>
              </w:tc>
            </w:tr>
            <w:tr w14:paraId="7BCFC23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547DF12">
                  <w:pPr>
                    <w:pStyle w:val="98"/>
                    <w:rPr>
                      <w:rFonts w:hint="eastAsia" w:eastAsia="宋体"/>
                      <w:sz w:val="22"/>
                      <w:szCs w:val="22"/>
                      <w:lang w:val="en-US" w:eastAsia="zh-CN"/>
                    </w:rPr>
                  </w:pPr>
                  <w:r>
                    <w:rPr>
                      <w:rFonts w:hint="eastAsia"/>
                      <w:sz w:val="22"/>
                      <w:szCs w:val="22"/>
                      <w:lang w:val="en-US" w:eastAsia="zh-CN"/>
                    </w:rPr>
                    <w:t>2</w:t>
                  </w:r>
                </w:p>
              </w:tc>
              <w:tc>
                <w:tcPr>
                  <w:tcW w:w="2265" w:type="pct"/>
                  <w:vAlign w:val="center"/>
                </w:tcPr>
                <w:p w14:paraId="09605F39">
                  <w:pPr>
                    <w:widowControl/>
                    <w:spacing w:line="240" w:lineRule="auto"/>
                    <w:ind w:firstLine="0" w:firstLineChars="0"/>
                    <w:jc w:val="both"/>
                    <w:rPr>
                      <w:kern w:val="0"/>
                      <w:sz w:val="22"/>
                      <w:szCs w:val="22"/>
                      <w:lang w:bidi="ar"/>
                    </w:rPr>
                  </w:pPr>
                  <w:r>
                    <w:rPr>
                      <w:kern w:val="0"/>
                      <w:sz w:val="22"/>
                      <w:szCs w:val="22"/>
                      <w:lang w:bidi="ar"/>
                    </w:rPr>
                    <w:t>第三章第二十四条在河道管理范围内，禁止修建围堤、阻水渠道、阻水道路；种植高秆农作物、芦苇、杨柳、荻柴和树木（堤防防护林除外）；设置拦河渔具；弃置矿渣、石渣、煤灰、泥土、垃圾等。</w:t>
                  </w:r>
                </w:p>
                <w:p w14:paraId="55214301">
                  <w:pPr>
                    <w:widowControl/>
                    <w:spacing w:line="240" w:lineRule="auto"/>
                    <w:ind w:firstLine="0" w:firstLineChars="0"/>
                    <w:jc w:val="both"/>
                    <w:rPr>
                      <w:rFonts w:hint="eastAsia" w:eastAsia="宋体"/>
                      <w:sz w:val="22"/>
                      <w:szCs w:val="22"/>
                      <w:lang w:eastAsia="zh-CN"/>
                    </w:rPr>
                  </w:pPr>
                  <w:r>
                    <w:rPr>
                      <w:kern w:val="0"/>
                      <w:sz w:val="22"/>
                      <w:szCs w:val="22"/>
                      <w:lang w:bidi="ar"/>
                    </w:rPr>
                    <w:t>在堤防和护堤地，禁止建房、放牧、开渠、打井、挖窖、葬坟、晒粮、存放物料、开采地下资源、进行考古发掘以及开展集市贸易活动</w:t>
                  </w:r>
                  <w:r>
                    <w:rPr>
                      <w:rFonts w:hint="eastAsia"/>
                      <w:kern w:val="0"/>
                      <w:sz w:val="22"/>
                      <w:szCs w:val="22"/>
                      <w:lang w:eastAsia="zh-CN" w:bidi="ar"/>
                    </w:rPr>
                    <w:t>。</w:t>
                  </w:r>
                </w:p>
              </w:tc>
              <w:tc>
                <w:tcPr>
                  <w:tcW w:w="1769" w:type="pct"/>
                  <w:vAlign w:val="center"/>
                </w:tcPr>
                <w:p w14:paraId="60ABFFFC">
                  <w:pPr>
                    <w:pStyle w:val="98"/>
                    <w:jc w:val="both"/>
                    <w:rPr>
                      <w:sz w:val="22"/>
                      <w:szCs w:val="22"/>
                    </w:rPr>
                  </w:pPr>
                  <w:r>
                    <w:rPr>
                      <w:kern w:val="0"/>
                      <w:sz w:val="22"/>
                      <w:szCs w:val="22"/>
                      <w:lang w:bidi="ar"/>
                    </w:rPr>
                    <w:t>本项目未在河道管理范围内修建禁止修建的内容。</w:t>
                  </w:r>
                </w:p>
              </w:tc>
              <w:tc>
                <w:tcPr>
                  <w:tcW w:w="548" w:type="pct"/>
                  <w:vAlign w:val="center"/>
                </w:tcPr>
                <w:p w14:paraId="349C29D5">
                  <w:pPr>
                    <w:pStyle w:val="98"/>
                    <w:rPr>
                      <w:rFonts w:hint="eastAsia" w:eastAsia="宋体"/>
                      <w:sz w:val="22"/>
                      <w:szCs w:val="22"/>
                      <w:lang w:val="en-US" w:eastAsia="zh-CN"/>
                    </w:rPr>
                  </w:pPr>
                  <w:r>
                    <w:rPr>
                      <w:rFonts w:hint="eastAsia"/>
                      <w:sz w:val="22"/>
                      <w:szCs w:val="22"/>
                      <w:lang w:val="en-US" w:eastAsia="zh-CN"/>
                    </w:rPr>
                    <w:t>符合</w:t>
                  </w:r>
                </w:p>
              </w:tc>
            </w:tr>
            <w:tr w14:paraId="7724777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70F427B1">
                  <w:pPr>
                    <w:pStyle w:val="98"/>
                    <w:rPr>
                      <w:rFonts w:hint="eastAsia" w:eastAsia="宋体"/>
                      <w:sz w:val="22"/>
                      <w:szCs w:val="22"/>
                      <w:lang w:val="en-US" w:eastAsia="zh-CN"/>
                    </w:rPr>
                  </w:pPr>
                  <w:r>
                    <w:rPr>
                      <w:rFonts w:hint="eastAsia"/>
                      <w:sz w:val="22"/>
                      <w:szCs w:val="22"/>
                      <w:lang w:val="en-US" w:eastAsia="zh-CN"/>
                    </w:rPr>
                    <w:t>3</w:t>
                  </w:r>
                </w:p>
              </w:tc>
              <w:tc>
                <w:tcPr>
                  <w:tcW w:w="2265" w:type="pct"/>
                  <w:vAlign w:val="center"/>
                </w:tcPr>
                <w:p w14:paraId="5B8C31FB">
                  <w:pPr>
                    <w:widowControl/>
                    <w:spacing w:line="240" w:lineRule="auto"/>
                    <w:ind w:firstLine="0" w:firstLineChars="0"/>
                    <w:jc w:val="both"/>
                    <w:rPr>
                      <w:kern w:val="0"/>
                      <w:sz w:val="22"/>
                      <w:szCs w:val="22"/>
                      <w:lang w:bidi="ar"/>
                    </w:rPr>
                  </w:pPr>
                  <w:r>
                    <w:rPr>
                      <w:kern w:val="0"/>
                      <w:sz w:val="22"/>
                      <w:szCs w:val="22"/>
                      <w:lang w:bidi="ar"/>
                    </w:rPr>
                    <w:t>第三章第二十五条在河道管理范围内进行下列活动，必须报经河道主管机关批准；涉及其他部门的，由河道主管机关会同有关部门批准：</w:t>
                  </w:r>
                </w:p>
                <w:p w14:paraId="20DA8579">
                  <w:pPr>
                    <w:widowControl/>
                    <w:spacing w:line="240" w:lineRule="auto"/>
                    <w:ind w:firstLine="0" w:firstLineChars="0"/>
                    <w:jc w:val="both"/>
                    <w:rPr>
                      <w:kern w:val="0"/>
                      <w:sz w:val="22"/>
                      <w:szCs w:val="22"/>
                      <w:lang w:bidi="ar"/>
                    </w:rPr>
                  </w:pPr>
                  <w:r>
                    <w:rPr>
                      <w:kern w:val="0"/>
                      <w:sz w:val="22"/>
                      <w:szCs w:val="22"/>
                      <w:lang w:bidi="ar"/>
                    </w:rPr>
                    <w:t>1、采砂、取土、淘金、弃置砂石或者淤泥；</w:t>
                  </w:r>
                </w:p>
                <w:p w14:paraId="48515B4B">
                  <w:pPr>
                    <w:widowControl/>
                    <w:spacing w:line="240" w:lineRule="auto"/>
                    <w:ind w:firstLine="0" w:firstLineChars="0"/>
                    <w:jc w:val="both"/>
                    <w:rPr>
                      <w:kern w:val="0"/>
                      <w:sz w:val="22"/>
                      <w:szCs w:val="22"/>
                      <w:lang w:bidi="ar"/>
                    </w:rPr>
                  </w:pPr>
                  <w:r>
                    <w:rPr>
                      <w:kern w:val="0"/>
                      <w:sz w:val="22"/>
                      <w:szCs w:val="22"/>
                      <w:lang w:bidi="ar"/>
                    </w:rPr>
                    <w:t>2、爆破、钻探、挖筑鱼塘；</w:t>
                  </w:r>
                </w:p>
                <w:p w14:paraId="326CA4D6">
                  <w:pPr>
                    <w:widowControl/>
                    <w:spacing w:line="240" w:lineRule="auto"/>
                    <w:ind w:firstLine="0" w:firstLineChars="0"/>
                    <w:jc w:val="both"/>
                    <w:rPr>
                      <w:kern w:val="0"/>
                      <w:sz w:val="22"/>
                      <w:szCs w:val="22"/>
                      <w:lang w:bidi="ar"/>
                    </w:rPr>
                  </w:pPr>
                  <w:r>
                    <w:rPr>
                      <w:kern w:val="0"/>
                      <w:sz w:val="22"/>
                      <w:szCs w:val="22"/>
                      <w:lang w:bidi="ar"/>
                    </w:rPr>
                    <w:t>3、在河道滩地存放物料、修建厂房或者其他建筑设施；</w:t>
                  </w:r>
                </w:p>
                <w:p w14:paraId="45C2C160">
                  <w:pPr>
                    <w:widowControl/>
                    <w:spacing w:line="240" w:lineRule="auto"/>
                    <w:ind w:firstLine="0" w:firstLineChars="0"/>
                    <w:jc w:val="both"/>
                    <w:rPr>
                      <w:rFonts w:hint="eastAsia" w:eastAsia="宋体"/>
                      <w:sz w:val="22"/>
                      <w:szCs w:val="22"/>
                      <w:lang w:eastAsia="zh-CN"/>
                    </w:rPr>
                  </w:pPr>
                  <w:r>
                    <w:rPr>
                      <w:kern w:val="0"/>
                      <w:sz w:val="22"/>
                      <w:szCs w:val="22"/>
                      <w:lang w:bidi="ar"/>
                    </w:rPr>
                    <w:t>4、在河道滩地开采地下资源及进行考古发掘</w:t>
                  </w:r>
                  <w:r>
                    <w:rPr>
                      <w:rFonts w:hint="eastAsia"/>
                      <w:kern w:val="0"/>
                      <w:sz w:val="22"/>
                      <w:szCs w:val="22"/>
                      <w:lang w:eastAsia="zh-CN" w:bidi="ar"/>
                    </w:rPr>
                    <w:t>。</w:t>
                  </w:r>
                </w:p>
              </w:tc>
              <w:tc>
                <w:tcPr>
                  <w:tcW w:w="1769" w:type="pct"/>
                  <w:vAlign w:val="center"/>
                </w:tcPr>
                <w:p w14:paraId="685C0508">
                  <w:pPr>
                    <w:pStyle w:val="98"/>
                    <w:jc w:val="both"/>
                    <w:rPr>
                      <w:rFonts w:hint="default" w:eastAsia="宋体"/>
                      <w:b w:val="0"/>
                      <w:bCs w:val="0"/>
                      <w:sz w:val="22"/>
                      <w:szCs w:val="22"/>
                      <w:lang w:val="en-US" w:eastAsia="zh-CN"/>
                    </w:rPr>
                  </w:pPr>
                  <w:r>
                    <w:rPr>
                      <w:kern w:val="0"/>
                      <w:sz w:val="22"/>
                      <w:szCs w:val="22"/>
                      <w:lang w:bidi="ar"/>
                    </w:rPr>
                    <w:t>本项目不涉及下列活动：爆破、钻探、挖筑鱼塘；在河道滩地存放物料、修建厂房或者其他建筑设施；在河道滩地开采地下资源及进行考古发掘。本项目在进行河道清淤前将依法取得</w:t>
                  </w:r>
                  <w:r>
                    <w:rPr>
                      <w:rFonts w:hint="eastAsia"/>
                      <w:color w:val="auto"/>
                      <w:sz w:val="22"/>
                      <w:szCs w:val="22"/>
                      <w:lang w:val="en-US" w:eastAsia="zh-CN"/>
                    </w:rPr>
                    <w:t>达州市水务局</w:t>
                  </w:r>
                  <w:r>
                    <w:rPr>
                      <w:kern w:val="0"/>
                      <w:sz w:val="22"/>
                      <w:szCs w:val="22"/>
                      <w:lang w:bidi="ar"/>
                    </w:rPr>
                    <w:t>等主管部门的批准。</w:t>
                  </w:r>
                </w:p>
              </w:tc>
              <w:tc>
                <w:tcPr>
                  <w:tcW w:w="548" w:type="pct"/>
                  <w:vAlign w:val="center"/>
                </w:tcPr>
                <w:p w14:paraId="7561D099">
                  <w:pPr>
                    <w:pStyle w:val="98"/>
                    <w:rPr>
                      <w:rFonts w:hint="eastAsia" w:eastAsia="宋体"/>
                      <w:b w:val="0"/>
                      <w:bCs w:val="0"/>
                      <w:sz w:val="22"/>
                      <w:szCs w:val="22"/>
                      <w:lang w:eastAsia="zh-CN"/>
                    </w:rPr>
                  </w:pPr>
                  <w:r>
                    <w:rPr>
                      <w:rFonts w:hint="eastAsia"/>
                      <w:sz w:val="22"/>
                      <w:szCs w:val="22"/>
                      <w:lang w:val="en-US" w:eastAsia="zh-CN"/>
                    </w:rPr>
                    <w:t>符合</w:t>
                  </w:r>
                </w:p>
              </w:tc>
            </w:tr>
            <w:tr w14:paraId="11BAB0B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1F6B1D4">
                  <w:pPr>
                    <w:pStyle w:val="98"/>
                    <w:rPr>
                      <w:rFonts w:hint="eastAsia" w:eastAsia="宋体"/>
                      <w:sz w:val="22"/>
                      <w:szCs w:val="22"/>
                      <w:lang w:val="en-US" w:eastAsia="zh-CN"/>
                    </w:rPr>
                  </w:pPr>
                  <w:r>
                    <w:rPr>
                      <w:rFonts w:hint="eastAsia"/>
                      <w:sz w:val="22"/>
                      <w:szCs w:val="22"/>
                      <w:lang w:val="en-US" w:eastAsia="zh-CN"/>
                    </w:rPr>
                    <w:t>4</w:t>
                  </w:r>
                </w:p>
              </w:tc>
              <w:tc>
                <w:tcPr>
                  <w:tcW w:w="2265" w:type="pct"/>
                  <w:vAlign w:val="center"/>
                </w:tcPr>
                <w:p w14:paraId="535FC933">
                  <w:pPr>
                    <w:widowControl/>
                    <w:spacing w:line="240" w:lineRule="auto"/>
                    <w:ind w:firstLine="0" w:firstLineChars="0"/>
                    <w:jc w:val="both"/>
                    <w:rPr>
                      <w:rFonts w:hint="eastAsia" w:eastAsia="宋体"/>
                      <w:sz w:val="22"/>
                      <w:szCs w:val="22"/>
                      <w:lang w:eastAsia="zh-CN"/>
                    </w:rPr>
                  </w:pPr>
                  <w:r>
                    <w:rPr>
                      <w:kern w:val="0"/>
                      <w:sz w:val="22"/>
                      <w:szCs w:val="22"/>
                      <w:lang w:bidi="ar"/>
                    </w:rPr>
                    <w:t>第三章第二十八条加强河道滩地、堤防和河岸的水土保持工作，防止水土流失、河道淤积</w:t>
                  </w:r>
                  <w:r>
                    <w:rPr>
                      <w:rFonts w:hint="eastAsia"/>
                      <w:kern w:val="0"/>
                      <w:sz w:val="22"/>
                      <w:szCs w:val="22"/>
                      <w:lang w:eastAsia="zh-CN" w:bidi="ar"/>
                    </w:rPr>
                    <w:t>。</w:t>
                  </w:r>
                </w:p>
              </w:tc>
              <w:tc>
                <w:tcPr>
                  <w:tcW w:w="3083" w:type="dxa"/>
                  <w:vAlign w:val="center"/>
                </w:tcPr>
                <w:p w14:paraId="5F15E29E">
                  <w:pPr>
                    <w:widowControl/>
                    <w:spacing w:line="240" w:lineRule="auto"/>
                    <w:ind w:firstLine="0" w:firstLineChars="0"/>
                    <w:jc w:val="both"/>
                    <w:rPr>
                      <w:sz w:val="22"/>
                      <w:szCs w:val="22"/>
                    </w:rPr>
                  </w:pPr>
                  <w:r>
                    <w:rPr>
                      <w:kern w:val="0"/>
                      <w:sz w:val="22"/>
                      <w:szCs w:val="22"/>
                      <w:lang w:bidi="ar"/>
                    </w:rPr>
                    <w:t>本项目在严格落实《水土保持方案》提出的措施后，可防止水土流失、河道淤积。</w:t>
                  </w:r>
                </w:p>
              </w:tc>
              <w:tc>
                <w:tcPr>
                  <w:tcW w:w="548" w:type="pct"/>
                  <w:vAlign w:val="center"/>
                </w:tcPr>
                <w:p w14:paraId="4F019E54">
                  <w:pPr>
                    <w:pStyle w:val="98"/>
                    <w:rPr>
                      <w:sz w:val="22"/>
                      <w:szCs w:val="22"/>
                    </w:rPr>
                  </w:pPr>
                  <w:r>
                    <w:rPr>
                      <w:rFonts w:hint="eastAsia"/>
                      <w:sz w:val="22"/>
                      <w:szCs w:val="22"/>
                      <w:lang w:val="en-US" w:eastAsia="zh-CN"/>
                    </w:rPr>
                    <w:t>符合</w:t>
                  </w:r>
                </w:p>
              </w:tc>
            </w:tr>
            <w:tr w14:paraId="5351A83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45F3766D">
                  <w:pPr>
                    <w:pStyle w:val="98"/>
                    <w:rPr>
                      <w:rFonts w:hint="eastAsia" w:eastAsia="宋体"/>
                      <w:sz w:val="22"/>
                      <w:szCs w:val="22"/>
                      <w:lang w:val="en-US" w:eastAsia="zh-CN"/>
                    </w:rPr>
                  </w:pPr>
                  <w:r>
                    <w:rPr>
                      <w:rFonts w:hint="eastAsia"/>
                      <w:sz w:val="22"/>
                      <w:szCs w:val="22"/>
                      <w:lang w:val="en-US" w:eastAsia="zh-CN"/>
                    </w:rPr>
                    <w:t>5</w:t>
                  </w:r>
                </w:p>
              </w:tc>
              <w:tc>
                <w:tcPr>
                  <w:tcW w:w="2265" w:type="pct"/>
                  <w:vAlign w:val="center"/>
                </w:tcPr>
                <w:p w14:paraId="34EDED91">
                  <w:pPr>
                    <w:widowControl/>
                    <w:spacing w:line="240" w:lineRule="auto"/>
                    <w:ind w:firstLine="0" w:firstLineChars="0"/>
                    <w:jc w:val="both"/>
                    <w:rPr>
                      <w:rFonts w:hint="eastAsia" w:eastAsia="宋体"/>
                      <w:sz w:val="22"/>
                      <w:szCs w:val="22"/>
                      <w:lang w:eastAsia="zh-CN"/>
                    </w:rPr>
                  </w:pPr>
                  <w:r>
                    <w:rPr>
                      <w:kern w:val="0"/>
                      <w:sz w:val="22"/>
                      <w:szCs w:val="22"/>
                      <w:lang w:bidi="ar"/>
                    </w:rPr>
                    <w:t>第三章第二十九条江河的故道、旧堤、原有工程设施等，不得擅自填堵、占用或者拆毁</w:t>
                  </w:r>
                  <w:r>
                    <w:rPr>
                      <w:rFonts w:hint="eastAsia"/>
                      <w:kern w:val="0"/>
                      <w:sz w:val="22"/>
                      <w:szCs w:val="22"/>
                      <w:lang w:eastAsia="zh-CN" w:bidi="ar"/>
                    </w:rPr>
                    <w:t>。</w:t>
                  </w:r>
                </w:p>
              </w:tc>
              <w:tc>
                <w:tcPr>
                  <w:tcW w:w="3083" w:type="dxa"/>
                  <w:vAlign w:val="center"/>
                </w:tcPr>
                <w:p w14:paraId="641C6F38">
                  <w:pPr>
                    <w:widowControl/>
                    <w:spacing w:line="240" w:lineRule="auto"/>
                    <w:ind w:firstLine="0" w:firstLineChars="0"/>
                    <w:jc w:val="both"/>
                    <w:rPr>
                      <w:rFonts w:hint="eastAsia" w:eastAsia="宋体"/>
                      <w:sz w:val="22"/>
                      <w:szCs w:val="22"/>
                      <w:lang w:eastAsia="zh-CN"/>
                    </w:rPr>
                  </w:pPr>
                  <w:r>
                    <w:rPr>
                      <w:kern w:val="0"/>
                      <w:sz w:val="22"/>
                      <w:szCs w:val="22"/>
                      <w:lang w:bidi="ar"/>
                    </w:rPr>
                    <w:t>本项目不涉及擅自填堵、占用或者拆毁故道、旧堤、原有工程设施等</w:t>
                  </w:r>
                  <w:r>
                    <w:rPr>
                      <w:rFonts w:hint="eastAsia"/>
                      <w:kern w:val="0"/>
                      <w:sz w:val="22"/>
                      <w:szCs w:val="22"/>
                      <w:lang w:eastAsia="zh-CN" w:bidi="ar"/>
                    </w:rPr>
                    <w:t>。</w:t>
                  </w:r>
                </w:p>
              </w:tc>
              <w:tc>
                <w:tcPr>
                  <w:tcW w:w="548" w:type="pct"/>
                  <w:vAlign w:val="center"/>
                </w:tcPr>
                <w:p w14:paraId="128F27B3">
                  <w:pPr>
                    <w:pStyle w:val="98"/>
                    <w:rPr>
                      <w:sz w:val="22"/>
                      <w:szCs w:val="22"/>
                    </w:rPr>
                  </w:pPr>
                  <w:r>
                    <w:rPr>
                      <w:rFonts w:hint="eastAsia"/>
                      <w:sz w:val="22"/>
                      <w:szCs w:val="22"/>
                      <w:lang w:val="en-US" w:eastAsia="zh-CN"/>
                    </w:rPr>
                    <w:t>符合</w:t>
                  </w:r>
                </w:p>
              </w:tc>
            </w:tr>
            <w:tr w14:paraId="6929E75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7761CC7">
                  <w:pPr>
                    <w:pStyle w:val="98"/>
                    <w:rPr>
                      <w:rFonts w:hint="default"/>
                      <w:sz w:val="22"/>
                      <w:szCs w:val="22"/>
                      <w:lang w:val="en-US" w:eastAsia="zh-CN"/>
                    </w:rPr>
                  </w:pPr>
                  <w:r>
                    <w:rPr>
                      <w:rFonts w:hint="eastAsia"/>
                      <w:sz w:val="22"/>
                      <w:szCs w:val="22"/>
                      <w:lang w:val="en-US" w:eastAsia="zh-CN"/>
                    </w:rPr>
                    <w:t>6</w:t>
                  </w:r>
                </w:p>
              </w:tc>
              <w:tc>
                <w:tcPr>
                  <w:tcW w:w="2265" w:type="pct"/>
                  <w:vAlign w:val="center"/>
                </w:tcPr>
                <w:p w14:paraId="0E7488F4">
                  <w:pPr>
                    <w:widowControl/>
                    <w:spacing w:line="240" w:lineRule="auto"/>
                    <w:ind w:firstLine="0" w:firstLineChars="0"/>
                    <w:jc w:val="both"/>
                    <w:rPr>
                      <w:rFonts w:hint="eastAsia" w:eastAsia="宋体"/>
                      <w:sz w:val="22"/>
                      <w:szCs w:val="22"/>
                      <w:lang w:eastAsia="zh-CN"/>
                    </w:rPr>
                  </w:pPr>
                  <w:r>
                    <w:rPr>
                      <w:kern w:val="0"/>
                      <w:sz w:val="22"/>
                      <w:szCs w:val="22"/>
                      <w:lang w:bidi="ar"/>
                    </w:rPr>
                    <w:t>第三章第三十二条山区河道有山体滑坡、崩岸、泥石流等自然灾害的河段，河道主管机关应当会同地质、交通等部门加强监测。在上述河段，禁止从事开山采石、采矿、开荒等危及山体稳定的活动</w:t>
                  </w:r>
                  <w:r>
                    <w:rPr>
                      <w:rFonts w:hint="eastAsia"/>
                      <w:kern w:val="0"/>
                      <w:sz w:val="22"/>
                      <w:szCs w:val="22"/>
                      <w:lang w:eastAsia="zh-CN" w:bidi="ar"/>
                    </w:rPr>
                    <w:t>。</w:t>
                  </w:r>
                </w:p>
              </w:tc>
              <w:tc>
                <w:tcPr>
                  <w:tcW w:w="3083" w:type="dxa"/>
                  <w:vAlign w:val="center"/>
                </w:tcPr>
                <w:p w14:paraId="7576ECF4">
                  <w:pPr>
                    <w:widowControl/>
                    <w:spacing w:line="240" w:lineRule="auto"/>
                    <w:ind w:firstLine="0" w:firstLineChars="0"/>
                    <w:jc w:val="both"/>
                    <w:rPr>
                      <w:rFonts w:hint="eastAsia"/>
                      <w:b w:val="0"/>
                      <w:bCs w:val="0"/>
                      <w:sz w:val="22"/>
                      <w:szCs w:val="22"/>
                      <w:lang w:val="en-US" w:eastAsia="zh-CN"/>
                    </w:rPr>
                  </w:pPr>
                  <w:r>
                    <w:rPr>
                      <w:kern w:val="0"/>
                      <w:sz w:val="22"/>
                      <w:szCs w:val="22"/>
                      <w:lang w:bidi="ar"/>
                    </w:rPr>
                    <w:t>本项目不涉及开山采石、采矿、开荒等危及山体稳定的活动。</w:t>
                  </w:r>
                </w:p>
              </w:tc>
              <w:tc>
                <w:tcPr>
                  <w:tcW w:w="955" w:type="dxa"/>
                  <w:vAlign w:val="center"/>
                </w:tcPr>
                <w:p w14:paraId="59B69E6D">
                  <w:pPr>
                    <w:pStyle w:val="98"/>
                    <w:rPr>
                      <w:rFonts w:hint="eastAsia"/>
                      <w:sz w:val="22"/>
                      <w:szCs w:val="22"/>
                      <w:lang w:val="en-US" w:eastAsia="zh-CN"/>
                    </w:rPr>
                  </w:pPr>
                  <w:r>
                    <w:rPr>
                      <w:rFonts w:hint="eastAsia"/>
                      <w:sz w:val="22"/>
                      <w:szCs w:val="22"/>
                      <w:lang w:val="en-US" w:eastAsia="zh-CN"/>
                    </w:rPr>
                    <w:t>符合</w:t>
                  </w:r>
                </w:p>
              </w:tc>
            </w:tr>
            <w:tr w14:paraId="2CE4037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25908A71">
                  <w:pPr>
                    <w:pStyle w:val="98"/>
                    <w:rPr>
                      <w:rFonts w:hint="default"/>
                      <w:sz w:val="22"/>
                      <w:szCs w:val="22"/>
                      <w:lang w:val="en-US" w:eastAsia="zh-CN"/>
                    </w:rPr>
                  </w:pPr>
                  <w:r>
                    <w:rPr>
                      <w:rFonts w:hint="eastAsia"/>
                      <w:sz w:val="22"/>
                      <w:szCs w:val="22"/>
                      <w:lang w:val="en-US" w:eastAsia="zh-CN"/>
                    </w:rPr>
                    <w:t>7</w:t>
                  </w:r>
                </w:p>
              </w:tc>
              <w:tc>
                <w:tcPr>
                  <w:tcW w:w="2265" w:type="pct"/>
                  <w:vAlign w:val="center"/>
                </w:tcPr>
                <w:p w14:paraId="7F63C119">
                  <w:pPr>
                    <w:widowControl/>
                    <w:spacing w:line="240" w:lineRule="auto"/>
                    <w:ind w:firstLine="0" w:firstLineChars="0"/>
                    <w:jc w:val="both"/>
                    <w:rPr>
                      <w:rFonts w:hint="eastAsia" w:eastAsia="宋体"/>
                      <w:sz w:val="22"/>
                      <w:szCs w:val="22"/>
                      <w:lang w:eastAsia="zh-CN"/>
                    </w:rPr>
                  </w:pPr>
                  <w:r>
                    <w:rPr>
                      <w:kern w:val="0"/>
                      <w:sz w:val="22"/>
                      <w:szCs w:val="22"/>
                      <w:lang w:bidi="ar"/>
                    </w:rPr>
                    <w:t>第三章第三十四条向河道、湖泊排污的排污口的设置和扩大，排污单位在向环境保护部门申报之前，应当征得河道主管机关的同意</w:t>
                  </w:r>
                  <w:r>
                    <w:rPr>
                      <w:rFonts w:hint="eastAsia"/>
                      <w:kern w:val="0"/>
                      <w:sz w:val="22"/>
                      <w:szCs w:val="22"/>
                      <w:lang w:eastAsia="zh-CN" w:bidi="ar"/>
                    </w:rPr>
                    <w:t>。</w:t>
                  </w:r>
                </w:p>
              </w:tc>
              <w:tc>
                <w:tcPr>
                  <w:tcW w:w="3083" w:type="dxa"/>
                  <w:vAlign w:val="center"/>
                </w:tcPr>
                <w:p w14:paraId="38E4BB77">
                  <w:pPr>
                    <w:widowControl/>
                    <w:spacing w:line="240" w:lineRule="auto"/>
                    <w:ind w:firstLine="0" w:firstLineChars="0"/>
                    <w:jc w:val="both"/>
                    <w:rPr>
                      <w:rFonts w:hint="eastAsia"/>
                      <w:b w:val="0"/>
                      <w:bCs w:val="0"/>
                      <w:sz w:val="22"/>
                      <w:szCs w:val="22"/>
                      <w:lang w:val="en-US" w:eastAsia="zh-CN"/>
                    </w:rPr>
                  </w:pPr>
                  <w:r>
                    <w:rPr>
                      <w:kern w:val="0"/>
                      <w:sz w:val="22"/>
                      <w:szCs w:val="22"/>
                      <w:lang w:bidi="ar"/>
                    </w:rPr>
                    <w:t>本项目不设置河道排污口。</w:t>
                  </w:r>
                </w:p>
              </w:tc>
              <w:tc>
                <w:tcPr>
                  <w:tcW w:w="955" w:type="dxa"/>
                  <w:vAlign w:val="center"/>
                </w:tcPr>
                <w:p w14:paraId="06F09F17">
                  <w:pPr>
                    <w:pStyle w:val="98"/>
                    <w:rPr>
                      <w:rFonts w:hint="eastAsia"/>
                      <w:sz w:val="22"/>
                      <w:szCs w:val="22"/>
                      <w:lang w:val="en-US" w:eastAsia="zh-CN"/>
                    </w:rPr>
                  </w:pPr>
                  <w:r>
                    <w:rPr>
                      <w:rFonts w:hint="eastAsia"/>
                      <w:sz w:val="22"/>
                      <w:szCs w:val="22"/>
                      <w:lang w:val="en-US" w:eastAsia="zh-CN"/>
                    </w:rPr>
                    <w:t>符合</w:t>
                  </w:r>
                </w:p>
              </w:tc>
            </w:tr>
            <w:tr w14:paraId="5CCDD55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81A5C0C">
                  <w:pPr>
                    <w:pStyle w:val="98"/>
                    <w:rPr>
                      <w:rFonts w:hint="default"/>
                      <w:sz w:val="22"/>
                      <w:szCs w:val="22"/>
                      <w:lang w:val="en-US" w:eastAsia="zh-CN"/>
                    </w:rPr>
                  </w:pPr>
                  <w:r>
                    <w:rPr>
                      <w:rFonts w:hint="eastAsia"/>
                      <w:sz w:val="22"/>
                      <w:szCs w:val="22"/>
                      <w:lang w:val="en-US" w:eastAsia="zh-CN"/>
                    </w:rPr>
                    <w:t>8</w:t>
                  </w:r>
                </w:p>
              </w:tc>
              <w:tc>
                <w:tcPr>
                  <w:tcW w:w="2265" w:type="pct"/>
                  <w:vAlign w:val="center"/>
                </w:tcPr>
                <w:p w14:paraId="5AD6C51B">
                  <w:pPr>
                    <w:widowControl/>
                    <w:spacing w:line="240" w:lineRule="auto"/>
                    <w:ind w:firstLine="0" w:firstLineChars="0"/>
                    <w:jc w:val="both"/>
                    <w:rPr>
                      <w:rFonts w:hint="eastAsia" w:eastAsia="宋体"/>
                      <w:sz w:val="22"/>
                      <w:szCs w:val="22"/>
                      <w:lang w:eastAsia="zh-CN"/>
                    </w:rPr>
                  </w:pPr>
                  <w:r>
                    <w:rPr>
                      <w:kern w:val="0"/>
                      <w:sz w:val="22"/>
                      <w:szCs w:val="22"/>
                      <w:lang w:bidi="ar"/>
                    </w:rPr>
                    <w:t>第三章第三十五条在河道管理范围内，禁止堆放、倾倒、掩埋、排放污染水体的物体。禁止在河道内清洗装贮过油类或者有毒污染物的车辆、容器</w:t>
                  </w:r>
                  <w:r>
                    <w:rPr>
                      <w:rFonts w:hint="eastAsia"/>
                      <w:kern w:val="0"/>
                      <w:sz w:val="22"/>
                      <w:szCs w:val="22"/>
                      <w:lang w:eastAsia="zh-CN" w:bidi="ar"/>
                    </w:rPr>
                    <w:t>。</w:t>
                  </w:r>
                </w:p>
              </w:tc>
              <w:tc>
                <w:tcPr>
                  <w:tcW w:w="3083" w:type="dxa"/>
                  <w:vAlign w:val="center"/>
                </w:tcPr>
                <w:p w14:paraId="7542DD24">
                  <w:pPr>
                    <w:widowControl/>
                    <w:spacing w:line="240" w:lineRule="auto"/>
                    <w:ind w:firstLine="0" w:firstLineChars="0"/>
                    <w:jc w:val="both"/>
                    <w:rPr>
                      <w:rFonts w:hint="eastAsia"/>
                      <w:b w:val="0"/>
                      <w:bCs w:val="0"/>
                      <w:sz w:val="22"/>
                      <w:szCs w:val="22"/>
                      <w:lang w:val="en-US" w:eastAsia="zh-CN"/>
                    </w:rPr>
                  </w:pPr>
                  <w:r>
                    <w:rPr>
                      <w:kern w:val="0"/>
                      <w:sz w:val="22"/>
                      <w:szCs w:val="22"/>
                      <w:lang w:bidi="ar"/>
                    </w:rPr>
                    <w:t>本项目在河道管理范围内不堆放、倾倒、掩埋、排放污染水体的物体。不在河道内清洗装贮过油类或者有毒污染物的车辆、容器。</w:t>
                  </w:r>
                </w:p>
              </w:tc>
              <w:tc>
                <w:tcPr>
                  <w:tcW w:w="955" w:type="dxa"/>
                  <w:vAlign w:val="center"/>
                </w:tcPr>
                <w:p w14:paraId="6008DA3D">
                  <w:pPr>
                    <w:pStyle w:val="98"/>
                    <w:rPr>
                      <w:rFonts w:hint="eastAsia"/>
                      <w:sz w:val="22"/>
                      <w:szCs w:val="22"/>
                      <w:lang w:val="en-US" w:eastAsia="zh-CN"/>
                    </w:rPr>
                  </w:pPr>
                  <w:r>
                    <w:rPr>
                      <w:rFonts w:hint="eastAsia"/>
                      <w:sz w:val="22"/>
                      <w:szCs w:val="22"/>
                      <w:lang w:val="en-US" w:eastAsia="zh-CN"/>
                    </w:rPr>
                    <w:t>符合</w:t>
                  </w:r>
                </w:p>
              </w:tc>
            </w:tr>
          </w:tbl>
          <w:p w14:paraId="79DB50ED">
            <w:pPr>
              <w:pStyle w:val="6"/>
              <w:bidi w:val="0"/>
              <w:rPr>
                <w:rFonts w:hint="default" w:eastAsia="宋体"/>
                <w:color w:val="auto"/>
                <w:lang w:val="en-US" w:eastAsia="zh-CN"/>
              </w:rPr>
            </w:pPr>
            <w:r>
              <w:rPr>
                <w:rFonts w:hint="eastAsia"/>
                <w:color w:val="auto"/>
                <w:lang w:val="en-US" w:eastAsia="zh-CN"/>
              </w:rPr>
              <w:t>根据上表，本项目符合</w:t>
            </w:r>
            <w:r>
              <w:rPr>
                <w:rFonts w:hint="default" w:eastAsia="宋体"/>
                <w:color w:val="000000" w:themeColor="text1"/>
                <w:spacing w:val="-4"/>
                <w14:textFill>
                  <w14:solidFill>
                    <w14:schemeClr w14:val="tx1"/>
                  </w14:solidFill>
                </w14:textFill>
              </w:rPr>
              <w:t>《中华人民共和国河道管理条例》</w:t>
            </w:r>
            <w:r>
              <w:rPr>
                <w:rFonts w:hint="eastAsia"/>
                <w:color w:val="000000" w:themeColor="text1"/>
                <w:spacing w:val="-4"/>
                <w:lang w:val="en-US" w:eastAsia="zh-CN"/>
                <w14:textFill>
                  <w14:solidFill>
                    <w14:schemeClr w14:val="tx1"/>
                  </w14:solidFill>
                </w14:textFill>
              </w:rPr>
              <w:t>中的相关内容。</w:t>
            </w:r>
          </w:p>
          <w:p w14:paraId="70773859">
            <w:pPr>
              <w:pStyle w:val="4"/>
              <w:rPr>
                <w:rFonts w:hint="default"/>
                <w:color w:val="auto"/>
                <w:lang w:val="en-US" w:eastAsia="zh-CN"/>
              </w:rPr>
            </w:pPr>
            <w:r>
              <w:rPr>
                <w:rFonts w:hint="eastAsia"/>
                <w:color w:val="auto"/>
                <w:lang w:val="en-US" w:eastAsia="zh-CN"/>
              </w:rPr>
              <w:t>与《四川省河道管理实施办法》</w:t>
            </w:r>
          </w:p>
          <w:p w14:paraId="32F0125F">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本项目属于河道综合治理项目，与《</w:t>
            </w:r>
            <w:r>
              <w:rPr>
                <w:rFonts w:hint="eastAsia"/>
                <w:color w:val="auto"/>
                <w:lang w:val="en-US" w:eastAsia="zh-CN"/>
              </w:rPr>
              <w:t>四川省河道管理实施办法</w:t>
            </w:r>
            <w:r>
              <w:rPr>
                <w:rFonts w:hint="default" w:eastAsia="宋体"/>
                <w:color w:val="000000" w:themeColor="text1"/>
                <w:spacing w:val="-4"/>
                <w14:textFill>
                  <w14:solidFill>
                    <w14:schemeClr w14:val="tx1"/>
                  </w14:solidFill>
                </w14:textFill>
              </w:rPr>
              <w:t>》的符合性分析见下表。</w:t>
            </w:r>
          </w:p>
          <w:p w14:paraId="4F60286A">
            <w:pPr>
              <w:pStyle w:val="7"/>
              <w:bidi w:val="0"/>
              <w:jc w:val="center"/>
            </w:pPr>
            <w:r>
              <w:rPr>
                <w:rFonts w:hint="eastAsia"/>
                <w:lang w:eastAsia="zh-CN"/>
              </w:rPr>
              <w:t>项目与《四川省河道管理实施办法》符合性分析</w:t>
            </w:r>
          </w:p>
          <w:tbl>
            <w:tblPr>
              <w:tblStyle w:val="81"/>
              <w:tblW w:w="4998"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7"/>
              <w:gridCol w:w="4729"/>
              <w:gridCol w:w="2300"/>
              <w:gridCol w:w="955"/>
            </w:tblGrid>
            <w:tr w14:paraId="396A6E9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3DB2CB95">
                  <w:pPr>
                    <w:pStyle w:val="98"/>
                    <w:rPr>
                      <w:rFonts w:hint="eastAsia" w:eastAsia="宋体"/>
                      <w:sz w:val="22"/>
                      <w:szCs w:val="22"/>
                      <w:lang w:eastAsia="zh-CN"/>
                    </w:rPr>
                  </w:pPr>
                  <w:r>
                    <w:rPr>
                      <w:rFonts w:hint="eastAsia"/>
                      <w:sz w:val="22"/>
                      <w:szCs w:val="22"/>
                      <w:lang w:val="en-US" w:eastAsia="zh-CN"/>
                    </w:rPr>
                    <w:t>序号</w:t>
                  </w:r>
                </w:p>
              </w:tc>
              <w:tc>
                <w:tcPr>
                  <w:tcW w:w="2714" w:type="pct"/>
                  <w:vAlign w:val="center"/>
                </w:tcPr>
                <w:p w14:paraId="3689E1E0">
                  <w:pPr>
                    <w:pStyle w:val="98"/>
                    <w:rPr>
                      <w:rFonts w:hint="default" w:eastAsia="宋体"/>
                      <w:sz w:val="22"/>
                      <w:szCs w:val="22"/>
                      <w:lang w:val="en-US" w:eastAsia="zh-CN"/>
                    </w:rPr>
                  </w:pPr>
                  <w:r>
                    <w:rPr>
                      <w:rFonts w:hint="eastAsia"/>
                      <w:sz w:val="22"/>
                      <w:szCs w:val="22"/>
                      <w:lang w:val="en-US" w:eastAsia="zh-CN"/>
                    </w:rPr>
                    <w:t>文件相关内容</w:t>
                  </w:r>
                </w:p>
              </w:tc>
              <w:tc>
                <w:tcPr>
                  <w:tcW w:w="1320" w:type="pct"/>
                  <w:vAlign w:val="center"/>
                </w:tcPr>
                <w:p w14:paraId="73467920">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0DA49E0F">
                  <w:pPr>
                    <w:pStyle w:val="98"/>
                    <w:rPr>
                      <w:rFonts w:hint="eastAsia" w:eastAsia="宋体"/>
                      <w:sz w:val="22"/>
                      <w:szCs w:val="22"/>
                      <w:lang w:eastAsia="zh-CN"/>
                    </w:rPr>
                  </w:pPr>
                  <w:r>
                    <w:rPr>
                      <w:rFonts w:hint="eastAsia"/>
                      <w:sz w:val="22"/>
                      <w:szCs w:val="22"/>
                      <w:lang w:val="en-US" w:eastAsia="zh-CN"/>
                    </w:rPr>
                    <w:t>符合性</w:t>
                  </w:r>
                </w:p>
              </w:tc>
            </w:tr>
            <w:tr w14:paraId="6DC7AD6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5C89573">
                  <w:pPr>
                    <w:pStyle w:val="98"/>
                    <w:rPr>
                      <w:rFonts w:hint="eastAsia" w:eastAsia="宋体"/>
                      <w:sz w:val="22"/>
                      <w:szCs w:val="22"/>
                      <w:lang w:val="en-US" w:eastAsia="zh-CN"/>
                    </w:rPr>
                  </w:pPr>
                  <w:r>
                    <w:rPr>
                      <w:rFonts w:hint="eastAsia"/>
                      <w:sz w:val="22"/>
                      <w:szCs w:val="22"/>
                      <w:lang w:val="en-US" w:eastAsia="zh-CN"/>
                    </w:rPr>
                    <w:t>1</w:t>
                  </w:r>
                </w:p>
              </w:tc>
              <w:tc>
                <w:tcPr>
                  <w:tcW w:w="2714" w:type="pct"/>
                  <w:vAlign w:val="center"/>
                </w:tcPr>
                <w:p w14:paraId="7D2E4409">
                  <w:pPr>
                    <w:widowControl/>
                    <w:spacing w:line="240" w:lineRule="auto"/>
                    <w:ind w:firstLine="0" w:firstLineChars="0"/>
                    <w:jc w:val="both"/>
                    <w:rPr>
                      <w:rFonts w:hint="eastAsia" w:eastAsia="宋体"/>
                      <w:sz w:val="22"/>
                      <w:szCs w:val="22"/>
                      <w:lang w:eastAsia="zh-CN"/>
                    </w:rPr>
                  </w:pPr>
                  <w:r>
                    <w:rPr>
                      <w:kern w:val="0"/>
                      <w:sz w:val="22"/>
                      <w:szCs w:val="22"/>
                      <w:lang w:bidi="ar"/>
                    </w:rPr>
                    <w:t>第</w:t>
                  </w:r>
                  <w:r>
                    <w:rPr>
                      <w:rFonts w:hint="eastAsia"/>
                      <w:kern w:val="0"/>
                      <w:sz w:val="22"/>
                      <w:szCs w:val="22"/>
                      <w:lang w:val="en-US" w:eastAsia="zh-CN" w:bidi="ar"/>
                    </w:rPr>
                    <w:t>二</w:t>
                  </w:r>
                  <w:r>
                    <w:rPr>
                      <w:kern w:val="0"/>
                      <w:sz w:val="22"/>
                      <w:szCs w:val="22"/>
                      <w:lang w:bidi="ar"/>
                    </w:rPr>
                    <w:t>章</w:t>
                  </w:r>
                  <w:r>
                    <w:rPr>
                      <w:rFonts w:hint="eastAsia"/>
                      <w:kern w:val="0"/>
                      <w:sz w:val="22"/>
                      <w:szCs w:val="22"/>
                      <w:lang w:val="en-US" w:eastAsia="zh-CN" w:bidi="ar"/>
                    </w:rPr>
                    <w:t xml:space="preserve"> </w:t>
                  </w:r>
                  <w:r>
                    <w:rPr>
                      <w:kern w:val="0"/>
                      <w:sz w:val="22"/>
                      <w:szCs w:val="22"/>
                      <w:lang w:bidi="ar"/>
                    </w:rPr>
                    <w:t>第</w:t>
                  </w:r>
                  <w:r>
                    <w:rPr>
                      <w:rFonts w:hint="eastAsia"/>
                      <w:kern w:val="0"/>
                      <w:sz w:val="22"/>
                      <w:szCs w:val="22"/>
                      <w:lang w:val="en-US" w:eastAsia="zh-CN" w:bidi="ar"/>
                    </w:rPr>
                    <w:t>七</w:t>
                  </w:r>
                  <w:r>
                    <w:rPr>
                      <w:kern w:val="0"/>
                      <w:sz w:val="22"/>
                      <w:szCs w:val="22"/>
                      <w:lang w:bidi="ar"/>
                    </w:rPr>
                    <w:t>条</w:t>
                  </w:r>
                  <w:r>
                    <w:rPr>
                      <w:rFonts w:hint="eastAsia"/>
                      <w:kern w:val="0"/>
                      <w:sz w:val="22"/>
                      <w:szCs w:val="22"/>
                      <w:lang w:val="en-US" w:eastAsia="zh-CN" w:bidi="ar"/>
                    </w:rPr>
                    <w:t xml:space="preserve"> </w:t>
                  </w:r>
                  <w:r>
                    <w:rPr>
                      <w:rFonts w:hint="eastAsia"/>
                      <w:kern w:val="0"/>
                      <w:sz w:val="22"/>
                      <w:szCs w:val="22"/>
                      <w:lang w:bidi="ar"/>
                    </w:rPr>
                    <w:t>河道的整治与建设，必须服从流域综合规划，符合国家规定的防洪标准、通航标准和其他有关技术要求。修建开发水利、防治水害、整治河道的各类工程和跨河、穿河、穿堤、临河的桥梁、码头、道路、渡口、管道、缆线等建筑物及设施，建设单位必须按照河道管理权限，将工程建设方案报送河道主管机关审查同意后；方可按基本建设程序履行审批手续。</w:t>
                  </w:r>
                </w:p>
              </w:tc>
              <w:tc>
                <w:tcPr>
                  <w:tcW w:w="1320" w:type="pct"/>
                  <w:vAlign w:val="center"/>
                </w:tcPr>
                <w:p w14:paraId="7D2AC6E4">
                  <w:pPr>
                    <w:widowControl/>
                    <w:spacing w:line="240" w:lineRule="auto"/>
                    <w:ind w:firstLine="0" w:firstLineChars="0"/>
                    <w:jc w:val="both"/>
                    <w:rPr>
                      <w:rFonts w:hint="eastAsia" w:eastAsia="宋体"/>
                      <w:sz w:val="22"/>
                      <w:szCs w:val="22"/>
                      <w:lang w:val="en-US" w:eastAsia="zh-CN"/>
                    </w:rPr>
                  </w:pPr>
                  <w:r>
                    <w:rPr>
                      <w:rFonts w:hint="eastAsia"/>
                      <w:sz w:val="22"/>
                      <w:szCs w:val="22"/>
                      <w:lang w:val="en-US" w:eastAsia="zh-CN"/>
                    </w:rPr>
                    <w:t>本项目建设符合流域综合规划</w:t>
                  </w:r>
                  <w:r>
                    <w:rPr>
                      <w:rFonts w:hint="eastAsia"/>
                      <w:kern w:val="0"/>
                      <w:sz w:val="22"/>
                      <w:szCs w:val="22"/>
                      <w:lang w:bidi="ar"/>
                    </w:rPr>
                    <w:t>，符合国家规定的防洪标准、通航标准和其他有关技术要求</w:t>
                  </w:r>
                  <w:r>
                    <w:rPr>
                      <w:rFonts w:hint="eastAsia"/>
                      <w:kern w:val="0"/>
                      <w:sz w:val="22"/>
                      <w:szCs w:val="22"/>
                      <w:lang w:eastAsia="zh-CN" w:bidi="ar"/>
                    </w:rPr>
                    <w:t>。</w:t>
                  </w:r>
                </w:p>
              </w:tc>
              <w:tc>
                <w:tcPr>
                  <w:tcW w:w="548" w:type="pct"/>
                  <w:vAlign w:val="center"/>
                </w:tcPr>
                <w:p w14:paraId="7B352450">
                  <w:pPr>
                    <w:pStyle w:val="98"/>
                    <w:rPr>
                      <w:rFonts w:hint="eastAsia" w:eastAsia="宋体"/>
                      <w:sz w:val="22"/>
                      <w:szCs w:val="22"/>
                      <w:lang w:val="en-US" w:eastAsia="zh-CN"/>
                    </w:rPr>
                  </w:pPr>
                  <w:r>
                    <w:rPr>
                      <w:rFonts w:hint="eastAsia"/>
                      <w:sz w:val="22"/>
                      <w:szCs w:val="22"/>
                      <w:lang w:val="en-US" w:eastAsia="zh-CN"/>
                    </w:rPr>
                    <w:t>符合</w:t>
                  </w:r>
                </w:p>
              </w:tc>
            </w:tr>
            <w:tr w14:paraId="714883B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C273311">
                  <w:pPr>
                    <w:pStyle w:val="98"/>
                    <w:rPr>
                      <w:rFonts w:hint="eastAsia" w:eastAsia="宋体"/>
                      <w:sz w:val="22"/>
                      <w:szCs w:val="22"/>
                      <w:lang w:val="en-US" w:eastAsia="zh-CN"/>
                    </w:rPr>
                  </w:pPr>
                  <w:r>
                    <w:rPr>
                      <w:rFonts w:hint="eastAsia"/>
                      <w:sz w:val="22"/>
                      <w:szCs w:val="22"/>
                      <w:lang w:val="en-US" w:eastAsia="zh-CN"/>
                    </w:rPr>
                    <w:t>2</w:t>
                  </w:r>
                </w:p>
              </w:tc>
              <w:tc>
                <w:tcPr>
                  <w:tcW w:w="2714" w:type="pct"/>
                  <w:vAlign w:val="center"/>
                </w:tcPr>
                <w:p w14:paraId="2DE9EE1F">
                  <w:pPr>
                    <w:widowControl/>
                    <w:spacing w:line="240" w:lineRule="auto"/>
                    <w:ind w:firstLine="0" w:firstLineChars="0"/>
                    <w:jc w:val="both"/>
                    <w:rPr>
                      <w:rFonts w:hint="eastAsia" w:eastAsia="宋体"/>
                      <w:sz w:val="22"/>
                      <w:szCs w:val="22"/>
                      <w:lang w:eastAsia="zh-CN"/>
                    </w:rPr>
                  </w:pPr>
                  <w:r>
                    <w:rPr>
                      <w:rFonts w:hint="eastAsia"/>
                      <w:sz w:val="22"/>
                      <w:szCs w:val="22"/>
                      <w:lang w:val="en-US" w:eastAsia="zh-CN"/>
                    </w:rPr>
                    <w:t xml:space="preserve">第四章 </w:t>
                  </w:r>
                  <w:r>
                    <w:rPr>
                      <w:rFonts w:hint="eastAsia" w:eastAsia="宋体"/>
                      <w:sz w:val="22"/>
                      <w:szCs w:val="22"/>
                      <w:lang w:eastAsia="zh-CN"/>
                    </w:rPr>
                    <w:t>第二十七条</w:t>
                  </w:r>
                  <w:r>
                    <w:rPr>
                      <w:rFonts w:hint="eastAsia"/>
                      <w:sz w:val="22"/>
                      <w:szCs w:val="22"/>
                      <w:lang w:val="en-US" w:eastAsia="zh-CN"/>
                    </w:rPr>
                    <w:t xml:space="preserve"> </w:t>
                  </w:r>
                  <w:r>
                    <w:rPr>
                      <w:rFonts w:hint="eastAsia" w:eastAsia="宋体"/>
                      <w:sz w:val="22"/>
                      <w:szCs w:val="22"/>
                      <w:lang w:eastAsia="zh-CN"/>
                    </w:rPr>
                    <w:t>在河道管理范围内进行工程建设，工程出渣、物资堆放必须符合防洪要求，工程施工完毕，应当及时清除施工围埝、残桩、沉箱、废墩、废渣等遗留物。</w:t>
                  </w:r>
                </w:p>
              </w:tc>
              <w:tc>
                <w:tcPr>
                  <w:tcW w:w="1320" w:type="pct"/>
                  <w:vAlign w:val="center"/>
                </w:tcPr>
                <w:p w14:paraId="11060275">
                  <w:pPr>
                    <w:widowControl/>
                    <w:spacing w:line="240" w:lineRule="auto"/>
                    <w:ind w:firstLine="0" w:firstLineChars="0"/>
                    <w:jc w:val="both"/>
                    <w:rPr>
                      <w:rFonts w:hint="default" w:eastAsia="宋体"/>
                      <w:b w:val="0"/>
                      <w:bCs w:val="0"/>
                      <w:sz w:val="22"/>
                      <w:szCs w:val="22"/>
                      <w:lang w:val="en-US" w:eastAsia="zh-CN"/>
                    </w:rPr>
                  </w:pPr>
                  <w:r>
                    <w:rPr>
                      <w:rFonts w:hint="eastAsia"/>
                      <w:b w:val="0"/>
                      <w:bCs w:val="0"/>
                      <w:sz w:val="22"/>
                      <w:szCs w:val="22"/>
                      <w:lang w:val="en-US" w:eastAsia="zh-CN"/>
                    </w:rPr>
                    <w:t>项目建设过程中</w:t>
                  </w:r>
                  <w:r>
                    <w:rPr>
                      <w:rFonts w:hint="eastAsia" w:eastAsia="宋体"/>
                      <w:sz w:val="22"/>
                      <w:szCs w:val="22"/>
                      <w:lang w:eastAsia="zh-CN"/>
                    </w:rPr>
                    <w:t>工程出渣、物资堆放必须符合防洪要求</w:t>
                  </w:r>
                  <w:r>
                    <w:rPr>
                      <w:rFonts w:hint="eastAsia"/>
                      <w:b w:val="0"/>
                      <w:bCs w:val="0"/>
                      <w:sz w:val="22"/>
                      <w:szCs w:val="22"/>
                      <w:lang w:val="en-US" w:eastAsia="zh-CN"/>
                    </w:rPr>
                    <w:t>，固体废物均得到妥善处置</w:t>
                  </w:r>
                  <w:r>
                    <w:rPr>
                      <w:rFonts w:hint="eastAsia"/>
                      <w:sz w:val="22"/>
                      <w:szCs w:val="22"/>
                      <w:lang w:eastAsia="zh-CN"/>
                    </w:rPr>
                    <w:t>。</w:t>
                  </w:r>
                </w:p>
              </w:tc>
              <w:tc>
                <w:tcPr>
                  <w:tcW w:w="548" w:type="pct"/>
                  <w:vAlign w:val="center"/>
                </w:tcPr>
                <w:p w14:paraId="03867B93">
                  <w:pPr>
                    <w:pStyle w:val="98"/>
                    <w:rPr>
                      <w:rFonts w:hint="eastAsia" w:eastAsia="宋体"/>
                      <w:b w:val="0"/>
                      <w:bCs w:val="0"/>
                      <w:sz w:val="22"/>
                      <w:szCs w:val="22"/>
                      <w:lang w:eastAsia="zh-CN"/>
                    </w:rPr>
                  </w:pPr>
                  <w:r>
                    <w:rPr>
                      <w:rFonts w:hint="eastAsia"/>
                      <w:sz w:val="22"/>
                      <w:szCs w:val="22"/>
                      <w:lang w:val="en-US" w:eastAsia="zh-CN"/>
                    </w:rPr>
                    <w:t>符合</w:t>
                  </w:r>
                </w:p>
              </w:tc>
            </w:tr>
          </w:tbl>
          <w:p w14:paraId="54361718">
            <w:pPr>
              <w:pStyle w:val="6"/>
              <w:bidi w:val="0"/>
              <w:rPr>
                <w:rFonts w:hint="default" w:eastAsia="宋体"/>
                <w:color w:val="auto"/>
                <w:lang w:val="en-US" w:eastAsia="zh-CN"/>
              </w:rPr>
            </w:pPr>
            <w:r>
              <w:rPr>
                <w:rFonts w:hint="eastAsia"/>
                <w:color w:val="auto"/>
                <w:lang w:val="en-US" w:eastAsia="zh-CN"/>
              </w:rPr>
              <w:t>根据上表，本项目符合</w:t>
            </w:r>
            <w:r>
              <w:rPr>
                <w:rFonts w:hint="default" w:eastAsia="宋体"/>
                <w:color w:val="000000" w:themeColor="text1"/>
                <w:spacing w:val="-4"/>
                <w14:textFill>
                  <w14:solidFill>
                    <w14:schemeClr w14:val="tx1"/>
                  </w14:solidFill>
                </w14:textFill>
              </w:rPr>
              <w:t>《</w:t>
            </w:r>
            <w:r>
              <w:rPr>
                <w:rFonts w:hint="eastAsia"/>
                <w:color w:val="auto"/>
                <w:lang w:val="en-US" w:eastAsia="zh-CN"/>
              </w:rPr>
              <w:t>四川省河道管理实施办法</w:t>
            </w:r>
            <w:r>
              <w:rPr>
                <w:rFonts w:hint="default" w:eastAsia="宋体"/>
                <w:color w:val="000000" w:themeColor="text1"/>
                <w:spacing w:val="-4"/>
                <w14:textFill>
                  <w14:solidFill>
                    <w14:schemeClr w14:val="tx1"/>
                  </w14:solidFill>
                </w14:textFill>
              </w:rPr>
              <w:t>》</w:t>
            </w:r>
            <w:r>
              <w:rPr>
                <w:rFonts w:hint="eastAsia"/>
                <w:color w:val="000000" w:themeColor="text1"/>
                <w:spacing w:val="-4"/>
                <w:lang w:val="en-US" w:eastAsia="zh-CN"/>
                <w14:textFill>
                  <w14:solidFill>
                    <w14:schemeClr w14:val="tx1"/>
                  </w14:solidFill>
                </w14:textFill>
              </w:rPr>
              <w:t>中的相关内容。</w:t>
            </w:r>
          </w:p>
          <w:p w14:paraId="3B4A210C">
            <w:pPr>
              <w:pStyle w:val="3"/>
              <w:bidi w:val="0"/>
            </w:pPr>
            <w:r>
              <w:rPr>
                <w:rFonts w:hint="eastAsia"/>
              </w:rPr>
              <w:t>与《水利建设项目（河湖整治和防洪除涝工程）环境影响评价文件审批原则》</w:t>
            </w:r>
            <w:r>
              <w:rPr>
                <w:rFonts w:hint="eastAsia"/>
                <w:lang w:val="en-US" w:eastAsia="zh-CN"/>
              </w:rPr>
              <w:t>的</w:t>
            </w:r>
            <w:r>
              <w:rPr>
                <w:rFonts w:hint="eastAsia"/>
              </w:rPr>
              <w:t>符合性分析</w:t>
            </w:r>
          </w:p>
          <w:p w14:paraId="5603EC93">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本项目与《水利建设项目（河湖整治与防洪除涝工程）环境影响评价文件审批原则》符合性分析见下表。</w:t>
            </w:r>
          </w:p>
          <w:p w14:paraId="575B43E6">
            <w:pPr>
              <w:pStyle w:val="7"/>
              <w:bidi w:val="0"/>
              <w:jc w:val="center"/>
            </w:pPr>
            <w:r>
              <w:rPr>
                <w:rFonts w:hint="eastAsia"/>
                <w:lang w:eastAsia="zh-CN"/>
              </w:rPr>
              <w:t>项目与《</w:t>
            </w:r>
            <w:r>
              <w:rPr>
                <w:rFonts w:hint="eastAsia"/>
              </w:rPr>
              <w:t>水利建设项目环境影响评价文件审批原则</w:t>
            </w:r>
            <w:r>
              <w:rPr>
                <w:rFonts w:hint="eastAsia"/>
                <w:lang w:eastAsia="zh-CN"/>
              </w:rPr>
              <w:t>》符合性分析</w:t>
            </w:r>
          </w:p>
          <w:tbl>
            <w:tblPr>
              <w:tblStyle w:val="81"/>
              <w:tblW w:w="4998"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7"/>
              <w:gridCol w:w="4251"/>
              <w:gridCol w:w="2778"/>
              <w:gridCol w:w="955"/>
            </w:tblGrid>
            <w:tr w14:paraId="133FD99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1AE3BC5">
                  <w:pPr>
                    <w:pStyle w:val="98"/>
                    <w:rPr>
                      <w:rFonts w:hint="eastAsia" w:eastAsia="宋体"/>
                      <w:sz w:val="22"/>
                      <w:szCs w:val="22"/>
                      <w:lang w:eastAsia="zh-CN"/>
                    </w:rPr>
                  </w:pPr>
                  <w:r>
                    <w:rPr>
                      <w:rFonts w:hint="eastAsia"/>
                      <w:sz w:val="22"/>
                      <w:szCs w:val="22"/>
                      <w:lang w:val="en-US" w:eastAsia="zh-CN"/>
                    </w:rPr>
                    <w:t>序号</w:t>
                  </w:r>
                </w:p>
              </w:tc>
              <w:tc>
                <w:tcPr>
                  <w:tcW w:w="2440" w:type="pct"/>
                  <w:vAlign w:val="center"/>
                </w:tcPr>
                <w:p w14:paraId="49460894">
                  <w:pPr>
                    <w:pStyle w:val="98"/>
                    <w:rPr>
                      <w:rFonts w:hint="default" w:eastAsia="宋体"/>
                      <w:sz w:val="22"/>
                      <w:szCs w:val="22"/>
                      <w:lang w:val="en-US" w:eastAsia="zh-CN"/>
                    </w:rPr>
                  </w:pPr>
                  <w:r>
                    <w:rPr>
                      <w:rFonts w:hint="eastAsia"/>
                      <w:sz w:val="22"/>
                      <w:szCs w:val="22"/>
                      <w:lang w:val="en-US" w:eastAsia="zh-CN"/>
                    </w:rPr>
                    <w:t>文件内容</w:t>
                  </w:r>
                </w:p>
              </w:tc>
              <w:tc>
                <w:tcPr>
                  <w:tcW w:w="1594" w:type="pct"/>
                  <w:vAlign w:val="center"/>
                </w:tcPr>
                <w:p w14:paraId="6634471F">
                  <w:pPr>
                    <w:pStyle w:val="98"/>
                    <w:rPr>
                      <w:rFonts w:hint="eastAsia" w:eastAsia="宋体"/>
                      <w:sz w:val="22"/>
                      <w:szCs w:val="22"/>
                      <w:lang w:val="en-US" w:eastAsia="zh-CN"/>
                    </w:rPr>
                  </w:pPr>
                  <w:r>
                    <w:rPr>
                      <w:rFonts w:hint="eastAsia"/>
                      <w:sz w:val="22"/>
                      <w:szCs w:val="22"/>
                    </w:rPr>
                    <w:t>本项目</w:t>
                  </w:r>
                  <w:r>
                    <w:rPr>
                      <w:rFonts w:hint="eastAsia"/>
                      <w:sz w:val="22"/>
                      <w:szCs w:val="22"/>
                      <w:lang w:val="en-US" w:eastAsia="zh-CN"/>
                    </w:rPr>
                    <w:t>情况</w:t>
                  </w:r>
                </w:p>
              </w:tc>
              <w:tc>
                <w:tcPr>
                  <w:tcW w:w="548" w:type="pct"/>
                  <w:vAlign w:val="center"/>
                </w:tcPr>
                <w:p w14:paraId="45F7BDE0">
                  <w:pPr>
                    <w:pStyle w:val="98"/>
                    <w:rPr>
                      <w:rFonts w:hint="eastAsia" w:eastAsia="宋体"/>
                      <w:sz w:val="22"/>
                      <w:szCs w:val="22"/>
                      <w:lang w:eastAsia="zh-CN"/>
                    </w:rPr>
                  </w:pPr>
                  <w:r>
                    <w:rPr>
                      <w:rFonts w:hint="eastAsia"/>
                      <w:sz w:val="22"/>
                      <w:szCs w:val="22"/>
                      <w:lang w:val="en-US" w:eastAsia="zh-CN"/>
                    </w:rPr>
                    <w:t>符合性</w:t>
                  </w:r>
                </w:p>
              </w:tc>
            </w:tr>
            <w:tr w14:paraId="3893C74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74BAEA1C">
                  <w:pPr>
                    <w:pStyle w:val="98"/>
                    <w:rPr>
                      <w:rFonts w:hint="eastAsia" w:eastAsia="宋体"/>
                      <w:sz w:val="22"/>
                      <w:szCs w:val="22"/>
                      <w:lang w:val="en-US" w:eastAsia="zh-CN"/>
                    </w:rPr>
                  </w:pPr>
                  <w:r>
                    <w:rPr>
                      <w:rFonts w:hint="eastAsia"/>
                      <w:sz w:val="22"/>
                      <w:szCs w:val="22"/>
                      <w:lang w:val="en-US" w:eastAsia="zh-CN"/>
                    </w:rPr>
                    <w:t>1</w:t>
                  </w:r>
                </w:p>
              </w:tc>
              <w:tc>
                <w:tcPr>
                  <w:tcW w:w="2440" w:type="pct"/>
                  <w:vAlign w:val="center"/>
                </w:tcPr>
                <w:p w14:paraId="0422ECE7">
                  <w:pPr>
                    <w:widowControl/>
                    <w:spacing w:line="240" w:lineRule="auto"/>
                    <w:ind w:firstLine="0" w:firstLineChars="0"/>
                    <w:jc w:val="both"/>
                    <w:rPr>
                      <w:rFonts w:hint="eastAsia" w:eastAsia="宋体"/>
                      <w:sz w:val="22"/>
                      <w:szCs w:val="22"/>
                      <w:lang w:eastAsia="zh-CN"/>
                    </w:rPr>
                  </w:pPr>
                  <w:r>
                    <w:rPr>
                      <w:bCs/>
                      <w:sz w:val="22"/>
                      <w:szCs w:val="22"/>
                    </w:rPr>
                    <w:t>项目符合环境保护相关法律法规和政策</w:t>
                  </w:r>
                  <w:r>
                    <w:rPr>
                      <w:rFonts w:hint="eastAsia"/>
                      <w:bCs/>
                      <w:sz w:val="22"/>
                      <w:szCs w:val="22"/>
                    </w:rPr>
                    <w:t>要求</w:t>
                  </w:r>
                  <w:r>
                    <w:rPr>
                      <w:bCs/>
                      <w:sz w:val="22"/>
                      <w:szCs w:val="22"/>
                    </w:rPr>
                    <w:t>，与主体功能区规划、生态功能区划</w:t>
                  </w:r>
                  <w:r>
                    <w:rPr>
                      <w:rFonts w:hint="eastAsia"/>
                      <w:bCs/>
                      <w:sz w:val="22"/>
                      <w:szCs w:val="22"/>
                    </w:rPr>
                    <w:t>、水环境功能区划、水功能区划、生态环境保护规划、流域综合规划、防洪规划</w:t>
                  </w:r>
                  <w:r>
                    <w:rPr>
                      <w:bCs/>
                      <w:sz w:val="22"/>
                      <w:szCs w:val="22"/>
                    </w:rPr>
                    <w:t>等相协调，满足</w:t>
                  </w:r>
                  <w:r>
                    <w:rPr>
                      <w:rFonts w:hint="eastAsia"/>
                      <w:bCs/>
                      <w:sz w:val="22"/>
                      <w:szCs w:val="22"/>
                    </w:rPr>
                    <w:t>相关</w:t>
                  </w:r>
                  <w:r>
                    <w:rPr>
                      <w:bCs/>
                      <w:sz w:val="22"/>
                      <w:szCs w:val="22"/>
                    </w:rPr>
                    <w:t>规划</w:t>
                  </w:r>
                  <w:r>
                    <w:rPr>
                      <w:rFonts w:hint="eastAsia"/>
                      <w:bCs/>
                      <w:sz w:val="22"/>
                      <w:szCs w:val="22"/>
                    </w:rPr>
                    <w:t>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1594" w:type="pct"/>
                  <w:vAlign w:val="center"/>
                </w:tcPr>
                <w:p w14:paraId="6A1ED2B3">
                  <w:pPr>
                    <w:widowControl/>
                    <w:spacing w:line="240" w:lineRule="auto"/>
                    <w:ind w:firstLine="0" w:firstLineChars="0"/>
                    <w:jc w:val="both"/>
                    <w:rPr>
                      <w:rFonts w:hint="eastAsia" w:eastAsia="宋体"/>
                      <w:sz w:val="22"/>
                      <w:szCs w:val="22"/>
                      <w:lang w:eastAsia="zh-CN"/>
                    </w:rPr>
                  </w:pPr>
                  <w:r>
                    <w:rPr>
                      <w:bCs/>
                      <w:sz w:val="22"/>
                      <w:szCs w:val="22"/>
                    </w:rPr>
                    <w:t>本项目符合环境保护相关法律法规和政策</w:t>
                  </w:r>
                  <w:r>
                    <w:rPr>
                      <w:rFonts w:hint="eastAsia"/>
                      <w:bCs/>
                      <w:sz w:val="22"/>
                      <w:szCs w:val="22"/>
                    </w:rPr>
                    <w:t>要求</w:t>
                  </w:r>
                  <w:r>
                    <w:rPr>
                      <w:bCs/>
                      <w:sz w:val="22"/>
                      <w:szCs w:val="22"/>
                    </w:rPr>
                    <w:t>，与主体功能区规划、生态功能区划</w:t>
                  </w:r>
                  <w:r>
                    <w:rPr>
                      <w:rFonts w:hint="eastAsia"/>
                      <w:bCs/>
                      <w:sz w:val="22"/>
                      <w:szCs w:val="22"/>
                    </w:rPr>
                    <w:t>、水环境功能区划、水功能区划、生态环境保护规划</w:t>
                  </w:r>
                  <w:r>
                    <w:rPr>
                      <w:bCs/>
                      <w:sz w:val="22"/>
                      <w:szCs w:val="22"/>
                    </w:rPr>
                    <w:t>等相协调，满足</w:t>
                  </w:r>
                  <w:r>
                    <w:rPr>
                      <w:rFonts w:hint="eastAsia"/>
                      <w:bCs/>
                      <w:sz w:val="22"/>
                      <w:szCs w:val="22"/>
                    </w:rPr>
                    <w:t>相关</w:t>
                  </w:r>
                  <w:r>
                    <w:rPr>
                      <w:bCs/>
                      <w:sz w:val="22"/>
                      <w:szCs w:val="22"/>
                    </w:rPr>
                    <w:t>规划</w:t>
                  </w:r>
                  <w:r>
                    <w:rPr>
                      <w:rFonts w:hint="eastAsia"/>
                      <w:bCs/>
                      <w:sz w:val="22"/>
                      <w:szCs w:val="22"/>
                    </w:rPr>
                    <w:t>环评要求。工程不涉及岸线调整（治导线变化）、裁弯取直、围垦水面等建设内容，项目未占用河湖滩地，项目最大程度保持了河湖自然形态，最大限度维护了河湖健康、生态系统功能和生物多样性。</w:t>
                  </w:r>
                </w:p>
              </w:tc>
              <w:tc>
                <w:tcPr>
                  <w:tcW w:w="548" w:type="pct"/>
                  <w:vAlign w:val="center"/>
                </w:tcPr>
                <w:p w14:paraId="51854916">
                  <w:pPr>
                    <w:pStyle w:val="98"/>
                    <w:rPr>
                      <w:rFonts w:hint="eastAsia" w:eastAsia="宋体"/>
                      <w:sz w:val="22"/>
                      <w:szCs w:val="22"/>
                      <w:lang w:val="en-US" w:eastAsia="zh-CN"/>
                    </w:rPr>
                  </w:pPr>
                  <w:r>
                    <w:rPr>
                      <w:rFonts w:hint="eastAsia"/>
                      <w:sz w:val="22"/>
                      <w:szCs w:val="22"/>
                      <w:lang w:val="en-US" w:eastAsia="zh-CN"/>
                    </w:rPr>
                    <w:t>符合</w:t>
                  </w:r>
                </w:p>
              </w:tc>
            </w:tr>
            <w:tr w14:paraId="6CB75B7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FEA41B9">
                  <w:pPr>
                    <w:pStyle w:val="98"/>
                    <w:rPr>
                      <w:rFonts w:hint="eastAsia" w:eastAsia="宋体"/>
                      <w:sz w:val="22"/>
                      <w:szCs w:val="22"/>
                      <w:lang w:val="en-US" w:eastAsia="zh-CN"/>
                    </w:rPr>
                  </w:pPr>
                  <w:r>
                    <w:rPr>
                      <w:rFonts w:hint="eastAsia"/>
                      <w:sz w:val="22"/>
                      <w:szCs w:val="22"/>
                      <w:lang w:val="en-US" w:eastAsia="zh-CN"/>
                    </w:rPr>
                    <w:t>2</w:t>
                  </w:r>
                </w:p>
              </w:tc>
              <w:tc>
                <w:tcPr>
                  <w:tcW w:w="2440" w:type="pct"/>
                  <w:vAlign w:val="center"/>
                </w:tcPr>
                <w:p w14:paraId="50F92DA2">
                  <w:pPr>
                    <w:widowControl/>
                    <w:spacing w:line="240" w:lineRule="auto"/>
                    <w:ind w:firstLine="0" w:firstLineChars="0"/>
                    <w:jc w:val="both"/>
                    <w:rPr>
                      <w:rFonts w:hint="eastAsia" w:eastAsia="宋体"/>
                      <w:sz w:val="22"/>
                      <w:szCs w:val="22"/>
                      <w:lang w:eastAsia="zh-CN"/>
                    </w:rPr>
                  </w:pPr>
                  <w:r>
                    <w:rPr>
                      <w:bCs/>
                      <w:sz w:val="22"/>
                      <w:szCs w:val="22"/>
                    </w:rPr>
                    <w:t>工程选址选线、施工布置原则上不占用自然保护区、风景名胜区、</w:t>
                  </w:r>
                  <w:r>
                    <w:rPr>
                      <w:rFonts w:hint="eastAsia"/>
                      <w:bCs/>
                      <w:sz w:val="22"/>
                      <w:szCs w:val="22"/>
                    </w:rPr>
                    <w:t>世界文化和自然遗产地以及其他</w:t>
                  </w:r>
                  <w:r>
                    <w:rPr>
                      <w:bCs/>
                      <w:sz w:val="22"/>
                      <w:szCs w:val="22"/>
                    </w:rPr>
                    <w:t>生态保护红线等</w:t>
                  </w:r>
                  <w:r>
                    <w:rPr>
                      <w:rFonts w:hint="eastAsia"/>
                      <w:bCs/>
                      <w:sz w:val="22"/>
                      <w:szCs w:val="22"/>
                    </w:rPr>
                    <w:t>环境</w:t>
                  </w:r>
                  <w:r>
                    <w:rPr>
                      <w:bCs/>
                      <w:sz w:val="22"/>
                      <w:szCs w:val="22"/>
                    </w:rPr>
                    <w:t>敏感区</w:t>
                  </w:r>
                  <w:r>
                    <w:rPr>
                      <w:rFonts w:hint="eastAsia"/>
                      <w:bCs/>
                      <w:sz w:val="22"/>
                      <w:szCs w:val="22"/>
                    </w:rPr>
                    <w:t>中</w:t>
                  </w:r>
                  <w:r>
                    <w:rPr>
                      <w:bCs/>
                      <w:sz w:val="22"/>
                      <w:szCs w:val="22"/>
                    </w:rPr>
                    <w:t>法律法规禁止占用的区域，并与饮用水水源保护区的保护要求相协调。</w:t>
                  </w:r>
                  <w:r>
                    <w:rPr>
                      <w:rFonts w:hint="eastAsia"/>
                      <w:bCs/>
                      <w:sz w:val="22"/>
                      <w:szCs w:val="22"/>
                    </w:rPr>
                    <w:t>法律法规、政策另有规定的从其规定。</w:t>
                  </w:r>
                </w:p>
              </w:tc>
              <w:tc>
                <w:tcPr>
                  <w:tcW w:w="1594" w:type="pct"/>
                  <w:vAlign w:val="center"/>
                </w:tcPr>
                <w:p w14:paraId="5B3ADD38">
                  <w:pPr>
                    <w:widowControl/>
                    <w:spacing w:line="240" w:lineRule="auto"/>
                    <w:ind w:firstLine="0" w:firstLineChars="0"/>
                    <w:jc w:val="both"/>
                    <w:rPr>
                      <w:sz w:val="22"/>
                      <w:szCs w:val="22"/>
                    </w:rPr>
                  </w:pPr>
                  <w:r>
                    <w:rPr>
                      <w:sz w:val="22"/>
                      <w:szCs w:val="22"/>
                    </w:rPr>
                    <w:t>本项目不占用</w:t>
                  </w:r>
                  <w:r>
                    <w:rPr>
                      <w:rFonts w:hint="eastAsia"/>
                      <w:sz w:val="22"/>
                      <w:szCs w:val="22"/>
                    </w:rPr>
                    <w:t>自然保护区、</w:t>
                  </w:r>
                  <w:r>
                    <w:rPr>
                      <w:bCs/>
                      <w:sz w:val="22"/>
                      <w:szCs w:val="22"/>
                    </w:rPr>
                    <w:t>风景名胜区、</w:t>
                  </w:r>
                  <w:r>
                    <w:rPr>
                      <w:rFonts w:hint="eastAsia"/>
                      <w:bCs/>
                      <w:sz w:val="22"/>
                      <w:szCs w:val="22"/>
                    </w:rPr>
                    <w:t>世界文化和自然遗产地以及其他</w:t>
                  </w:r>
                  <w:r>
                    <w:rPr>
                      <w:bCs/>
                      <w:sz w:val="22"/>
                      <w:szCs w:val="22"/>
                    </w:rPr>
                    <w:t>生态保护红线等</w:t>
                  </w:r>
                  <w:r>
                    <w:rPr>
                      <w:rFonts w:hint="eastAsia"/>
                      <w:bCs/>
                      <w:sz w:val="22"/>
                      <w:szCs w:val="22"/>
                    </w:rPr>
                    <w:t>环境</w:t>
                  </w:r>
                  <w:r>
                    <w:rPr>
                      <w:bCs/>
                      <w:sz w:val="22"/>
                      <w:szCs w:val="22"/>
                    </w:rPr>
                    <w:t>敏感区</w:t>
                  </w:r>
                  <w:r>
                    <w:rPr>
                      <w:rFonts w:hint="eastAsia"/>
                      <w:bCs/>
                      <w:sz w:val="22"/>
                      <w:szCs w:val="22"/>
                    </w:rPr>
                    <w:t>中</w:t>
                  </w:r>
                  <w:r>
                    <w:rPr>
                      <w:bCs/>
                      <w:sz w:val="22"/>
                      <w:szCs w:val="22"/>
                    </w:rPr>
                    <w:t>法律法规禁止占用的区域。</w:t>
                  </w:r>
                </w:p>
              </w:tc>
              <w:tc>
                <w:tcPr>
                  <w:tcW w:w="548" w:type="pct"/>
                  <w:vAlign w:val="center"/>
                </w:tcPr>
                <w:p w14:paraId="3985C3DF">
                  <w:pPr>
                    <w:pStyle w:val="98"/>
                    <w:rPr>
                      <w:rFonts w:hint="eastAsia" w:eastAsia="宋体"/>
                      <w:sz w:val="22"/>
                      <w:szCs w:val="22"/>
                      <w:lang w:val="en-US" w:eastAsia="zh-CN"/>
                    </w:rPr>
                  </w:pPr>
                  <w:r>
                    <w:rPr>
                      <w:rFonts w:hint="eastAsia"/>
                      <w:sz w:val="22"/>
                      <w:szCs w:val="22"/>
                      <w:lang w:val="en-US" w:eastAsia="zh-CN"/>
                    </w:rPr>
                    <w:t>符合</w:t>
                  </w:r>
                </w:p>
              </w:tc>
            </w:tr>
            <w:tr w14:paraId="27D9F68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281942B1">
                  <w:pPr>
                    <w:pStyle w:val="98"/>
                    <w:rPr>
                      <w:rFonts w:hint="eastAsia" w:eastAsia="宋体"/>
                      <w:sz w:val="22"/>
                      <w:szCs w:val="22"/>
                      <w:lang w:val="en-US" w:eastAsia="zh-CN"/>
                    </w:rPr>
                  </w:pPr>
                  <w:r>
                    <w:rPr>
                      <w:rFonts w:hint="eastAsia"/>
                      <w:sz w:val="22"/>
                      <w:szCs w:val="22"/>
                      <w:lang w:val="en-US" w:eastAsia="zh-CN"/>
                    </w:rPr>
                    <w:t>3</w:t>
                  </w:r>
                </w:p>
              </w:tc>
              <w:tc>
                <w:tcPr>
                  <w:tcW w:w="2440" w:type="pct"/>
                  <w:vAlign w:val="center"/>
                </w:tcPr>
                <w:p w14:paraId="0D260516">
                  <w:pPr>
                    <w:widowControl/>
                    <w:spacing w:line="240" w:lineRule="auto"/>
                    <w:ind w:firstLine="0" w:firstLineChars="0"/>
                    <w:jc w:val="both"/>
                    <w:rPr>
                      <w:bCs/>
                      <w:sz w:val="22"/>
                      <w:szCs w:val="22"/>
                    </w:rPr>
                  </w:pPr>
                  <w:r>
                    <w:rPr>
                      <w:rFonts w:hint="eastAsia"/>
                      <w:bCs/>
                      <w:sz w:val="22"/>
                      <w:szCs w:val="22"/>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p>
                <w:p w14:paraId="3FF1FD89">
                  <w:pPr>
                    <w:widowControl/>
                    <w:spacing w:line="240" w:lineRule="auto"/>
                    <w:ind w:firstLine="0" w:firstLineChars="0"/>
                    <w:jc w:val="both"/>
                    <w:rPr>
                      <w:rFonts w:hint="eastAsia" w:eastAsia="宋体"/>
                      <w:sz w:val="22"/>
                      <w:szCs w:val="22"/>
                      <w:lang w:eastAsia="zh-CN"/>
                    </w:rPr>
                  </w:pPr>
                  <w:r>
                    <w:rPr>
                      <w:rFonts w:hint="eastAsia"/>
                      <w:bCs/>
                      <w:sz w:val="22"/>
                      <w:szCs w:val="22"/>
                    </w:rPr>
                    <w:t>在采取上述措施后，对水环境的不利影响能够得到缓解和控制，居民用水安全能够得到保障，相关区域不会出现显著的土壤潜育化沼泽化、盐碱化等次生环境问题。</w:t>
                  </w:r>
                </w:p>
              </w:tc>
              <w:tc>
                <w:tcPr>
                  <w:tcW w:w="1594" w:type="pct"/>
                  <w:vAlign w:val="center"/>
                </w:tcPr>
                <w:p w14:paraId="450F135C">
                  <w:pPr>
                    <w:widowControl/>
                    <w:spacing w:line="240" w:lineRule="auto"/>
                    <w:ind w:firstLine="0" w:firstLineChars="0"/>
                    <w:jc w:val="both"/>
                    <w:rPr>
                      <w:rFonts w:hint="default" w:eastAsia="宋体"/>
                      <w:b w:val="0"/>
                      <w:bCs w:val="0"/>
                      <w:sz w:val="22"/>
                      <w:szCs w:val="22"/>
                      <w:lang w:val="en-US" w:eastAsia="zh-CN"/>
                    </w:rPr>
                  </w:pPr>
                  <w:r>
                    <w:rPr>
                      <w:rFonts w:hint="eastAsia"/>
                      <w:bCs/>
                      <w:sz w:val="22"/>
                      <w:szCs w:val="22"/>
                    </w:rPr>
                    <w:t>本项目通过</w:t>
                  </w:r>
                  <w:r>
                    <w:rPr>
                      <w:bCs/>
                      <w:sz w:val="22"/>
                      <w:szCs w:val="22"/>
                    </w:rPr>
                    <w:t>实施</w:t>
                  </w:r>
                  <w:r>
                    <w:rPr>
                      <w:rFonts w:hint="eastAsia"/>
                      <w:bCs/>
                      <w:sz w:val="22"/>
                      <w:szCs w:val="22"/>
                      <w:lang w:eastAsia="zh-CN"/>
                    </w:rPr>
                    <w:t>防洪治理工程</w:t>
                  </w:r>
                  <w:r>
                    <w:rPr>
                      <w:bCs/>
                      <w:sz w:val="22"/>
                      <w:szCs w:val="22"/>
                    </w:rPr>
                    <w:t>，有利于增加岸坡稳定，提高防洪能力，有利于改善河流水质。工程建设对地下水环境产生影响很小，不会导致区域出现</w:t>
                  </w:r>
                  <w:r>
                    <w:rPr>
                      <w:rFonts w:hint="eastAsia"/>
                      <w:bCs/>
                      <w:sz w:val="22"/>
                      <w:szCs w:val="22"/>
                    </w:rPr>
                    <w:t>土壤潜育化沼泽化、盐碱化等次生环境问题。</w:t>
                  </w:r>
                </w:p>
              </w:tc>
              <w:tc>
                <w:tcPr>
                  <w:tcW w:w="548" w:type="pct"/>
                  <w:vAlign w:val="center"/>
                </w:tcPr>
                <w:p w14:paraId="18036E6E">
                  <w:pPr>
                    <w:pStyle w:val="98"/>
                    <w:rPr>
                      <w:rFonts w:hint="eastAsia" w:eastAsia="宋体"/>
                      <w:b w:val="0"/>
                      <w:bCs w:val="0"/>
                      <w:sz w:val="22"/>
                      <w:szCs w:val="22"/>
                      <w:lang w:eastAsia="zh-CN"/>
                    </w:rPr>
                  </w:pPr>
                  <w:r>
                    <w:rPr>
                      <w:rFonts w:hint="eastAsia"/>
                      <w:sz w:val="22"/>
                      <w:szCs w:val="22"/>
                      <w:lang w:val="en-US" w:eastAsia="zh-CN"/>
                    </w:rPr>
                    <w:t>符合</w:t>
                  </w:r>
                </w:p>
              </w:tc>
            </w:tr>
            <w:tr w14:paraId="2556E9C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455F11B">
                  <w:pPr>
                    <w:pStyle w:val="98"/>
                    <w:rPr>
                      <w:rFonts w:hint="eastAsia" w:eastAsia="宋体"/>
                      <w:sz w:val="22"/>
                      <w:szCs w:val="22"/>
                      <w:lang w:val="en-US" w:eastAsia="zh-CN"/>
                    </w:rPr>
                  </w:pPr>
                  <w:r>
                    <w:rPr>
                      <w:rFonts w:hint="eastAsia"/>
                      <w:sz w:val="22"/>
                      <w:szCs w:val="22"/>
                      <w:lang w:val="en-US" w:eastAsia="zh-CN"/>
                    </w:rPr>
                    <w:t>4</w:t>
                  </w:r>
                </w:p>
              </w:tc>
              <w:tc>
                <w:tcPr>
                  <w:tcW w:w="2440" w:type="pct"/>
                  <w:vAlign w:val="center"/>
                </w:tcPr>
                <w:p w14:paraId="5481C066">
                  <w:pPr>
                    <w:widowControl/>
                    <w:spacing w:line="240" w:lineRule="auto"/>
                    <w:ind w:firstLine="0" w:firstLineChars="0"/>
                    <w:jc w:val="both"/>
                    <w:rPr>
                      <w:bCs/>
                      <w:sz w:val="22"/>
                      <w:szCs w:val="22"/>
                    </w:rPr>
                  </w:pPr>
                  <w:r>
                    <w:rPr>
                      <w:rFonts w:hint="eastAsia"/>
                      <w:bCs/>
                      <w:sz w:val="22"/>
                      <w:szCs w:val="22"/>
                    </w:rPr>
                    <w:t>项目对鱼类等水生生物的洄游通道及“三场”等重要生境、物种多样性及资源量等产生不利影响的，提出了下泄生态流量、恢复鱼类洄游通道、采用生态友好型护岸（坡、底）、生态修复、增殖放流等措施。</w:t>
                  </w:r>
                </w:p>
                <w:p w14:paraId="31A076ED">
                  <w:pPr>
                    <w:widowControl/>
                    <w:spacing w:line="240" w:lineRule="auto"/>
                    <w:ind w:firstLine="0" w:firstLineChars="0"/>
                    <w:jc w:val="both"/>
                    <w:rPr>
                      <w:rFonts w:hint="eastAsia" w:eastAsia="宋体"/>
                      <w:sz w:val="22"/>
                      <w:szCs w:val="22"/>
                      <w:lang w:eastAsia="zh-CN"/>
                    </w:rPr>
                  </w:pPr>
                  <w:r>
                    <w:rPr>
                      <w:rFonts w:hint="eastAsia"/>
                      <w:bCs/>
                      <w:sz w:val="22"/>
                      <w:szCs w:val="22"/>
                    </w:rPr>
                    <w:t>在采取上述措施后，对水生生物的不利影响能够得到缓解和控制，不会造成原有珍稀濒危保护、区域特有或重要经济水生生物在相关河段消失，不会对相关河段水生生态系统造成重大不利影响。</w:t>
                  </w:r>
                </w:p>
              </w:tc>
              <w:tc>
                <w:tcPr>
                  <w:tcW w:w="1594" w:type="pct"/>
                  <w:vAlign w:val="center"/>
                </w:tcPr>
                <w:p w14:paraId="6069F00D">
                  <w:pPr>
                    <w:widowControl/>
                    <w:spacing w:line="240" w:lineRule="auto"/>
                    <w:ind w:firstLine="0" w:firstLineChars="0"/>
                    <w:jc w:val="both"/>
                    <w:rPr>
                      <w:sz w:val="22"/>
                      <w:szCs w:val="22"/>
                    </w:rPr>
                  </w:pPr>
                  <w:r>
                    <w:rPr>
                      <w:rFonts w:hint="eastAsia"/>
                      <w:bCs/>
                      <w:sz w:val="22"/>
                      <w:szCs w:val="22"/>
                    </w:rPr>
                    <w:t>本项目</w:t>
                  </w:r>
                  <w:r>
                    <w:rPr>
                      <w:rFonts w:hint="eastAsia"/>
                      <w:bCs/>
                      <w:sz w:val="22"/>
                      <w:szCs w:val="22"/>
                      <w:lang w:val="en-US" w:eastAsia="zh-CN"/>
                    </w:rPr>
                    <w:t>河道内未分布有国家级省级重点保护鱼类，分布有产卵场和索饵场，项目施工对其有一定影响，但本项目采用</w:t>
                  </w:r>
                  <w:r>
                    <w:rPr>
                      <w:rFonts w:hint="eastAsia"/>
                      <w:bCs/>
                      <w:sz w:val="22"/>
                      <w:szCs w:val="22"/>
                    </w:rPr>
                    <w:t>生态友好型护岸</w:t>
                  </w:r>
                  <w:r>
                    <w:rPr>
                      <w:rFonts w:hint="eastAsia"/>
                      <w:bCs/>
                      <w:sz w:val="22"/>
                      <w:szCs w:val="22"/>
                      <w:lang w:eastAsia="zh-CN"/>
                    </w:rPr>
                    <w:t>、</w:t>
                  </w:r>
                  <w:r>
                    <w:rPr>
                      <w:rFonts w:hint="eastAsia"/>
                      <w:bCs/>
                      <w:sz w:val="22"/>
                      <w:szCs w:val="22"/>
                      <w:lang w:val="en-US" w:eastAsia="zh-CN"/>
                    </w:rPr>
                    <w:t>施工结束后及时恢复水生生境，</w:t>
                  </w:r>
                  <w:r>
                    <w:rPr>
                      <w:rFonts w:hint="eastAsia"/>
                      <w:bCs/>
                      <w:sz w:val="22"/>
                      <w:szCs w:val="22"/>
                    </w:rPr>
                    <w:t>对水生生物的不利影响能够得到缓解和控制，不会造成原有珍稀濒危保护、区域特有或重要经济水生生物在相关河段消失，不会对相关河段水生生态系统造成重大不利影响。</w:t>
                  </w:r>
                </w:p>
              </w:tc>
              <w:tc>
                <w:tcPr>
                  <w:tcW w:w="548" w:type="pct"/>
                  <w:vAlign w:val="center"/>
                </w:tcPr>
                <w:p w14:paraId="701D31FD">
                  <w:pPr>
                    <w:pStyle w:val="98"/>
                    <w:rPr>
                      <w:sz w:val="22"/>
                      <w:szCs w:val="22"/>
                    </w:rPr>
                  </w:pPr>
                  <w:r>
                    <w:rPr>
                      <w:rFonts w:hint="eastAsia"/>
                      <w:sz w:val="22"/>
                      <w:szCs w:val="22"/>
                      <w:lang w:val="en-US" w:eastAsia="zh-CN"/>
                    </w:rPr>
                    <w:t>符合</w:t>
                  </w:r>
                </w:p>
              </w:tc>
            </w:tr>
            <w:tr w14:paraId="60FA544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0A10CD84">
                  <w:pPr>
                    <w:pStyle w:val="98"/>
                    <w:rPr>
                      <w:rFonts w:hint="default"/>
                      <w:sz w:val="22"/>
                      <w:szCs w:val="22"/>
                      <w:lang w:val="en-US" w:eastAsia="zh-CN"/>
                    </w:rPr>
                  </w:pPr>
                  <w:r>
                    <w:rPr>
                      <w:rFonts w:hint="eastAsia"/>
                      <w:sz w:val="22"/>
                      <w:szCs w:val="22"/>
                      <w:lang w:val="en-US" w:eastAsia="zh-CN"/>
                    </w:rPr>
                    <w:t>5</w:t>
                  </w:r>
                </w:p>
              </w:tc>
              <w:tc>
                <w:tcPr>
                  <w:tcW w:w="2440" w:type="pct"/>
                  <w:vAlign w:val="center"/>
                </w:tcPr>
                <w:p w14:paraId="468F322E">
                  <w:pPr>
                    <w:widowControl/>
                    <w:spacing w:line="240" w:lineRule="auto"/>
                    <w:ind w:firstLine="0" w:firstLineChars="0"/>
                    <w:jc w:val="both"/>
                    <w:rPr>
                      <w:bCs/>
                      <w:sz w:val="22"/>
                      <w:szCs w:val="22"/>
                    </w:rPr>
                  </w:pPr>
                  <w:r>
                    <w:rPr>
                      <w:rFonts w:hint="eastAsia"/>
                      <w:bCs/>
                      <w:sz w:val="22"/>
                      <w:szCs w:val="22"/>
                    </w:rPr>
                    <w:t>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p w14:paraId="6D310B5D">
                  <w:pPr>
                    <w:widowControl/>
                    <w:spacing w:line="240" w:lineRule="auto"/>
                    <w:ind w:firstLine="0" w:firstLineChars="0"/>
                    <w:jc w:val="both"/>
                    <w:rPr>
                      <w:rFonts w:hint="eastAsia" w:eastAsia="宋体"/>
                      <w:sz w:val="22"/>
                      <w:szCs w:val="22"/>
                      <w:lang w:eastAsia="zh-CN"/>
                    </w:rPr>
                  </w:pPr>
                  <w:r>
                    <w:rPr>
                      <w:rFonts w:hint="eastAsia"/>
                      <w:bCs/>
                      <w:sz w:val="22"/>
                      <w:szCs w:val="22"/>
                    </w:rPr>
                    <w:t>在采取上述措施后，对湿地以及陆生动植物的不利影响能够得到缓解和控制，与区域景观相协调，不会造成原有珍稀濒危保护动植物在相关区域消失，不会对陆生生态系统造成重大不利影响。</w:t>
                  </w:r>
                </w:p>
              </w:tc>
              <w:tc>
                <w:tcPr>
                  <w:tcW w:w="1594" w:type="pct"/>
                  <w:vAlign w:val="center"/>
                </w:tcPr>
                <w:p w14:paraId="531D1D1C">
                  <w:pPr>
                    <w:widowControl/>
                    <w:spacing w:line="240" w:lineRule="auto"/>
                    <w:ind w:firstLine="0" w:firstLineChars="0"/>
                    <w:jc w:val="both"/>
                    <w:rPr>
                      <w:sz w:val="22"/>
                      <w:szCs w:val="22"/>
                    </w:rPr>
                  </w:pPr>
                  <w:r>
                    <w:rPr>
                      <w:bCs/>
                      <w:sz w:val="22"/>
                      <w:szCs w:val="22"/>
                    </w:rPr>
                    <w:t>本项目</w:t>
                  </w:r>
                  <w:r>
                    <w:rPr>
                      <w:rFonts w:hint="eastAsia"/>
                      <w:bCs/>
                      <w:sz w:val="22"/>
                      <w:szCs w:val="22"/>
                    </w:rPr>
                    <w:t>对湿地生态系统结构和功能、河湖生态缓冲带的不利影响较小，提出了生态修复等措施</w:t>
                  </w:r>
                  <w:r>
                    <w:rPr>
                      <w:bCs/>
                      <w:sz w:val="22"/>
                      <w:szCs w:val="22"/>
                    </w:rPr>
                    <w:t>。项目不会对评价范围内</w:t>
                  </w:r>
                  <w:r>
                    <w:rPr>
                      <w:rFonts w:hint="eastAsia"/>
                      <w:bCs/>
                      <w:sz w:val="22"/>
                      <w:szCs w:val="22"/>
                    </w:rPr>
                    <w:t>珍稀濒危保护植物造成不利影响。对陆生珍稀濒危保护动物及其生境的不利影响很小，提出了避让、救护、生境再造等措施。项目对景观主要为有益影响。项目不会造成原有珍稀濒危保护动植物在相关区域消失，不会对陆生生态系统造成重大不利影响。</w:t>
                  </w:r>
                </w:p>
              </w:tc>
              <w:tc>
                <w:tcPr>
                  <w:tcW w:w="548" w:type="pct"/>
                  <w:vAlign w:val="center"/>
                </w:tcPr>
                <w:p w14:paraId="6E098224">
                  <w:pPr>
                    <w:pStyle w:val="98"/>
                    <w:rPr>
                      <w:rFonts w:hint="eastAsia"/>
                      <w:sz w:val="22"/>
                      <w:szCs w:val="22"/>
                      <w:lang w:val="en-US" w:eastAsia="zh-CN"/>
                    </w:rPr>
                  </w:pPr>
                  <w:r>
                    <w:rPr>
                      <w:rFonts w:hint="eastAsia"/>
                      <w:sz w:val="22"/>
                      <w:szCs w:val="22"/>
                      <w:lang w:val="en-US" w:eastAsia="zh-CN"/>
                    </w:rPr>
                    <w:t>符合</w:t>
                  </w:r>
                </w:p>
              </w:tc>
            </w:tr>
            <w:tr w14:paraId="4DB8D7C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4B0DFDA7">
                  <w:pPr>
                    <w:pStyle w:val="98"/>
                    <w:rPr>
                      <w:rFonts w:hint="default"/>
                      <w:sz w:val="22"/>
                      <w:szCs w:val="22"/>
                      <w:lang w:val="en-US" w:eastAsia="zh-CN"/>
                    </w:rPr>
                  </w:pPr>
                  <w:r>
                    <w:rPr>
                      <w:rFonts w:hint="eastAsia"/>
                      <w:sz w:val="22"/>
                      <w:szCs w:val="22"/>
                      <w:lang w:val="en-US" w:eastAsia="zh-CN"/>
                    </w:rPr>
                    <w:t>6</w:t>
                  </w:r>
                </w:p>
              </w:tc>
              <w:tc>
                <w:tcPr>
                  <w:tcW w:w="2440" w:type="pct"/>
                  <w:vAlign w:val="center"/>
                </w:tcPr>
                <w:p w14:paraId="2F552AE5">
                  <w:pPr>
                    <w:widowControl/>
                    <w:spacing w:line="240" w:lineRule="auto"/>
                    <w:ind w:firstLine="0" w:firstLineChars="0"/>
                    <w:jc w:val="both"/>
                    <w:rPr>
                      <w:bCs/>
                      <w:sz w:val="22"/>
                      <w:szCs w:val="22"/>
                    </w:rPr>
                  </w:pPr>
                  <w:r>
                    <w:rPr>
                      <w:rFonts w:hint="eastAsia"/>
                      <w:bCs/>
                      <w:sz w:val="22"/>
                      <w:szCs w:val="22"/>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r>
                    <w:rPr>
                      <w:bCs/>
                      <w:sz w:val="22"/>
                      <w:szCs w:val="22"/>
                    </w:rPr>
                    <w:t>。</w:t>
                  </w:r>
                </w:p>
                <w:p w14:paraId="4BE44685">
                  <w:pPr>
                    <w:widowControl/>
                    <w:spacing w:line="240" w:lineRule="auto"/>
                    <w:ind w:firstLine="0" w:firstLineChars="0"/>
                    <w:jc w:val="both"/>
                    <w:rPr>
                      <w:rFonts w:hint="eastAsia" w:eastAsia="宋体"/>
                      <w:sz w:val="22"/>
                      <w:szCs w:val="22"/>
                      <w:lang w:eastAsia="zh-CN"/>
                    </w:rPr>
                  </w:pPr>
                  <w:r>
                    <w:rPr>
                      <w:rFonts w:hint="eastAsia"/>
                      <w:bCs/>
                      <w:sz w:val="22"/>
                      <w:szCs w:val="22"/>
                    </w:rPr>
                    <w:t>在采取上述措施后，施工期的不利环境影响能够得到缓解和控制，不会对周围环境和敏感保护目标造成重大不利影响。</w:t>
                  </w:r>
                </w:p>
              </w:tc>
              <w:tc>
                <w:tcPr>
                  <w:tcW w:w="1594" w:type="pct"/>
                  <w:vAlign w:val="center"/>
                </w:tcPr>
                <w:p w14:paraId="1D3DF233">
                  <w:pPr>
                    <w:widowControl/>
                    <w:spacing w:line="240" w:lineRule="auto"/>
                    <w:ind w:firstLine="0" w:firstLineChars="0"/>
                    <w:jc w:val="both"/>
                    <w:rPr>
                      <w:bCs/>
                      <w:sz w:val="22"/>
                      <w:szCs w:val="22"/>
                    </w:rPr>
                  </w:pPr>
                  <w:r>
                    <w:rPr>
                      <w:bCs/>
                      <w:sz w:val="22"/>
                      <w:szCs w:val="22"/>
                    </w:rPr>
                    <w:t>本项目涉水施工避开了洪水期和禁渔期，</w:t>
                  </w:r>
                  <w:r>
                    <w:rPr>
                      <w:rFonts w:hint="eastAsia"/>
                      <w:bCs/>
                      <w:sz w:val="22"/>
                      <w:szCs w:val="22"/>
                    </w:rPr>
                    <w:t>施工组织方案具有环境合理性，项目不设置专门的料场、弃土（渣）场等</w:t>
                  </w:r>
                  <w:r>
                    <w:rPr>
                      <w:bCs/>
                      <w:sz w:val="22"/>
                      <w:szCs w:val="22"/>
                    </w:rPr>
                    <w:t>。本次评价</w:t>
                  </w:r>
                  <w:r>
                    <w:rPr>
                      <w:rFonts w:hint="eastAsia"/>
                      <w:bCs/>
                      <w:sz w:val="22"/>
                      <w:szCs w:val="22"/>
                    </w:rPr>
                    <w:t>对施工期各类废（污）水、扬尘、废气、噪声、固体废物等提出了防治或处置措施。</w:t>
                  </w:r>
                </w:p>
                <w:p w14:paraId="516FCECE">
                  <w:pPr>
                    <w:widowControl/>
                    <w:spacing w:line="240" w:lineRule="auto"/>
                    <w:ind w:firstLine="0" w:firstLineChars="0"/>
                    <w:jc w:val="both"/>
                    <w:rPr>
                      <w:sz w:val="22"/>
                      <w:szCs w:val="22"/>
                    </w:rPr>
                  </w:pPr>
                  <w:r>
                    <w:rPr>
                      <w:rFonts w:hint="eastAsia"/>
                      <w:bCs/>
                      <w:sz w:val="22"/>
                      <w:szCs w:val="22"/>
                    </w:rPr>
                    <w:t>在采取上述措施后，施工期的不利环境影响能够得到缓解和控制，不会对周围环境和敏感保护目标造成重大不利影响。</w:t>
                  </w:r>
                </w:p>
              </w:tc>
              <w:tc>
                <w:tcPr>
                  <w:tcW w:w="548" w:type="pct"/>
                  <w:vAlign w:val="center"/>
                </w:tcPr>
                <w:p w14:paraId="268AA861">
                  <w:pPr>
                    <w:pStyle w:val="98"/>
                    <w:rPr>
                      <w:rFonts w:hint="eastAsia"/>
                      <w:sz w:val="22"/>
                      <w:szCs w:val="22"/>
                      <w:lang w:val="en-US" w:eastAsia="zh-CN"/>
                    </w:rPr>
                  </w:pPr>
                  <w:r>
                    <w:rPr>
                      <w:rFonts w:hint="eastAsia"/>
                      <w:sz w:val="22"/>
                      <w:szCs w:val="22"/>
                      <w:lang w:val="en-US" w:eastAsia="zh-CN"/>
                    </w:rPr>
                    <w:t>符合</w:t>
                  </w:r>
                </w:p>
              </w:tc>
            </w:tr>
            <w:tr w14:paraId="049C7C9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2EA529A6">
                  <w:pPr>
                    <w:pStyle w:val="98"/>
                    <w:rPr>
                      <w:rFonts w:hint="default"/>
                      <w:sz w:val="22"/>
                      <w:szCs w:val="22"/>
                      <w:lang w:val="en-US" w:eastAsia="zh-CN"/>
                    </w:rPr>
                  </w:pPr>
                  <w:r>
                    <w:rPr>
                      <w:rFonts w:hint="eastAsia"/>
                      <w:sz w:val="22"/>
                      <w:szCs w:val="22"/>
                      <w:lang w:val="en-US" w:eastAsia="zh-CN"/>
                    </w:rPr>
                    <w:t>7</w:t>
                  </w:r>
                </w:p>
              </w:tc>
              <w:tc>
                <w:tcPr>
                  <w:tcW w:w="2440" w:type="pct"/>
                  <w:vAlign w:val="center"/>
                </w:tcPr>
                <w:p w14:paraId="47CDA871">
                  <w:pPr>
                    <w:widowControl/>
                    <w:spacing w:line="240" w:lineRule="auto"/>
                    <w:ind w:firstLine="0" w:firstLineChars="0"/>
                    <w:jc w:val="both"/>
                    <w:rPr>
                      <w:bCs/>
                      <w:sz w:val="22"/>
                      <w:szCs w:val="22"/>
                    </w:rPr>
                  </w:pPr>
                  <w:r>
                    <w:rPr>
                      <w:rFonts w:hint="eastAsia"/>
                      <w:bCs/>
                      <w:sz w:val="22"/>
                      <w:szCs w:val="22"/>
                    </w:rPr>
                    <w:t>项目移民安置的选址和建设方式具有环境合理性，提出了生态保护、污水处理、固体废物处置等措施。</w:t>
                  </w:r>
                </w:p>
                <w:p w14:paraId="02C390E6">
                  <w:pPr>
                    <w:widowControl/>
                    <w:spacing w:line="240" w:lineRule="auto"/>
                    <w:ind w:firstLine="0" w:firstLineChars="0"/>
                    <w:jc w:val="both"/>
                    <w:rPr>
                      <w:rFonts w:hint="eastAsia" w:eastAsia="宋体"/>
                      <w:sz w:val="22"/>
                      <w:szCs w:val="22"/>
                      <w:lang w:eastAsia="zh-CN"/>
                    </w:rPr>
                  </w:pPr>
                  <w:r>
                    <w:rPr>
                      <w:rFonts w:hint="eastAsia"/>
                      <w:bCs/>
                      <w:sz w:val="22"/>
                      <w:szCs w:val="22"/>
                    </w:rPr>
                    <w:t>针对蓄滞洪区的环境污染、新增占地涉及污染场地等，提出了环境管理对策建议</w:t>
                  </w:r>
                  <w:r>
                    <w:rPr>
                      <w:bCs/>
                      <w:sz w:val="22"/>
                      <w:szCs w:val="22"/>
                    </w:rPr>
                    <w:t>。</w:t>
                  </w:r>
                </w:p>
              </w:tc>
              <w:tc>
                <w:tcPr>
                  <w:tcW w:w="1594" w:type="pct"/>
                  <w:vAlign w:val="center"/>
                </w:tcPr>
                <w:p w14:paraId="514A6D44">
                  <w:pPr>
                    <w:widowControl/>
                    <w:spacing w:line="240" w:lineRule="auto"/>
                    <w:ind w:firstLine="0" w:firstLineChars="0"/>
                    <w:jc w:val="both"/>
                    <w:rPr>
                      <w:sz w:val="22"/>
                      <w:szCs w:val="22"/>
                    </w:rPr>
                  </w:pPr>
                  <w:r>
                    <w:rPr>
                      <w:bCs/>
                      <w:sz w:val="22"/>
                      <w:szCs w:val="22"/>
                    </w:rPr>
                    <w:t>本项目</w:t>
                  </w:r>
                  <w:r>
                    <w:rPr>
                      <w:rFonts w:hint="eastAsia"/>
                      <w:bCs/>
                      <w:sz w:val="22"/>
                      <w:szCs w:val="22"/>
                    </w:rPr>
                    <w:t>不涉及</w:t>
                  </w:r>
                  <w:r>
                    <w:rPr>
                      <w:bCs/>
                      <w:sz w:val="22"/>
                      <w:szCs w:val="22"/>
                    </w:rPr>
                    <w:t>搬迁安置人员</w:t>
                  </w:r>
                  <w:r>
                    <w:rPr>
                      <w:rFonts w:hint="eastAsia"/>
                      <w:bCs/>
                      <w:sz w:val="22"/>
                      <w:szCs w:val="22"/>
                    </w:rPr>
                    <w:t>，不涉及蓄滞洪区。</w:t>
                  </w:r>
                </w:p>
              </w:tc>
              <w:tc>
                <w:tcPr>
                  <w:tcW w:w="548" w:type="pct"/>
                  <w:vAlign w:val="center"/>
                </w:tcPr>
                <w:p w14:paraId="1FB3AE2B">
                  <w:pPr>
                    <w:pStyle w:val="98"/>
                    <w:rPr>
                      <w:rFonts w:hint="eastAsia"/>
                      <w:sz w:val="22"/>
                      <w:szCs w:val="22"/>
                      <w:lang w:val="en-US" w:eastAsia="zh-CN"/>
                    </w:rPr>
                  </w:pPr>
                  <w:r>
                    <w:rPr>
                      <w:rFonts w:hint="eastAsia"/>
                      <w:sz w:val="22"/>
                      <w:szCs w:val="22"/>
                      <w:lang w:val="en-US" w:eastAsia="zh-CN"/>
                    </w:rPr>
                    <w:t>符合</w:t>
                  </w:r>
                </w:p>
              </w:tc>
            </w:tr>
            <w:tr w14:paraId="455E2B0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6559C827">
                  <w:pPr>
                    <w:pStyle w:val="98"/>
                    <w:rPr>
                      <w:rFonts w:hint="default"/>
                      <w:sz w:val="22"/>
                      <w:szCs w:val="22"/>
                      <w:lang w:val="en-US" w:eastAsia="zh-CN"/>
                    </w:rPr>
                  </w:pPr>
                  <w:r>
                    <w:rPr>
                      <w:rFonts w:hint="eastAsia"/>
                      <w:sz w:val="22"/>
                      <w:szCs w:val="22"/>
                      <w:lang w:val="en-US" w:eastAsia="zh-CN"/>
                    </w:rPr>
                    <w:t>8</w:t>
                  </w:r>
                </w:p>
              </w:tc>
              <w:tc>
                <w:tcPr>
                  <w:tcW w:w="2440" w:type="pct"/>
                  <w:vAlign w:val="center"/>
                </w:tcPr>
                <w:p w14:paraId="2AE2A7AA">
                  <w:pPr>
                    <w:widowControl/>
                    <w:spacing w:line="240" w:lineRule="auto"/>
                    <w:ind w:firstLine="0" w:firstLineChars="0"/>
                    <w:jc w:val="both"/>
                    <w:rPr>
                      <w:rFonts w:hint="eastAsia" w:eastAsia="宋体"/>
                      <w:sz w:val="22"/>
                      <w:szCs w:val="22"/>
                      <w:lang w:eastAsia="zh-CN"/>
                    </w:rPr>
                  </w:pPr>
                  <w:r>
                    <w:rPr>
                      <w:rFonts w:hint="eastAsia"/>
                      <w:bCs/>
                      <w:sz w:val="22"/>
                      <w:szCs w:val="22"/>
                    </w:rPr>
                    <w:t>项目存在河湖水质污染、富营养化或外来物种入侵等环境风险的，提出了针对性的风险防范措施以及环境应急预案编制、建立必要的应急联动机制等要求</w:t>
                  </w:r>
                  <w:r>
                    <w:rPr>
                      <w:bCs/>
                      <w:sz w:val="22"/>
                      <w:szCs w:val="22"/>
                    </w:rPr>
                    <w:t>。</w:t>
                  </w:r>
                </w:p>
              </w:tc>
              <w:tc>
                <w:tcPr>
                  <w:tcW w:w="1594" w:type="pct"/>
                  <w:vAlign w:val="center"/>
                </w:tcPr>
                <w:p w14:paraId="239E2B72">
                  <w:pPr>
                    <w:widowControl/>
                    <w:spacing w:line="240" w:lineRule="auto"/>
                    <w:ind w:firstLine="0" w:firstLineChars="0"/>
                    <w:jc w:val="both"/>
                    <w:rPr>
                      <w:sz w:val="22"/>
                      <w:szCs w:val="22"/>
                    </w:rPr>
                  </w:pPr>
                  <w:r>
                    <w:rPr>
                      <w:rFonts w:hint="eastAsia"/>
                      <w:bCs/>
                      <w:sz w:val="22"/>
                      <w:szCs w:val="22"/>
                    </w:rPr>
                    <w:t>本项目</w:t>
                  </w:r>
                  <w:r>
                    <w:rPr>
                      <w:bCs/>
                      <w:sz w:val="22"/>
                      <w:szCs w:val="22"/>
                    </w:rPr>
                    <w:t>实施有利于河流水质改善，不存在</w:t>
                  </w:r>
                  <w:r>
                    <w:rPr>
                      <w:rFonts w:hint="eastAsia"/>
                      <w:bCs/>
                      <w:sz w:val="22"/>
                      <w:szCs w:val="22"/>
                    </w:rPr>
                    <w:t>河湖水质污染、富营养化等环境风险</w:t>
                  </w:r>
                  <w:r>
                    <w:rPr>
                      <w:bCs/>
                      <w:sz w:val="22"/>
                      <w:szCs w:val="22"/>
                    </w:rPr>
                    <w:t>。</w:t>
                  </w:r>
                  <w:r>
                    <w:rPr>
                      <w:rFonts w:hint="eastAsia"/>
                      <w:bCs/>
                      <w:sz w:val="22"/>
                      <w:szCs w:val="22"/>
                      <w:lang w:val="en-US" w:eastAsia="zh-CN"/>
                    </w:rPr>
                    <w:t>项目植草护坡采用乡土植物，不存在外来物种入侵</w:t>
                  </w:r>
                  <w:r>
                    <w:rPr>
                      <w:bCs/>
                      <w:sz w:val="22"/>
                      <w:szCs w:val="22"/>
                    </w:rPr>
                    <w:t>。</w:t>
                  </w:r>
                </w:p>
              </w:tc>
              <w:tc>
                <w:tcPr>
                  <w:tcW w:w="548" w:type="pct"/>
                  <w:vAlign w:val="center"/>
                </w:tcPr>
                <w:p w14:paraId="704525F1">
                  <w:pPr>
                    <w:pStyle w:val="98"/>
                    <w:rPr>
                      <w:rFonts w:hint="eastAsia"/>
                      <w:sz w:val="22"/>
                      <w:szCs w:val="22"/>
                      <w:lang w:val="en-US" w:eastAsia="zh-CN"/>
                    </w:rPr>
                  </w:pPr>
                  <w:r>
                    <w:rPr>
                      <w:rFonts w:hint="eastAsia"/>
                      <w:sz w:val="22"/>
                      <w:szCs w:val="22"/>
                      <w:lang w:val="en-US" w:eastAsia="zh-CN"/>
                    </w:rPr>
                    <w:t>符合</w:t>
                  </w:r>
                </w:p>
              </w:tc>
            </w:tr>
            <w:tr w14:paraId="6524EDD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2484894">
                  <w:pPr>
                    <w:pStyle w:val="98"/>
                    <w:rPr>
                      <w:rFonts w:hint="default"/>
                      <w:sz w:val="22"/>
                      <w:szCs w:val="22"/>
                      <w:lang w:val="en-US" w:eastAsia="zh-CN"/>
                    </w:rPr>
                  </w:pPr>
                  <w:r>
                    <w:rPr>
                      <w:rFonts w:hint="eastAsia"/>
                      <w:sz w:val="22"/>
                      <w:szCs w:val="22"/>
                      <w:lang w:val="en-US" w:eastAsia="zh-CN"/>
                    </w:rPr>
                    <w:t>9</w:t>
                  </w:r>
                </w:p>
              </w:tc>
              <w:tc>
                <w:tcPr>
                  <w:tcW w:w="2440" w:type="pct"/>
                  <w:vAlign w:val="center"/>
                </w:tcPr>
                <w:p w14:paraId="2ED4D5E2">
                  <w:pPr>
                    <w:widowControl/>
                    <w:spacing w:line="240" w:lineRule="auto"/>
                    <w:ind w:firstLine="0" w:firstLineChars="0"/>
                    <w:jc w:val="both"/>
                    <w:rPr>
                      <w:rFonts w:hint="eastAsia" w:eastAsia="宋体"/>
                      <w:sz w:val="22"/>
                      <w:szCs w:val="22"/>
                      <w:lang w:eastAsia="zh-CN"/>
                    </w:rPr>
                  </w:pPr>
                  <w:r>
                    <w:rPr>
                      <w:rFonts w:hint="eastAsia"/>
                      <w:bCs/>
                      <w:sz w:val="22"/>
                      <w:szCs w:val="22"/>
                    </w:rPr>
                    <w:t>改、扩建项目在全面梳理了与项目有关的现有工程环境问题基础上，提出了与项目相适应的“以新带老”措施。</w:t>
                  </w:r>
                </w:p>
              </w:tc>
              <w:tc>
                <w:tcPr>
                  <w:tcW w:w="1594" w:type="pct"/>
                  <w:vAlign w:val="center"/>
                </w:tcPr>
                <w:p w14:paraId="30557D93">
                  <w:pPr>
                    <w:widowControl/>
                    <w:spacing w:line="240" w:lineRule="auto"/>
                    <w:ind w:firstLine="0" w:firstLineChars="0"/>
                    <w:jc w:val="both"/>
                    <w:rPr>
                      <w:sz w:val="22"/>
                      <w:szCs w:val="22"/>
                    </w:rPr>
                  </w:pPr>
                  <w:r>
                    <w:rPr>
                      <w:rFonts w:hint="eastAsia"/>
                      <w:bCs/>
                      <w:sz w:val="22"/>
                      <w:szCs w:val="22"/>
                    </w:rPr>
                    <w:t>本项目</w:t>
                  </w:r>
                  <w:r>
                    <w:rPr>
                      <w:bCs/>
                      <w:sz w:val="22"/>
                      <w:szCs w:val="22"/>
                    </w:rPr>
                    <w:t>为新建项目。</w:t>
                  </w:r>
                </w:p>
              </w:tc>
              <w:tc>
                <w:tcPr>
                  <w:tcW w:w="548" w:type="pct"/>
                  <w:vAlign w:val="center"/>
                </w:tcPr>
                <w:p w14:paraId="164C075A">
                  <w:pPr>
                    <w:pStyle w:val="98"/>
                    <w:rPr>
                      <w:rFonts w:hint="eastAsia"/>
                      <w:sz w:val="22"/>
                      <w:szCs w:val="22"/>
                      <w:lang w:val="en-US" w:eastAsia="zh-CN"/>
                    </w:rPr>
                  </w:pPr>
                  <w:r>
                    <w:rPr>
                      <w:rFonts w:hint="eastAsia"/>
                      <w:sz w:val="22"/>
                      <w:szCs w:val="22"/>
                      <w:lang w:val="en-US" w:eastAsia="zh-CN"/>
                    </w:rPr>
                    <w:t>符合</w:t>
                  </w:r>
                </w:p>
              </w:tc>
            </w:tr>
            <w:tr w14:paraId="43297BA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171C013C">
                  <w:pPr>
                    <w:pStyle w:val="98"/>
                    <w:rPr>
                      <w:rFonts w:hint="default"/>
                      <w:sz w:val="22"/>
                      <w:szCs w:val="22"/>
                      <w:lang w:val="en-US" w:eastAsia="zh-CN"/>
                    </w:rPr>
                  </w:pPr>
                  <w:r>
                    <w:rPr>
                      <w:rFonts w:hint="eastAsia"/>
                      <w:sz w:val="22"/>
                      <w:szCs w:val="22"/>
                      <w:lang w:val="en-US" w:eastAsia="zh-CN"/>
                    </w:rPr>
                    <w:t>10</w:t>
                  </w:r>
                </w:p>
              </w:tc>
              <w:tc>
                <w:tcPr>
                  <w:tcW w:w="2440" w:type="pct"/>
                  <w:vAlign w:val="center"/>
                </w:tcPr>
                <w:p w14:paraId="3A7EA9D1">
                  <w:pPr>
                    <w:widowControl/>
                    <w:spacing w:line="240" w:lineRule="auto"/>
                    <w:ind w:firstLine="0" w:firstLineChars="0"/>
                    <w:jc w:val="both"/>
                    <w:rPr>
                      <w:rFonts w:hint="eastAsia" w:eastAsia="宋体"/>
                      <w:sz w:val="22"/>
                      <w:szCs w:val="22"/>
                      <w:lang w:eastAsia="zh-CN"/>
                    </w:rPr>
                  </w:pPr>
                  <w:r>
                    <w:rPr>
                      <w:rFonts w:hint="eastAsia"/>
                      <w:bCs/>
                      <w:sz w:val="22"/>
                      <w:szCs w:val="22"/>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594" w:type="pct"/>
                  <w:vAlign w:val="center"/>
                </w:tcPr>
                <w:p w14:paraId="396752F0">
                  <w:pPr>
                    <w:widowControl/>
                    <w:spacing w:line="240" w:lineRule="auto"/>
                    <w:ind w:firstLine="0" w:firstLineChars="0"/>
                    <w:jc w:val="both"/>
                    <w:rPr>
                      <w:sz w:val="22"/>
                      <w:szCs w:val="22"/>
                    </w:rPr>
                  </w:pPr>
                  <w:r>
                    <w:rPr>
                      <w:rFonts w:hint="eastAsia"/>
                      <w:bCs/>
                      <w:sz w:val="22"/>
                      <w:szCs w:val="22"/>
                      <w:lang w:val="en-US" w:eastAsia="zh-CN"/>
                    </w:rPr>
                    <w:t>本项目属于报告表项目，根据《建设项目环境影响报告表编制技术指南（生态影响类）（试行）》</w:t>
                  </w:r>
                  <w:r>
                    <w:rPr>
                      <w:rFonts w:hint="eastAsia"/>
                      <w:bCs/>
                      <w:sz w:val="22"/>
                      <w:szCs w:val="22"/>
                    </w:rPr>
                    <w:t>提出了</w:t>
                  </w:r>
                  <w:r>
                    <w:rPr>
                      <w:rFonts w:hint="eastAsia"/>
                      <w:bCs/>
                      <w:sz w:val="22"/>
                      <w:szCs w:val="22"/>
                      <w:lang w:val="en-US" w:eastAsia="zh-CN"/>
                    </w:rPr>
                    <w:t>相应的</w:t>
                  </w:r>
                  <w:r>
                    <w:rPr>
                      <w:rFonts w:hint="eastAsia"/>
                      <w:bCs/>
                      <w:sz w:val="22"/>
                      <w:szCs w:val="22"/>
                    </w:rPr>
                    <w:t>环境管理要求。</w:t>
                  </w:r>
                </w:p>
              </w:tc>
              <w:tc>
                <w:tcPr>
                  <w:tcW w:w="548" w:type="pct"/>
                  <w:vAlign w:val="center"/>
                </w:tcPr>
                <w:p w14:paraId="41EE41D2">
                  <w:pPr>
                    <w:pStyle w:val="98"/>
                    <w:rPr>
                      <w:rFonts w:hint="eastAsia"/>
                      <w:sz w:val="22"/>
                      <w:szCs w:val="22"/>
                      <w:lang w:val="en-US" w:eastAsia="zh-CN"/>
                    </w:rPr>
                  </w:pPr>
                  <w:r>
                    <w:rPr>
                      <w:rFonts w:hint="eastAsia"/>
                      <w:sz w:val="22"/>
                      <w:szCs w:val="22"/>
                      <w:lang w:val="en-US" w:eastAsia="zh-CN"/>
                    </w:rPr>
                    <w:t>符合</w:t>
                  </w:r>
                </w:p>
              </w:tc>
            </w:tr>
            <w:tr w14:paraId="7FC8A06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c>
                <w:tcPr>
                  <w:tcW w:w="417" w:type="pct"/>
                  <w:vAlign w:val="center"/>
                </w:tcPr>
                <w:p w14:paraId="1AE93C58">
                  <w:pPr>
                    <w:pStyle w:val="98"/>
                    <w:rPr>
                      <w:rFonts w:hint="default"/>
                      <w:sz w:val="22"/>
                      <w:szCs w:val="22"/>
                      <w:lang w:val="en-US" w:eastAsia="zh-CN"/>
                    </w:rPr>
                  </w:pPr>
                  <w:r>
                    <w:rPr>
                      <w:rFonts w:hint="eastAsia"/>
                      <w:sz w:val="22"/>
                      <w:szCs w:val="22"/>
                      <w:lang w:val="en-US" w:eastAsia="zh-CN"/>
                    </w:rPr>
                    <w:t>11</w:t>
                  </w:r>
                </w:p>
              </w:tc>
              <w:tc>
                <w:tcPr>
                  <w:tcW w:w="2440" w:type="pct"/>
                  <w:vAlign w:val="center"/>
                </w:tcPr>
                <w:p w14:paraId="07EFD20C">
                  <w:pPr>
                    <w:widowControl/>
                    <w:spacing w:line="240" w:lineRule="auto"/>
                    <w:ind w:firstLine="0" w:firstLineChars="0"/>
                    <w:jc w:val="both"/>
                    <w:rPr>
                      <w:rFonts w:hint="eastAsia" w:eastAsia="宋体"/>
                      <w:sz w:val="22"/>
                      <w:szCs w:val="22"/>
                      <w:lang w:eastAsia="zh-CN"/>
                    </w:rPr>
                  </w:pPr>
                  <w:r>
                    <w:rPr>
                      <w:rFonts w:hint="eastAsia"/>
                      <w:bCs/>
                      <w:sz w:val="22"/>
                      <w:szCs w:val="22"/>
                    </w:rPr>
                    <w:t>对环境保护措施进行了深入论证，建设单位主体责任、投资估算、时间节点、预期效果明确，确保科学有效、安全可行、绿色协调。</w:t>
                  </w:r>
                </w:p>
              </w:tc>
              <w:tc>
                <w:tcPr>
                  <w:tcW w:w="1594" w:type="pct"/>
                  <w:vAlign w:val="center"/>
                </w:tcPr>
                <w:p w14:paraId="0EA1CA1F">
                  <w:pPr>
                    <w:widowControl/>
                    <w:spacing w:line="240" w:lineRule="auto"/>
                    <w:ind w:firstLine="0" w:firstLineChars="0"/>
                    <w:jc w:val="both"/>
                    <w:rPr>
                      <w:sz w:val="22"/>
                      <w:szCs w:val="22"/>
                    </w:rPr>
                  </w:pPr>
                  <w:r>
                    <w:rPr>
                      <w:bCs/>
                      <w:sz w:val="22"/>
                      <w:szCs w:val="22"/>
                    </w:rPr>
                    <w:t>本评价</w:t>
                  </w:r>
                  <w:r>
                    <w:rPr>
                      <w:rFonts w:hint="eastAsia"/>
                      <w:bCs/>
                      <w:sz w:val="22"/>
                      <w:szCs w:val="22"/>
                    </w:rPr>
                    <w:t>对环境保护措施进行了深入论证，建设单位主体责任、投资估算、时间节点、预期效果明确，可确保科学有效、安全可行、绿色协调。</w:t>
                  </w:r>
                </w:p>
              </w:tc>
              <w:tc>
                <w:tcPr>
                  <w:tcW w:w="548" w:type="pct"/>
                  <w:vAlign w:val="center"/>
                </w:tcPr>
                <w:p w14:paraId="52FFBD34">
                  <w:pPr>
                    <w:pStyle w:val="98"/>
                    <w:rPr>
                      <w:rFonts w:hint="eastAsia"/>
                      <w:sz w:val="22"/>
                      <w:szCs w:val="22"/>
                      <w:lang w:val="en-US" w:eastAsia="zh-CN"/>
                    </w:rPr>
                  </w:pPr>
                  <w:r>
                    <w:rPr>
                      <w:rFonts w:hint="eastAsia"/>
                      <w:sz w:val="22"/>
                      <w:szCs w:val="22"/>
                      <w:lang w:val="en-US" w:eastAsia="zh-CN"/>
                    </w:rPr>
                    <w:t>符合</w:t>
                  </w:r>
                </w:p>
              </w:tc>
            </w:tr>
            <w:tr w14:paraId="757FF768">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534440B5">
                  <w:pPr>
                    <w:pStyle w:val="98"/>
                    <w:rPr>
                      <w:rFonts w:hint="default"/>
                      <w:sz w:val="22"/>
                      <w:szCs w:val="22"/>
                      <w:lang w:val="en-US" w:eastAsia="zh-CN"/>
                    </w:rPr>
                  </w:pPr>
                  <w:r>
                    <w:rPr>
                      <w:rFonts w:hint="eastAsia"/>
                      <w:sz w:val="22"/>
                      <w:szCs w:val="22"/>
                      <w:lang w:val="en-US" w:eastAsia="zh-CN"/>
                    </w:rPr>
                    <w:t>12</w:t>
                  </w:r>
                </w:p>
              </w:tc>
              <w:tc>
                <w:tcPr>
                  <w:tcW w:w="2440" w:type="pct"/>
                  <w:vAlign w:val="center"/>
                </w:tcPr>
                <w:p w14:paraId="0A35D248">
                  <w:pPr>
                    <w:widowControl/>
                    <w:spacing w:line="240" w:lineRule="auto"/>
                    <w:ind w:firstLine="0" w:firstLineChars="0"/>
                    <w:jc w:val="both"/>
                    <w:rPr>
                      <w:rFonts w:hint="eastAsia" w:eastAsia="宋体"/>
                      <w:sz w:val="22"/>
                      <w:szCs w:val="22"/>
                      <w:lang w:eastAsia="zh-CN"/>
                    </w:rPr>
                  </w:pPr>
                  <w:r>
                    <w:rPr>
                      <w:rFonts w:hint="eastAsia"/>
                      <w:bCs/>
                      <w:sz w:val="22"/>
                      <w:szCs w:val="22"/>
                    </w:rPr>
                    <w:t>按相关规定开展了信息公开和公众参与。</w:t>
                  </w:r>
                </w:p>
              </w:tc>
              <w:tc>
                <w:tcPr>
                  <w:tcW w:w="1594" w:type="pct"/>
                  <w:vAlign w:val="center"/>
                </w:tcPr>
                <w:p w14:paraId="16F72C80">
                  <w:pPr>
                    <w:widowControl/>
                    <w:spacing w:line="240" w:lineRule="auto"/>
                    <w:ind w:firstLine="0" w:firstLineChars="0"/>
                    <w:jc w:val="both"/>
                    <w:rPr>
                      <w:sz w:val="22"/>
                      <w:szCs w:val="22"/>
                    </w:rPr>
                  </w:pPr>
                  <w:r>
                    <w:rPr>
                      <w:bCs/>
                      <w:sz w:val="22"/>
                      <w:szCs w:val="22"/>
                    </w:rPr>
                    <w:t>本</w:t>
                  </w:r>
                  <w:r>
                    <w:rPr>
                      <w:rFonts w:hint="eastAsia"/>
                      <w:bCs/>
                      <w:sz w:val="22"/>
                      <w:szCs w:val="22"/>
                      <w:lang w:val="en-US" w:eastAsia="zh-CN"/>
                    </w:rPr>
                    <w:t>项目不涉及</w:t>
                  </w:r>
                  <w:r>
                    <w:rPr>
                      <w:rFonts w:hint="eastAsia"/>
                      <w:bCs/>
                      <w:sz w:val="22"/>
                      <w:szCs w:val="22"/>
                    </w:rPr>
                    <w:t>。</w:t>
                  </w:r>
                </w:p>
              </w:tc>
              <w:tc>
                <w:tcPr>
                  <w:tcW w:w="548" w:type="pct"/>
                  <w:vAlign w:val="center"/>
                </w:tcPr>
                <w:p w14:paraId="535DB665">
                  <w:pPr>
                    <w:pStyle w:val="98"/>
                    <w:rPr>
                      <w:rFonts w:hint="eastAsia"/>
                      <w:sz w:val="22"/>
                      <w:szCs w:val="22"/>
                      <w:lang w:val="en-US" w:eastAsia="zh-CN"/>
                    </w:rPr>
                  </w:pPr>
                  <w:r>
                    <w:rPr>
                      <w:rFonts w:hint="eastAsia"/>
                      <w:sz w:val="22"/>
                      <w:szCs w:val="22"/>
                      <w:lang w:val="en-US" w:eastAsia="zh-CN"/>
                    </w:rPr>
                    <w:t>符合</w:t>
                  </w:r>
                </w:p>
              </w:tc>
            </w:tr>
            <w:tr w14:paraId="23D7F23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17" w:type="pct"/>
                  <w:vAlign w:val="center"/>
                </w:tcPr>
                <w:p w14:paraId="4FDBEF5C">
                  <w:pPr>
                    <w:pStyle w:val="98"/>
                    <w:rPr>
                      <w:rFonts w:hint="default"/>
                      <w:sz w:val="22"/>
                      <w:szCs w:val="22"/>
                      <w:lang w:val="en-US" w:eastAsia="zh-CN"/>
                    </w:rPr>
                  </w:pPr>
                  <w:r>
                    <w:rPr>
                      <w:rFonts w:hint="eastAsia"/>
                      <w:sz w:val="22"/>
                      <w:szCs w:val="22"/>
                      <w:lang w:val="en-US" w:eastAsia="zh-CN"/>
                    </w:rPr>
                    <w:t>13</w:t>
                  </w:r>
                </w:p>
              </w:tc>
              <w:tc>
                <w:tcPr>
                  <w:tcW w:w="2440" w:type="pct"/>
                  <w:vAlign w:val="center"/>
                </w:tcPr>
                <w:p w14:paraId="7420C701">
                  <w:pPr>
                    <w:widowControl/>
                    <w:spacing w:line="240" w:lineRule="auto"/>
                    <w:ind w:firstLine="0" w:firstLineChars="0"/>
                    <w:jc w:val="both"/>
                    <w:rPr>
                      <w:rFonts w:hint="eastAsia" w:eastAsia="宋体"/>
                      <w:sz w:val="22"/>
                      <w:szCs w:val="22"/>
                      <w:lang w:eastAsia="zh-CN"/>
                    </w:rPr>
                  </w:pPr>
                  <w:r>
                    <w:rPr>
                      <w:rFonts w:hint="eastAsia"/>
                      <w:bCs/>
                      <w:sz w:val="22"/>
                      <w:szCs w:val="22"/>
                    </w:rPr>
                    <w:t>环境影响评价文件编制规范，符合相关管理规定和环评技术标准要求。</w:t>
                  </w:r>
                </w:p>
              </w:tc>
              <w:tc>
                <w:tcPr>
                  <w:tcW w:w="1594" w:type="pct"/>
                  <w:vAlign w:val="center"/>
                </w:tcPr>
                <w:p w14:paraId="69AD5449">
                  <w:pPr>
                    <w:widowControl/>
                    <w:spacing w:line="240" w:lineRule="auto"/>
                    <w:ind w:firstLine="0" w:firstLineChars="0"/>
                    <w:jc w:val="both"/>
                    <w:rPr>
                      <w:sz w:val="22"/>
                      <w:szCs w:val="22"/>
                    </w:rPr>
                  </w:pPr>
                  <w:r>
                    <w:rPr>
                      <w:bCs/>
                      <w:sz w:val="22"/>
                      <w:szCs w:val="22"/>
                    </w:rPr>
                    <w:t>本项目</w:t>
                  </w:r>
                  <w:r>
                    <w:rPr>
                      <w:rFonts w:hint="eastAsia"/>
                      <w:bCs/>
                      <w:sz w:val="22"/>
                      <w:szCs w:val="22"/>
                    </w:rPr>
                    <w:t>环境影响评价文件编制较规范，符合相关管理规定和环评技术标准要求。</w:t>
                  </w:r>
                </w:p>
              </w:tc>
              <w:tc>
                <w:tcPr>
                  <w:tcW w:w="548" w:type="pct"/>
                  <w:vAlign w:val="center"/>
                </w:tcPr>
                <w:p w14:paraId="679638E9">
                  <w:pPr>
                    <w:pStyle w:val="98"/>
                    <w:rPr>
                      <w:rFonts w:hint="eastAsia"/>
                      <w:sz w:val="22"/>
                      <w:szCs w:val="22"/>
                      <w:lang w:val="en-US" w:eastAsia="zh-CN"/>
                    </w:rPr>
                  </w:pPr>
                  <w:r>
                    <w:rPr>
                      <w:rFonts w:hint="eastAsia"/>
                      <w:sz w:val="22"/>
                      <w:szCs w:val="22"/>
                      <w:lang w:val="en-US" w:eastAsia="zh-CN"/>
                    </w:rPr>
                    <w:t>符合</w:t>
                  </w:r>
                </w:p>
              </w:tc>
            </w:tr>
          </w:tbl>
          <w:p w14:paraId="375CA365">
            <w:pPr>
              <w:pStyle w:val="3"/>
              <w:bidi w:val="0"/>
            </w:pPr>
            <w:r>
              <w:rPr>
                <w:rFonts w:hint="eastAsia"/>
                <w:lang w:val="en-US" w:eastAsia="zh-CN"/>
              </w:rPr>
              <w:t>用地</w:t>
            </w:r>
            <w:r>
              <w:rPr>
                <w:rFonts w:hint="eastAsia"/>
              </w:rPr>
              <w:t>符合性分析</w:t>
            </w:r>
          </w:p>
          <w:p w14:paraId="66879745">
            <w:pPr>
              <w:pStyle w:val="6"/>
              <w:bidi w:val="0"/>
              <w:rPr>
                <w:rFonts w:hint="default" w:eastAsia="宋体"/>
                <w:color w:val="000000" w:themeColor="text1"/>
                <w:spacing w:val="-4"/>
                <w14:textFill>
                  <w14:solidFill>
                    <w14:schemeClr w14:val="tx1"/>
                  </w14:solidFill>
                </w14:textFill>
              </w:rPr>
            </w:pPr>
            <w:r>
              <w:rPr>
                <w:rFonts w:hint="default" w:eastAsia="宋体"/>
                <w:color w:val="000000" w:themeColor="text1"/>
                <w:spacing w:val="-4"/>
                <w14:textFill>
                  <w14:solidFill>
                    <w14:schemeClr w14:val="tx1"/>
                  </w14:solidFill>
                </w14:textFill>
              </w:rPr>
              <w:t>本项目不涉及新增建设用地，根据工程总体布置及施工总布置方案，工程建设</w:t>
            </w:r>
            <w:r>
              <w:rPr>
                <w:rFonts w:hint="eastAsia"/>
                <w:color w:val="000000" w:themeColor="text1"/>
                <w:spacing w:val="-4"/>
                <w:lang w:eastAsia="zh-CN"/>
                <w14:textFill>
                  <w14:solidFill>
                    <w14:schemeClr w14:val="tx1"/>
                  </w14:solidFill>
                </w14:textFill>
              </w:rPr>
              <w:t>用地</w:t>
            </w:r>
            <w:r>
              <w:rPr>
                <w:rFonts w:hint="default" w:eastAsia="宋体"/>
                <w:color w:val="000000" w:themeColor="text1"/>
                <w:spacing w:val="-4"/>
                <w14:textFill>
                  <w14:solidFill>
                    <w14:schemeClr w14:val="tx1"/>
                  </w14:solidFill>
                </w14:textFill>
              </w:rPr>
              <w:t>范围包括工程永久占地和施工临时占地</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其中</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永久征地范围主要为新建堤防及其附属建筑物占地，本次新建堤防</w:t>
            </w:r>
            <w:r>
              <w:rPr>
                <w:rFonts w:hint="eastAsia"/>
                <w:color w:val="000000" w:themeColor="text1"/>
                <w:spacing w:val="-4"/>
                <w:lang w:val="en-US" w:eastAsia="zh-CN"/>
                <w14:textFill>
                  <w14:solidFill>
                    <w14:schemeClr w14:val="tx1"/>
                  </w14:solidFill>
                </w14:textFill>
              </w:rPr>
              <w:t>2673</w:t>
            </w:r>
            <w:r>
              <w:rPr>
                <w:rFonts w:hint="default" w:eastAsia="宋体"/>
                <w:color w:val="000000" w:themeColor="text1"/>
                <w:spacing w:val="-4"/>
                <w14:textFill>
                  <w14:solidFill>
                    <w14:schemeClr w14:val="tx1"/>
                  </w14:solidFill>
                </w14:textFill>
              </w:rPr>
              <w:t>m，新建穿堤涵管10处，堤后排水沟2.02km，下河梯步10处。工程永久占地共78.57亩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5.24hm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，包括占用耕地8.2亩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0.55hm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，林地8.6亩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0.57hm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，草地15.22亩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1.01hm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w:t>
            </w:r>
            <w:r>
              <w:rPr>
                <w:rFonts w:hint="eastAsia"/>
                <w:color w:val="000000" w:themeColor="text1"/>
                <w:spacing w:val="-4"/>
                <w:lang w:val="en-US" w:eastAsia="zh-CN"/>
                <w14:textFill>
                  <w14:solidFill>
                    <w14:schemeClr w14:val="tx1"/>
                  </w14:solidFill>
                </w14:textFill>
              </w:rPr>
              <w:t>水域及水利设施用地42.84</w:t>
            </w:r>
            <w:r>
              <w:rPr>
                <w:rFonts w:hint="default" w:eastAsia="宋体"/>
                <w:color w:val="000000" w:themeColor="text1"/>
                <w:spacing w:val="-4"/>
                <w14:textFill>
                  <w14:solidFill>
                    <w14:schemeClr w14:val="tx1"/>
                  </w14:solidFill>
                </w14:textFill>
              </w:rPr>
              <w:t>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2.86hm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居民及交通工矿用地3.71亩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0.25hm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default" w:eastAsia="宋体"/>
                <w:color w:val="000000" w:themeColor="text1"/>
                <w:spacing w:val="-4"/>
                <w14:textFill>
                  <w14:solidFill>
                    <w14:schemeClr w14:val="tx1"/>
                  </w14:solidFill>
                </w14:textFill>
              </w:rPr>
              <w:t>。</w:t>
            </w:r>
          </w:p>
          <w:p w14:paraId="4BEEC646">
            <w:pPr>
              <w:pStyle w:val="6"/>
              <w:rPr>
                <w:color w:val="auto"/>
              </w:rPr>
            </w:pPr>
            <w:r>
              <w:rPr>
                <w:rFonts w:hint="eastAsia"/>
                <w:color w:val="auto"/>
              </w:rPr>
              <w:t>本工程材料仓库</w:t>
            </w:r>
            <w:r>
              <w:rPr>
                <w:rFonts w:hint="eastAsia"/>
                <w:color w:val="auto"/>
                <w:lang w:eastAsia="zh-CN"/>
              </w:rPr>
              <w:t>、</w:t>
            </w:r>
            <w:r>
              <w:rPr>
                <w:rFonts w:hint="eastAsia"/>
                <w:color w:val="auto"/>
              </w:rPr>
              <w:t>办公生活建筑均采用租用方式；工程临时用地主要为工区内的混凝土拌合站、机械停放</w:t>
            </w:r>
            <w:r>
              <w:rPr>
                <w:rFonts w:hint="eastAsia"/>
                <w:color w:val="auto"/>
                <w:lang w:val="en-US" w:eastAsia="zh-CN"/>
              </w:rPr>
              <w:t>场</w:t>
            </w:r>
            <w:r>
              <w:rPr>
                <w:rFonts w:hint="eastAsia"/>
                <w:color w:val="auto"/>
              </w:rPr>
              <w:t>、综合加工棚等临建设施用地、临时道路及临时堆料场用地，经统计，工程临时用地共8.97亩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0.6hm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eastAsia"/>
                <w:color w:val="auto"/>
              </w:rPr>
              <w:t>。包括占用耕地3.44亩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0.23hm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eastAsia"/>
                <w:color w:val="auto"/>
              </w:rPr>
              <w:t>，草地5.1亩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0.34hm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eastAsia"/>
                <w:color w:val="auto"/>
              </w:rPr>
              <w:t>，</w:t>
            </w:r>
            <w:r>
              <w:rPr>
                <w:rFonts w:hint="eastAsia"/>
                <w:color w:val="000000" w:themeColor="text1"/>
                <w:spacing w:val="-4"/>
                <w:lang w:val="en-US" w:eastAsia="zh-CN"/>
                <w14:textFill>
                  <w14:solidFill>
                    <w14:schemeClr w14:val="tx1"/>
                  </w14:solidFill>
                </w14:textFill>
              </w:rPr>
              <w:t>水域及水利设施用地</w:t>
            </w:r>
            <w:r>
              <w:rPr>
                <w:rFonts w:hint="eastAsia"/>
                <w:color w:val="auto"/>
              </w:rPr>
              <w:t>0.4亩</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0.03hm</w:t>
            </w:r>
            <w:r>
              <w:rPr>
                <w:rFonts w:hint="eastAsia"/>
                <w:color w:val="000000" w:themeColor="text1"/>
                <w:spacing w:val="-4"/>
                <w:vertAlign w:val="superscript"/>
                <w:lang w:val="en-US" w:eastAsia="zh-CN"/>
                <w14:textFill>
                  <w14:solidFill>
                    <w14:schemeClr w14:val="tx1"/>
                  </w14:solidFill>
                </w14:textFill>
              </w:rPr>
              <w:t>2</w:t>
            </w:r>
            <w:r>
              <w:rPr>
                <w:rFonts w:hint="eastAsia"/>
                <w:color w:val="000000" w:themeColor="text1"/>
                <w:spacing w:val="-4"/>
                <w:lang w:eastAsia="zh-CN"/>
                <w14:textFill>
                  <w14:solidFill>
                    <w14:schemeClr w14:val="tx1"/>
                  </w14:solidFill>
                </w14:textFill>
              </w:rPr>
              <w:t>）</w:t>
            </w:r>
            <w:r>
              <w:rPr>
                <w:rFonts w:hint="eastAsia"/>
                <w:color w:val="auto"/>
              </w:rPr>
              <w:t>。</w:t>
            </w:r>
            <w:r>
              <w:rPr>
                <w:rFonts w:hint="default" w:eastAsia="宋体"/>
                <w:color w:val="000000" w:themeColor="text1"/>
                <w:spacing w:val="-4"/>
                <w14:textFill>
                  <w14:solidFill>
                    <w14:schemeClr w14:val="tx1"/>
                  </w14:solidFill>
                </w14:textFill>
              </w:rPr>
              <w:t>本项目土地利用类型符合土地利用规划。</w:t>
            </w:r>
          </w:p>
          <w:p w14:paraId="1C859610">
            <w:pPr>
              <w:pStyle w:val="6"/>
              <w:ind w:firstLine="480" w:firstLineChars="200"/>
              <w:rPr>
                <w:rFonts w:hint="eastAsia" w:ascii="Times New Roman" w:hAnsi="Times New Roman" w:eastAsia="宋体" w:cstheme="minorBidi"/>
                <w:kern w:val="2"/>
                <w:sz w:val="24"/>
                <w:szCs w:val="21"/>
                <w:lang w:val="en-US" w:eastAsia="zh-CN" w:bidi="ar-SA"/>
                <w14:ligatures w14:val="standardContextual"/>
              </w:rPr>
            </w:pPr>
          </w:p>
        </w:tc>
      </w:tr>
    </w:tbl>
    <w:p w14:paraId="6DF784EA">
      <w:pPr>
        <w:pStyle w:val="26"/>
        <w:widowControl w:val="0"/>
        <w:numPr>
          <w:ilvl w:val="0"/>
          <w:numId w:val="0"/>
        </w:numPr>
        <w:spacing w:line="400" w:lineRule="exact"/>
        <w:jc w:val="center"/>
      </w:pPr>
    </w:p>
    <w:p w14:paraId="625FAAD2">
      <w:pPr>
        <w:pStyle w:val="26"/>
        <w:numPr>
          <w:ilvl w:val="0"/>
          <w:numId w:val="0"/>
        </w:numPr>
        <w:ind w:left="1680" w:leftChars="0"/>
        <w:jc w:val="both"/>
      </w:pPr>
    </w:p>
    <w:p w14:paraId="39D0346C">
      <w:pPr>
        <w:ind w:firstLine="480"/>
        <w:sectPr>
          <w:pgSz w:w="11906" w:h="16838"/>
          <w:pgMar w:top="1247" w:right="1247" w:bottom="1247" w:left="1247" w:header="851" w:footer="992" w:gutter="0"/>
          <w:pgBorders>
            <w:top w:val="none" w:sz="0" w:space="0"/>
            <w:left w:val="none" w:sz="0" w:space="0"/>
            <w:bottom w:val="none" w:sz="0" w:space="0"/>
            <w:right w:val="none" w:sz="0" w:space="0"/>
          </w:pgBorders>
          <w:cols w:space="425" w:num="1"/>
          <w:titlePg/>
          <w:docGrid w:type="lines" w:linePitch="326" w:charSpace="0"/>
        </w:sectPr>
      </w:pPr>
    </w:p>
    <w:p w14:paraId="73EC9925">
      <w:pPr>
        <w:pStyle w:val="2"/>
        <w:spacing w:after="163"/>
      </w:pPr>
      <w:bookmarkStart w:id="35" w:name="_Toc10957"/>
      <w:r>
        <w:rPr>
          <w:rFonts w:hint="eastAsia"/>
        </w:rPr>
        <w:t>建设内容</w:t>
      </w:r>
      <w:bookmarkEnd w:id="35"/>
    </w:p>
    <w:tbl>
      <w:tblPr>
        <w:tblStyle w:val="4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7"/>
        <w:gridCol w:w="8861"/>
      </w:tblGrid>
      <w:tr w14:paraId="1154AC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9" w:hRule="atLeast"/>
        </w:trPr>
        <w:tc>
          <w:tcPr>
            <w:tcW w:w="398" w:type="pct"/>
            <w:vAlign w:val="center"/>
          </w:tcPr>
          <w:p w14:paraId="178FCDFB">
            <w:r>
              <w:rPr>
                <w:rFonts w:hint="eastAsia"/>
              </w:rPr>
              <w:t>地理位置</w:t>
            </w:r>
          </w:p>
        </w:tc>
        <w:tc>
          <w:tcPr>
            <w:tcW w:w="4601" w:type="pct"/>
            <w:vAlign w:val="center"/>
          </w:tcPr>
          <w:p w14:paraId="35A0DD7B">
            <w:pPr>
              <w:pStyle w:val="3"/>
              <w:rPr>
                <w:rFonts w:hint="eastAsia" w:ascii="Times New Roman" w:hAnsi="Times New Roman" w:eastAsia="宋体"/>
                <w:lang w:val="en-US" w:eastAsia="zh-CN"/>
              </w:rPr>
            </w:pPr>
            <w:r>
              <w:rPr>
                <w:rFonts w:hint="eastAsia" w:ascii="Times New Roman" w:hAnsi="Times New Roman"/>
                <w:lang w:val="en-US" w:eastAsia="zh-CN"/>
              </w:rPr>
              <w:t>地理位置</w:t>
            </w:r>
          </w:p>
          <w:p w14:paraId="72DB9B35">
            <w:pPr>
              <w:pStyle w:val="4"/>
              <w:rPr>
                <w:rFonts w:hint="eastAsia" w:ascii="Times New Roman" w:hAnsi="Times New Roman" w:eastAsia="宋体"/>
                <w:lang w:val="en-US" w:eastAsia="zh-CN"/>
              </w:rPr>
            </w:pPr>
            <w:r>
              <w:rPr>
                <w:rFonts w:hint="eastAsia" w:ascii="Times New Roman" w:hAnsi="Times New Roman"/>
                <w:lang w:val="en-US" w:eastAsia="zh-CN"/>
              </w:rPr>
              <w:t>项目</w:t>
            </w:r>
            <w:r>
              <w:rPr>
                <w:rFonts w:hint="eastAsia" w:ascii="Times New Roman" w:hAnsi="Times New Roman" w:eastAsia="宋体"/>
                <w:lang w:val="en-US" w:eastAsia="zh-CN"/>
              </w:rPr>
              <w:t>地理位置</w:t>
            </w:r>
          </w:p>
          <w:p w14:paraId="30FA3D3C">
            <w:pPr>
              <w:pStyle w:val="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lang w:val="en-US" w:eastAsia="zh-CN"/>
              </w:rPr>
            </w:pPr>
            <w:r>
              <w:rPr>
                <w:rFonts w:hint="eastAsia" w:ascii="Times New Roman" w:hAnsi="Times New Roman" w:eastAsia="宋体"/>
                <w:lang w:val="en-US" w:eastAsia="zh-CN"/>
              </w:rPr>
              <w:t>宣汉县新宁河天生镇防洪治理工程位于新宁河右岸一级支流天生河及天生河左岸支沟黎家沟上，</w:t>
            </w:r>
            <w:r>
              <w:rPr>
                <w:rFonts w:hint="eastAsia"/>
                <w:lang w:val="en-US" w:eastAsia="zh-CN"/>
              </w:rPr>
              <w:t>位于</w:t>
            </w:r>
            <w:r>
              <w:rPr>
                <w:rFonts w:hint="eastAsia" w:ascii="Times New Roman" w:hAnsi="Times New Roman" w:eastAsia="宋体"/>
                <w:lang w:val="en-US" w:eastAsia="zh-CN"/>
              </w:rPr>
              <w:t>天生镇，位于宣汉县南部，距宣汉县城17km，东与芭蕉镇、开江县回龙镇接壤，南与柏树镇交界，西临庙安镇，北依东乡街道办。</w:t>
            </w:r>
          </w:p>
          <w:p w14:paraId="4D0A0A96">
            <w:pPr>
              <w:pStyle w:val="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lang w:val="en-US" w:eastAsia="zh-CN"/>
              </w:rPr>
            </w:pPr>
            <w:r>
              <w:rPr>
                <w:rFonts w:hint="eastAsia" w:ascii="Times New Roman" w:hAnsi="Times New Roman" w:eastAsia="宋体"/>
                <w:lang w:val="en-US" w:eastAsia="zh-CN"/>
              </w:rPr>
              <w:t>本次四川省宣汉县新宁河天生镇防洪治理工程河道综合治理长度为4.573km，新建堤防</w:t>
            </w:r>
            <w:r>
              <w:rPr>
                <w:rFonts w:hint="eastAsia"/>
                <w:lang w:val="en-US" w:eastAsia="zh-CN"/>
              </w:rPr>
              <w:t>2.673</w:t>
            </w:r>
            <w:r>
              <w:rPr>
                <w:rFonts w:hint="eastAsia" w:ascii="Times New Roman" w:hAnsi="Times New Roman" w:eastAsia="宋体"/>
                <w:lang w:val="en-US" w:eastAsia="zh-CN"/>
              </w:rPr>
              <w:t>km，河道疏浚4.2km，分为天生河段和黎家沟段。天生河治理段河道综合治理长度4.2km，新建堤防</w:t>
            </w:r>
            <w:r>
              <w:rPr>
                <w:rFonts w:hint="eastAsia"/>
                <w:lang w:val="en-US" w:eastAsia="zh-CN"/>
              </w:rPr>
              <w:t>2.313</w:t>
            </w:r>
            <w:r>
              <w:rPr>
                <w:rFonts w:hint="eastAsia" w:ascii="Times New Roman" w:hAnsi="Times New Roman" w:eastAsia="宋体"/>
                <w:lang w:val="en-US" w:eastAsia="zh-CN"/>
              </w:rPr>
              <w:t>km，河道疏浚4.2km，新建穿堤涵管9处，堤后排水沟</w:t>
            </w:r>
            <w:r>
              <w:rPr>
                <w:rFonts w:hint="eastAsia"/>
                <w:lang w:val="en-US" w:eastAsia="zh-CN"/>
              </w:rPr>
              <w:t>1.477</w:t>
            </w:r>
            <w:r>
              <w:rPr>
                <w:rFonts w:hint="eastAsia" w:ascii="Times New Roman" w:hAnsi="Times New Roman" w:eastAsia="宋体"/>
                <w:lang w:val="en-US" w:eastAsia="zh-CN"/>
              </w:rPr>
              <w:t>km，下河梯步9处；黎家沟治理段河道综合治理长度0.373km，新建堤防0.36km，新建穿堤涵管1处，堤后排水沟</w:t>
            </w:r>
            <w:r>
              <w:rPr>
                <w:rFonts w:hint="eastAsia"/>
                <w:lang w:val="en-US" w:eastAsia="zh-CN"/>
              </w:rPr>
              <w:t>0.35</w:t>
            </w:r>
            <w:r>
              <w:rPr>
                <w:rFonts w:hint="eastAsia" w:ascii="Times New Roman" w:hAnsi="Times New Roman" w:eastAsia="宋体"/>
                <w:lang w:val="en-US" w:eastAsia="zh-CN"/>
              </w:rPr>
              <w:t>km，下河梯步1处。</w:t>
            </w:r>
          </w:p>
          <w:p w14:paraId="21FE29EF">
            <w:pPr>
              <w:pStyle w:val="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lang w:val="en-US" w:eastAsia="zh-CN"/>
              </w:rPr>
            </w:pPr>
            <w:r>
              <w:rPr>
                <w:rFonts w:hint="eastAsia" w:ascii="Times New Roman" w:hAnsi="Times New Roman" w:eastAsia="宋体"/>
                <w:lang w:val="en-US" w:eastAsia="zh-CN"/>
              </w:rPr>
              <w:t>天生河段：起点坐标（107°45′26.276″，31°16′22.728″），终点坐标（107°44′37.651″，31°15′4.874″）；黎家河段：起点坐标（107°45′43.020″，31°15′41.044″），终点坐标（107°45′35.834″，31°15′41.555″）。</w:t>
            </w:r>
          </w:p>
          <w:p w14:paraId="2B978857">
            <w:pPr>
              <w:pStyle w:val="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lang w:val="en-US" w:eastAsia="zh-CN"/>
              </w:rPr>
            </w:pPr>
            <w:r>
              <w:rPr>
                <w:rFonts w:hint="eastAsia" w:ascii="Times New Roman" w:hAnsi="Times New Roman" w:eastAsia="宋体"/>
                <w:lang w:val="en-US" w:eastAsia="zh-CN"/>
              </w:rPr>
              <w:t>项目</w:t>
            </w:r>
            <w:r>
              <w:rPr>
                <w:rFonts w:hint="eastAsia" w:ascii="Times New Roman" w:hAnsi="Times New Roman" w:eastAsia="宋体"/>
              </w:rPr>
              <w:t>地理位置见附图</w:t>
            </w:r>
            <w:r>
              <w:rPr>
                <w:rFonts w:hint="eastAsia" w:ascii="Times New Roman" w:hAnsi="Times New Roman" w:eastAsia="宋体"/>
                <w:lang w:val="en-US" w:eastAsia="zh-CN"/>
              </w:rPr>
              <w:t>1</w:t>
            </w:r>
            <w:r>
              <w:rPr>
                <w:rFonts w:hint="eastAsia"/>
              </w:rPr>
              <w:t>。</w:t>
            </w:r>
          </w:p>
          <w:p w14:paraId="1161DCE7">
            <w:pPr>
              <w:pStyle w:val="4"/>
              <w:rPr>
                <w:rFonts w:hint="eastAsia" w:ascii="Times New Roman" w:hAnsi="Times New Roman" w:eastAsia="宋体"/>
                <w:lang w:val="en-US" w:eastAsia="zh-CN"/>
              </w:rPr>
            </w:pPr>
            <w:r>
              <w:rPr>
                <w:rFonts w:hint="eastAsia" w:ascii="Times New Roman" w:hAnsi="Times New Roman"/>
                <w:lang w:val="en-US" w:eastAsia="zh-CN"/>
              </w:rPr>
              <w:t>项目所在</w:t>
            </w:r>
            <w:r>
              <w:rPr>
                <w:rFonts w:hint="eastAsia" w:ascii="Times New Roman" w:hAnsi="Times New Roman" w:eastAsia="宋体"/>
                <w:lang w:val="en-US" w:eastAsia="zh-CN"/>
              </w:rPr>
              <w:t>流域概况</w:t>
            </w:r>
          </w:p>
          <w:p w14:paraId="24A2D6BD">
            <w:pPr>
              <w:pStyle w:val="6"/>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新宁河为明月江右岸一级支流，</w:t>
            </w:r>
            <w:r>
              <w:rPr>
                <w:rFonts w:hint="eastAsia" w:cs="Times New Roman"/>
                <w:lang w:val="en-US" w:eastAsia="zh-CN"/>
              </w:rPr>
              <w:t>发源于</w:t>
            </w:r>
            <w:r>
              <w:rPr>
                <w:rFonts w:hint="default" w:ascii="Times New Roman" w:hAnsi="Times New Roman" w:eastAsia="宋体" w:cs="Times New Roman"/>
                <w:lang w:val="en-US" w:eastAsia="zh-CN"/>
              </w:rPr>
              <w:t>开江县新宁镇桥亭社区付家沟山塘湾子，由东向西穿开江县城于普安镇筒子铺村纳永兴河、普安镇宝塔坝社区、过大石桥、打鱼洞、徐家坝、回龙，纳天师河水，再向西穿过七里峡于神龙洞入宣汉境，经宣汉县天生镇洞宫社区、塔坝、于断桥村秦家祠堂纳天生河，转向西南，经染沟、民主、柏树镇左右场，于达州市达州区亭子镇傅家坝注入明月江，全长61km，流域面积357k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，天然落差228m，平均比降3.7‰。</w:t>
            </w:r>
          </w:p>
          <w:p w14:paraId="62BB1E93">
            <w:pPr>
              <w:pStyle w:val="6"/>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天生河为新宁河右岸一级支流，发源于东乡街道西山坡徐家坝，流经东乡街道沙河、拱桥，天生镇进步社区、天生社区、仙桥社区，原七里镇（现为仙桥社区）新芽村、断桥村，于秦家祠堂注入新宁河，流域面积73.9k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，全长22.1km，天然落差281m，平均比降12.7‰，进步社区双河铺以上分左、右源头，左源称晋家沟，右源称柏树河，双河铺以下称天生河。</w:t>
            </w:r>
          </w:p>
          <w:p w14:paraId="02DDC82A">
            <w:pPr>
              <w:pStyle w:val="6"/>
              <w:bidi w:val="0"/>
            </w:pPr>
            <w:r>
              <w:rPr>
                <w:rFonts w:hint="default" w:ascii="Times New Roman" w:hAnsi="Times New Roman" w:eastAsia="宋体" w:cs="Times New Roman"/>
                <w:lang w:val="en-US" w:eastAsia="zh-CN"/>
              </w:rPr>
              <w:t>黎家沟为天生河中游左岸支沟，主沟马槽沟发源于峨城山长槽，下游于楚家坝汇集杉树沟、癞疤沟、楠竹河沟，流经天生镇石岭子纳牛黄沟，后注入天生河，流域面积6.2km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，全长6.1km，天然落差551m，平均比降90.3‰。</w:t>
            </w:r>
          </w:p>
        </w:tc>
      </w:tr>
      <w:tr w14:paraId="4B711F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8" w:hRule="atLeast"/>
        </w:trPr>
        <w:tc>
          <w:tcPr>
            <w:tcW w:w="398" w:type="pct"/>
            <w:vAlign w:val="center"/>
          </w:tcPr>
          <w:p w14:paraId="56BC2464">
            <w:r>
              <w:rPr>
                <w:rFonts w:hint="eastAsia"/>
              </w:rPr>
              <w:t>项目组成及规模</w:t>
            </w:r>
          </w:p>
        </w:tc>
        <w:tc>
          <w:tcPr>
            <w:tcW w:w="4601" w:type="pct"/>
            <w:vAlign w:val="center"/>
          </w:tcPr>
          <w:p w14:paraId="35B1582C">
            <w:pPr>
              <w:pStyle w:val="3"/>
            </w:pPr>
            <w:bookmarkStart w:id="36" w:name="_Toc27061"/>
            <w:r>
              <w:rPr>
                <w:rFonts w:hint="eastAsia"/>
                <w:lang w:val="en-US" w:eastAsia="zh-CN"/>
              </w:rPr>
              <w:t>项目组成及规模</w:t>
            </w:r>
          </w:p>
          <w:p w14:paraId="0ACCE53A">
            <w:pPr>
              <w:pStyle w:val="4"/>
              <w:rPr>
                <w:rFonts w:hint="eastAsia" w:ascii="Times New Roman" w:hAnsi="Times New Roman"/>
                <w:lang w:val="en-US" w:eastAsia="zh-CN"/>
              </w:rPr>
            </w:pPr>
            <w:r>
              <w:rPr>
                <w:rFonts w:hint="eastAsia" w:ascii="Times New Roman" w:hAnsi="Times New Roman"/>
                <w:lang w:val="en-US" w:eastAsia="zh-CN"/>
              </w:rPr>
              <w:t>项目由来</w:t>
            </w:r>
            <w:bookmarkEnd w:id="36"/>
          </w:p>
          <w:p w14:paraId="7EEF97B9">
            <w:pPr>
              <w:pStyle w:val="6"/>
              <w:rPr>
                <w:rFonts w:hint="default"/>
                <w:lang w:val="en-US" w:eastAsia="zh-CN"/>
              </w:rPr>
            </w:pPr>
            <w:bookmarkStart w:id="37" w:name="_Hlk191540550"/>
            <w:bookmarkStart w:id="38" w:name="OLE_LINK14"/>
            <w:r>
              <w:rPr>
                <w:rFonts w:hint="eastAsia"/>
                <w:lang w:val="en-US" w:eastAsia="zh-CN"/>
              </w:rPr>
              <w:t>（1）编制依据</w:t>
            </w:r>
          </w:p>
          <w:p w14:paraId="055C7A80">
            <w:pPr>
              <w:pStyle w:val="6"/>
              <w:rPr>
                <w:rFonts w:hint="eastAsia"/>
                <w:lang w:val="en-US" w:eastAsia="zh-CN"/>
              </w:rPr>
            </w:pPr>
            <w:r>
              <w:rPr>
                <w:rFonts w:hint="eastAsia"/>
                <w:lang w:val="en-US" w:eastAsia="zh-CN"/>
              </w:rPr>
              <w:t>根据《中华人民共和国环境影响评价法》和《建设项目环境保护管理条例》的有关规定，建设项目须履行环境影响评价制度。根据《建设项目环境影响评价分类管理名录（2021年版）》（生态环境部第16号令）的有关规定，本项目堤防工程属于“五十一、水利、127”中“防洪除涝工程”中“其他（小型沟渠的护坡除外；城镇排涝河流水闸、排涝泵站除外）”，应编制环境影响评价报告表；河道治理属于“五十一、水利、128”中“河湖整治”中：“其他”（项目河道整治不涉及重要水生生物的自然产卵场、索饵场、越冬场和洄游通道，不涉及饮用水源地等环境敏感区），应编制环境影响评价报告表。为此宣汉县乡村水务有限公司特委托我公司承担该建设项目的环境影响评价工作。</w:t>
            </w:r>
            <w:r>
              <w:rPr>
                <w:rFonts w:hint="eastAsia"/>
              </w:rPr>
              <w:t>在现场踏勘、资料收集和类比调查研究的基础上，编制</w:t>
            </w:r>
            <w:r>
              <w:rPr>
                <w:rFonts w:hint="eastAsia"/>
                <w:lang w:val="en-US" w:eastAsia="zh-CN"/>
              </w:rPr>
              <w:t>完成了</w:t>
            </w:r>
            <w:r>
              <w:rPr>
                <w:rFonts w:hint="eastAsia"/>
              </w:rPr>
              <w:t>《</w:t>
            </w:r>
            <w:r>
              <w:rPr>
                <w:rFonts w:hint="eastAsia"/>
                <w:lang w:val="en-US" w:eastAsia="zh-CN"/>
              </w:rPr>
              <w:t>四川省宣汉县新宁河天生镇防洪治理工程</w:t>
            </w:r>
            <w:r>
              <w:rPr>
                <w:rFonts w:hint="eastAsia"/>
              </w:rPr>
              <w:t>环境影响报告表》</w:t>
            </w:r>
            <w:r>
              <w:rPr>
                <w:rFonts w:hint="eastAsia"/>
                <w:lang w:eastAsia="zh-CN"/>
              </w:rPr>
              <w:t>。</w:t>
            </w:r>
          </w:p>
          <w:p w14:paraId="1C1BAA78">
            <w:pPr>
              <w:pStyle w:val="6"/>
              <w:numPr>
                <w:ilvl w:val="0"/>
                <w:numId w:val="6"/>
              </w:numPr>
              <w:rPr>
                <w:rFonts w:hint="eastAsia"/>
                <w:lang w:val="en-US" w:eastAsia="zh-CN"/>
              </w:rPr>
            </w:pPr>
            <w:r>
              <w:rPr>
                <w:rFonts w:hint="eastAsia"/>
                <w:lang w:val="en-US" w:eastAsia="zh-CN"/>
              </w:rPr>
              <w:t>项目建设的必要性</w:t>
            </w:r>
          </w:p>
          <w:p w14:paraId="43F82683">
            <w:pPr>
              <w:pStyle w:val="6"/>
              <w:rPr>
                <w:rFonts w:hint="default" w:ascii="Times New Roman" w:hAnsi="Times New Roman"/>
                <w:lang w:val="en-US" w:eastAsia="zh-CN"/>
              </w:rPr>
            </w:pPr>
            <w:r>
              <w:rPr>
                <w:rFonts w:hint="default" w:ascii="Times New Roman" w:hAnsi="Times New Roman"/>
                <w:lang w:val="en-US" w:eastAsia="zh-CN"/>
              </w:rPr>
              <w:t>天生河、黎家沟目前未系统修建过防洪堤，两岸基本未自然岸坡，部分河段岸坡地形平缓，无法形成封闭防洪圈，每年汛期洪水频繁，2005~2021年，洪水连续泛滥，尤其以“2010.7.18”洪水最为严重。由于工程河段现状防洪能力较弱，一遇较大洪水两岸便被淹没、农田冲毁，并危及人民财产安全。为了提高工程河段的防洪能力，保障人民群众生命财产安全，确保乡村经济社会的持续发展，工程河段的防洪治理是十分必要和迫切的。</w:t>
            </w:r>
          </w:p>
          <w:p w14:paraId="49F1C003">
            <w:pPr>
              <w:pStyle w:val="6"/>
              <w:rPr>
                <w:rFonts w:hint="default" w:ascii="Times New Roman" w:hAnsi="Times New Roman"/>
                <w:lang w:val="en-US" w:eastAsia="zh-CN"/>
              </w:rPr>
            </w:pPr>
            <w:r>
              <w:rPr>
                <w:rFonts w:hint="default" w:ascii="Times New Roman" w:hAnsi="Times New Roman"/>
                <w:lang w:val="en-US" w:eastAsia="zh-CN"/>
              </w:rPr>
              <w:t>多年以来，由于沿岸经济发展，破坏了原生态地面，增加了水土流失。加之沿岸部分地段年年洪水冲刷，使岸坡不断垮塌，水土流失严重。</w:t>
            </w:r>
            <w:r>
              <w:rPr>
                <w:rFonts w:hint="eastAsia"/>
                <w:lang w:val="en-US" w:eastAsia="zh-CN"/>
              </w:rPr>
              <w:t>新建</w:t>
            </w:r>
            <w:r>
              <w:rPr>
                <w:rFonts w:hint="default" w:ascii="Times New Roman" w:hAnsi="Times New Roman"/>
                <w:lang w:val="en-US" w:eastAsia="zh-CN"/>
              </w:rPr>
              <w:t>堤防工程将对工程区水土保持起到积极的作用。通过对河道的治理，可以极大</w:t>
            </w:r>
            <w:r>
              <w:rPr>
                <w:rFonts w:hint="eastAsia"/>
                <w:lang w:val="en-US" w:eastAsia="zh-CN"/>
              </w:rPr>
              <w:t>地</w:t>
            </w:r>
            <w:r>
              <w:rPr>
                <w:rFonts w:hint="default" w:ascii="Times New Roman" w:hAnsi="Times New Roman"/>
                <w:lang w:val="en-US" w:eastAsia="zh-CN"/>
              </w:rPr>
              <w:t>改善沿岸抵御洪水灾害的能力、解决防洪标准低的现状，并减轻河床中的泥沙含量，降低河床淤积，保护下游生态安全；同时还能美化环境，提升土地开发利用价值，促进经济发展。本项目的实施，将提高天生镇土地价值，改善土地利用结构和农牧业生产结构，使区域内的人民群众能够安居乐业，全身心地投入到生产建设中去，为区域经济的发展奠定坚实的基础。</w:t>
            </w:r>
          </w:p>
          <w:p w14:paraId="60EC0407">
            <w:pPr>
              <w:pStyle w:val="6"/>
              <w:rPr>
                <w:rFonts w:hint="default" w:ascii="Times New Roman" w:hAnsi="Times New Roman"/>
                <w:lang w:val="en-US" w:eastAsia="zh-CN"/>
              </w:rPr>
            </w:pPr>
            <w:r>
              <w:rPr>
                <w:rFonts w:hint="default" w:ascii="Times New Roman" w:hAnsi="Times New Roman"/>
                <w:lang w:val="en-US" w:eastAsia="zh-CN"/>
              </w:rPr>
              <w:t>综上所述，四川省宣汉县新宁河天生镇防洪治理工程的建设，是保护人民生命财产安全，减少水土流失，改善土地利用结构和水土保持，是发展旅游、改善水生态环境，促进招商引资，加快社会经济发展的需要，因此</w:t>
            </w:r>
            <w:r>
              <w:rPr>
                <w:rFonts w:hint="eastAsia" w:ascii="Times New Roman" w:hAnsi="Times New Roman"/>
                <w:lang w:val="en-US" w:eastAsia="zh-CN"/>
              </w:rPr>
              <w:t>建设</w:t>
            </w:r>
            <w:r>
              <w:rPr>
                <w:rFonts w:hint="default" w:ascii="Times New Roman" w:hAnsi="Times New Roman"/>
                <w:lang w:val="en-US" w:eastAsia="zh-CN"/>
              </w:rPr>
              <w:t>本工程是十分必要和迫切的。</w:t>
            </w:r>
          </w:p>
          <w:p w14:paraId="5A10F836">
            <w:pPr>
              <w:pStyle w:val="4"/>
              <w:rPr>
                <w:rFonts w:hint="default" w:ascii="Times New Roman" w:hAnsi="Times New Roman"/>
                <w:lang w:val="en-US" w:eastAsia="zh-CN"/>
              </w:rPr>
            </w:pPr>
            <w:bookmarkStart w:id="39" w:name="_Toc4931"/>
            <w:r>
              <w:rPr>
                <w:rFonts w:hint="eastAsia" w:ascii="Times New Roman" w:hAnsi="Times New Roman"/>
                <w:lang w:val="en-US" w:eastAsia="zh-CN"/>
              </w:rPr>
              <w:t>工程任务、防洪排涝标准、工程级别及建筑物级别</w:t>
            </w:r>
            <w:bookmarkEnd w:id="39"/>
          </w:p>
          <w:p w14:paraId="4E81825F">
            <w:pPr>
              <w:pStyle w:val="6"/>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工程任务</w:t>
            </w:r>
          </w:p>
          <w:p w14:paraId="20BD25AE">
            <w:pPr>
              <w:pStyle w:val="6"/>
              <w:rPr>
                <w:rFonts w:hint="eastAsia"/>
                <w:lang w:eastAsia="zh-CN"/>
              </w:rPr>
            </w:pPr>
            <w:r>
              <w:rPr>
                <w:rFonts w:hint="eastAsia"/>
                <w:lang w:eastAsia="zh-CN"/>
              </w:rPr>
              <w:t>根据天生镇社会经济发展对防洪的要求、防洪现状以及洪灾损失状况，以已批准的《四川省渠江流域防洪规划》为依据，确定本次工程任务是：以防洪为主，对洪水危害严重的重要河段新建防洪工程，对工程河段分段清淤疏浚，完善防护区防洪管理体系，确保防护对象在设计洪水标准内不遭受洪涝灾害，以达到保护国家和人民生命财产安全、改善河道水生态环境、促进地区国民经济可持续发展的目的。</w:t>
            </w:r>
          </w:p>
          <w:p w14:paraId="364BB91C">
            <w:pPr>
              <w:pStyle w:val="6"/>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防洪、排涝标准</w:t>
            </w:r>
          </w:p>
          <w:p w14:paraId="2A0D279C">
            <w:pPr>
              <w:pStyle w:val="6"/>
              <w:rPr>
                <w:rFonts w:hint="eastAsia"/>
                <w:lang w:eastAsia="zh-CN"/>
              </w:rPr>
            </w:pPr>
            <w:r>
              <w:rPr>
                <w:rFonts w:hint="eastAsia"/>
                <w:lang w:eastAsia="zh-CN"/>
              </w:rPr>
              <w:t>工程建成后，可保护天生镇耕地560亩，人口2000人。根据国家《防洪标准》（GB50201-2014）和《堤防工程设计规范》（GB50286-2013）的规定，工程区位于乡村防护区，按保护对象的重要性，防护等级为Ⅳ级，防洪标准为10年一遇。</w:t>
            </w:r>
          </w:p>
          <w:p w14:paraId="27AFF579">
            <w:pPr>
              <w:pStyle w:val="6"/>
              <w:rPr>
                <w:rFonts w:hint="eastAsia"/>
                <w:lang w:eastAsia="zh-CN"/>
              </w:rPr>
            </w:pPr>
            <w:r>
              <w:rPr>
                <w:rFonts w:hint="eastAsia"/>
                <w:lang w:eastAsia="zh-CN"/>
              </w:rPr>
              <w:t>根据《治涝标准》（SL723-2016），工程区保护对象为村庄居民和耕地，居民常住人口小于20万人，耕地主要为旱作区，面积小于50万亩，结合防护区内地形特点，经综合分析，确定本工程保护区内的排涝标准为5年一遇。</w:t>
            </w:r>
          </w:p>
          <w:p w14:paraId="4935060F">
            <w:pPr>
              <w:pStyle w:val="6"/>
              <w:rPr>
                <w:rFonts w:hint="eastAsia"/>
                <w:lang w:eastAsia="zh-CN"/>
              </w:rPr>
            </w:pPr>
            <w:r>
              <w:rPr>
                <w:rFonts w:hint="eastAsia"/>
                <w:lang w:eastAsia="zh-CN"/>
              </w:rPr>
              <w:t>（</w:t>
            </w:r>
            <w:r>
              <w:rPr>
                <w:rFonts w:hint="eastAsia"/>
                <w:lang w:val="en-US" w:eastAsia="zh-CN"/>
              </w:rPr>
              <w:t>3</w:t>
            </w:r>
            <w:r>
              <w:rPr>
                <w:rFonts w:hint="eastAsia"/>
                <w:lang w:eastAsia="zh-CN"/>
              </w:rPr>
              <w:t>）工程级别及主要建筑物级别</w:t>
            </w:r>
          </w:p>
          <w:p w14:paraId="4B0286C6">
            <w:pPr>
              <w:pStyle w:val="6"/>
              <w:rPr>
                <w:rFonts w:hint="eastAsia"/>
                <w:lang w:eastAsia="zh-CN"/>
              </w:rPr>
            </w:pPr>
            <w:r>
              <w:rPr>
                <w:rFonts w:hint="eastAsia"/>
                <w:lang w:eastAsia="zh-CN"/>
              </w:rPr>
              <w:t>根据国家《防洪标准》（GB50201-2014）和《堤防工程设计规范》（GB50286-2013）的规定，堤防工程级别为5级，主要建筑物按5级设计，次要建筑物按5级设计。</w:t>
            </w:r>
          </w:p>
          <w:bookmarkEnd w:id="37"/>
          <w:bookmarkEnd w:id="38"/>
          <w:p w14:paraId="0F1C07D8">
            <w:pPr>
              <w:pStyle w:val="4"/>
            </w:pPr>
            <w:bookmarkStart w:id="40" w:name="_Toc192256185"/>
            <w:bookmarkStart w:id="41" w:name="_Toc8020"/>
            <w:bookmarkStart w:id="42" w:name="_Toc168671430"/>
            <w:bookmarkStart w:id="43" w:name="_Toc193095823"/>
            <w:r>
              <w:rPr>
                <w:rFonts w:hint="eastAsia"/>
              </w:rPr>
              <w:t>项目概况</w:t>
            </w:r>
            <w:bookmarkEnd w:id="40"/>
            <w:bookmarkEnd w:id="41"/>
            <w:bookmarkEnd w:id="42"/>
            <w:bookmarkEnd w:id="43"/>
          </w:p>
          <w:p w14:paraId="31E124F9">
            <w:pPr>
              <w:pStyle w:val="6"/>
            </w:pPr>
            <w:r>
              <w:rPr>
                <w:rFonts w:hint="eastAsia"/>
              </w:rPr>
              <w:t>项目名称：</w:t>
            </w:r>
            <w:r>
              <w:rPr>
                <w:rFonts w:hint="eastAsia"/>
                <w:lang w:val="en-US" w:eastAsia="zh-CN"/>
              </w:rPr>
              <w:t>四川省宣汉县新宁河天生镇防洪治理工程</w:t>
            </w:r>
            <w:r>
              <w:rPr>
                <w:rFonts w:hint="eastAsia"/>
              </w:rPr>
              <w:t>；</w:t>
            </w:r>
          </w:p>
          <w:p w14:paraId="25543E86">
            <w:pPr>
              <w:pStyle w:val="6"/>
              <w:rPr>
                <w:color w:val="auto"/>
              </w:rPr>
            </w:pPr>
            <w:r>
              <w:rPr>
                <w:rFonts w:hint="eastAsia"/>
              </w:rPr>
              <w:t>建设单位</w:t>
            </w:r>
            <w:r>
              <w:rPr>
                <w:rFonts w:hint="eastAsia"/>
                <w:color w:val="auto"/>
              </w:rPr>
              <w:t>：</w:t>
            </w:r>
            <w:r>
              <w:rPr>
                <w:rFonts w:hint="eastAsia"/>
                <w:color w:val="auto"/>
                <w:lang w:eastAsia="zh-CN"/>
              </w:rPr>
              <w:t>宣汉县乡村水务有限公司</w:t>
            </w:r>
            <w:r>
              <w:rPr>
                <w:rFonts w:hint="eastAsia"/>
                <w:color w:val="auto"/>
              </w:rPr>
              <w:t>；</w:t>
            </w:r>
          </w:p>
          <w:p w14:paraId="2BEF5AE5">
            <w:pPr>
              <w:pStyle w:val="6"/>
            </w:pPr>
            <w:r>
              <w:rPr>
                <w:rFonts w:hint="eastAsia"/>
              </w:rPr>
              <w:t>建设性质：新建；</w:t>
            </w:r>
          </w:p>
          <w:p w14:paraId="187ED038">
            <w:pPr>
              <w:pStyle w:val="6"/>
            </w:pPr>
            <w:r>
              <w:rPr>
                <w:rFonts w:hint="eastAsia"/>
              </w:rPr>
              <w:t>建设地点：</w:t>
            </w:r>
            <w:r>
              <w:rPr>
                <w:rFonts w:hint="eastAsia" w:eastAsia="宋体"/>
                <w:color w:val="auto"/>
                <w:lang w:eastAsia="zh-CN"/>
              </w:rPr>
              <w:t>四川省宣汉县天生镇</w:t>
            </w:r>
            <w:r>
              <w:rPr>
                <w:rFonts w:hint="eastAsia"/>
              </w:rPr>
              <w:t>；</w:t>
            </w:r>
          </w:p>
          <w:p w14:paraId="5406C3B1">
            <w:pPr>
              <w:pStyle w:val="6"/>
            </w:pPr>
            <w:r>
              <w:rPr>
                <w:rFonts w:hint="eastAsia"/>
              </w:rPr>
              <w:t>建设工期：</w:t>
            </w:r>
            <w:r>
              <w:rPr>
                <w:rFonts w:hint="eastAsia"/>
                <w:lang w:val="en-US" w:eastAsia="zh-CN"/>
              </w:rPr>
              <w:t>6</w:t>
            </w:r>
            <w:r>
              <w:rPr>
                <w:rFonts w:hint="eastAsia"/>
              </w:rPr>
              <w:t>个月；</w:t>
            </w:r>
          </w:p>
          <w:p w14:paraId="228E44DB">
            <w:pPr>
              <w:pStyle w:val="6"/>
            </w:pPr>
            <w:r>
              <w:rPr>
                <w:rFonts w:hint="eastAsia"/>
              </w:rPr>
              <w:t>投资</w:t>
            </w:r>
            <w:r>
              <w:rPr>
                <w:rFonts w:hint="eastAsia"/>
                <w:color w:val="auto"/>
              </w:rPr>
              <w:t>规模：总投资</w:t>
            </w:r>
            <w:r>
              <w:rPr>
                <w:rFonts w:hint="eastAsia"/>
                <w:color w:val="auto"/>
                <w:szCs w:val="26"/>
                <w:lang w:val="en-US" w:eastAsia="zh-CN"/>
              </w:rPr>
              <w:t>2023.16</w:t>
            </w:r>
            <w:r>
              <w:rPr>
                <w:rFonts w:hint="eastAsia"/>
                <w:color w:val="auto"/>
              </w:rPr>
              <w:t>万元，其中环保投资</w:t>
            </w:r>
            <w:r>
              <w:rPr>
                <w:rFonts w:hint="eastAsia"/>
                <w:color w:val="auto"/>
                <w:lang w:val="en-US" w:eastAsia="zh-CN"/>
              </w:rPr>
              <w:t>11.39</w:t>
            </w:r>
            <w:r>
              <w:rPr>
                <w:rFonts w:hint="eastAsia"/>
                <w:color w:val="auto"/>
              </w:rPr>
              <w:t>万元，占总投资</w:t>
            </w:r>
            <w:r>
              <w:rPr>
                <w:rFonts w:hint="eastAsia"/>
                <w:color w:val="auto"/>
                <w:lang w:val="en-US" w:eastAsia="zh-CN"/>
              </w:rPr>
              <w:t>0.56</w:t>
            </w:r>
            <w:r>
              <w:rPr>
                <w:rFonts w:hint="eastAsia"/>
                <w:color w:val="auto"/>
              </w:rPr>
              <w:t>%；</w:t>
            </w:r>
          </w:p>
          <w:p w14:paraId="37E1A7D7">
            <w:pPr>
              <w:pStyle w:val="6"/>
              <w:rPr>
                <w:rFonts w:hint="eastAsia" w:ascii="Times New Roman" w:hAnsi="Times New Roman"/>
              </w:rPr>
            </w:pPr>
            <w:r>
              <w:rPr>
                <w:rFonts w:hint="eastAsia" w:ascii="Times New Roman" w:hAnsi="Times New Roman"/>
              </w:rPr>
              <w:t>建设内容及规模：</w:t>
            </w:r>
            <w:bookmarkStart w:id="44" w:name="_Toc192256187"/>
            <w:bookmarkStart w:id="45" w:name="_Toc168671432"/>
            <w:bookmarkStart w:id="46" w:name="_Toc14404"/>
            <w:bookmarkStart w:id="47" w:name="_Toc193095824"/>
            <w:r>
              <w:rPr>
                <w:rFonts w:hint="eastAsia" w:ascii="Times New Roman" w:hAnsi="Times New Roman"/>
              </w:rPr>
              <w:t>本次四川省宣汉县新宁河天生镇防洪治理工程河道综合治理长度为4.573km，新建堤防</w:t>
            </w:r>
            <w:r>
              <w:rPr>
                <w:rFonts w:hint="eastAsia"/>
                <w:lang w:eastAsia="zh-CN"/>
              </w:rPr>
              <w:t>2.673</w:t>
            </w:r>
            <w:r>
              <w:rPr>
                <w:rFonts w:hint="eastAsia" w:ascii="Times New Roman" w:hAnsi="Times New Roman"/>
              </w:rPr>
              <w:t>km，河道疏浚4.2km，分为天生河段和黎家沟段。天生河治理段河道综合治理长度4.2km，新建堤防</w:t>
            </w:r>
            <w:r>
              <w:rPr>
                <w:rFonts w:hint="eastAsia"/>
                <w:lang w:eastAsia="zh-CN"/>
              </w:rPr>
              <w:t>2.313</w:t>
            </w:r>
            <w:r>
              <w:rPr>
                <w:rFonts w:hint="eastAsia" w:ascii="Times New Roman" w:hAnsi="Times New Roman"/>
              </w:rPr>
              <w:t>km，河道疏浚4.2km，新建穿堤涵管9处，堤后排水沟</w:t>
            </w:r>
            <w:r>
              <w:rPr>
                <w:rFonts w:hint="eastAsia"/>
                <w:lang w:eastAsia="zh-CN"/>
              </w:rPr>
              <w:t>1.477</w:t>
            </w:r>
            <w:r>
              <w:rPr>
                <w:rFonts w:hint="eastAsia" w:ascii="Times New Roman" w:hAnsi="Times New Roman"/>
              </w:rPr>
              <w:t>km，下河梯步9处；黎家沟治理段河道综合治理长度0.373km，新建堤防0.36km，新建穿堤涵管1处，堤后排水沟</w:t>
            </w:r>
            <w:r>
              <w:rPr>
                <w:rFonts w:hint="eastAsia"/>
                <w:lang w:eastAsia="zh-CN"/>
              </w:rPr>
              <w:t>0.35</w:t>
            </w:r>
            <w:r>
              <w:rPr>
                <w:rFonts w:hint="eastAsia" w:ascii="Times New Roman" w:hAnsi="Times New Roman"/>
              </w:rPr>
              <w:t>km，下河梯步1处。</w:t>
            </w:r>
          </w:p>
          <w:p w14:paraId="00BBFE3C">
            <w:pPr>
              <w:pStyle w:val="4"/>
              <w:rPr>
                <w:rFonts w:hint="eastAsia" w:ascii="Times New Roman" w:hAnsi="Times New Roman"/>
              </w:rPr>
            </w:pPr>
            <w:r>
              <w:rPr>
                <w:rFonts w:hint="eastAsia" w:ascii="Times New Roman" w:hAnsi="Times New Roman"/>
              </w:rPr>
              <w:t>项目</w:t>
            </w:r>
            <w:bookmarkEnd w:id="44"/>
            <w:bookmarkEnd w:id="45"/>
            <w:r>
              <w:rPr>
                <w:rFonts w:hint="eastAsia" w:ascii="Times New Roman" w:hAnsi="Times New Roman"/>
              </w:rPr>
              <w:t>组成</w:t>
            </w:r>
            <w:bookmarkEnd w:id="46"/>
            <w:bookmarkEnd w:id="47"/>
          </w:p>
          <w:p w14:paraId="04BD3331">
            <w:pPr>
              <w:pStyle w:val="6"/>
            </w:pPr>
            <w:r>
              <w:rPr>
                <w:rFonts w:hint="eastAsia"/>
                <w:lang w:val="en-US" w:eastAsia="zh-CN"/>
              </w:rPr>
              <w:t>本项目组成内容见下表</w:t>
            </w:r>
            <w:r>
              <w:rPr>
                <w:rFonts w:hint="eastAsia"/>
              </w:rPr>
              <w:t>。</w:t>
            </w:r>
          </w:p>
          <w:p w14:paraId="49884340">
            <w:pPr>
              <w:pStyle w:val="100"/>
              <w:bidi w:val="0"/>
              <w:rPr>
                <w:rFonts w:hint="default"/>
                <w:lang w:val="en-US" w:eastAsia="zh-CN"/>
              </w:rPr>
            </w:pPr>
            <w:r>
              <w:t xml:space="preserve">  项目</w:t>
            </w:r>
            <w:r>
              <w:rPr>
                <w:rFonts w:hint="eastAsia"/>
                <w:lang w:val="en-US" w:eastAsia="zh-CN"/>
              </w:rPr>
              <w:t>组成一览表</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067"/>
              <w:gridCol w:w="6860"/>
            </w:tblGrid>
            <w:tr w14:paraId="321068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restart"/>
                  <w:shd w:val="clear" w:color="auto" w:fill="auto"/>
                  <w:noWrap w:val="0"/>
                  <w:vAlign w:val="center"/>
                </w:tcPr>
                <w:p w14:paraId="4077BA11">
                  <w:pPr>
                    <w:pStyle w:val="59"/>
                    <w:bidi w:val="0"/>
                    <w:rPr>
                      <w:sz w:val="22"/>
                      <w:szCs w:val="22"/>
                    </w:rPr>
                  </w:pPr>
                  <w:r>
                    <w:rPr>
                      <w:sz w:val="22"/>
                      <w:szCs w:val="22"/>
                    </w:rPr>
                    <w:t>工程分类</w:t>
                  </w:r>
                </w:p>
              </w:tc>
              <w:tc>
                <w:tcPr>
                  <w:tcW w:w="617" w:type="pct"/>
                  <w:vMerge w:val="restart"/>
                  <w:shd w:val="clear" w:color="auto" w:fill="auto"/>
                  <w:noWrap w:val="0"/>
                  <w:vAlign w:val="center"/>
                </w:tcPr>
                <w:p w14:paraId="1250B448">
                  <w:pPr>
                    <w:pStyle w:val="59"/>
                    <w:bidi w:val="0"/>
                    <w:rPr>
                      <w:sz w:val="22"/>
                      <w:szCs w:val="22"/>
                    </w:rPr>
                  </w:pPr>
                  <w:r>
                    <w:rPr>
                      <w:sz w:val="22"/>
                      <w:szCs w:val="22"/>
                    </w:rPr>
                    <w:t>项目名称</w:t>
                  </w:r>
                </w:p>
              </w:tc>
              <w:tc>
                <w:tcPr>
                  <w:tcW w:w="3967" w:type="pct"/>
                  <w:vMerge w:val="restart"/>
                  <w:shd w:val="clear" w:color="auto" w:fill="auto"/>
                  <w:noWrap w:val="0"/>
                  <w:vAlign w:val="center"/>
                </w:tcPr>
                <w:p w14:paraId="441C92EA">
                  <w:pPr>
                    <w:pStyle w:val="59"/>
                    <w:bidi w:val="0"/>
                    <w:rPr>
                      <w:sz w:val="22"/>
                      <w:szCs w:val="22"/>
                    </w:rPr>
                  </w:pPr>
                  <w:r>
                    <w:rPr>
                      <w:sz w:val="22"/>
                      <w:szCs w:val="22"/>
                    </w:rPr>
                    <w:t>建设内容</w:t>
                  </w:r>
                </w:p>
              </w:tc>
            </w:tr>
            <w:tr w14:paraId="14A0D1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continue"/>
                  <w:shd w:val="clear" w:color="auto" w:fill="auto"/>
                  <w:noWrap w:val="0"/>
                  <w:vAlign w:val="center"/>
                </w:tcPr>
                <w:p w14:paraId="18A8E016">
                  <w:pPr>
                    <w:pStyle w:val="59"/>
                    <w:bidi w:val="0"/>
                    <w:rPr>
                      <w:sz w:val="22"/>
                      <w:szCs w:val="22"/>
                    </w:rPr>
                  </w:pPr>
                </w:p>
              </w:tc>
              <w:tc>
                <w:tcPr>
                  <w:tcW w:w="617" w:type="pct"/>
                  <w:vMerge w:val="continue"/>
                  <w:shd w:val="clear" w:color="auto" w:fill="auto"/>
                  <w:noWrap w:val="0"/>
                  <w:vAlign w:val="center"/>
                </w:tcPr>
                <w:p w14:paraId="60B9A782">
                  <w:pPr>
                    <w:pStyle w:val="59"/>
                    <w:bidi w:val="0"/>
                    <w:rPr>
                      <w:sz w:val="22"/>
                      <w:szCs w:val="22"/>
                    </w:rPr>
                  </w:pPr>
                </w:p>
              </w:tc>
              <w:tc>
                <w:tcPr>
                  <w:tcW w:w="3967" w:type="pct"/>
                  <w:vMerge w:val="continue"/>
                  <w:shd w:val="clear" w:color="auto" w:fill="auto"/>
                  <w:noWrap w:val="0"/>
                  <w:vAlign w:val="center"/>
                </w:tcPr>
                <w:p w14:paraId="1603D424">
                  <w:pPr>
                    <w:pStyle w:val="59"/>
                    <w:bidi w:val="0"/>
                    <w:rPr>
                      <w:sz w:val="22"/>
                      <w:szCs w:val="22"/>
                    </w:rPr>
                  </w:pPr>
                </w:p>
              </w:tc>
            </w:tr>
            <w:tr w14:paraId="4130B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restart"/>
                  <w:shd w:val="clear" w:color="auto" w:fill="auto"/>
                  <w:noWrap w:val="0"/>
                  <w:vAlign w:val="center"/>
                </w:tcPr>
                <w:p w14:paraId="1E4A0CD4">
                  <w:pPr>
                    <w:pStyle w:val="59"/>
                    <w:bidi w:val="0"/>
                    <w:rPr>
                      <w:sz w:val="22"/>
                      <w:szCs w:val="22"/>
                    </w:rPr>
                  </w:pPr>
                  <w:r>
                    <w:rPr>
                      <w:sz w:val="22"/>
                      <w:szCs w:val="22"/>
                    </w:rPr>
                    <w:t>主体工程</w:t>
                  </w:r>
                </w:p>
              </w:tc>
              <w:tc>
                <w:tcPr>
                  <w:tcW w:w="617" w:type="pct"/>
                  <w:shd w:val="clear" w:color="auto" w:fill="auto"/>
                  <w:noWrap w:val="0"/>
                  <w:vAlign w:val="center"/>
                </w:tcPr>
                <w:p w14:paraId="1DC2EEC0">
                  <w:pPr>
                    <w:pStyle w:val="59"/>
                    <w:bidi w:val="0"/>
                    <w:rPr>
                      <w:sz w:val="22"/>
                      <w:szCs w:val="22"/>
                    </w:rPr>
                  </w:pPr>
                  <w:r>
                    <w:rPr>
                      <w:rFonts w:hint="eastAsia"/>
                      <w:sz w:val="22"/>
                      <w:szCs w:val="22"/>
                      <w:lang w:val="en-US" w:eastAsia="zh-CN"/>
                    </w:rPr>
                    <w:t>堤防工程</w:t>
                  </w:r>
                </w:p>
              </w:tc>
              <w:tc>
                <w:tcPr>
                  <w:tcW w:w="3967" w:type="pct"/>
                  <w:shd w:val="clear" w:color="auto" w:fill="auto"/>
                  <w:noWrap w:val="0"/>
                  <w:vAlign w:val="center"/>
                </w:tcPr>
                <w:p w14:paraId="764B1207">
                  <w:pPr>
                    <w:pStyle w:val="59"/>
                    <w:bidi w:val="0"/>
                    <w:jc w:val="left"/>
                    <w:rPr>
                      <w:rFonts w:hint="default"/>
                      <w:sz w:val="22"/>
                      <w:szCs w:val="22"/>
                      <w:lang w:val="en-US" w:eastAsia="zh-CN"/>
                    </w:rPr>
                  </w:pPr>
                  <w:r>
                    <w:rPr>
                      <w:rFonts w:hint="eastAsia"/>
                      <w:sz w:val="22"/>
                      <w:szCs w:val="22"/>
                      <w:lang w:val="en-US" w:eastAsia="zh-CN"/>
                    </w:rPr>
                    <w:t>本次河道综合治理长度为4.573km，新建堤防2.673km，新建堤防采用仰衡重式挡墙+框格梁植草护坡堤型，分为天生河段和黎家沟段。</w:t>
                  </w:r>
                </w:p>
                <w:p w14:paraId="49F6E2AC">
                  <w:pPr>
                    <w:pStyle w:val="59"/>
                    <w:bidi w:val="0"/>
                    <w:jc w:val="left"/>
                    <w:rPr>
                      <w:rFonts w:hint="eastAsia"/>
                      <w:sz w:val="22"/>
                      <w:szCs w:val="22"/>
                      <w:lang w:val="en-US" w:eastAsia="zh-CN"/>
                    </w:rPr>
                  </w:pPr>
                  <w:r>
                    <w:rPr>
                      <w:rFonts w:hint="eastAsia"/>
                      <w:sz w:val="22"/>
                      <w:szCs w:val="22"/>
                      <w:lang w:val="en-US" w:eastAsia="zh-CN"/>
                    </w:rPr>
                    <w:t>①天生河段：河道综合治理长度4.2km，新建堤防2.313km。其中右岸（K0+390.00~K2+070.72）新建堤防1.641km，左岸（K0+290.00~K0+750.00、K1+200.00~K1+460.00）新建堤防0.695km。</w:t>
                  </w:r>
                </w:p>
                <w:p w14:paraId="6F5DD065">
                  <w:pPr>
                    <w:pStyle w:val="59"/>
                    <w:bidi w:val="0"/>
                    <w:jc w:val="left"/>
                    <w:rPr>
                      <w:rFonts w:hint="default"/>
                      <w:sz w:val="22"/>
                      <w:szCs w:val="22"/>
                      <w:lang w:val="en-US" w:eastAsia="zh-CN"/>
                    </w:rPr>
                  </w:pPr>
                  <w:r>
                    <w:rPr>
                      <w:rFonts w:hint="eastAsia"/>
                      <w:sz w:val="22"/>
                      <w:szCs w:val="22"/>
                      <w:lang w:val="en-US" w:eastAsia="zh-CN"/>
                    </w:rPr>
                    <w:t>②黎家沟段：河道综合治理长度0.373km，新建堤防0.36km。</w:t>
                  </w:r>
                </w:p>
              </w:tc>
            </w:tr>
            <w:tr w14:paraId="10AFF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78301914">
                  <w:pPr>
                    <w:pStyle w:val="59"/>
                    <w:bidi w:val="0"/>
                    <w:rPr>
                      <w:sz w:val="22"/>
                      <w:szCs w:val="22"/>
                    </w:rPr>
                  </w:pPr>
                </w:p>
              </w:tc>
              <w:tc>
                <w:tcPr>
                  <w:tcW w:w="617" w:type="pct"/>
                  <w:shd w:val="clear" w:color="auto" w:fill="auto"/>
                  <w:noWrap w:val="0"/>
                  <w:vAlign w:val="center"/>
                </w:tcPr>
                <w:p w14:paraId="35B243B1">
                  <w:pPr>
                    <w:pStyle w:val="59"/>
                    <w:bidi w:val="0"/>
                    <w:rPr>
                      <w:rFonts w:hint="eastAsia"/>
                      <w:sz w:val="22"/>
                      <w:szCs w:val="22"/>
                    </w:rPr>
                  </w:pPr>
                  <w:r>
                    <w:rPr>
                      <w:rFonts w:hint="eastAsia"/>
                      <w:sz w:val="22"/>
                      <w:szCs w:val="22"/>
                      <w:lang w:val="en-US" w:eastAsia="zh-CN"/>
                    </w:rPr>
                    <w:t>河道疏浚工程</w:t>
                  </w:r>
                </w:p>
              </w:tc>
              <w:tc>
                <w:tcPr>
                  <w:tcW w:w="3967" w:type="pct"/>
                  <w:shd w:val="clear" w:color="auto" w:fill="auto"/>
                  <w:noWrap w:val="0"/>
                  <w:vAlign w:val="center"/>
                </w:tcPr>
                <w:p w14:paraId="2E020F92">
                  <w:pPr>
                    <w:pStyle w:val="59"/>
                    <w:bidi w:val="0"/>
                    <w:jc w:val="left"/>
                    <w:rPr>
                      <w:rFonts w:hint="default"/>
                      <w:sz w:val="22"/>
                      <w:szCs w:val="22"/>
                      <w:lang w:val="en-US" w:eastAsia="zh-CN"/>
                    </w:rPr>
                  </w:pPr>
                  <w:r>
                    <w:rPr>
                      <w:rFonts w:hint="eastAsia"/>
                      <w:sz w:val="22"/>
                      <w:szCs w:val="22"/>
                      <w:lang w:val="en-US" w:eastAsia="zh-CN"/>
                    </w:rPr>
                    <w:t>河道疏浚总长度4.2km，均位于天生河段，为局部疏浚，疏浚区域共6处，疏浚面积共计0.38万m</w:t>
                  </w:r>
                  <w:r>
                    <w:rPr>
                      <w:rFonts w:hint="eastAsia"/>
                      <w:sz w:val="22"/>
                      <w:szCs w:val="22"/>
                      <w:vertAlign w:val="superscript"/>
                      <w:lang w:val="en-US" w:eastAsia="zh-CN"/>
                    </w:rPr>
                    <w:t>2</w:t>
                  </w:r>
                  <w:r>
                    <w:rPr>
                      <w:rFonts w:hint="eastAsia"/>
                      <w:sz w:val="22"/>
                      <w:szCs w:val="22"/>
                      <w:lang w:val="en-US" w:eastAsia="zh-CN"/>
                    </w:rPr>
                    <w:t>，河道疏浚总量为0.197万m³。</w:t>
                  </w:r>
                </w:p>
              </w:tc>
            </w:tr>
            <w:tr w14:paraId="212868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shd w:val="clear" w:color="auto" w:fill="auto"/>
                  <w:noWrap w:val="0"/>
                  <w:vAlign w:val="center"/>
                </w:tcPr>
                <w:p w14:paraId="000A206B">
                  <w:pPr>
                    <w:pStyle w:val="59"/>
                    <w:bidi w:val="0"/>
                    <w:rPr>
                      <w:rFonts w:hint="eastAsia" w:eastAsia="宋体"/>
                      <w:sz w:val="22"/>
                      <w:szCs w:val="22"/>
                      <w:lang w:val="en-US" w:eastAsia="zh-CN"/>
                    </w:rPr>
                  </w:pPr>
                  <w:r>
                    <w:rPr>
                      <w:rFonts w:hint="eastAsia"/>
                      <w:sz w:val="22"/>
                      <w:szCs w:val="22"/>
                      <w:lang w:val="en-US" w:eastAsia="zh-CN"/>
                    </w:rPr>
                    <w:t>辅助工程</w:t>
                  </w:r>
                </w:p>
              </w:tc>
              <w:tc>
                <w:tcPr>
                  <w:tcW w:w="617" w:type="pct"/>
                  <w:shd w:val="clear" w:color="auto" w:fill="auto"/>
                  <w:noWrap w:val="0"/>
                  <w:vAlign w:val="center"/>
                </w:tcPr>
                <w:p w14:paraId="7BD1C9F1">
                  <w:pPr>
                    <w:pStyle w:val="59"/>
                    <w:bidi w:val="0"/>
                    <w:rPr>
                      <w:rFonts w:hint="eastAsia" w:ascii="Times New Roman" w:hAnsi="Times New Roman" w:eastAsia="宋体" w:cstheme="minorBidi"/>
                      <w:kern w:val="2"/>
                      <w:sz w:val="22"/>
                      <w:szCs w:val="22"/>
                      <w:lang w:val="en-US" w:eastAsia="zh-CN" w:bidi="ar-SA"/>
                      <w14:ligatures w14:val="standardContextual"/>
                    </w:rPr>
                  </w:pPr>
                  <w:r>
                    <w:rPr>
                      <w:rFonts w:hint="eastAsia"/>
                      <w:sz w:val="22"/>
                      <w:szCs w:val="22"/>
                      <w:lang w:val="en-US" w:eastAsia="zh-CN"/>
                    </w:rPr>
                    <w:t>穿堤排涝工程</w:t>
                  </w:r>
                </w:p>
              </w:tc>
              <w:tc>
                <w:tcPr>
                  <w:tcW w:w="3967" w:type="pct"/>
                  <w:shd w:val="clear" w:color="auto" w:fill="auto"/>
                  <w:noWrap w:val="0"/>
                  <w:vAlign w:val="center"/>
                </w:tcPr>
                <w:p w14:paraId="4F8BE24E">
                  <w:pPr>
                    <w:pStyle w:val="59"/>
                    <w:bidi w:val="0"/>
                    <w:jc w:val="left"/>
                    <w:rPr>
                      <w:rFonts w:hint="eastAsia" w:ascii="Times New Roman" w:hAnsi="Times New Roman"/>
                      <w:sz w:val="22"/>
                      <w:szCs w:val="22"/>
                      <w:lang w:val="en-US" w:eastAsia="zh-CN"/>
                    </w:rPr>
                  </w:pPr>
                  <w:r>
                    <w:rPr>
                      <w:rFonts w:hint="eastAsia" w:ascii="Times New Roman" w:hAnsi="Times New Roman"/>
                      <w:sz w:val="22"/>
                      <w:szCs w:val="22"/>
                      <w:lang w:val="en-US" w:eastAsia="zh-CN"/>
                    </w:rPr>
                    <w:t>工程排涝可分为10个区域，新建10处穿堤涵管，堤后排水沟2.020km，下河梯步10处。</w:t>
                  </w:r>
                </w:p>
                <w:p w14:paraId="3EFCD1F4">
                  <w:pPr>
                    <w:pStyle w:val="59"/>
                    <w:bidi w:val="0"/>
                    <w:jc w:val="left"/>
                    <w:rPr>
                      <w:rFonts w:hint="eastAsia" w:ascii="Times New Roman" w:hAnsi="Times New Roman"/>
                      <w:sz w:val="22"/>
                      <w:szCs w:val="22"/>
                      <w:lang w:val="en-US" w:eastAsia="zh-CN"/>
                    </w:rPr>
                  </w:pPr>
                  <w:r>
                    <w:rPr>
                      <w:rFonts w:hint="eastAsia" w:ascii="Times New Roman" w:hAnsi="Times New Roman"/>
                      <w:sz w:val="22"/>
                      <w:szCs w:val="22"/>
                      <w:lang w:val="en-US" w:eastAsia="zh-CN"/>
                    </w:rPr>
                    <w:t>①</w:t>
                  </w:r>
                  <w:r>
                    <w:rPr>
                      <w:rFonts w:hint="eastAsia"/>
                      <w:sz w:val="22"/>
                      <w:szCs w:val="22"/>
                      <w:lang w:val="en-US" w:eastAsia="zh-CN"/>
                    </w:rPr>
                    <w:t>天生河段：新建穿堤涵管9处，堤后排水沟1.477km，下河梯步9处；</w:t>
                  </w:r>
                </w:p>
                <w:p w14:paraId="5EBDF564">
                  <w:pPr>
                    <w:pStyle w:val="59"/>
                    <w:bidi w:val="0"/>
                    <w:jc w:val="left"/>
                    <w:rPr>
                      <w:rFonts w:hint="eastAsia" w:ascii="Times New Roman" w:hAnsi="Times New Roman" w:eastAsia="宋体" w:cstheme="minorBidi"/>
                      <w:kern w:val="2"/>
                      <w:sz w:val="22"/>
                      <w:szCs w:val="22"/>
                      <w:lang w:val="en-US" w:eastAsia="zh-CN" w:bidi="ar-SA"/>
                      <w14:ligatures w14:val="standardContextual"/>
                    </w:rPr>
                  </w:pPr>
                  <w:r>
                    <w:rPr>
                      <w:rFonts w:hint="eastAsia" w:ascii="Times New Roman" w:hAnsi="Times New Roman"/>
                      <w:sz w:val="22"/>
                      <w:szCs w:val="22"/>
                      <w:lang w:val="en-US" w:eastAsia="zh-CN"/>
                    </w:rPr>
                    <w:t>②</w:t>
                  </w:r>
                  <w:r>
                    <w:rPr>
                      <w:rFonts w:hint="eastAsia"/>
                      <w:sz w:val="22"/>
                      <w:szCs w:val="22"/>
                      <w:lang w:val="en-US" w:eastAsia="zh-CN"/>
                    </w:rPr>
                    <w:t>黎家沟段：新建穿堤涵管1处，堤后排水沟0.35km，下河梯步1处。</w:t>
                  </w:r>
                </w:p>
              </w:tc>
            </w:tr>
            <w:tr w14:paraId="4FF7D0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restart"/>
                  <w:shd w:val="clear" w:color="auto" w:fill="auto"/>
                  <w:noWrap w:val="0"/>
                  <w:vAlign w:val="center"/>
                </w:tcPr>
                <w:p w14:paraId="382845A3">
                  <w:pPr>
                    <w:pStyle w:val="59"/>
                    <w:bidi w:val="0"/>
                    <w:rPr>
                      <w:sz w:val="22"/>
                      <w:szCs w:val="22"/>
                    </w:rPr>
                  </w:pPr>
                  <w:r>
                    <w:rPr>
                      <w:rFonts w:hint="eastAsia"/>
                      <w:sz w:val="22"/>
                      <w:szCs w:val="22"/>
                    </w:rPr>
                    <w:t>临时工程</w:t>
                  </w:r>
                </w:p>
              </w:tc>
              <w:tc>
                <w:tcPr>
                  <w:tcW w:w="617" w:type="pct"/>
                  <w:shd w:val="clear" w:color="auto" w:fill="auto"/>
                  <w:noWrap w:val="0"/>
                  <w:vAlign w:val="center"/>
                </w:tcPr>
                <w:p w14:paraId="77A415B1">
                  <w:pPr>
                    <w:pStyle w:val="59"/>
                    <w:bidi w:val="0"/>
                    <w:rPr>
                      <w:sz w:val="22"/>
                      <w:szCs w:val="22"/>
                    </w:rPr>
                  </w:pPr>
                  <w:r>
                    <w:rPr>
                      <w:rFonts w:hint="eastAsia"/>
                      <w:sz w:val="22"/>
                      <w:szCs w:val="22"/>
                    </w:rPr>
                    <w:t>施工导流</w:t>
                  </w:r>
                </w:p>
              </w:tc>
              <w:tc>
                <w:tcPr>
                  <w:tcW w:w="3967" w:type="pct"/>
                  <w:shd w:val="clear" w:color="auto" w:fill="auto"/>
                  <w:noWrap w:val="0"/>
                  <w:vAlign w:val="center"/>
                </w:tcPr>
                <w:p w14:paraId="4EEC61C0">
                  <w:pPr>
                    <w:pStyle w:val="59"/>
                    <w:bidi w:val="0"/>
                    <w:jc w:val="left"/>
                    <w:rPr>
                      <w:rFonts w:hint="eastAsia"/>
                      <w:sz w:val="22"/>
                      <w:szCs w:val="22"/>
                    </w:rPr>
                  </w:pPr>
                  <w:r>
                    <w:rPr>
                      <w:rFonts w:hint="eastAsia"/>
                      <w:sz w:val="22"/>
                      <w:szCs w:val="22"/>
                    </w:rPr>
                    <w:t>导流时段为12月~次年3月，导流方式采用束窄河床，分段围堰导流，沿河道修建纵向围堰，根据施工部位分段布置横向围堰挡水，围堰迎水面采用土工膜防渗，保证河道干地施工。</w:t>
                  </w:r>
                </w:p>
                <w:p w14:paraId="249096AC">
                  <w:pPr>
                    <w:pStyle w:val="59"/>
                    <w:bidi w:val="0"/>
                    <w:jc w:val="left"/>
                    <w:rPr>
                      <w:rFonts w:hint="default" w:eastAsia="宋体"/>
                      <w:sz w:val="22"/>
                      <w:szCs w:val="22"/>
                      <w:lang w:val="en-US" w:eastAsia="zh-CN"/>
                    </w:rPr>
                  </w:pPr>
                  <w:r>
                    <w:rPr>
                      <w:rFonts w:hint="eastAsia"/>
                      <w:sz w:val="22"/>
                      <w:szCs w:val="22"/>
                      <w:lang w:val="en-US" w:eastAsia="zh-CN"/>
                    </w:rPr>
                    <w:t>①天生河段：</w:t>
                  </w:r>
                  <w:r>
                    <w:rPr>
                      <w:rFonts w:hint="eastAsia"/>
                      <w:sz w:val="22"/>
                      <w:szCs w:val="22"/>
                    </w:rPr>
                    <w:t>导流流量5.393m</w:t>
                  </w:r>
                  <w:r>
                    <w:rPr>
                      <w:rFonts w:hint="eastAsia"/>
                      <w:sz w:val="22"/>
                      <w:szCs w:val="22"/>
                      <w:vertAlign w:val="superscript"/>
                    </w:rPr>
                    <w:t>3</w:t>
                  </w:r>
                  <w:r>
                    <w:rPr>
                      <w:rFonts w:hint="eastAsia"/>
                      <w:sz w:val="22"/>
                      <w:szCs w:val="22"/>
                    </w:rPr>
                    <w:t>/s，</w:t>
                  </w:r>
                  <w:r>
                    <w:rPr>
                      <w:rFonts w:hint="eastAsia"/>
                      <w:sz w:val="22"/>
                      <w:szCs w:val="22"/>
                      <w:lang w:val="en-US" w:eastAsia="zh-CN"/>
                    </w:rPr>
                    <w:t>围堰长度1685m，围堰高度1.3m；</w:t>
                  </w:r>
                </w:p>
                <w:p w14:paraId="0D35CE14">
                  <w:pPr>
                    <w:pStyle w:val="59"/>
                    <w:bidi w:val="0"/>
                    <w:jc w:val="left"/>
                    <w:rPr>
                      <w:sz w:val="22"/>
                      <w:szCs w:val="22"/>
                    </w:rPr>
                  </w:pPr>
                  <w:r>
                    <w:rPr>
                      <w:rFonts w:hint="eastAsia"/>
                      <w:sz w:val="22"/>
                      <w:szCs w:val="22"/>
                      <w:lang w:val="en-US" w:eastAsia="zh-CN"/>
                    </w:rPr>
                    <w:t>②黎家沟段：</w:t>
                  </w:r>
                  <w:r>
                    <w:rPr>
                      <w:rFonts w:hint="eastAsia"/>
                      <w:sz w:val="22"/>
                      <w:szCs w:val="22"/>
                    </w:rPr>
                    <w:t>导流流量0.735m</w:t>
                  </w:r>
                  <w:r>
                    <w:rPr>
                      <w:rFonts w:hint="eastAsia"/>
                      <w:sz w:val="22"/>
                      <w:szCs w:val="22"/>
                      <w:vertAlign w:val="superscript"/>
                    </w:rPr>
                    <w:t>3</w:t>
                  </w:r>
                  <w:r>
                    <w:rPr>
                      <w:rFonts w:hint="eastAsia"/>
                      <w:sz w:val="22"/>
                      <w:szCs w:val="22"/>
                    </w:rPr>
                    <w:t>/s，</w:t>
                  </w:r>
                  <w:r>
                    <w:rPr>
                      <w:rFonts w:hint="eastAsia"/>
                      <w:sz w:val="22"/>
                      <w:szCs w:val="22"/>
                      <w:lang w:val="en-US" w:eastAsia="zh-CN"/>
                    </w:rPr>
                    <w:t>围堰长度380m，围堰高度0.8m。</w:t>
                  </w:r>
                </w:p>
              </w:tc>
            </w:tr>
            <w:tr w14:paraId="2E7E9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3A44F118">
                  <w:pPr>
                    <w:pStyle w:val="59"/>
                    <w:bidi w:val="0"/>
                    <w:rPr>
                      <w:rFonts w:hint="eastAsia"/>
                      <w:sz w:val="22"/>
                      <w:szCs w:val="22"/>
                    </w:rPr>
                  </w:pPr>
                </w:p>
              </w:tc>
              <w:tc>
                <w:tcPr>
                  <w:tcW w:w="617" w:type="pct"/>
                  <w:shd w:val="clear" w:color="auto" w:fill="auto"/>
                  <w:noWrap w:val="0"/>
                  <w:vAlign w:val="center"/>
                </w:tcPr>
                <w:p w14:paraId="4F5527F1">
                  <w:pPr>
                    <w:pStyle w:val="59"/>
                    <w:bidi w:val="0"/>
                    <w:rPr>
                      <w:rFonts w:hint="eastAsia"/>
                      <w:sz w:val="22"/>
                      <w:szCs w:val="22"/>
                    </w:rPr>
                  </w:pPr>
                  <w:r>
                    <w:rPr>
                      <w:rFonts w:hint="eastAsia"/>
                      <w:sz w:val="22"/>
                      <w:szCs w:val="22"/>
                    </w:rPr>
                    <w:t>料场</w:t>
                  </w:r>
                </w:p>
              </w:tc>
              <w:tc>
                <w:tcPr>
                  <w:tcW w:w="3967" w:type="pct"/>
                  <w:shd w:val="clear" w:color="auto" w:fill="auto"/>
                  <w:noWrap w:val="0"/>
                  <w:vAlign w:val="center"/>
                </w:tcPr>
                <w:p w14:paraId="0662797C">
                  <w:pPr>
                    <w:pStyle w:val="59"/>
                    <w:bidi w:val="0"/>
                    <w:jc w:val="left"/>
                    <w:rPr>
                      <w:rFonts w:hint="eastAsia"/>
                      <w:color w:val="FF0000"/>
                      <w:sz w:val="22"/>
                      <w:szCs w:val="22"/>
                    </w:rPr>
                  </w:pPr>
                  <w:r>
                    <w:rPr>
                      <w:rFonts w:hint="eastAsia"/>
                      <w:color w:val="auto"/>
                      <w:sz w:val="22"/>
                      <w:szCs w:val="22"/>
                    </w:rPr>
                    <w:t>工程回填料优先利用开挖料</w:t>
                  </w:r>
                  <w:r>
                    <w:rPr>
                      <w:rFonts w:hint="eastAsia"/>
                      <w:color w:val="auto"/>
                      <w:sz w:val="22"/>
                      <w:szCs w:val="22"/>
                      <w:lang w:eastAsia="zh-CN"/>
                    </w:rPr>
                    <w:t>，</w:t>
                  </w:r>
                  <w:r>
                    <w:rPr>
                      <w:rFonts w:hint="eastAsia"/>
                      <w:color w:val="auto"/>
                      <w:sz w:val="22"/>
                      <w:szCs w:val="22"/>
                    </w:rPr>
                    <w:t>所需块石料、混凝土粗细骨料等</w:t>
                  </w:r>
                  <w:r>
                    <w:rPr>
                      <w:rFonts w:hint="eastAsia"/>
                      <w:color w:val="auto"/>
                      <w:sz w:val="22"/>
                      <w:szCs w:val="22"/>
                      <w:lang w:val="en-US" w:eastAsia="zh-CN"/>
                    </w:rPr>
                    <w:t>就近</w:t>
                  </w:r>
                  <w:r>
                    <w:rPr>
                      <w:rFonts w:hint="eastAsia"/>
                      <w:color w:val="auto"/>
                      <w:sz w:val="22"/>
                      <w:szCs w:val="22"/>
                    </w:rPr>
                    <w:t>在宣汉县</w:t>
                  </w:r>
                  <w:r>
                    <w:rPr>
                      <w:rFonts w:hint="eastAsia"/>
                      <w:color w:val="auto"/>
                      <w:sz w:val="22"/>
                      <w:szCs w:val="22"/>
                      <w:lang w:val="en-US" w:eastAsia="zh-CN"/>
                    </w:rPr>
                    <w:t>周边</w:t>
                  </w:r>
                  <w:r>
                    <w:rPr>
                      <w:rFonts w:hint="eastAsia"/>
                      <w:color w:val="auto"/>
                      <w:sz w:val="22"/>
                      <w:szCs w:val="22"/>
                    </w:rPr>
                    <w:t>砂石经营场购买，交通方便，</w:t>
                  </w:r>
                  <w:r>
                    <w:rPr>
                      <w:rFonts w:hint="eastAsia"/>
                      <w:color w:val="auto"/>
                      <w:sz w:val="22"/>
                      <w:szCs w:val="22"/>
                      <w:lang w:val="en-US" w:eastAsia="zh-CN"/>
                    </w:rPr>
                    <w:t>工程</w:t>
                  </w:r>
                  <w:r>
                    <w:rPr>
                      <w:rFonts w:hint="eastAsia"/>
                      <w:color w:val="auto"/>
                      <w:sz w:val="22"/>
                      <w:szCs w:val="22"/>
                    </w:rPr>
                    <w:t>不设置料场</w:t>
                  </w:r>
                  <w:r>
                    <w:rPr>
                      <w:rFonts w:hint="eastAsia"/>
                      <w:color w:val="auto"/>
                      <w:sz w:val="22"/>
                      <w:szCs w:val="22"/>
                      <w:lang w:eastAsia="zh-CN"/>
                    </w:rPr>
                    <w:t>、石料加工系统</w:t>
                  </w:r>
                  <w:r>
                    <w:rPr>
                      <w:rFonts w:hint="eastAsia"/>
                      <w:color w:val="auto"/>
                      <w:sz w:val="22"/>
                      <w:szCs w:val="22"/>
                    </w:rPr>
                    <w:t>。</w:t>
                  </w:r>
                </w:p>
              </w:tc>
            </w:tr>
            <w:tr w14:paraId="64323A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078722D3">
                  <w:pPr>
                    <w:pStyle w:val="59"/>
                    <w:bidi w:val="0"/>
                    <w:rPr>
                      <w:rFonts w:hint="eastAsia"/>
                      <w:sz w:val="22"/>
                      <w:szCs w:val="22"/>
                    </w:rPr>
                  </w:pPr>
                </w:p>
              </w:tc>
              <w:tc>
                <w:tcPr>
                  <w:tcW w:w="617" w:type="pct"/>
                  <w:shd w:val="clear" w:color="auto" w:fill="auto"/>
                  <w:noWrap w:val="0"/>
                  <w:vAlign w:val="center"/>
                </w:tcPr>
                <w:p w14:paraId="5566119B">
                  <w:pPr>
                    <w:pStyle w:val="59"/>
                    <w:bidi w:val="0"/>
                    <w:rPr>
                      <w:rFonts w:hint="eastAsia"/>
                      <w:color w:val="auto"/>
                      <w:sz w:val="22"/>
                      <w:szCs w:val="22"/>
                    </w:rPr>
                  </w:pPr>
                  <w:r>
                    <w:rPr>
                      <w:rFonts w:hint="eastAsia"/>
                      <w:color w:val="auto"/>
                      <w:sz w:val="22"/>
                      <w:szCs w:val="22"/>
                    </w:rPr>
                    <w:t>取、弃土场</w:t>
                  </w:r>
                </w:p>
              </w:tc>
              <w:tc>
                <w:tcPr>
                  <w:tcW w:w="3967" w:type="pct"/>
                  <w:shd w:val="clear" w:color="auto" w:fill="auto"/>
                  <w:noWrap w:val="0"/>
                  <w:vAlign w:val="center"/>
                </w:tcPr>
                <w:p w14:paraId="2663B4CE">
                  <w:pPr>
                    <w:pStyle w:val="59"/>
                    <w:bidi w:val="0"/>
                    <w:jc w:val="left"/>
                    <w:rPr>
                      <w:rFonts w:hint="default"/>
                      <w:color w:val="auto"/>
                      <w:sz w:val="22"/>
                      <w:szCs w:val="22"/>
                      <w:lang w:val="en-US"/>
                    </w:rPr>
                  </w:pPr>
                  <w:r>
                    <w:rPr>
                      <w:rFonts w:hint="eastAsia"/>
                      <w:color w:val="auto"/>
                      <w:sz w:val="22"/>
                      <w:szCs w:val="22"/>
                      <w:lang w:val="zh-CN"/>
                    </w:rPr>
                    <w:t>开挖料</w:t>
                  </w:r>
                  <w:r>
                    <w:rPr>
                      <w:rFonts w:hint="eastAsia"/>
                      <w:color w:val="auto"/>
                      <w:sz w:val="22"/>
                      <w:szCs w:val="22"/>
                      <w:lang w:val="en-US" w:eastAsia="zh-CN"/>
                    </w:rPr>
                    <w:t>优先用于工程回填，少量弃渣于堤后堆填，综合运距1km；河道疏浚段工程弃渣于河道两侧堆填，综合运距0.5km。本项目不设置取、弃土场。</w:t>
                  </w:r>
                </w:p>
              </w:tc>
            </w:tr>
            <w:tr w14:paraId="5DD224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0423C052">
                  <w:pPr>
                    <w:pStyle w:val="59"/>
                    <w:bidi w:val="0"/>
                    <w:rPr>
                      <w:rFonts w:hint="eastAsia"/>
                      <w:sz w:val="22"/>
                      <w:szCs w:val="22"/>
                    </w:rPr>
                  </w:pPr>
                </w:p>
              </w:tc>
              <w:tc>
                <w:tcPr>
                  <w:tcW w:w="617" w:type="pct"/>
                  <w:shd w:val="clear" w:color="auto" w:fill="auto"/>
                  <w:noWrap w:val="0"/>
                  <w:vAlign w:val="center"/>
                </w:tcPr>
                <w:p w14:paraId="5A384CE0">
                  <w:pPr>
                    <w:pStyle w:val="59"/>
                    <w:bidi w:val="0"/>
                    <w:rPr>
                      <w:rFonts w:hint="eastAsia"/>
                      <w:sz w:val="22"/>
                      <w:szCs w:val="22"/>
                    </w:rPr>
                  </w:pPr>
                  <w:r>
                    <w:rPr>
                      <w:rFonts w:hint="eastAsia"/>
                      <w:sz w:val="22"/>
                      <w:szCs w:val="22"/>
                      <w:lang w:val="en-US" w:eastAsia="zh-CN"/>
                    </w:rPr>
                    <w:t>临时堆料场</w:t>
                  </w:r>
                </w:p>
              </w:tc>
              <w:tc>
                <w:tcPr>
                  <w:tcW w:w="3967" w:type="pct"/>
                  <w:shd w:val="clear" w:color="auto" w:fill="auto"/>
                  <w:noWrap w:val="0"/>
                  <w:vAlign w:val="center"/>
                </w:tcPr>
                <w:p w14:paraId="240104AF">
                  <w:pPr>
                    <w:pStyle w:val="59"/>
                    <w:bidi w:val="0"/>
                    <w:jc w:val="left"/>
                    <w:rPr>
                      <w:rFonts w:hint="default"/>
                      <w:sz w:val="22"/>
                      <w:szCs w:val="22"/>
                      <w:lang w:val="en-US"/>
                    </w:rPr>
                  </w:pPr>
                  <w:r>
                    <w:rPr>
                      <w:rFonts w:hint="eastAsia"/>
                      <w:color w:val="auto"/>
                      <w:sz w:val="22"/>
                      <w:szCs w:val="22"/>
                      <w:lang w:val="en-US" w:eastAsia="zh-CN"/>
                    </w:rPr>
                    <w:t>本次共设置3处临时堆料场（其中1#、3#临时堆料场分别设置表土堆场区域），</w:t>
                  </w:r>
                  <w:r>
                    <w:rPr>
                      <w:rFonts w:hint="eastAsia" w:ascii="Times New Roman" w:eastAsia="宋体"/>
                      <w:color w:val="auto"/>
                      <w:sz w:val="22"/>
                      <w:szCs w:val="22"/>
                      <w:lang w:val="en-US" w:eastAsia="zh-CN"/>
                    </w:rPr>
                    <w:t>总占地面积约</w:t>
                  </w:r>
                  <w:r>
                    <w:rPr>
                      <w:rFonts w:hint="default" w:ascii="Times New Roman" w:hAnsi="Times New Roman" w:eastAsia="宋体" w:cs="Times New Roman"/>
                      <w:color w:val="auto"/>
                      <w:kern w:val="2"/>
                      <w:sz w:val="22"/>
                      <w:szCs w:val="22"/>
                      <w:highlight w:val="none"/>
                      <w:lang w:val="en-US" w:eastAsia="zh-CN" w:bidi="ar-SA"/>
                    </w:rPr>
                    <w:t>0.19</w:t>
                  </w:r>
                  <w:r>
                    <w:rPr>
                      <w:rFonts w:hint="eastAsia" w:ascii="Times New Roman" w:eastAsia="宋体"/>
                      <w:color w:val="auto"/>
                      <w:sz w:val="22"/>
                      <w:szCs w:val="22"/>
                      <w:lang w:val="en-US" w:eastAsia="zh-CN"/>
                    </w:rPr>
                    <w:t>hm</w:t>
                  </w:r>
                  <w:r>
                    <w:rPr>
                      <w:rFonts w:hint="eastAsia" w:ascii="Times New Roman" w:eastAsia="宋体"/>
                      <w:color w:val="auto"/>
                      <w:sz w:val="22"/>
                      <w:szCs w:val="22"/>
                      <w:vertAlign w:val="superscript"/>
                      <w:lang w:val="en-US" w:eastAsia="zh-CN"/>
                    </w:rPr>
                    <w:t>2</w:t>
                  </w:r>
                  <w:r>
                    <w:rPr>
                      <w:rFonts w:hint="eastAsia"/>
                      <w:color w:val="auto"/>
                      <w:sz w:val="22"/>
                      <w:szCs w:val="22"/>
                      <w:lang w:val="en-US" w:eastAsia="zh-CN"/>
                    </w:rPr>
                    <w:t>。用于临时堆放表土、开挖料、疏浚料。</w:t>
                  </w:r>
                </w:p>
              </w:tc>
            </w:tr>
            <w:tr w14:paraId="5586E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1ED63628">
                  <w:pPr>
                    <w:pStyle w:val="59"/>
                    <w:bidi w:val="0"/>
                    <w:rPr>
                      <w:sz w:val="22"/>
                      <w:szCs w:val="22"/>
                    </w:rPr>
                  </w:pPr>
                </w:p>
              </w:tc>
              <w:tc>
                <w:tcPr>
                  <w:tcW w:w="617" w:type="pct"/>
                  <w:shd w:val="clear" w:color="auto" w:fill="auto"/>
                  <w:noWrap w:val="0"/>
                  <w:vAlign w:val="center"/>
                </w:tcPr>
                <w:p w14:paraId="0819A63C">
                  <w:pPr>
                    <w:pStyle w:val="59"/>
                    <w:bidi w:val="0"/>
                    <w:rPr>
                      <w:rFonts w:hint="eastAsia" w:eastAsia="宋体"/>
                      <w:sz w:val="22"/>
                      <w:szCs w:val="22"/>
                      <w:lang w:eastAsia="zh-CN"/>
                    </w:rPr>
                  </w:pPr>
                  <w:r>
                    <w:rPr>
                      <w:rFonts w:hint="eastAsia"/>
                      <w:sz w:val="22"/>
                      <w:szCs w:val="22"/>
                    </w:rPr>
                    <w:t>施工</w:t>
                  </w:r>
                  <w:r>
                    <w:rPr>
                      <w:rFonts w:hint="eastAsia"/>
                      <w:sz w:val="22"/>
                      <w:szCs w:val="22"/>
                      <w:lang w:val="en-US" w:eastAsia="zh-CN"/>
                    </w:rPr>
                    <w:t>工区</w:t>
                  </w:r>
                </w:p>
              </w:tc>
              <w:tc>
                <w:tcPr>
                  <w:tcW w:w="3967" w:type="pct"/>
                  <w:shd w:val="clear" w:color="auto" w:fill="auto"/>
                  <w:noWrap w:val="0"/>
                  <w:vAlign w:val="center"/>
                </w:tcPr>
                <w:p w14:paraId="56785F4C">
                  <w:pPr>
                    <w:pStyle w:val="59"/>
                    <w:bidi w:val="0"/>
                    <w:jc w:val="left"/>
                    <w:rPr>
                      <w:rFonts w:hint="default" w:eastAsia="宋体"/>
                      <w:sz w:val="22"/>
                      <w:szCs w:val="22"/>
                      <w:lang w:val="en-US" w:eastAsia="zh-CN"/>
                    </w:rPr>
                  </w:pPr>
                  <w:r>
                    <w:rPr>
                      <w:rFonts w:hint="eastAsia"/>
                      <w:color w:val="auto"/>
                      <w:sz w:val="22"/>
                      <w:szCs w:val="22"/>
                      <w:lang w:val="en-US" w:eastAsia="zh-CN"/>
                    </w:rPr>
                    <w:t>共设置2处施工工区，总占地面积约0.08hm</w:t>
                  </w:r>
                  <w:r>
                    <w:rPr>
                      <w:rFonts w:hint="eastAsia"/>
                      <w:color w:val="auto"/>
                      <w:sz w:val="22"/>
                      <w:szCs w:val="22"/>
                      <w:vertAlign w:val="superscript"/>
                      <w:lang w:val="en-US" w:eastAsia="zh-CN"/>
                    </w:rPr>
                    <w:t>2</w:t>
                  </w:r>
                  <w:r>
                    <w:rPr>
                      <w:rFonts w:hint="eastAsia"/>
                      <w:color w:val="auto"/>
                      <w:sz w:val="22"/>
                      <w:szCs w:val="22"/>
                      <w:lang w:val="en-US" w:eastAsia="zh-CN"/>
                    </w:rPr>
                    <w:t>。主要布置施工临时设施，如混凝土拌和站，机械停放场，综合加工棚等，材料仓库和办公生活建筑租用附近民房。</w:t>
                  </w:r>
                </w:p>
              </w:tc>
            </w:tr>
            <w:tr w14:paraId="32C13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10303247">
                  <w:pPr>
                    <w:pStyle w:val="59"/>
                    <w:bidi w:val="0"/>
                    <w:rPr>
                      <w:sz w:val="22"/>
                      <w:szCs w:val="22"/>
                    </w:rPr>
                  </w:pPr>
                </w:p>
              </w:tc>
              <w:tc>
                <w:tcPr>
                  <w:tcW w:w="617" w:type="pct"/>
                  <w:shd w:val="clear" w:color="auto" w:fill="auto"/>
                  <w:noWrap w:val="0"/>
                  <w:vAlign w:val="center"/>
                </w:tcPr>
                <w:p w14:paraId="7D30AE12">
                  <w:pPr>
                    <w:pStyle w:val="59"/>
                    <w:bidi w:val="0"/>
                    <w:rPr>
                      <w:rFonts w:hint="eastAsia" w:eastAsia="宋体"/>
                      <w:sz w:val="22"/>
                      <w:szCs w:val="22"/>
                      <w:lang w:eastAsia="zh-CN"/>
                    </w:rPr>
                  </w:pPr>
                  <w:r>
                    <w:rPr>
                      <w:rFonts w:hint="eastAsia"/>
                      <w:sz w:val="22"/>
                      <w:szCs w:val="22"/>
                      <w:lang w:eastAsia="zh-CN"/>
                    </w:rPr>
                    <w:t>临时施工道路</w:t>
                  </w:r>
                </w:p>
              </w:tc>
              <w:tc>
                <w:tcPr>
                  <w:tcW w:w="3967" w:type="pct"/>
                  <w:shd w:val="clear" w:color="auto" w:fill="auto"/>
                  <w:noWrap w:val="0"/>
                  <w:vAlign w:val="center"/>
                </w:tcPr>
                <w:p w14:paraId="39CA3B3D">
                  <w:pPr>
                    <w:pStyle w:val="59"/>
                    <w:bidi w:val="0"/>
                    <w:jc w:val="both"/>
                    <w:rPr>
                      <w:rFonts w:hint="default" w:eastAsia="宋体"/>
                      <w:sz w:val="22"/>
                      <w:szCs w:val="22"/>
                      <w:lang w:val="en-US" w:eastAsia="zh-CN"/>
                    </w:rPr>
                  </w:pPr>
                  <w:r>
                    <w:rPr>
                      <w:rFonts w:hint="eastAsia"/>
                      <w:sz w:val="22"/>
                      <w:szCs w:val="22"/>
                      <w:lang w:val="en-US" w:eastAsia="zh-CN"/>
                    </w:rPr>
                    <w:t>项目对外交通以公路为主，工程河段有公路直达，对外交通条件便利。本工程堤防的主要施工场地为河滩及阶地，工程区局部有乡村水泥道路穿过。本次设计沿堤线新建3.5m宽临时施工道路1.29km顺接乡村公路，采用泥结石路面。占地约0.329hm</w:t>
                  </w:r>
                  <w:r>
                    <w:rPr>
                      <w:rFonts w:hint="eastAsia"/>
                      <w:sz w:val="22"/>
                      <w:szCs w:val="22"/>
                      <w:vertAlign w:val="superscript"/>
                      <w:lang w:val="en-US" w:eastAsia="zh-CN"/>
                    </w:rPr>
                    <w:t>2</w:t>
                  </w:r>
                  <w:r>
                    <w:rPr>
                      <w:rFonts w:hint="eastAsia"/>
                      <w:sz w:val="22"/>
                      <w:szCs w:val="22"/>
                      <w:lang w:val="en-US" w:eastAsia="zh-CN"/>
                    </w:rPr>
                    <w:t>。</w:t>
                  </w:r>
                </w:p>
              </w:tc>
            </w:tr>
            <w:tr w14:paraId="031D56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restart"/>
                  <w:shd w:val="clear" w:color="auto" w:fill="auto"/>
                  <w:noWrap w:val="0"/>
                  <w:vAlign w:val="center"/>
                </w:tcPr>
                <w:p w14:paraId="0A1ADC8D">
                  <w:pPr>
                    <w:pStyle w:val="59"/>
                    <w:bidi w:val="0"/>
                    <w:rPr>
                      <w:sz w:val="22"/>
                      <w:szCs w:val="22"/>
                    </w:rPr>
                  </w:pPr>
                  <w:r>
                    <w:rPr>
                      <w:sz w:val="22"/>
                      <w:szCs w:val="22"/>
                    </w:rPr>
                    <w:t>公用工程</w:t>
                  </w:r>
                </w:p>
              </w:tc>
              <w:tc>
                <w:tcPr>
                  <w:tcW w:w="617" w:type="pct"/>
                  <w:shd w:val="clear" w:color="auto" w:fill="auto"/>
                  <w:noWrap w:val="0"/>
                  <w:vAlign w:val="center"/>
                </w:tcPr>
                <w:p w14:paraId="6DEB8460">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供水</w:t>
                  </w:r>
                </w:p>
              </w:tc>
              <w:tc>
                <w:tcPr>
                  <w:tcW w:w="3967" w:type="pct"/>
                  <w:shd w:val="clear" w:color="auto" w:fill="auto"/>
                  <w:noWrap w:val="0"/>
                  <w:vAlign w:val="center"/>
                </w:tcPr>
                <w:p w14:paraId="5D61774C">
                  <w:pPr>
                    <w:pStyle w:val="59"/>
                    <w:bidi w:val="0"/>
                    <w:jc w:val="lef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施工用水</w:t>
                  </w:r>
                  <w:r>
                    <w:rPr>
                      <w:rFonts w:hint="eastAsia"/>
                      <w:color w:val="000000" w:themeColor="text1"/>
                      <w:sz w:val="22"/>
                      <w:szCs w:val="22"/>
                      <w14:textFill>
                        <w14:solidFill>
                          <w14:schemeClr w14:val="tx1"/>
                        </w14:solidFill>
                      </w14:textFill>
                    </w:rPr>
                    <w:t>直接由水泵就近从河中抽取，施工人员生活用水依托</w:t>
                  </w:r>
                  <w:r>
                    <w:rPr>
                      <w:rFonts w:hint="eastAsia"/>
                      <w:color w:val="000000" w:themeColor="text1"/>
                      <w:sz w:val="22"/>
                      <w:szCs w:val="22"/>
                      <w:lang w:val="en-US" w:eastAsia="zh-CN"/>
                      <w14:textFill>
                        <w14:solidFill>
                          <w14:schemeClr w14:val="tx1"/>
                        </w14:solidFill>
                      </w14:textFill>
                    </w:rPr>
                    <w:t>租用民房</w:t>
                  </w:r>
                  <w:r>
                    <w:rPr>
                      <w:rFonts w:hint="eastAsia"/>
                      <w:color w:val="000000" w:themeColor="text1"/>
                      <w:sz w:val="22"/>
                      <w:szCs w:val="22"/>
                      <w14:textFill>
                        <w14:solidFill>
                          <w14:schemeClr w14:val="tx1"/>
                        </w14:solidFill>
                      </w14:textFill>
                    </w:rPr>
                    <w:t>生活供水设施</w:t>
                  </w:r>
                  <w:r>
                    <w:rPr>
                      <w:color w:val="000000" w:themeColor="text1"/>
                      <w:sz w:val="22"/>
                      <w:szCs w:val="22"/>
                      <w14:textFill>
                        <w14:solidFill>
                          <w14:schemeClr w14:val="tx1"/>
                        </w14:solidFill>
                      </w14:textFill>
                    </w:rPr>
                    <w:t>。</w:t>
                  </w:r>
                </w:p>
              </w:tc>
            </w:tr>
            <w:tr w14:paraId="2D0080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continue"/>
                  <w:shd w:val="clear" w:color="auto" w:fill="auto"/>
                  <w:noWrap w:val="0"/>
                  <w:vAlign w:val="center"/>
                </w:tcPr>
                <w:p w14:paraId="3CFAE927">
                  <w:pPr>
                    <w:pStyle w:val="59"/>
                    <w:bidi w:val="0"/>
                    <w:rPr>
                      <w:sz w:val="22"/>
                      <w:szCs w:val="22"/>
                    </w:rPr>
                  </w:pPr>
                </w:p>
              </w:tc>
              <w:tc>
                <w:tcPr>
                  <w:tcW w:w="617" w:type="pct"/>
                  <w:shd w:val="clear" w:color="auto" w:fill="auto"/>
                  <w:noWrap w:val="0"/>
                  <w:vAlign w:val="center"/>
                </w:tcPr>
                <w:p w14:paraId="685A990E">
                  <w:pPr>
                    <w:pStyle w:val="59"/>
                    <w:bidi w:val="0"/>
                    <w:rPr>
                      <w:rFonts w:hint="eastAsia" w:ascii="Times New Roman" w:hAnsi="Times New Roman" w:eastAsia="宋体" w:cstheme="minorBidi"/>
                      <w:color w:val="auto"/>
                      <w:kern w:val="2"/>
                      <w:sz w:val="22"/>
                      <w:szCs w:val="22"/>
                      <w:lang w:val="en-US" w:eastAsia="zh-CN" w:bidi="ar-SA"/>
                      <w14:ligatures w14:val="standardContextual"/>
                    </w:rPr>
                  </w:pPr>
                  <w:r>
                    <w:rPr>
                      <w:color w:val="auto"/>
                      <w:sz w:val="22"/>
                      <w:szCs w:val="22"/>
                    </w:rPr>
                    <w:t>供电</w:t>
                  </w:r>
                </w:p>
              </w:tc>
              <w:tc>
                <w:tcPr>
                  <w:tcW w:w="3967" w:type="pct"/>
                  <w:shd w:val="clear" w:color="auto" w:fill="auto"/>
                  <w:noWrap w:val="0"/>
                  <w:vAlign w:val="center"/>
                </w:tcPr>
                <w:p w14:paraId="4C2535D3">
                  <w:pPr>
                    <w:pStyle w:val="59"/>
                    <w:bidi w:val="0"/>
                    <w:jc w:val="left"/>
                    <w:rPr>
                      <w:rFonts w:hint="eastAsia" w:ascii="Times New Roman" w:hAnsi="Times New Roman" w:eastAsia="宋体" w:cstheme="minorBidi"/>
                      <w:color w:val="auto"/>
                      <w:kern w:val="2"/>
                      <w:sz w:val="22"/>
                      <w:szCs w:val="22"/>
                      <w:lang w:val="en-US" w:eastAsia="zh-CN" w:bidi="ar-SA"/>
                      <w14:ligatures w14:val="standardContextual"/>
                    </w:rPr>
                  </w:pPr>
                  <w:r>
                    <w:rPr>
                      <w:rFonts w:hint="eastAsia"/>
                      <w:color w:val="auto"/>
                      <w:sz w:val="22"/>
                      <w:szCs w:val="22"/>
                    </w:rPr>
                    <w:t>工区采用T接10KV电线集中供电。</w:t>
                  </w:r>
                  <w:r>
                    <w:rPr>
                      <w:rFonts w:hint="eastAsia"/>
                      <w:color w:val="auto"/>
                      <w:sz w:val="22"/>
                      <w:szCs w:val="22"/>
                      <w:lang w:val="en-US" w:eastAsia="zh-CN"/>
                    </w:rPr>
                    <w:t>在各工区内</w:t>
                  </w:r>
                  <w:r>
                    <w:rPr>
                      <w:rFonts w:hint="eastAsia"/>
                      <w:color w:val="auto"/>
                      <w:sz w:val="22"/>
                      <w:szCs w:val="22"/>
                    </w:rPr>
                    <w:t>架设10KV电缆0.3km，其中：1#工区0.1km，2#工区0.2km</w:t>
                  </w:r>
                  <w:r>
                    <w:rPr>
                      <w:rFonts w:hint="eastAsia"/>
                      <w:color w:val="auto"/>
                      <w:sz w:val="22"/>
                      <w:szCs w:val="22"/>
                      <w:lang w:eastAsia="zh-CN"/>
                    </w:rPr>
                    <w:t>。另备用50kW发电机1台，机动使用。</w:t>
                  </w:r>
                </w:p>
              </w:tc>
            </w:tr>
            <w:tr w14:paraId="4EC554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15" w:type="pct"/>
                  <w:vMerge w:val="restart"/>
                  <w:shd w:val="clear" w:color="auto" w:fill="auto"/>
                  <w:noWrap w:val="0"/>
                  <w:vAlign w:val="center"/>
                </w:tcPr>
                <w:p w14:paraId="706384A2">
                  <w:pPr>
                    <w:pStyle w:val="59"/>
                    <w:bidi w:val="0"/>
                    <w:rPr>
                      <w:sz w:val="22"/>
                      <w:szCs w:val="22"/>
                    </w:rPr>
                  </w:pPr>
                  <w:r>
                    <w:rPr>
                      <w:sz w:val="22"/>
                      <w:szCs w:val="22"/>
                    </w:rPr>
                    <w:t>环保工程</w:t>
                  </w:r>
                </w:p>
              </w:tc>
              <w:tc>
                <w:tcPr>
                  <w:tcW w:w="617" w:type="pct"/>
                  <w:shd w:val="clear" w:color="auto" w:fill="auto"/>
                  <w:noWrap w:val="0"/>
                  <w:vAlign w:val="center"/>
                </w:tcPr>
                <w:p w14:paraId="4A4DDA13">
                  <w:pPr>
                    <w:pStyle w:val="59"/>
                    <w:bidi w:val="0"/>
                    <w:rPr>
                      <w:rFonts w:hint="eastAsia" w:eastAsia="宋体"/>
                      <w:sz w:val="22"/>
                      <w:szCs w:val="22"/>
                      <w:lang w:val="en-US" w:eastAsia="zh-CN"/>
                    </w:rPr>
                  </w:pPr>
                  <w:r>
                    <w:rPr>
                      <w:rFonts w:hint="eastAsia"/>
                      <w:sz w:val="22"/>
                      <w:szCs w:val="22"/>
                      <w:lang w:val="en-US" w:eastAsia="zh-CN"/>
                    </w:rPr>
                    <w:t>废气</w:t>
                  </w:r>
                  <w:r>
                    <w:rPr>
                      <w:rFonts w:hint="eastAsia"/>
                      <w:color w:val="auto"/>
                      <w:sz w:val="22"/>
                      <w:szCs w:val="22"/>
                      <w:lang w:val="en-US" w:eastAsia="zh-CN"/>
                    </w:rPr>
                    <w:t>污染防治措施</w:t>
                  </w:r>
                </w:p>
              </w:tc>
              <w:tc>
                <w:tcPr>
                  <w:tcW w:w="3967" w:type="pct"/>
                  <w:shd w:val="clear" w:color="auto" w:fill="auto"/>
                  <w:noWrap w:val="0"/>
                  <w:vAlign w:val="center"/>
                </w:tcPr>
                <w:p w14:paraId="67B81B37">
                  <w:pPr>
                    <w:pStyle w:val="59"/>
                    <w:numPr>
                      <w:ilvl w:val="0"/>
                      <w:numId w:val="0"/>
                    </w:numPr>
                    <w:bidi w:val="0"/>
                    <w:jc w:val="left"/>
                    <w:rPr>
                      <w:rFonts w:hint="default"/>
                      <w:color w:val="auto"/>
                      <w:sz w:val="22"/>
                      <w:szCs w:val="22"/>
                      <w:lang w:val="en-US" w:eastAsia="zh-CN"/>
                    </w:rPr>
                  </w:pPr>
                  <w:r>
                    <w:rPr>
                      <w:rFonts w:hint="eastAsia"/>
                      <w:color w:val="auto"/>
                      <w:sz w:val="22"/>
                      <w:szCs w:val="22"/>
                      <w:lang w:val="en-US" w:eastAsia="zh-CN"/>
                    </w:rPr>
                    <w:t>施工期：</w:t>
                  </w:r>
                </w:p>
                <w:p w14:paraId="5CD53202">
                  <w:pPr>
                    <w:pStyle w:val="59"/>
                    <w:numPr>
                      <w:ilvl w:val="0"/>
                      <w:numId w:val="0"/>
                    </w:numPr>
                    <w:bidi w:val="0"/>
                    <w:jc w:val="left"/>
                    <w:rPr>
                      <w:rFonts w:hint="eastAsia"/>
                      <w:color w:val="auto"/>
                      <w:sz w:val="22"/>
                      <w:szCs w:val="22"/>
                      <w:lang w:val="en-US" w:eastAsia="zh-CN"/>
                    </w:rPr>
                  </w:pPr>
                  <w:r>
                    <w:rPr>
                      <w:rFonts w:hint="eastAsia"/>
                      <w:color w:val="auto"/>
                      <w:sz w:val="22"/>
                      <w:szCs w:val="22"/>
                      <w:lang w:val="en-US" w:eastAsia="zh-CN"/>
                    </w:rPr>
                    <w:t>①施工扬尘：施工期间堤防沿线靠近敏感点处设置临时围挡、围护；施工场地洒水降尘、遮盖；车辆运输时用篷布遮盖，限速行驶；加强施工机械和运输车辆管理、合理安排调度作业。混凝土拌和配备防尘除尘装置，采取湿法作业；施工期间堤防沿线靠近敏感点处设置临时围挡、维护。</w:t>
                  </w:r>
                </w:p>
                <w:p w14:paraId="246C77E5">
                  <w:pPr>
                    <w:pStyle w:val="59"/>
                    <w:numPr>
                      <w:ilvl w:val="0"/>
                      <w:numId w:val="0"/>
                    </w:numPr>
                    <w:bidi w:val="0"/>
                    <w:jc w:val="left"/>
                    <w:rPr>
                      <w:rFonts w:hint="eastAsia"/>
                      <w:color w:val="auto"/>
                      <w:sz w:val="22"/>
                      <w:szCs w:val="22"/>
                      <w:lang w:val="en-US" w:eastAsia="zh-CN"/>
                    </w:rPr>
                  </w:pPr>
                  <w:r>
                    <w:rPr>
                      <w:rFonts w:hint="eastAsia"/>
                      <w:color w:val="auto"/>
                      <w:sz w:val="22"/>
                      <w:szCs w:val="22"/>
                      <w:lang w:val="en-US" w:eastAsia="zh-CN"/>
                    </w:rPr>
                    <w:t>②施工机械废气：使用优质燃料，对施工机械进行定期保养和维护，禁止使用废气排放超标的车辆。</w:t>
                  </w:r>
                </w:p>
                <w:p w14:paraId="40C03C14">
                  <w:pPr>
                    <w:pStyle w:val="59"/>
                    <w:numPr>
                      <w:ilvl w:val="0"/>
                      <w:numId w:val="0"/>
                    </w:numPr>
                    <w:bidi w:val="0"/>
                    <w:jc w:val="left"/>
                    <w:rPr>
                      <w:rFonts w:hint="eastAsia"/>
                      <w:color w:val="auto"/>
                      <w:sz w:val="22"/>
                      <w:szCs w:val="22"/>
                      <w:lang w:val="en-US" w:eastAsia="zh-CN"/>
                    </w:rPr>
                  </w:pPr>
                  <w:r>
                    <w:rPr>
                      <w:rFonts w:hint="eastAsia"/>
                      <w:color w:val="auto"/>
                      <w:sz w:val="22"/>
                      <w:szCs w:val="22"/>
                      <w:lang w:val="en-US" w:eastAsia="zh-CN"/>
                    </w:rPr>
                    <w:t>③河道疏浚臭气：疏浚料开挖后在河滩进行自然晾晒，疏浚料主要为砂砾石，基本不含腐殖质，恶臭产生量较少，项目施工场地开阔，通风良好，晾晒期间喷洒除臭剂，由于施工时间有限，恶臭影响将会随着施工结束而消失。</w:t>
                  </w:r>
                </w:p>
                <w:p w14:paraId="3559C61E">
                  <w:pPr>
                    <w:pStyle w:val="59"/>
                    <w:numPr>
                      <w:ilvl w:val="0"/>
                      <w:numId w:val="0"/>
                    </w:numPr>
                    <w:bidi w:val="0"/>
                    <w:jc w:val="left"/>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运营期：</w:t>
                  </w:r>
                </w:p>
                <w:p w14:paraId="6DCBB069">
                  <w:pPr>
                    <w:pStyle w:val="59"/>
                    <w:numPr>
                      <w:ilvl w:val="0"/>
                      <w:numId w:val="0"/>
                    </w:numPr>
                    <w:bidi w:val="0"/>
                    <w:jc w:val="left"/>
                    <w:rPr>
                      <w:rFonts w:hint="eastAsia"/>
                      <w:sz w:val="22"/>
                      <w:szCs w:val="22"/>
                      <w:lang w:val="en-US" w:eastAsia="zh-CN"/>
                    </w:rPr>
                  </w:pPr>
                  <w:r>
                    <w:rPr>
                      <w:rFonts w:hint="eastAsia" w:ascii="Times New Roman" w:hAnsi="Times New Roman"/>
                      <w:color w:val="auto"/>
                      <w:sz w:val="22"/>
                      <w:szCs w:val="22"/>
                      <w:lang w:val="en-US" w:eastAsia="zh-CN"/>
                    </w:rPr>
                    <w:t>工程建成后无大气污染。</w:t>
                  </w:r>
                </w:p>
              </w:tc>
            </w:tr>
            <w:tr w14:paraId="27E2B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15" w:type="pct"/>
                  <w:vMerge w:val="continue"/>
                  <w:shd w:val="clear" w:color="auto" w:fill="auto"/>
                  <w:noWrap w:val="0"/>
                  <w:vAlign w:val="center"/>
                </w:tcPr>
                <w:p w14:paraId="4C033FDB">
                  <w:pPr>
                    <w:pStyle w:val="59"/>
                    <w:bidi w:val="0"/>
                    <w:rPr>
                      <w:sz w:val="22"/>
                      <w:szCs w:val="22"/>
                    </w:rPr>
                  </w:pPr>
                </w:p>
              </w:tc>
              <w:tc>
                <w:tcPr>
                  <w:tcW w:w="617" w:type="pct"/>
                  <w:shd w:val="clear" w:color="auto" w:fill="auto"/>
                  <w:noWrap w:val="0"/>
                  <w:vAlign w:val="center"/>
                </w:tcPr>
                <w:p w14:paraId="20F17CC1">
                  <w:pPr>
                    <w:pStyle w:val="59"/>
                    <w:numPr>
                      <w:ilvl w:val="0"/>
                      <w:numId w:val="0"/>
                    </w:numPr>
                    <w:bidi w:val="0"/>
                    <w:jc w:val="center"/>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废水</w:t>
                  </w:r>
                  <w:r>
                    <w:rPr>
                      <w:rFonts w:hint="eastAsia"/>
                      <w:color w:val="auto"/>
                      <w:sz w:val="22"/>
                      <w:szCs w:val="22"/>
                      <w:lang w:val="en-US" w:eastAsia="zh-CN"/>
                    </w:rPr>
                    <w:t>污染防治措施</w:t>
                  </w:r>
                </w:p>
              </w:tc>
              <w:tc>
                <w:tcPr>
                  <w:tcW w:w="3967" w:type="pct"/>
                  <w:shd w:val="clear" w:color="auto" w:fill="auto"/>
                  <w:noWrap w:val="0"/>
                  <w:vAlign w:val="center"/>
                </w:tcPr>
                <w:p w14:paraId="78744B71">
                  <w:pPr>
                    <w:pStyle w:val="59"/>
                    <w:numPr>
                      <w:ilvl w:val="0"/>
                      <w:numId w:val="0"/>
                    </w:numPr>
                    <w:bidi w:val="0"/>
                    <w:jc w:val="both"/>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施工期：</w:t>
                  </w:r>
                </w:p>
                <w:p w14:paraId="0EB74298">
                  <w:pPr>
                    <w:pStyle w:val="59"/>
                    <w:numPr>
                      <w:ilvl w:val="0"/>
                      <w:numId w:val="0"/>
                    </w:numPr>
                    <w:bidi w:val="0"/>
                    <w:jc w:val="both"/>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①混凝土拌合系统废水：</w:t>
                  </w:r>
                  <w:r>
                    <w:rPr>
                      <w:rFonts w:hint="eastAsia"/>
                      <w:sz w:val="22"/>
                      <w:szCs w:val="22"/>
                      <w:lang w:val="en-US" w:eastAsia="zh-CN"/>
                    </w:rPr>
                    <w:t>施工工区内</w:t>
                  </w:r>
                  <w:r>
                    <w:rPr>
                      <w:rFonts w:hint="eastAsia" w:ascii="Times New Roman" w:hAnsi="Times New Roman"/>
                      <w:color w:val="auto"/>
                      <w:sz w:val="22"/>
                      <w:szCs w:val="22"/>
                      <w:lang w:val="en-US" w:eastAsia="zh-CN"/>
                    </w:rPr>
                    <w:t>设置</w:t>
                  </w:r>
                  <w:r>
                    <w:rPr>
                      <w:rFonts w:hint="eastAsia"/>
                      <w:color w:val="auto"/>
                      <w:sz w:val="22"/>
                      <w:szCs w:val="22"/>
                      <w:lang w:val="en-US" w:eastAsia="zh-CN"/>
                    </w:rPr>
                    <w:t>2个隔油</w:t>
                  </w:r>
                  <w:r>
                    <w:rPr>
                      <w:rFonts w:hint="eastAsia" w:ascii="Times New Roman" w:hAnsi="Times New Roman"/>
                      <w:color w:val="auto"/>
                      <w:sz w:val="22"/>
                      <w:szCs w:val="22"/>
                      <w:lang w:val="en-US" w:eastAsia="zh-CN"/>
                    </w:rPr>
                    <w:t>沉淀池，废水经沉淀处理后全部回用于混凝土拌合系统，不外排。</w:t>
                  </w:r>
                </w:p>
                <w:p w14:paraId="712C5866">
                  <w:pPr>
                    <w:pStyle w:val="59"/>
                    <w:numPr>
                      <w:ilvl w:val="0"/>
                      <w:numId w:val="0"/>
                    </w:numPr>
                    <w:bidi w:val="0"/>
                    <w:jc w:val="both"/>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②</w:t>
                  </w:r>
                  <w:r>
                    <w:rPr>
                      <w:rFonts w:hint="eastAsia"/>
                      <w:color w:val="auto"/>
                      <w:sz w:val="22"/>
                      <w:szCs w:val="22"/>
                      <w:lang w:val="en-US" w:eastAsia="zh-CN"/>
                    </w:rPr>
                    <w:t>机械设备冲洗</w:t>
                  </w:r>
                  <w:r>
                    <w:rPr>
                      <w:rFonts w:hint="eastAsia" w:ascii="Times New Roman" w:hAnsi="Times New Roman"/>
                      <w:color w:val="auto"/>
                      <w:sz w:val="22"/>
                      <w:szCs w:val="22"/>
                      <w:lang w:val="en-US" w:eastAsia="zh-CN"/>
                    </w:rPr>
                    <w:t>废水：</w:t>
                  </w:r>
                  <w:r>
                    <w:rPr>
                      <w:rFonts w:hint="eastAsia"/>
                      <w:sz w:val="22"/>
                      <w:szCs w:val="22"/>
                      <w:lang w:val="en-US" w:eastAsia="zh-CN"/>
                    </w:rPr>
                    <w:t>通过施工工区内的</w:t>
                  </w:r>
                  <w:r>
                    <w:rPr>
                      <w:rFonts w:hint="eastAsia"/>
                      <w:sz w:val="22"/>
                      <w:szCs w:val="22"/>
                    </w:rPr>
                    <w:t>隔油沉淀池</w:t>
                  </w:r>
                  <w:r>
                    <w:rPr>
                      <w:rFonts w:hint="eastAsia"/>
                      <w:sz w:val="22"/>
                      <w:szCs w:val="22"/>
                      <w:lang w:val="en-US" w:eastAsia="zh-CN"/>
                    </w:rPr>
                    <w:t>处理</w:t>
                  </w:r>
                  <w:r>
                    <w:rPr>
                      <w:rFonts w:hint="eastAsia"/>
                      <w:sz w:val="22"/>
                      <w:szCs w:val="22"/>
                    </w:rPr>
                    <w:t>，废水经隔油、沉淀处理后全部回用于施工场地洒水抑尘，不外排</w:t>
                  </w:r>
                  <w:r>
                    <w:rPr>
                      <w:rFonts w:hint="eastAsia" w:ascii="Times New Roman" w:hAnsi="Times New Roman"/>
                      <w:color w:val="auto"/>
                      <w:sz w:val="22"/>
                      <w:szCs w:val="22"/>
                      <w:lang w:val="en-US" w:eastAsia="zh-CN"/>
                    </w:rPr>
                    <w:t>。</w:t>
                  </w:r>
                </w:p>
                <w:p w14:paraId="4AF7D40A">
                  <w:pPr>
                    <w:pStyle w:val="59"/>
                    <w:numPr>
                      <w:ilvl w:val="0"/>
                      <w:numId w:val="0"/>
                    </w:numPr>
                    <w:bidi w:val="0"/>
                    <w:jc w:val="both"/>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③基坑排水：采用混凝土管配潜水泵抽排水，排水管端部</w:t>
                  </w:r>
                  <w:r>
                    <w:rPr>
                      <w:rFonts w:hint="eastAsia"/>
                      <w:color w:val="auto"/>
                      <w:sz w:val="22"/>
                      <w:szCs w:val="22"/>
                      <w:lang w:val="en-US" w:eastAsia="zh-CN"/>
                    </w:rPr>
                    <w:t>接入施工工区的隔油</w:t>
                  </w:r>
                  <w:r>
                    <w:rPr>
                      <w:rFonts w:hint="eastAsia" w:ascii="Times New Roman" w:hAnsi="Times New Roman"/>
                      <w:color w:val="auto"/>
                      <w:sz w:val="22"/>
                      <w:szCs w:val="22"/>
                      <w:lang w:val="en-US" w:eastAsia="zh-CN"/>
                    </w:rPr>
                    <w:t>沉淀池，基坑废水及地面径流水经</w:t>
                  </w:r>
                  <w:r>
                    <w:rPr>
                      <w:rFonts w:hint="eastAsia"/>
                      <w:color w:val="auto"/>
                      <w:sz w:val="22"/>
                      <w:szCs w:val="22"/>
                      <w:lang w:val="en-US" w:eastAsia="zh-CN"/>
                    </w:rPr>
                    <w:t>隔油</w:t>
                  </w:r>
                  <w:r>
                    <w:rPr>
                      <w:rFonts w:hint="eastAsia" w:ascii="Times New Roman" w:hAnsi="Times New Roman"/>
                      <w:color w:val="auto"/>
                      <w:sz w:val="22"/>
                      <w:szCs w:val="22"/>
                      <w:lang w:val="en-US" w:eastAsia="zh-CN"/>
                    </w:rPr>
                    <w:t>沉淀池处理后用于洒水降尘，不外排。</w:t>
                  </w:r>
                </w:p>
                <w:p w14:paraId="342E10AE">
                  <w:pPr>
                    <w:pStyle w:val="59"/>
                    <w:numPr>
                      <w:ilvl w:val="0"/>
                      <w:numId w:val="0"/>
                    </w:numPr>
                    <w:bidi w:val="0"/>
                    <w:jc w:val="both"/>
                    <w:rPr>
                      <w:rFonts w:hint="eastAsia" w:ascii="Times New Roman" w:hAnsi="Times New Roman"/>
                      <w:color w:val="auto"/>
                      <w:sz w:val="22"/>
                      <w:szCs w:val="22"/>
                      <w:lang w:val="en-US" w:eastAsia="zh-CN"/>
                    </w:rPr>
                  </w:pPr>
                  <w:r>
                    <w:rPr>
                      <w:rFonts w:hint="eastAsia"/>
                      <w:color w:val="auto"/>
                      <w:sz w:val="22"/>
                      <w:szCs w:val="22"/>
                      <w:lang w:val="en-US" w:eastAsia="zh-CN"/>
                    </w:rPr>
                    <w:t>④</w:t>
                  </w:r>
                  <w:r>
                    <w:rPr>
                      <w:rFonts w:hint="eastAsia" w:ascii="Times New Roman" w:hAnsi="Times New Roman"/>
                      <w:color w:val="auto"/>
                      <w:sz w:val="22"/>
                      <w:szCs w:val="22"/>
                      <w:lang w:val="en-US" w:eastAsia="zh-CN"/>
                    </w:rPr>
                    <w:t>河道</w:t>
                  </w:r>
                  <w:r>
                    <w:rPr>
                      <w:rFonts w:hint="eastAsia"/>
                      <w:color w:val="auto"/>
                      <w:sz w:val="22"/>
                      <w:szCs w:val="22"/>
                      <w:lang w:val="en-US" w:eastAsia="zh-CN"/>
                    </w:rPr>
                    <w:t>疏浚</w:t>
                  </w:r>
                  <w:r>
                    <w:rPr>
                      <w:rFonts w:hint="eastAsia" w:ascii="Times New Roman" w:hAnsi="Times New Roman"/>
                      <w:color w:val="auto"/>
                      <w:sz w:val="22"/>
                      <w:szCs w:val="22"/>
                      <w:lang w:val="en-US" w:eastAsia="zh-CN"/>
                    </w:rPr>
                    <w:t>滤水：河道</w:t>
                  </w:r>
                  <w:r>
                    <w:rPr>
                      <w:rFonts w:hint="eastAsia"/>
                      <w:color w:val="auto"/>
                      <w:sz w:val="22"/>
                      <w:szCs w:val="22"/>
                      <w:lang w:val="en-US" w:eastAsia="zh-CN"/>
                    </w:rPr>
                    <w:t>疏浚</w:t>
                  </w:r>
                  <w:r>
                    <w:rPr>
                      <w:rFonts w:hint="eastAsia" w:ascii="Times New Roman" w:hAnsi="Times New Roman"/>
                      <w:color w:val="auto"/>
                      <w:sz w:val="22"/>
                      <w:szCs w:val="22"/>
                      <w:lang w:val="en-US" w:eastAsia="zh-CN"/>
                    </w:rPr>
                    <w:t>产生泥沙滤水，经</w:t>
                  </w:r>
                  <w:r>
                    <w:rPr>
                      <w:rFonts w:hint="eastAsia"/>
                      <w:color w:val="auto"/>
                      <w:sz w:val="22"/>
                      <w:szCs w:val="22"/>
                      <w:lang w:val="en-US" w:eastAsia="zh-CN"/>
                    </w:rPr>
                    <w:t>隔油</w:t>
                  </w:r>
                  <w:r>
                    <w:rPr>
                      <w:rFonts w:hint="eastAsia" w:ascii="Times New Roman" w:hAnsi="Times New Roman"/>
                      <w:color w:val="auto"/>
                      <w:sz w:val="22"/>
                      <w:szCs w:val="22"/>
                      <w:lang w:val="en-US" w:eastAsia="zh-CN"/>
                    </w:rPr>
                    <w:t>沉淀池处理后回用于施工场地洒水抑尘，不外排</w:t>
                  </w:r>
                  <w:r>
                    <w:rPr>
                      <w:rFonts w:hint="eastAsia"/>
                      <w:color w:val="auto"/>
                      <w:sz w:val="22"/>
                      <w:szCs w:val="22"/>
                      <w:lang w:val="en-US" w:eastAsia="zh-CN"/>
                    </w:rPr>
                    <w:t>。</w:t>
                  </w:r>
                </w:p>
                <w:p w14:paraId="245DA9F6">
                  <w:pPr>
                    <w:pStyle w:val="59"/>
                    <w:numPr>
                      <w:ilvl w:val="0"/>
                      <w:numId w:val="0"/>
                    </w:numPr>
                    <w:bidi w:val="0"/>
                    <w:jc w:val="both"/>
                    <w:rPr>
                      <w:rFonts w:hint="eastAsia" w:ascii="Times New Roman" w:hAnsi="Times New Roman"/>
                      <w:color w:val="auto"/>
                      <w:sz w:val="22"/>
                      <w:szCs w:val="22"/>
                      <w:lang w:val="en-US" w:eastAsia="zh-CN"/>
                    </w:rPr>
                  </w:pPr>
                  <w:r>
                    <w:rPr>
                      <w:rFonts w:hint="eastAsia"/>
                      <w:color w:val="auto"/>
                      <w:sz w:val="22"/>
                      <w:szCs w:val="22"/>
                      <w:lang w:val="en-US" w:eastAsia="zh-CN"/>
                    </w:rPr>
                    <w:t>⑤</w:t>
                  </w:r>
                  <w:r>
                    <w:rPr>
                      <w:rFonts w:hint="eastAsia" w:ascii="Times New Roman" w:hAnsi="Times New Roman"/>
                      <w:color w:val="auto"/>
                      <w:sz w:val="22"/>
                      <w:szCs w:val="22"/>
                      <w:lang w:val="en-US" w:eastAsia="zh-CN"/>
                    </w:rPr>
                    <w:t>生活污水：施工场地生活污水依托附近民宅既有污水处理设施收集处理。</w:t>
                  </w:r>
                </w:p>
                <w:p w14:paraId="3D12E9C9">
                  <w:pPr>
                    <w:pStyle w:val="59"/>
                    <w:numPr>
                      <w:ilvl w:val="0"/>
                      <w:numId w:val="0"/>
                    </w:numPr>
                    <w:bidi w:val="0"/>
                    <w:jc w:val="both"/>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运营期：</w:t>
                  </w:r>
                </w:p>
                <w:p w14:paraId="4AB74DAC">
                  <w:pPr>
                    <w:pStyle w:val="59"/>
                    <w:numPr>
                      <w:ilvl w:val="0"/>
                      <w:numId w:val="0"/>
                    </w:numPr>
                    <w:bidi w:val="0"/>
                    <w:jc w:val="both"/>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工程建成后无废水污染。</w:t>
                  </w:r>
                </w:p>
              </w:tc>
            </w:tr>
            <w:tr w14:paraId="51ACE5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15" w:type="pct"/>
                  <w:vMerge w:val="continue"/>
                  <w:shd w:val="clear" w:color="auto" w:fill="auto"/>
                  <w:noWrap w:val="0"/>
                  <w:vAlign w:val="center"/>
                </w:tcPr>
                <w:p w14:paraId="7B02362B">
                  <w:pPr>
                    <w:pStyle w:val="59"/>
                    <w:bidi w:val="0"/>
                    <w:rPr>
                      <w:sz w:val="22"/>
                      <w:szCs w:val="22"/>
                    </w:rPr>
                  </w:pPr>
                </w:p>
              </w:tc>
              <w:tc>
                <w:tcPr>
                  <w:tcW w:w="617" w:type="pct"/>
                  <w:shd w:val="clear" w:color="auto" w:fill="auto"/>
                  <w:noWrap w:val="0"/>
                  <w:vAlign w:val="center"/>
                </w:tcPr>
                <w:p w14:paraId="12848B13">
                  <w:pPr>
                    <w:pStyle w:val="59"/>
                    <w:bidi w:val="0"/>
                    <w:rPr>
                      <w:rFonts w:hint="eastAsia" w:eastAsia="宋体"/>
                      <w:sz w:val="22"/>
                      <w:szCs w:val="22"/>
                      <w:lang w:val="en-US" w:eastAsia="zh-CN"/>
                    </w:rPr>
                  </w:pPr>
                  <w:r>
                    <w:rPr>
                      <w:rFonts w:hint="eastAsia"/>
                      <w:sz w:val="22"/>
                      <w:szCs w:val="22"/>
                      <w:lang w:val="en-US" w:eastAsia="zh-CN"/>
                    </w:rPr>
                    <w:t>噪声</w:t>
                  </w:r>
                  <w:r>
                    <w:rPr>
                      <w:rFonts w:hint="eastAsia"/>
                      <w:color w:val="auto"/>
                      <w:sz w:val="22"/>
                      <w:szCs w:val="22"/>
                      <w:lang w:val="en-US" w:eastAsia="zh-CN"/>
                    </w:rPr>
                    <w:t>污染防治措施</w:t>
                  </w:r>
                </w:p>
              </w:tc>
              <w:tc>
                <w:tcPr>
                  <w:tcW w:w="3967" w:type="pct"/>
                  <w:shd w:val="clear" w:color="auto" w:fill="auto"/>
                  <w:noWrap w:val="0"/>
                  <w:vAlign w:val="center"/>
                </w:tcPr>
                <w:p w14:paraId="1AC92C0A">
                  <w:pPr>
                    <w:pStyle w:val="59"/>
                    <w:numPr>
                      <w:ilvl w:val="0"/>
                      <w:numId w:val="0"/>
                    </w:numPr>
                    <w:bidi w:val="0"/>
                    <w:jc w:val="left"/>
                    <w:rPr>
                      <w:rFonts w:hint="eastAsia"/>
                      <w:color w:val="auto"/>
                      <w:sz w:val="22"/>
                      <w:szCs w:val="22"/>
                      <w:lang w:val="en-US" w:eastAsia="zh-CN"/>
                    </w:rPr>
                  </w:pPr>
                  <w:r>
                    <w:rPr>
                      <w:rFonts w:hint="eastAsia"/>
                      <w:color w:val="auto"/>
                      <w:sz w:val="22"/>
                      <w:szCs w:val="22"/>
                      <w:lang w:val="en-US" w:eastAsia="zh-CN"/>
                    </w:rPr>
                    <w:t>施工期：</w:t>
                  </w:r>
                </w:p>
                <w:p w14:paraId="084C8394">
                  <w:pPr>
                    <w:pStyle w:val="59"/>
                    <w:numPr>
                      <w:ilvl w:val="0"/>
                      <w:numId w:val="0"/>
                    </w:numPr>
                    <w:bidi w:val="0"/>
                    <w:jc w:val="left"/>
                    <w:rPr>
                      <w:rFonts w:hint="eastAsia"/>
                      <w:color w:val="auto"/>
                      <w:sz w:val="22"/>
                      <w:szCs w:val="22"/>
                      <w:lang w:val="en-US" w:eastAsia="zh-CN"/>
                    </w:rPr>
                  </w:pPr>
                  <w:r>
                    <w:rPr>
                      <w:rFonts w:hint="eastAsia"/>
                      <w:color w:val="auto"/>
                      <w:sz w:val="22"/>
                      <w:szCs w:val="22"/>
                      <w:lang w:val="en-US" w:eastAsia="zh-CN"/>
                    </w:rPr>
                    <w:t>靠近居民等敏感点一侧设置围挡、局部吸声、隔声降噪等；选用低噪声设备；合理安排施工时间，禁止夜间、中午期间施工；合理安排施工工序；严格施工现场管理，进行文明施工等；敏感路段设置禁止鸣笛和减速标志牌。</w:t>
                  </w:r>
                </w:p>
                <w:p w14:paraId="4077637E">
                  <w:pPr>
                    <w:pStyle w:val="59"/>
                    <w:numPr>
                      <w:ilvl w:val="0"/>
                      <w:numId w:val="0"/>
                    </w:numPr>
                    <w:bidi w:val="0"/>
                    <w:jc w:val="left"/>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运营期：</w:t>
                  </w:r>
                </w:p>
                <w:p w14:paraId="118EC803">
                  <w:pPr>
                    <w:pStyle w:val="59"/>
                    <w:numPr>
                      <w:ilvl w:val="0"/>
                      <w:numId w:val="0"/>
                    </w:numPr>
                    <w:bidi w:val="0"/>
                    <w:jc w:val="left"/>
                    <w:rPr>
                      <w:rFonts w:hint="eastAsia"/>
                      <w:sz w:val="22"/>
                      <w:szCs w:val="22"/>
                      <w:lang w:val="en-US" w:eastAsia="zh-CN"/>
                    </w:rPr>
                  </w:pPr>
                  <w:r>
                    <w:rPr>
                      <w:rFonts w:hint="eastAsia" w:ascii="Times New Roman" w:hAnsi="Times New Roman"/>
                      <w:color w:val="auto"/>
                      <w:sz w:val="22"/>
                      <w:szCs w:val="22"/>
                      <w:lang w:val="en-US" w:eastAsia="zh-CN"/>
                    </w:rPr>
                    <w:t>工程建成后无噪声污染。</w:t>
                  </w:r>
                </w:p>
              </w:tc>
            </w:tr>
            <w:tr w14:paraId="53820E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314790DE">
                  <w:pPr>
                    <w:pStyle w:val="59"/>
                    <w:bidi w:val="0"/>
                    <w:rPr>
                      <w:sz w:val="22"/>
                      <w:szCs w:val="22"/>
                    </w:rPr>
                  </w:pPr>
                </w:p>
              </w:tc>
              <w:tc>
                <w:tcPr>
                  <w:tcW w:w="617" w:type="pct"/>
                  <w:shd w:val="clear" w:color="auto" w:fill="auto"/>
                  <w:noWrap w:val="0"/>
                  <w:vAlign w:val="center"/>
                </w:tcPr>
                <w:p w14:paraId="1D4319F1">
                  <w:pPr>
                    <w:pStyle w:val="59"/>
                    <w:bidi w:val="0"/>
                    <w:rPr>
                      <w:rFonts w:hint="default" w:eastAsia="宋体"/>
                      <w:color w:val="auto"/>
                      <w:sz w:val="22"/>
                      <w:szCs w:val="22"/>
                      <w:lang w:val="en-US" w:eastAsia="zh-CN"/>
                    </w:rPr>
                  </w:pPr>
                  <w:r>
                    <w:rPr>
                      <w:rFonts w:hint="eastAsia"/>
                      <w:color w:val="auto"/>
                      <w:sz w:val="22"/>
                      <w:szCs w:val="22"/>
                    </w:rPr>
                    <w:t>固废</w:t>
                  </w:r>
                  <w:r>
                    <w:rPr>
                      <w:rFonts w:hint="eastAsia"/>
                      <w:color w:val="auto"/>
                      <w:sz w:val="22"/>
                      <w:szCs w:val="22"/>
                      <w:lang w:val="en-US" w:eastAsia="zh-CN"/>
                    </w:rPr>
                    <w:t>污染防治措施</w:t>
                  </w:r>
                </w:p>
              </w:tc>
              <w:tc>
                <w:tcPr>
                  <w:tcW w:w="3967" w:type="pct"/>
                  <w:shd w:val="clear" w:color="auto" w:fill="auto"/>
                  <w:noWrap w:val="0"/>
                  <w:vAlign w:val="center"/>
                </w:tcPr>
                <w:p w14:paraId="37317778">
                  <w:pPr>
                    <w:pStyle w:val="59"/>
                    <w:bidi w:val="0"/>
                    <w:jc w:val="left"/>
                    <w:rPr>
                      <w:rFonts w:hint="default"/>
                      <w:color w:val="auto"/>
                      <w:sz w:val="22"/>
                      <w:szCs w:val="22"/>
                      <w:lang w:val="en-US" w:eastAsia="zh-CN"/>
                    </w:rPr>
                  </w:pPr>
                  <w:r>
                    <w:rPr>
                      <w:rFonts w:hint="eastAsia"/>
                      <w:color w:val="auto"/>
                      <w:sz w:val="22"/>
                      <w:szCs w:val="22"/>
                      <w:lang w:val="en-US" w:eastAsia="zh-CN"/>
                    </w:rPr>
                    <w:t>施工期：</w:t>
                  </w:r>
                </w:p>
                <w:p w14:paraId="2B045EA0">
                  <w:pPr>
                    <w:pStyle w:val="59"/>
                    <w:bidi w:val="0"/>
                    <w:jc w:val="left"/>
                    <w:rPr>
                      <w:rFonts w:hint="eastAsia"/>
                      <w:color w:val="auto"/>
                      <w:sz w:val="22"/>
                      <w:szCs w:val="22"/>
                      <w:lang w:val="en-US" w:eastAsia="zh-CN"/>
                    </w:rPr>
                  </w:pPr>
                  <w:r>
                    <w:rPr>
                      <w:rFonts w:hint="eastAsia"/>
                      <w:color w:val="auto"/>
                      <w:sz w:val="22"/>
                      <w:szCs w:val="22"/>
                      <w:lang w:val="en-US" w:eastAsia="zh-CN"/>
                    </w:rPr>
                    <w:t>①建筑垃圾：施工建筑废物需集中收集，进行回收利用，无法回收利用的按相关管理部门要求运至指定地点规范化处置。</w:t>
                  </w:r>
                </w:p>
                <w:p w14:paraId="3809FA03">
                  <w:pPr>
                    <w:pStyle w:val="59"/>
                    <w:bidi w:val="0"/>
                    <w:jc w:val="left"/>
                    <w:rPr>
                      <w:rFonts w:hint="eastAsia"/>
                      <w:color w:val="auto"/>
                      <w:sz w:val="22"/>
                      <w:szCs w:val="22"/>
                      <w:lang w:val="en-US" w:eastAsia="zh-CN"/>
                    </w:rPr>
                  </w:pPr>
                  <w:r>
                    <w:rPr>
                      <w:rFonts w:hint="eastAsia"/>
                      <w:color w:val="auto"/>
                      <w:sz w:val="22"/>
                      <w:szCs w:val="22"/>
                      <w:lang w:val="en-US" w:eastAsia="zh-CN"/>
                    </w:rPr>
                    <w:t>②土石方：土石方开挖，剥离的表土暂时堆存在临时堆料场，施工结束后用于生态护坡覆土，土石方（含疏浚）全部用于围堰填筑和堤身填筑，合理利用了开挖的土石方，无多余弃方。土石方堆置期间采用拦挡和截排、苫盖措施，防止水土流失。</w:t>
                  </w:r>
                </w:p>
                <w:p w14:paraId="2B4D4364">
                  <w:pPr>
                    <w:pStyle w:val="59"/>
                    <w:bidi w:val="0"/>
                    <w:jc w:val="left"/>
                    <w:rPr>
                      <w:rFonts w:hint="eastAsia"/>
                      <w:color w:val="auto"/>
                      <w:sz w:val="22"/>
                      <w:szCs w:val="22"/>
                      <w:lang w:val="en-US" w:eastAsia="zh-CN"/>
                    </w:rPr>
                  </w:pPr>
                  <w:r>
                    <w:rPr>
                      <w:rFonts w:hint="eastAsia"/>
                      <w:color w:val="auto"/>
                      <w:sz w:val="22"/>
                      <w:szCs w:val="22"/>
                      <w:lang w:val="en-US" w:eastAsia="zh-CN"/>
                    </w:rPr>
                    <w:t>③疏浚砂卵石：疏浚料大部分为卵砾石，局部河段为粉砂，疏浚料就近河道晒干后用于堤身填筑、围堰填筑，禁止外售。</w:t>
                  </w:r>
                </w:p>
                <w:p w14:paraId="6C0A49A0">
                  <w:pPr>
                    <w:pStyle w:val="59"/>
                    <w:bidi w:val="0"/>
                    <w:jc w:val="left"/>
                    <w:rPr>
                      <w:rFonts w:hint="eastAsia"/>
                      <w:color w:val="auto"/>
                      <w:sz w:val="22"/>
                      <w:szCs w:val="22"/>
                      <w:lang w:val="en-US" w:eastAsia="zh-CN"/>
                    </w:rPr>
                  </w:pPr>
                  <w:r>
                    <w:rPr>
                      <w:rFonts w:hint="eastAsia"/>
                      <w:color w:val="auto"/>
                      <w:sz w:val="22"/>
                      <w:szCs w:val="22"/>
                      <w:lang w:val="en-US" w:eastAsia="zh-CN"/>
                    </w:rPr>
                    <w:t>④生活垃圾：设置生活垃圾桶，统一收集后就近运至附近居民区垃圾收集点，由当地环卫部门清运处置。</w:t>
                  </w:r>
                </w:p>
                <w:p w14:paraId="1ACB41A2">
                  <w:pPr>
                    <w:pStyle w:val="59"/>
                    <w:bidi w:val="0"/>
                    <w:jc w:val="left"/>
                    <w:rPr>
                      <w:rFonts w:hint="eastAsia" w:ascii="Times New Roman" w:hAnsi="Times New Roman"/>
                      <w:color w:val="auto"/>
                      <w:sz w:val="22"/>
                      <w:szCs w:val="22"/>
                      <w:lang w:val="en-US" w:eastAsia="zh-CN"/>
                    </w:rPr>
                  </w:pPr>
                  <w:r>
                    <w:rPr>
                      <w:rFonts w:hint="eastAsia" w:ascii="Times New Roman" w:hAnsi="Times New Roman"/>
                      <w:color w:val="auto"/>
                      <w:sz w:val="22"/>
                      <w:szCs w:val="22"/>
                      <w:lang w:val="en-US" w:eastAsia="zh-CN"/>
                    </w:rPr>
                    <w:t>运营期：</w:t>
                  </w:r>
                </w:p>
                <w:p w14:paraId="677A89E4">
                  <w:pPr>
                    <w:pStyle w:val="59"/>
                    <w:bidi w:val="0"/>
                    <w:jc w:val="left"/>
                    <w:rPr>
                      <w:rFonts w:hint="eastAsia"/>
                      <w:sz w:val="22"/>
                      <w:szCs w:val="22"/>
                    </w:rPr>
                  </w:pPr>
                  <w:r>
                    <w:rPr>
                      <w:rFonts w:hint="eastAsia" w:ascii="Times New Roman" w:hAnsi="Times New Roman"/>
                      <w:color w:val="auto"/>
                      <w:sz w:val="22"/>
                      <w:szCs w:val="22"/>
                      <w:lang w:val="en-US" w:eastAsia="zh-CN"/>
                    </w:rPr>
                    <w:t>工程建成后无固体废物污染。</w:t>
                  </w:r>
                </w:p>
              </w:tc>
            </w:tr>
            <w:tr w14:paraId="70B5D3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 w:type="pct"/>
                  <w:vMerge w:val="continue"/>
                  <w:shd w:val="clear" w:color="auto" w:fill="auto"/>
                  <w:noWrap w:val="0"/>
                  <w:vAlign w:val="center"/>
                </w:tcPr>
                <w:p w14:paraId="1BAC881C">
                  <w:pPr>
                    <w:pStyle w:val="59"/>
                    <w:bidi w:val="0"/>
                    <w:rPr>
                      <w:sz w:val="22"/>
                      <w:szCs w:val="22"/>
                    </w:rPr>
                  </w:pPr>
                </w:p>
              </w:tc>
              <w:tc>
                <w:tcPr>
                  <w:tcW w:w="617" w:type="pct"/>
                  <w:shd w:val="clear" w:color="auto" w:fill="auto"/>
                  <w:noWrap w:val="0"/>
                  <w:vAlign w:val="center"/>
                </w:tcPr>
                <w:p w14:paraId="27EFD3AC">
                  <w:pPr>
                    <w:pStyle w:val="59"/>
                    <w:bidi w:val="0"/>
                    <w:rPr>
                      <w:rFonts w:hint="default" w:eastAsia="宋体"/>
                      <w:color w:val="auto"/>
                      <w:sz w:val="22"/>
                      <w:szCs w:val="22"/>
                      <w:lang w:val="en-US" w:eastAsia="zh-CN"/>
                    </w:rPr>
                  </w:pPr>
                  <w:r>
                    <w:rPr>
                      <w:rFonts w:hint="eastAsia"/>
                      <w:color w:val="auto"/>
                      <w:sz w:val="22"/>
                      <w:szCs w:val="22"/>
                    </w:rPr>
                    <w:t>生态</w:t>
                  </w:r>
                  <w:r>
                    <w:rPr>
                      <w:rFonts w:hint="eastAsia"/>
                      <w:color w:val="auto"/>
                      <w:sz w:val="22"/>
                      <w:szCs w:val="22"/>
                      <w:lang w:val="en-US" w:eastAsia="zh-CN"/>
                    </w:rPr>
                    <w:t>保护措施</w:t>
                  </w:r>
                </w:p>
              </w:tc>
              <w:tc>
                <w:tcPr>
                  <w:tcW w:w="3967" w:type="pct"/>
                  <w:shd w:val="clear" w:color="auto" w:fill="auto"/>
                  <w:noWrap w:val="0"/>
                  <w:vAlign w:val="center"/>
                </w:tcPr>
                <w:p w14:paraId="4209416A">
                  <w:pPr>
                    <w:pStyle w:val="59"/>
                    <w:bidi w:val="0"/>
                    <w:jc w:val="left"/>
                    <w:rPr>
                      <w:rFonts w:hint="default"/>
                      <w:color w:val="auto"/>
                      <w:sz w:val="22"/>
                      <w:szCs w:val="22"/>
                      <w:lang w:val="en-US" w:eastAsia="zh-CN"/>
                    </w:rPr>
                  </w:pPr>
                  <w:r>
                    <w:rPr>
                      <w:rFonts w:hint="eastAsia"/>
                      <w:color w:val="auto"/>
                      <w:sz w:val="22"/>
                      <w:szCs w:val="22"/>
                      <w:lang w:val="en-US" w:eastAsia="zh-CN"/>
                    </w:rPr>
                    <w:t>施工期：</w:t>
                  </w:r>
                </w:p>
                <w:p w14:paraId="6C2494A8">
                  <w:pPr>
                    <w:pStyle w:val="59"/>
                    <w:bidi w:val="0"/>
                    <w:jc w:val="left"/>
                    <w:rPr>
                      <w:rFonts w:hint="eastAsia"/>
                      <w:color w:val="auto"/>
                      <w:sz w:val="22"/>
                      <w:szCs w:val="22"/>
                      <w:lang w:val="en-US" w:eastAsia="zh-CN"/>
                    </w:rPr>
                  </w:pPr>
                  <w:r>
                    <w:rPr>
                      <w:rFonts w:hint="eastAsia"/>
                      <w:color w:val="auto"/>
                      <w:sz w:val="22"/>
                      <w:szCs w:val="22"/>
                      <w:lang w:val="en-US" w:eastAsia="zh-CN"/>
                    </w:rPr>
                    <w:t>堤防工程采用人工种草护坡，通过人工在边坡坡面简单播撒草，并通过人工洒水保养。临时施工工区、临时施工道路等场地待施工结束后，拆除建筑物，对场地进行平整、复耕，恢复植被；选择枯水期施工期，施工围堰进行覆膜，防治河水浑浊；设置截排水沟，防止水土流失；禁止在河道内采砂，禁止施工人员电鱼、炸鱼等。</w:t>
                  </w:r>
                </w:p>
                <w:p w14:paraId="6BFEE6F1">
                  <w:pPr>
                    <w:pStyle w:val="59"/>
                    <w:bidi w:val="0"/>
                    <w:jc w:val="left"/>
                    <w:rPr>
                      <w:rFonts w:hint="eastAsia"/>
                      <w:color w:val="auto"/>
                      <w:sz w:val="22"/>
                      <w:szCs w:val="22"/>
                      <w:lang w:val="en-US" w:eastAsia="zh-CN"/>
                    </w:rPr>
                  </w:pPr>
                  <w:r>
                    <w:rPr>
                      <w:rFonts w:hint="eastAsia"/>
                      <w:color w:val="auto"/>
                      <w:sz w:val="22"/>
                      <w:szCs w:val="22"/>
                      <w:lang w:val="en-US" w:eastAsia="zh-CN"/>
                    </w:rPr>
                    <w:t>运营期：</w:t>
                  </w:r>
                </w:p>
                <w:p w14:paraId="485E365B">
                  <w:pPr>
                    <w:pStyle w:val="59"/>
                    <w:bidi w:val="0"/>
                    <w:jc w:val="left"/>
                    <w:rPr>
                      <w:rFonts w:hint="default"/>
                      <w:color w:val="auto"/>
                      <w:sz w:val="22"/>
                      <w:szCs w:val="22"/>
                      <w:lang w:val="en-US"/>
                    </w:rPr>
                  </w:pPr>
                  <w:r>
                    <w:rPr>
                      <w:rFonts w:hint="default" w:ascii="Times New Roman" w:hAnsi="Times New Roman"/>
                      <w:color w:val="auto"/>
                      <w:sz w:val="22"/>
                      <w:szCs w:val="22"/>
                      <w:lang w:val="en-US" w:eastAsia="zh-CN"/>
                    </w:rPr>
                    <w:t>加强堤防沿线植被管理，及时进行绿化植物的补种、修剪和维护，并定期喷洒农药，减少病虫害，保证区域绿化植被的景观效果及防治水土流失效果。</w:t>
                  </w:r>
                </w:p>
              </w:tc>
            </w:tr>
          </w:tbl>
          <w:p w14:paraId="245ED706">
            <w:pPr>
              <w:pStyle w:val="4"/>
              <w:rPr>
                <w:rFonts w:hint="eastAsia"/>
                <w:lang w:val="en-US" w:eastAsia="zh-CN"/>
              </w:rPr>
            </w:pPr>
            <w:bookmarkStart w:id="48" w:name="_Toc23410"/>
            <w:r>
              <w:rPr>
                <w:rFonts w:hint="eastAsia"/>
                <w:lang w:val="en-US" w:eastAsia="zh-CN"/>
              </w:rPr>
              <w:t>工程特性表</w:t>
            </w:r>
            <w:bookmarkEnd w:id="48"/>
          </w:p>
          <w:p w14:paraId="13873477">
            <w:pPr>
              <w:pStyle w:val="6"/>
              <w:bidi w:val="0"/>
              <w:rPr>
                <w:rFonts w:hint="eastAsia"/>
                <w:lang w:val="en-US" w:eastAsia="zh-CN"/>
              </w:rPr>
            </w:pPr>
            <w:r>
              <w:rPr>
                <w:rFonts w:hint="eastAsia"/>
                <w:lang w:val="en-US" w:eastAsia="zh-CN"/>
              </w:rPr>
              <w:t>根据《四川省宣汉县新宁河天生镇防洪治理工程初步设计报告》，本项目各工程主要工程量见下表。</w:t>
            </w:r>
          </w:p>
          <w:p w14:paraId="3B26A197">
            <w:pPr>
              <w:pStyle w:val="7"/>
              <w:bidi w:val="0"/>
              <w:rPr>
                <w:rFonts w:hint="eastAsia"/>
                <w:lang w:val="en-US" w:eastAsia="zh-CN"/>
              </w:rPr>
            </w:pPr>
            <w:r>
              <w:rPr>
                <w:rFonts w:hint="eastAsia"/>
                <w:lang w:val="en-US" w:eastAsia="zh-CN"/>
              </w:rPr>
              <w:t xml:space="preserve">  工程特性表</w:t>
            </w:r>
          </w:p>
          <w:tbl>
            <w:tblPr>
              <w:tblStyle w:val="65"/>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736"/>
              <w:gridCol w:w="2097"/>
              <w:gridCol w:w="1641"/>
              <w:gridCol w:w="1625"/>
              <w:gridCol w:w="1919"/>
            </w:tblGrid>
            <w:tr w14:paraId="442AF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restart"/>
                  <w:tcBorders>
                    <w:top w:val="single" w:color="000000" w:sz="10" w:space="0"/>
                    <w:left w:val="nil"/>
                    <w:bottom w:val="nil"/>
                  </w:tcBorders>
                  <w:vAlign w:val="center"/>
                </w:tcPr>
                <w:p w14:paraId="19EBCE71">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3"/>
                      <w:sz w:val="22"/>
                      <w:szCs w:val="22"/>
                    </w:rPr>
                    <w:t>项目</w:t>
                  </w:r>
                  <w:r>
                    <w:rPr>
                      <w:spacing w:val="4"/>
                      <w:sz w:val="22"/>
                      <w:szCs w:val="22"/>
                    </w:rPr>
                    <w:t>基本情况</w:t>
                  </w:r>
                </w:p>
              </w:tc>
              <w:tc>
                <w:tcPr>
                  <w:tcW w:w="2835" w:type="dxa"/>
                  <w:gridSpan w:val="2"/>
                  <w:tcBorders>
                    <w:top w:val="single" w:color="000000" w:sz="10" w:space="0"/>
                  </w:tcBorders>
                  <w:vAlign w:val="center"/>
                </w:tcPr>
                <w:p w14:paraId="0991CC01">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项目名称</w:t>
                  </w:r>
                </w:p>
              </w:tc>
              <w:tc>
                <w:tcPr>
                  <w:tcW w:w="5188" w:type="dxa"/>
                  <w:gridSpan w:val="3"/>
                  <w:tcBorders>
                    <w:top w:val="single" w:color="000000" w:sz="10" w:space="0"/>
                    <w:right w:val="nil"/>
                  </w:tcBorders>
                  <w:vAlign w:val="center"/>
                </w:tcPr>
                <w:p w14:paraId="75727513">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四川省宣汉县新宁河天生镇防洪治理工程</w:t>
                  </w:r>
                </w:p>
              </w:tc>
            </w:tr>
            <w:tr w14:paraId="0FE84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36D40A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835" w:type="dxa"/>
                  <w:gridSpan w:val="2"/>
                  <w:vAlign w:val="center"/>
                </w:tcPr>
                <w:p w14:paraId="22BACA0E">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所在水系</w:t>
                  </w:r>
                </w:p>
              </w:tc>
              <w:tc>
                <w:tcPr>
                  <w:tcW w:w="1642" w:type="dxa"/>
                  <w:vAlign w:val="center"/>
                </w:tcPr>
                <w:p w14:paraId="3FB9AB10">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渠江水系</w:t>
                  </w:r>
                </w:p>
              </w:tc>
              <w:tc>
                <w:tcPr>
                  <w:tcW w:w="1626" w:type="dxa"/>
                  <w:vAlign w:val="center"/>
                </w:tcPr>
                <w:p w14:paraId="2DDFFC68">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所在河流</w:t>
                  </w:r>
                </w:p>
              </w:tc>
              <w:tc>
                <w:tcPr>
                  <w:tcW w:w="1920" w:type="dxa"/>
                  <w:tcBorders>
                    <w:right w:val="nil"/>
                  </w:tcBorders>
                  <w:vAlign w:val="center"/>
                </w:tcPr>
                <w:p w14:paraId="3CB88445">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天生河、黎家沟</w:t>
                  </w:r>
                </w:p>
              </w:tc>
            </w:tr>
            <w:tr w14:paraId="50FFB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2323DEF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835" w:type="dxa"/>
                  <w:gridSpan w:val="2"/>
                  <w:vAlign w:val="center"/>
                </w:tcPr>
                <w:p w14:paraId="7DF572D7">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所在县级行政区域</w:t>
                  </w:r>
                </w:p>
              </w:tc>
              <w:tc>
                <w:tcPr>
                  <w:tcW w:w="1642" w:type="dxa"/>
                  <w:vAlign w:val="center"/>
                </w:tcPr>
                <w:p w14:paraId="3875B692">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5"/>
                      <w:sz w:val="22"/>
                      <w:szCs w:val="22"/>
                    </w:rPr>
                    <w:t>宣汉县</w:t>
                  </w:r>
                </w:p>
              </w:tc>
              <w:tc>
                <w:tcPr>
                  <w:tcW w:w="1626" w:type="dxa"/>
                  <w:vAlign w:val="center"/>
                </w:tcPr>
                <w:p w14:paraId="097BCF04">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项目类别</w:t>
                  </w:r>
                </w:p>
              </w:tc>
              <w:tc>
                <w:tcPr>
                  <w:tcW w:w="1920" w:type="dxa"/>
                  <w:tcBorders>
                    <w:right w:val="nil"/>
                  </w:tcBorders>
                  <w:vAlign w:val="center"/>
                </w:tcPr>
                <w:p w14:paraId="771FAB8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4"/>
                      <w:sz w:val="22"/>
                      <w:szCs w:val="22"/>
                    </w:rPr>
                    <w:t>防洪治理</w:t>
                  </w:r>
                </w:p>
              </w:tc>
            </w:tr>
            <w:tr w14:paraId="08836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67A20B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Align w:val="center"/>
                </w:tcPr>
                <w:p w14:paraId="118A920F">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hint="eastAsia" w:eastAsia="宋体"/>
                      <w:spacing w:val="6"/>
                      <w:sz w:val="22"/>
                      <w:szCs w:val="22"/>
                      <w:lang w:eastAsia="zh-CN"/>
                    </w:rPr>
                    <w:t>流域面积</w:t>
                  </w:r>
                  <w:r>
                    <w:rPr>
                      <w:spacing w:val="2"/>
                      <w:sz w:val="22"/>
                      <w:szCs w:val="22"/>
                    </w:rPr>
                    <w:t>（</w:t>
                  </w:r>
                  <w:r>
                    <w:rPr>
                      <w:rFonts w:ascii="Times New Roman" w:hAnsi="Times New Roman" w:eastAsia="Times New Roman" w:cs="Times New Roman"/>
                      <w:sz w:val="22"/>
                      <w:szCs w:val="22"/>
                    </w:rPr>
                    <w:t>k</w:t>
                  </w:r>
                  <w:r>
                    <w:rPr>
                      <w:spacing w:val="-42"/>
                      <w:sz w:val="22"/>
                      <w:szCs w:val="22"/>
                    </w:rPr>
                    <w:t xml:space="preserve"> </w:t>
                  </w:r>
                  <w:r>
                    <w:rPr>
                      <w:rFonts w:hint="eastAsia" w:eastAsia="宋体" w:cs="Times New Roman"/>
                      <w:spacing w:val="1"/>
                      <w:sz w:val="22"/>
                      <w:szCs w:val="22"/>
                      <w:lang w:val="en-US" w:eastAsia="zh-CN"/>
                    </w:rPr>
                    <w:t>m</w:t>
                  </w:r>
                  <w:r>
                    <w:rPr>
                      <w:rFonts w:hint="eastAsia" w:eastAsia="宋体" w:cs="Times New Roman"/>
                      <w:spacing w:val="1"/>
                      <w:sz w:val="22"/>
                      <w:szCs w:val="22"/>
                      <w:vertAlign w:val="superscript"/>
                      <w:lang w:val="en-US" w:eastAsia="zh-CN"/>
                    </w:rPr>
                    <w:t>2</w:t>
                  </w:r>
                  <w:r>
                    <w:rPr>
                      <w:spacing w:val="2"/>
                      <w:sz w:val="22"/>
                      <w:szCs w:val="22"/>
                    </w:rPr>
                    <w:t>）</w:t>
                  </w:r>
                </w:p>
              </w:tc>
              <w:tc>
                <w:tcPr>
                  <w:tcW w:w="2098" w:type="dxa"/>
                  <w:vAlign w:val="center"/>
                </w:tcPr>
                <w:p w14:paraId="0D5C99EB">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天生河、黎家沟</w:t>
                  </w:r>
                </w:p>
              </w:tc>
              <w:tc>
                <w:tcPr>
                  <w:tcW w:w="1642" w:type="dxa"/>
                  <w:vAlign w:val="center"/>
                </w:tcPr>
                <w:p w14:paraId="48EB46D2">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w:t>
                  </w:r>
                  <w:r>
                    <w:rPr>
                      <w:spacing w:val="1"/>
                      <w:sz w:val="22"/>
                      <w:szCs w:val="22"/>
                    </w:rPr>
                    <w:t>、</w:t>
                  </w:r>
                  <w:r>
                    <w:rPr>
                      <w:rFonts w:ascii="Times New Roman" w:hAnsi="Times New Roman" w:eastAsia="Times New Roman" w:cs="Times New Roman"/>
                      <w:spacing w:val="1"/>
                      <w:sz w:val="22"/>
                      <w:szCs w:val="22"/>
                    </w:rPr>
                    <w:t>6</w:t>
                  </w:r>
                </w:p>
              </w:tc>
              <w:tc>
                <w:tcPr>
                  <w:tcW w:w="1626" w:type="dxa"/>
                  <w:vAlign w:val="center"/>
                </w:tcPr>
                <w:p w14:paraId="120974CE">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highlight w:val="none"/>
                    </w:rPr>
                  </w:pPr>
                  <w:r>
                    <w:rPr>
                      <w:spacing w:val="6"/>
                      <w:sz w:val="22"/>
                      <w:szCs w:val="22"/>
                      <w:highlight w:val="none"/>
                    </w:rPr>
                    <w:t>项目依据</w:t>
                  </w:r>
                </w:p>
              </w:tc>
              <w:tc>
                <w:tcPr>
                  <w:tcW w:w="1920" w:type="dxa"/>
                  <w:tcBorders>
                    <w:right w:val="nil"/>
                  </w:tcBorders>
                  <w:vAlign w:val="center"/>
                </w:tcPr>
                <w:p w14:paraId="390D5372">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highlight w:val="none"/>
                    </w:rPr>
                  </w:pPr>
                  <w:r>
                    <w:rPr>
                      <w:spacing w:val="4"/>
                      <w:sz w:val="22"/>
                      <w:szCs w:val="22"/>
                      <w:highlight w:val="none"/>
                    </w:rPr>
                    <w:t>川水函</w:t>
                  </w:r>
                  <w:r>
                    <w:rPr>
                      <w:spacing w:val="-1"/>
                      <w:sz w:val="22"/>
                      <w:szCs w:val="22"/>
                      <w:highlight w:val="none"/>
                    </w:rPr>
                    <w:t>〔</w:t>
                  </w:r>
                  <w:r>
                    <w:rPr>
                      <w:rFonts w:ascii="Times New Roman" w:hAnsi="Times New Roman" w:eastAsia="Times New Roman" w:cs="Times New Roman"/>
                      <w:spacing w:val="-1"/>
                      <w:sz w:val="22"/>
                      <w:szCs w:val="22"/>
                      <w:highlight w:val="none"/>
                    </w:rPr>
                    <w:t>202</w:t>
                  </w:r>
                  <w:r>
                    <w:rPr>
                      <w:rFonts w:hint="eastAsia" w:eastAsia="宋体" w:cs="Times New Roman"/>
                      <w:spacing w:val="-1"/>
                      <w:sz w:val="22"/>
                      <w:szCs w:val="22"/>
                      <w:highlight w:val="none"/>
                      <w:lang w:val="en-US" w:eastAsia="zh-CN"/>
                    </w:rPr>
                    <w:t>0</w:t>
                  </w:r>
                  <w:r>
                    <w:rPr>
                      <w:spacing w:val="-1"/>
                      <w:sz w:val="22"/>
                      <w:szCs w:val="22"/>
                      <w:highlight w:val="none"/>
                    </w:rPr>
                    <w:t>〕</w:t>
                  </w:r>
                  <w:r>
                    <w:rPr>
                      <w:rFonts w:ascii="Times New Roman" w:hAnsi="Times New Roman" w:eastAsia="Times New Roman" w:cs="Times New Roman"/>
                      <w:spacing w:val="4"/>
                      <w:sz w:val="22"/>
                      <w:szCs w:val="22"/>
                      <w:highlight w:val="none"/>
                    </w:rPr>
                    <w:t>901</w:t>
                  </w:r>
                  <w:r>
                    <w:rPr>
                      <w:spacing w:val="-1"/>
                      <w:sz w:val="22"/>
                      <w:szCs w:val="22"/>
                      <w:highlight w:val="none"/>
                    </w:rPr>
                    <w:t>号、川财</w:t>
                  </w:r>
                  <w:r>
                    <w:rPr>
                      <w:rFonts w:hint="eastAsia" w:eastAsia="宋体"/>
                      <w:spacing w:val="-1"/>
                      <w:sz w:val="22"/>
                      <w:szCs w:val="22"/>
                      <w:highlight w:val="none"/>
                      <w:lang w:val="en-US" w:eastAsia="zh-CN"/>
                    </w:rPr>
                    <w:t>规</w:t>
                  </w:r>
                  <w:r>
                    <w:rPr>
                      <w:spacing w:val="-1"/>
                      <w:sz w:val="22"/>
                      <w:szCs w:val="22"/>
                      <w:highlight w:val="none"/>
                    </w:rPr>
                    <w:t>〔</w:t>
                  </w:r>
                  <w:r>
                    <w:rPr>
                      <w:rFonts w:ascii="Times New Roman" w:hAnsi="Times New Roman" w:eastAsia="Times New Roman" w:cs="Times New Roman"/>
                      <w:spacing w:val="-1"/>
                      <w:sz w:val="22"/>
                      <w:szCs w:val="22"/>
                      <w:highlight w:val="none"/>
                    </w:rPr>
                    <w:t>2022</w:t>
                  </w:r>
                  <w:r>
                    <w:rPr>
                      <w:spacing w:val="-1"/>
                      <w:sz w:val="22"/>
                      <w:szCs w:val="22"/>
                      <w:highlight w:val="none"/>
                    </w:rPr>
                    <w:t>〕</w:t>
                  </w:r>
                </w:p>
                <w:p w14:paraId="116D9EDA">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highlight w:val="none"/>
                    </w:rPr>
                  </w:pPr>
                  <w:r>
                    <w:rPr>
                      <w:rFonts w:ascii="Times New Roman" w:hAnsi="Times New Roman" w:eastAsia="Times New Roman" w:cs="Times New Roman"/>
                      <w:spacing w:val="-2"/>
                      <w:sz w:val="22"/>
                      <w:szCs w:val="22"/>
                      <w:highlight w:val="none"/>
                    </w:rPr>
                    <w:t>9</w:t>
                  </w:r>
                  <w:r>
                    <w:rPr>
                      <w:spacing w:val="-2"/>
                      <w:sz w:val="22"/>
                      <w:szCs w:val="22"/>
                      <w:highlight w:val="none"/>
                    </w:rPr>
                    <w:t>号</w:t>
                  </w:r>
                </w:p>
              </w:tc>
            </w:tr>
            <w:tr w14:paraId="6226C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3F949D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restart"/>
                  <w:tcBorders>
                    <w:bottom w:val="nil"/>
                  </w:tcBorders>
                  <w:vAlign w:val="center"/>
                </w:tcPr>
                <w:p w14:paraId="416E120D">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保护对</w:t>
                  </w:r>
                </w:p>
                <w:p w14:paraId="460D3927">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z w:val="22"/>
                      <w:szCs w:val="22"/>
                    </w:rPr>
                    <w:t>象</w:t>
                  </w:r>
                </w:p>
              </w:tc>
              <w:tc>
                <w:tcPr>
                  <w:tcW w:w="2098" w:type="dxa"/>
                  <w:vAlign w:val="center"/>
                </w:tcPr>
                <w:p w14:paraId="76945561">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保护人口（万人）</w:t>
                  </w:r>
                </w:p>
              </w:tc>
              <w:tc>
                <w:tcPr>
                  <w:tcW w:w="1642" w:type="dxa"/>
                  <w:vAlign w:val="center"/>
                </w:tcPr>
                <w:p w14:paraId="429F74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w:t>
                  </w:r>
                </w:p>
              </w:tc>
              <w:tc>
                <w:tcPr>
                  <w:tcW w:w="1626" w:type="dxa"/>
                  <w:vAlign w:val="center"/>
                </w:tcPr>
                <w:p w14:paraId="1318BD1A">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建设工期</w:t>
                  </w:r>
                </w:p>
              </w:tc>
              <w:tc>
                <w:tcPr>
                  <w:tcW w:w="1920" w:type="dxa"/>
                  <w:tcBorders>
                    <w:right w:val="nil"/>
                  </w:tcBorders>
                  <w:vAlign w:val="center"/>
                </w:tcPr>
                <w:p w14:paraId="10800B6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ascii="Times New Roman" w:hAnsi="Times New Roman" w:eastAsia="Times New Roman" w:cs="Times New Roman"/>
                      <w:spacing w:val="-10"/>
                      <w:sz w:val="22"/>
                      <w:szCs w:val="22"/>
                    </w:rPr>
                    <w:t>1</w:t>
                  </w:r>
                  <w:r>
                    <w:rPr>
                      <w:spacing w:val="-10"/>
                      <w:sz w:val="22"/>
                      <w:szCs w:val="22"/>
                    </w:rPr>
                    <w:t>年</w:t>
                  </w:r>
                </w:p>
              </w:tc>
            </w:tr>
            <w:tr w14:paraId="02A8E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45DC5E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bottom w:val="nil"/>
                  </w:tcBorders>
                  <w:vAlign w:val="center"/>
                </w:tcPr>
                <w:p w14:paraId="06D258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04319DA2">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城（场）镇</w:t>
                  </w:r>
                </w:p>
              </w:tc>
              <w:tc>
                <w:tcPr>
                  <w:tcW w:w="1642" w:type="dxa"/>
                  <w:vAlign w:val="center"/>
                </w:tcPr>
                <w:p w14:paraId="12C81D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626" w:type="dxa"/>
                  <w:vAlign w:val="center"/>
                </w:tcPr>
                <w:p w14:paraId="2C3586D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施工总工期</w:t>
                  </w:r>
                </w:p>
              </w:tc>
              <w:tc>
                <w:tcPr>
                  <w:tcW w:w="1920" w:type="dxa"/>
                  <w:tcBorders>
                    <w:right w:val="nil"/>
                  </w:tcBorders>
                  <w:vAlign w:val="center"/>
                </w:tcPr>
                <w:p w14:paraId="0B080EAB">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ascii="Times New Roman" w:hAnsi="Times New Roman" w:eastAsia="Times New Roman" w:cs="Times New Roman"/>
                      <w:spacing w:val="1"/>
                      <w:sz w:val="22"/>
                      <w:szCs w:val="22"/>
                    </w:rPr>
                    <w:t>6</w:t>
                  </w:r>
                  <w:r>
                    <w:rPr>
                      <w:spacing w:val="1"/>
                      <w:sz w:val="22"/>
                      <w:szCs w:val="22"/>
                    </w:rPr>
                    <w:t>个月</w:t>
                  </w:r>
                </w:p>
              </w:tc>
            </w:tr>
            <w:tr w14:paraId="43EF6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40BC5C7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bottom w:val="nil"/>
                  </w:tcBorders>
                  <w:vAlign w:val="center"/>
                </w:tcPr>
                <w:p w14:paraId="227DAD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556DE47A">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耕地面积（万亩）</w:t>
                  </w:r>
                </w:p>
              </w:tc>
              <w:tc>
                <w:tcPr>
                  <w:tcW w:w="1642" w:type="dxa"/>
                  <w:vAlign w:val="center"/>
                </w:tcPr>
                <w:p w14:paraId="00E513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0.056</w:t>
                  </w:r>
                </w:p>
              </w:tc>
              <w:tc>
                <w:tcPr>
                  <w:tcW w:w="1626" w:type="dxa"/>
                  <w:vAlign w:val="center"/>
                </w:tcPr>
                <w:p w14:paraId="406FE166">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静态总投资</w:t>
                  </w:r>
                </w:p>
              </w:tc>
              <w:tc>
                <w:tcPr>
                  <w:tcW w:w="1920" w:type="dxa"/>
                  <w:tcBorders>
                    <w:right w:val="nil"/>
                  </w:tcBorders>
                  <w:vAlign w:val="center"/>
                </w:tcPr>
                <w:p w14:paraId="47BE8A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2023.16</w:t>
                  </w:r>
                </w:p>
              </w:tc>
            </w:tr>
            <w:tr w14:paraId="34274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069AEA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tcBorders>
                  <w:vAlign w:val="center"/>
                </w:tcPr>
                <w:p w14:paraId="1423B5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6320DDAE">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专项设施</w:t>
                  </w:r>
                </w:p>
              </w:tc>
              <w:tc>
                <w:tcPr>
                  <w:tcW w:w="1642" w:type="dxa"/>
                  <w:vAlign w:val="center"/>
                </w:tcPr>
                <w:p w14:paraId="4E177D94">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z w:val="22"/>
                      <w:szCs w:val="22"/>
                    </w:rPr>
                    <w:t>无</w:t>
                  </w:r>
                </w:p>
              </w:tc>
              <w:tc>
                <w:tcPr>
                  <w:tcW w:w="3546" w:type="dxa"/>
                  <w:gridSpan w:val="2"/>
                  <w:tcBorders>
                    <w:right w:val="nil"/>
                  </w:tcBorders>
                  <w:vAlign w:val="center"/>
                </w:tcPr>
                <w:p w14:paraId="11D538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r>
            <w:tr w14:paraId="371C6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60B286F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835" w:type="dxa"/>
                  <w:gridSpan w:val="2"/>
                  <w:vAlign w:val="center"/>
                </w:tcPr>
                <w:p w14:paraId="191C4B4F">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工程等别</w:t>
                  </w:r>
                </w:p>
              </w:tc>
              <w:tc>
                <w:tcPr>
                  <w:tcW w:w="1642" w:type="dxa"/>
                  <w:vAlign w:val="center"/>
                </w:tcPr>
                <w:p w14:paraId="7628967B">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ascii="Times New Roman" w:hAnsi="Times New Roman" w:eastAsia="Times New Roman" w:cs="Times New Roman"/>
                      <w:spacing w:val="2"/>
                      <w:sz w:val="22"/>
                      <w:szCs w:val="22"/>
                    </w:rPr>
                    <w:t>V</w:t>
                  </w:r>
                  <w:r>
                    <w:rPr>
                      <w:rFonts w:ascii="Times New Roman" w:hAnsi="Times New Roman" w:eastAsia="Times New Roman" w:cs="Times New Roman"/>
                      <w:spacing w:val="12"/>
                      <w:w w:val="101"/>
                      <w:sz w:val="22"/>
                      <w:szCs w:val="22"/>
                    </w:rPr>
                    <w:t xml:space="preserve"> </w:t>
                  </w:r>
                  <w:r>
                    <w:rPr>
                      <w:spacing w:val="2"/>
                      <w:sz w:val="22"/>
                      <w:szCs w:val="22"/>
                    </w:rPr>
                    <w:t>等</w:t>
                  </w:r>
                </w:p>
              </w:tc>
              <w:tc>
                <w:tcPr>
                  <w:tcW w:w="1626" w:type="dxa"/>
                  <w:vAlign w:val="center"/>
                </w:tcPr>
                <w:p w14:paraId="37702057">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4"/>
                      <w:sz w:val="22"/>
                      <w:szCs w:val="22"/>
                    </w:rPr>
                    <w:t>防洪标准</w:t>
                  </w:r>
                </w:p>
              </w:tc>
              <w:tc>
                <w:tcPr>
                  <w:tcW w:w="1920" w:type="dxa"/>
                  <w:tcBorders>
                    <w:right w:val="nil"/>
                  </w:tcBorders>
                  <w:vAlign w:val="center"/>
                </w:tcPr>
                <w:p w14:paraId="55B4ACD6">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ascii="Times New Roman" w:hAnsi="Times New Roman" w:eastAsia="Times New Roman" w:cs="Times New Roman"/>
                      <w:spacing w:val="-5"/>
                      <w:sz w:val="22"/>
                      <w:szCs w:val="22"/>
                    </w:rPr>
                    <w:t>10</w:t>
                  </w:r>
                  <w:r>
                    <w:rPr>
                      <w:rFonts w:ascii="Times New Roman" w:hAnsi="Times New Roman" w:eastAsia="Times New Roman" w:cs="Times New Roman"/>
                      <w:spacing w:val="10"/>
                      <w:sz w:val="22"/>
                      <w:szCs w:val="22"/>
                    </w:rPr>
                    <w:t xml:space="preserve"> </w:t>
                  </w:r>
                  <w:r>
                    <w:rPr>
                      <w:spacing w:val="-5"/>
                      <w:sz w:val="22"/>
                      <w:szCs w:val="22"/>
                    </w:rPr>
                    <w:t>年</w:t>
                  </w:r>
                </w:p>
              </w:tc>
            </w:tr>
            <w:tr w14:paraId="6F8C6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589E2E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835" w:type="dxa"/>
                  <w:gridSpan w:val="2"/>
                  <w:vAlign w:val="center"/>
                </w:tcPr>
                <w:p w14:paraId="47DC1B6A">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9"/>
                      <w:sz w:val="22"/>
                      <w:szCs w:val="22"/>
                    </w:rPr>
                    <w:t>工程综合治理河道长度（</w:t>
                  </w:r>
                  <w:r>
                    <w:rPr>
                      <w:rFonts w:ascii="Times New Roman" w:hAnsi="Times New Roman" w:eastAsia="Times New Roman" w:cs="Times New Roman"/>
                      <w:sz w:val="22"/>
                      <w:szCs w:val="22"/>
                    </w:rPr>
                    <w:t>km</w:t>
                  </w:r>
                  <w:r>
                    <w:rPr>
                      <w:spacing w:val="9"/>
                      <w:sz w:val="22"/>
                      <w:szCs w:val="22"/>
                    </w:rPr>
                    <w:t>）</w:t>
                  </w:r>
                </w:p>
              </w:tc>
              <w:tc>
                <w:tcPr>
                  <w:tcW w:w="1642" w:type="dxa"/>
                  <w:vAlign w:val="center"/>
                </w:tcPr>
                <w:p w14:paraId="31479F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4.573</w:t>
                  </w:r>
                </w:p>
              </w:tc>
              <w:tc>
                <w:tcPr>
                  <w:tcW w:w="3546" w:type="dxa"/>
                  <w:gridSpan w:val="2"/>
                  <w:tcBorders>
                    <w:right w:val="nil"/>
                  </w:tcBorders>
                  <w:vAlign w:val="center"/>
                </w:tcPr>
                <w:p w14:paraId="454451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r>
            <w:tr w14:paraId="002A4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tcBorders>
                  <w:vAlign w:val="center"/>
                </w:tcPr>
                <w:p w14:paraId="55B4D7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835" w:type="dxa"/>
                  <w:gridSpan w:val="2"/>
                  <w:vAlign w:val="center"/>
                </w:tcPr>
                <w:p w14:paraId="51C72EF7">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基本堤型</w:t>
                  </w:r>
                </w:p>
              </w:tc>
              <w:tc>
                <w:tcPr>
                  <w:tcW w:w="1642" w:type="dxa"/>
                  <w:vAlign w:val="center"/>
                </w:tcPr>
                <w:p w14:paraId="723C31BF">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hint="eastAsia" w:eastAsia="宋体"/>
                      <w:spacing w:val="8"/>
                      <w:sz w:val="22"/>
                      <w:szCs w:val="22"/>
                      <w:lang w:eastAsia="zh-CN"/>
                    </w:rPr>
                    <w:t>衡重式</w:t>
                  </w:r>
                  <w:r>
                    <w:rPr>
                      <w:spacing w:val="8"/>
                      <w:sz w:val="22"/>
                      <w:szCs w:val="22"/>
                    </w:rPr>
                    <w:t>混凝土挡墙</w:t>
                  </w:r>
                  <w:r>
                    <w:rPr>
                      <w:rFonts w:ascii="Times New Roman" w:hAnsi="Times New Roman" w:eastAsia="Times New Roman" w:cs="Times New Roman"/>
                      <w:spacing w:val="8"/>
                      <w:sz w:val="22"/>
                      <w:szCs w:val="22"/>
                    </w:rPr>
                    <w:t>+</w:t>
                  </w:r>
                  <w:r>
                    <w:rPr>
                      <w:spacing w:val="8"/>
                      <w:sz w:val="22"/>
                      <w:szCs w:val="22"/>
                    </w:rPr>
                    <w:t>框格梁植草护坡</w:t>
                  </w:r>
                </w:p>
              </w:tc>
              <w:tc>
                <w:tcPr>
                  <w:tcW w:w="1626" w:type="dxa"/>
                  <w:vAlign w:val="center"/>
                </w:tcPr>
                <w:p w14:paraId="79E47AB1">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其中生态堤防长度</w:t>
                  </w:r>
                  <w:r>
                    <w:rPr>
                      <w:sz w:val="22"/>
                      <w:szCs w:val="22"/>
                    </w:rPr>
                    <w:t>（</w:t>
                  </w:r>
                  <w:r>
                    <w:rPr>
                      <w:rFonts w:ascii="Times New Roman" w:hAnsi="Times New Roman" w:eastAsia="Times New Roman" w:cs="Times New Roman"/>
                      <w:sz w:val="22"/>
                      <w:szCs w:val="22"/>
                    </w:rPr>
                    <w:t>km</w:t>
                  </w:r>
                  <w:r>
                    <w:rPr>
                      <w:sz w:val="22"/>
                      <w:szCs w:val="22"/>
                    </w:rPr>
                    <w:t>）</w:t>
                  </w:r>
                </w:p>
              </w:tc>
              <w:tc>
                <w:tcPr>
                  <w:tcW w:w="1920" w:type="dxa"/>
                  <w:tcBorders>
                    <w:right w:val="nil"/>
                  </w:tcBorders>
                  <w:vAlign w:val="center"/>
                </w:tcPr>
                <w:p w14:paraId="07099C4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2"/>
                      <w:szCs w:val="22"/>
                      <w:lang w:eastAsia="zh-CN"/>
                    </w:rPr>
                  </w:pPr>
                  <w:r>
                    <w:rPr>
                      <w:rFonts w:hint="eastAsia" w:eastAsia="宋体" w:cs="Times New Roman"/>
                      <w:spacing w:val="3"/>
                      <w:sz w:val="22"/>
                      <w:szCs w:val="22"/>
                      <w:lang w:eastAsia="zh-CN"/>
                    </w:rPr>
                    <w:t>2.673</w:t>
                  </w:r>
                </w:p>
              </w:tc>
            </w:tr>
            <w:tr w14:paraId="65A54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restart"/>
                  <w:tcBorders>
                    <w:left w:val="nil"/>
                    <w:bottom w:val="nil"/>
                  </w:tcBorders>
                  <w:vAlign w:val="center"/>
                </w:tcPr>
                <w:p w14:paraId="3307851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3"/>
                      <w:sz w:val="22"/>
                      <w:szCs w:val="22"/>
                    </w:rPr>
                    <w:t>工程</w:t>
                  </w:r>
                  <w:r>
                    <w:rPr>
                      <w:sz w:val="22"/>
                      <w:szCs w:val="22"/>
                    </w:rPr>
                    <w:t>量</w:t>
                  </w:r>
                </w:p>
              </w:tc>
              <w:tc>
                <w:tcPr>
                  <w:tcW w:w="737" w:type="dxa"/>
                  <w:vMerge w:val="restart"/>
                  <w:tcBorders>
                    <w:bottom w:val="nil"/>
                  </w:tcBorders>
                  <w:vAlign w:val="center"/>
                </w:tcPr>
                <w:p w14:paraId="689CF4AE">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新建堤</w:t>
                  </w:r>
                  <w:r>
                    <w:rPr>
                      <w:sz w:val="22"/>
                      <w:szCs w:val="22"/>
                    </w:rPr>
                    <w:t>防</w:t>
                  </w:r>
                </w:p>
              </w:tc>
              <w:tc>
                <w:tcPr>
                  <w:tcW w:w="2098" w:type="dxa"/>
                  <w:vAlign w:val="center"/>
                </w:tcPr>
                <w:p w14:paraId="67EC43D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治理长度（</w:t>
                  </w:r>
                  <w:r>
                    <w:rPr>
                      <w:rFonts w:ascii="Times New Roman" w:hAnsi="Times New Roman" w:eastAsia="Times New Roman" w:cs="Times New Roman"/>
                      <w:sz w:val="22"/>
                      <w:szCs w:val="22"/>
                    </w:rPr>
                    <w:t>km</w:t>
                  </w:r>
                  <w:r>
                    <w:rPr>
                      <w:spacing w:val="8"/>
                      <w:sz w:val="22"/>
                      <w:szCs w:val="22"/>
                    </w:rPr>
                    <w:t>）</w:t>
                  </w:r>
                </w:p>
              </w:tc>
              <w:tc>
                <w:tcPr>
                  <w:tcW w:w="1642" w:type="dxa"/>
                  <w:vAlign w:val="center"/>
                </w:tcPr>
                <w:p w14:paraId="71EBC6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2"/>
                      <w:szCs w:val="22"/>
                      <w:lang w:eastAsia="zh-CN"/>
                    </w:rPr>
                  </w:pPr>
                  <w:r>
                    <w:rPr>
                      <w:rFonts w:hint="eastAsia" w:eastAsia="宋体" w:cs="Times New Roman"/>
                      <w:spacing w:val="3"/>
                      <w:sz w:val="22"/>
                      <w:szCs w:val="22"/>
                      <w:lang w:eastAsia="zh-CN"/>
                    </w:rPr>
                    <w:t>2.673</w:t>
                  </w:r>
                </w:p>
              </w:tc>
              <w:tc>
                <w:tcPr>
                  <w:tcW w:w="1626" w:type="dxa"/>
                  <w:vAlign w:val="center"/>
                </w:tcPr>
                <w:p w14:paraId="0645616D">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1"/>
                      <w:sz w:val="22"/>
                      <w:szCs w:val="22"/>
                    </w:rPr>
                  </w:pPr>
                  <w:r>
                    <w:rPr>
                      <w:spacing w:val="1"/>
                      <w:sz w:val="22"/>
                      <w:szCs w:val="22"/>
                    </w:rPr>
                    <w:t>土石填筑量</w:t>
                  </w:r>
                </w:p>
                <w:p w14:paraId="21925CA5">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1"/>
                      <w:sz w:val="22"/>
                      <w:szCs w:val="22"/>
                    </w:rPr>
                    <w:t>（万</w:t>
                  </w:r>
                  <w:r>
                    <w:rPr>
                      <w:spacing w:val="-42"/>
                      <w:sz w:val="22"/>
                      <w:szCs w:val="22"/>
                    </w:rPr>
                    <w:t xml:space="preserve"> </w:t>
                  </w:r>
                  <w:r>
                    <w:rPr>
                      <w:rFonts w:hint="eastAsia" w:eastAsia="宋体" w:cs="Times New Roman"/>
                      <w:spacing w:val="1"/>
                      <w:sz w:val="22"/>
                      <w:szCs w:val="22"/>
                      <w:lang w:val="en-US" w:eastAsia="zh-CN"/>
                    </w:rPr>
                    <w:t>m</w:t>
                  </w:r>
                  <w:r>
                    <w:rPr>
                      <w:rFonts w:hint="eastAsia" w:eastAsia="宋体" w:cs="Times New Roman"/>
                      <w:spacing w:val="1"/>
                      <w:sz w:val="22"/>
                      <w:szCs w:val="22"/>
                      <w:vertAlign w:val="superscript"/>
                      <w:lang w:val="en-US" w:eastAsia="zh-CN"/>
                    </w:rPr>
                    <w:t>3</w:t>
                  </w:r>
                  <w:r>
                    <w:rPr>
                      <w:spacing w:val="1"/>
                      <w:sz w:val="22"/>
                      <w:szCs w:val="22"/>
                    </w:rPr>
                    <w:t>）</w:t>
                  </w:r>
                </w:p>
              </w:tc>
              <w:tc>
                <w:tcPr>
                  <w:tcW w:w="1920" w:type="dxa"/>
                  <w:tcBorders>
                    <w:right w:val="nil"/>
                  </w:tcBorders>
                  <w:vAlign w:val="center"/>
                </w:tcPr>
                <w:p w14:paraId="6BA105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4.92</w:t>
                  </w:r>
                </w:p>
              </w:tc>
            </w:tr>
            <w:tr w14:paraId="3FCD0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538006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bottom w:val="nil"/>
                  </w:tcBorders>
                  <w:vAlign w:val="center"/>
                </w:tcPr>
                <w:p w14:paraId="4B6090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35AF11CC">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相应投资（万元）</w:t>
                  </w:r>
                </w:p>
              </w:tc>
              <w:tc>
                <w:tcPr>
                  <w:tcW w:w="1642" w:type="dxa"/>
                  <w:vAlign w:val="center"/>
                </w:tcPr>
                <w:p w14:paraId="198578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2023.16</w:t>
                  </w:r>
                </w:p>
              </w:tc>
              <w:tc>
                <w:tcPr>
                  <w:tcW w:w="1626" w:type="dxa"/>
                  <w:vMerge w:val="restart"/>
                  <w:tcBorders>
                    <w:bottom w:val="nil"/>
                  </w:tcBorders>
                  <w:vAlign w:val="center"/>
                </w:tcPr>
                <w:p w14:paraId="4A9F1303">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6"/>
                      <w:sz w:val="22"/>
                      <w:szCs w:val="22"/>
                    </w:rPr>
                  </w:pPr>
                  <w:r>
                    <w:rPr>
                      <w:spacing w:val="6"/>
                      <w:sz w:val="22"/>
                      <w:szCs w:val="22"/>
                    </w:rPr>
                    <w:t>砼方量</w:t>
                  </w:r>
                </w:p>
                <w:p w14:paraId="3FE7D2F3">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6"/>
                      <w:sz w:val="22"/>
                      <w:szCs w:val="22"/>
                    </w:rPr>
                    <w:t>（万</w:t>
                  </w:r>
                  <w:r>
                    <w:rPr>
                      <w:spacing w:val="-44"/>
                      <w:sz w:val="22"/>
                      <w:szCs w:val="22"/>
                    </w:rPr>
                    <w:t xml:space="preserve"> </w:t>
                  </w:r>
                  <w:r>
                    <w:rPr>
                      <w:spacing w:val="-42"/>
                      <w:sz w:val="22"/>
                      <w:szCs w:val="22"/>
                    </w:rPr>
                    <w:t xml:space="preserve"> </w:t>
                  </w:r>
                  <w:r>
                    <w:rPr>
                      <w:rFonts w:hint="eastAsia" w:eastAsia="宋体" w:cs="Times New Roman"/>
                      <w:spacing w:val="1"/>
                      <w:sz w:val="22"/>
                      <w:szCs w:val="22"/>
                      <w:lang w:val="en-US" w:eastAsia="zh-CN"/>
                    </w:rPr>
                    <w:t>m</w:t>
                  </w:r>
                  <w:r>
                    <w:rPr>
                      <w:rFonts w:hint="eastAsia" w:eastAsia="宋体" w:cs="Times New Roman"/>
                      <w:spacing w:val="1"/>
                      <w:sz w:val="22"/>
                      <w:szCs w:val="22"/>
                      <w:vertAlign w:val="superscript"/>
                      <w:lang w:val="en-US" w:eastAsia="zh-CN"/>
                    </w:rPr>
                    <w:t>3</w:t>
                  </w:r>
                  <w:r>
                    <w:rPr>
                      <w:spacing w:val="6"/>
                      <w:sz w:val="22"/>
                      <w:szCs w:val="22"/>
                    </w:rPr>
                    <w:t>）</w:t>
                  </w:r>
                </w:p>
              </w:tc>
              <w:tc>
                <w:tcPr>
                  <w:tcW w:w="1920" w:type="dxa"/>
                  <w:vMerge w:val="restart"/>
                  <w:tcBorders>
                    <w:bottom w:val="nil"/>
                    <w:right w:val="nil"/>
                  </w:tcBorders>
                  <w:vAlign w:val="center"/>
                </w:tcPr>
                <w:p w14:paraId="4107CC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1.76</w:t>
                  </w:r>
                </w:p>
              </w:tc>
            </w:tr>
            <w:tr w14:paraId="621E5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75AD5D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tcBorders>
                  <w:vAlign w:val="center"/>
                </w:tcPr>
                <w:p w14:paraId="121B6A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603BB292">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8"/>
                      <w:sz w:val="22"/>
                      <w:szCs w:val="22"/>
                    </w:rPr>
                  </w:pPr>
                  <w:r>
                    <w:rPr>
                      <w:spacing w:val="8"/>
                      <w:sz w:val="22"/>
                      <w:szCs w:val="22"/>
                    </w:rPr>
                    <w:t>单位长度投资</w:t>
                  </w:r>
                </w:p>
                <w:p w14:paraId="40E058FE">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（万元</w:t>
                  </w:r>
                  <w:r>
                    <w:rPr>
                      <w:rFonts w:ascii="Times New Roman" w:hAnsi="Times New Roman" w:eastAsia="Times New Roman" w:cs="Times New Roman"/>
                      <w:spacing w:val="7"/>
                      <w:sz w:val="22"/>
                      <w:szCs w:val="22"/>
                    </w:rPr>
                    <w:t>/</w:t>
                  </w:r>
                  <w:r>
                    <w:rPr>
                      <w:rFonts w:ascii="Times New Roman" w:hAnsi="Times New Roman" w:eastAsia="Times New Roman" w:cs="Times New Roman"/>
                      <w:sz w:val="22"/>
                      <w:szCs w:val="22"/>
                    </w:rPr>
                    <w:t>km</w:t>
                  </w:r>
                  <w:r>
                    <w:rPr>
                      <w:spacing w:val="7"/>
                      <w:sz w:val="22"/>
                      <w:szCs w:val="22"/>
                    </w:rPr>
                    <w:t>）</w:t>
                  </w:r>
                </w:p>
              </w:tc>
              <w:tc>
                <w:tcPr>
                  <w:tcW w:w="1642" w:type="dxa"/>
                  <w:vAlign w:val="center"/>
                </w:tcPr>
                <w:p w14:paraId="281876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750.43</w:t>
                  </w:r>
                </w:p>
              </w:tc>
              <w:tc>
                <w:tcPr>
                  <w:tcW w:w="1626" w:type="dxa"/>
                  <w:vMerge w:val="continue"/>
                  <w:tcBorders>
                    <w:top w:val="nil"/>
                  </w:tcBorders>
                  <w:vAlign w:val="center"/>
                </w:tcPr>
                <w:p w14:paraId="54A190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1920" w:type="dxa"/>
                  <w:vMerge w:val="continue"/>
                  <w:tcBorders>
                    <w:top w:val="nil"/>
                    <w:right w:val="nil"/>
                  </w:tcBorders>
                  <w:vAlign w:val="center"/>
                </w:tcPr>
                <w:p w14:paraId="6C9D92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r>
            <w:tr w14:paraId="5243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4E5BA46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restart"/>
                  <w:tcBorders>
                    <w:bottom w:val="nil"/>
                  </w:tcBorders>
                  <w:vAlign w:val="center"/>
                </w:tcPr>
                <w:p w14:paraId="364D0168">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4"/>
                      <w:sz w:val="22"/>
                      <w:szCs w:val="22"/>
                    </w:rPr>
                    <w:t>疏浚</w:t>
                  </w:r>
                </w:p>
              </w:tc>
              <w:tc>
                <w:tcPr>
                  <w:tcW w:w="2098" w:type="dxa"/>
                  <w:vAlign w:val="center"/>
                </w:tcPr>
                <w:p w14:paraId="68BB7A21">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治理长度（</w:t>
                  </w:r>
                  <w:r>
                    <w:rPr>
                      <w:rFonts w:ascii="Times New Roman" w:hAnsi="Times New Roman" w:eastAsia="Times New Roman" w:cs="Times New Roman"/>
                      <w:sz w:val="22"/>
                      <w:szCs w:val="22"/>
                    </w:rPr>
                    <w:t>km</w:t>
                  </w:r>
                  <w:r>
                    <w:rPr>
                      <w:spacing w:val="8"/>
                      <w:sz w:val="22"/>
                      <w:szCs w:val="22"/>
                    </w:rPr>
                    <w:t>）</w:t>
                  </w:r>
                </w:p>
              </w:tc>
              <w:tc>
                <w:tcPr>
                  <w:tcW w:w="1642" w:type="dxa"/>
                  <w:vAlign w:val="center"/>
                </w:tcPr>
                <w:p w14:paraId="366735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4.2</w:t>
                  </w:r>
                </w:p>
              </w:tc>
              <w:tc>
                <w:tcPr>
                  <w:tcW w:w="1626" w:type="dxa"/>
                  <w:vAlign w:val="center"/>
                </w:tcPr>
                <w:p w14:paraId="59DAD3D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挖淤泥（泥沙）方量</w:t>
                  </w:r>
                  <w:r>
                    <w:rPr>
                      <w:spacing w:val="1"/>
                      <w:sz w:val="22"/>
                      <w:szCs w:val="22"/>
                    </w:rPr>
                    <w:t>（万</w:t>
                  </w:r>
                  <w:r>
                    <w:rPr>
                      <w:spacing w:val="-43"/>
                      <w:sz w:val="22"/>
                      <w:szCs w:val="22"/>
                    </w:rPr>
                    <w:t xml:space="preserve"> </w:t>
                  </w:r>
                  <w:r>
                    <w:rPr>
                      <w:spacing w:val="-42"/>
                      <w:sz w:val="22"/>
                      <w:szCs w:val="22"/>
                    </w:rPr>
                    <w:t xml:space="preserve"> </w:t>
                  </w:r>
                  <w:r>
                    <w:rPr>
                      <w:rFonts w:hint="eastAsia" w:eastAsia="宋体" w:cs="Times New Roman"/>
                      <w:spacing w:val="1"/>
                      <w:sz w:val="22"/>
                      <w:szCs w:val="22"/>
                      <w:lang w:val="en-US" w:eastAsia="zh-CN"/>
                    </w:rPr>
                    <w:t>m</w:t>
                  </w:r>
                  <w:r>
                    <w:rPr>
                      <w:rFonts w:hint="eastAsia" w:eastAsia="宋体" w:cs="Times New Roman"/>
                      <w:spacing w:val="1"/>
                      <w:sz w:val="22"/>
                      <w:szCs w:val="22"/>
                      <w:vertAlign w:val="superscript"/>
                      <w:lang w:val="en-US" w:eastAsia="zh-CN"/>
                    </w:rPr>
                    <w:t>3</w:t>
                  </w:r>
                  <w:r>
                    <w:rPr>
                      <w:spacing w:val="1"/>
                      <w:sz w:val="22"/>
                      <w:szCs w:val="22"/>
                    </w:rPr>
                    <w:t>）</w:t>
                  </w:r>
                </w:p>
              </w:tc>
              <w:tc>
                <w:tcPr>
                  <w:tcW w:w="1920" w:type="dxa"/>
                  <w:tcBorders>
                    <w:right w:val="nil"/>
                  </w:tcBorders>
                  <w:vAlign w:val="center"/>
                </w:tcPr>
                <w:p w14:paraId="510E85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w:t>
                  </w:r>
                </w:p>
              </w:tc>
            </w:tr>
            <w:tr w14:paraId="4A014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bottom w:val="nil"/>
                  </w:tcBorders>
                  <w:vAlign w:val="center"/>
                </w:tcPr>
                <w:p w14:paraId="6F975A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bottom w:val="nil"/>
                  </w:tcBorders>
                  <w:vAlign w:val="center"/>
                </w:tcPr>
                <w:p w14:paraId="18500F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674F159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7"/>
                      <w:sz w:val="22"/>
                      <w:szCs w:val="22"/>
                    </w:rPr>
                    <w:t>相应投资（万元）</w:t>
                  </w:r>
                </w:p>
              </w:tc>
              <w:tc>
                <w:tcPr>
                  <w:tcW w:w="1642" w:type="dxa"/>
                  <w:vAlign w:val="center"/>
                </w:tcPr>
                <w:p w14:paraId="3D7EFF3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2.54</w:t>
                  </w:r>
                </w:p>
              </w:tc>
              <w:tc>
                <w:tcPr>
                  <w:tcW w:w="1626" w:type="dxa"/>
                  <w:vAlign w:val="center"/>
                </w:tcPr>
                <w:p w14:paraId="432743C8">
                  <w:pPr>
                    <w:pStyle w:val="16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sz w:val="22"/>
                      <w:szCs w:val="22"/>
                    </w:rPr>
                  </w:pPr>
                  <w:r>
                    <w:rPr>
                      <w:spacing w:val="8"/>
                      <w:sz w:val="22"/>
                      <w:szCs w:val="22"/>
                    </w:rPr>
                    <w:t>其他固体方量（万</w:t>
                  </w:r>
                  <w:r>
                    <w:rPr>
                      <w:spacing w:val="-42"/>
                      <w:sz w:val="22"/>
                      <w:szCs w:val="22"/>
                    </w:rPr>
                    <w:t xml:space="preserve"> </w:t>
                  </w:r>
                  <w:r>
                    <w:rPr>
                      <w:rFonts w:hint="eastAsia" w:eastAsia="宋体" w:cs="Times New Roman"/>
                      <w:spacing w:val="1"/>
                      <w:sz w:val="22"/>
                      <w:szCs w:val="22"/>
                      <w:lang w:val="en-US" w:eastAsia="zh-CN"/>
                    </w:rPr>
                    <w:t>m</w:t>
                  </w:r>
                  <w:r>
                    <w:rPr>
                      <w:rFonts w:hint="eastAsia" w:eastAsia="宋体" w:cs="Times New Roman"/>
                      <w:spacing w:val="1"/>
                      <w:sz w:val="22"/>
                      <w:szCs w:val="22"/>
                      <w:vertAlign w:val="superscript"/>
                      <w:lang w:val="en-US" w:eastAsia="zh-CN"/>
                    </w:rPr>
                    <w:t>3</w:t>
                  </w:r>
                  <w:r>
                    <w:rPr>
                      <w:rFonts w:ascii="Times New Roman" w:hAnsi="Times New Roman" w:eastAsia="Times New Roman" w:cs="Times New Roman"/>
                      <w:spacing w:val="4"/>
                      <w:position w:val="-1"/>
                      <w:sz w:val="22"/>
                      <w:szCs w:val="22"/>
                    </w:rPr>
                    <w:t>)</w:t>
                  </w:r>
                </w:p>
              </w:tc>
              <w:tc>
                <w:tcPr>
                  <w:tcW w:w="1920" w:type="dxa"/>
                  <w:tcBorders>
                    <w:right w:val="nil"/>
                  </w:tcBorders>
                  <w:vAlign w:val="center"/>
                </w:tcPr>
                <w:p w14:paraId="14A2F0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0.197</w:t>
                  </w:r>
                </w:p>
              </w:tc>
            </w:tr>
            <w:tr w14:paraId="6DCA1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10" w:type="dxa"/>
                  <w:vMerge w:val="continue"/>
                  <w:tcBorders>
                    <w:top w:val="nil"/>
                    <w:left w:val="nil"/>
                  </w:tcBorders>
                  <w:vAlign w:val="center"/>
                </w:tcPr>
                <w:p w14:paraId="70145F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737" w:type="dxa"/>
                  <w:vMerge w:val="continue"/>
                  <w:tcBorders>
                    <w:top w:val="nil"/>
                  </w:tcBorders>
                  <w:vAlign w:val="center"/>
                </w:tcPr>
                <w:p w14:paraId="72A955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2"/>
                      <w:szCs w:val="22"/>
                    </w:rPr>
                  </w:pPr>
                </w:p>
              </w:tc>
              <w:tc>
                <w:tcPr>
                  <w:tcW w:w="2098" w:type="dxa"/>
                  <w:vAlign w:val="center"/>
                </w:tcPr>
                <w:p w14:paraId="6CF31BEB">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单位长度投资（万元</w:t>
                  </w:r>
                </w:p>
                <w:p w14:paraId="3BFCC409">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rFonts w:ascii="Times New Roman" w:hAnsi="Times New Roman" w:eastAsia="Times New Roman" w:cs="Times New Roman"/>
                      <w:spacing w:val="7"/>
                      <w:sz w:val="22"/>
                      <w:szCs w:val="22"/>
                    </w:rPr>
                    <w:t>/</w:t>
                  </w:r>
                  <w:r>
                    <w:rPr>
                      <w:rFonts w:ascii="Times New Roman" w:hAnsi="Times New Roman" w:eastAsia="Times New Roman" w:cs="Times New Roman"/>
                      <w:sz w:val="22"/>
                      <w:szCs w:val="22"/>
                    </w:rPr>
                    <w:t>km</w:t>
                  </w:r>
                  <w:r>
                    <w:rPr>
                      <w:rFonts w:hint="eastAsia" w:eastAsia="宋体" w:cs="Times New Roman"/>
                      <w:sz w:val="22"/>
                      <w:szCs w:val="22"/>
                      <w:lang w:eastAsia="zh-CN"/>
                    </w:rPr>
                    <w:t>)</w:t>
                  </w:r>
                </w:p>
              </w:tc>
              <w:tc>
                <w:tcPr>
                  <w:tcW w:w="1642" w:type="dxa"/>
                  <w:vAlign w:val="center"/>
                </w:tcPr>
                <w:p w14:paraId="3986ED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0.6</w:t>
                  </w:r>
                </w:p>
              </w:tc>
              <w:tc>
                <w:tcPr>
                  <w:tcW w:w="1626" w:type="dxa"/>
                  <w:vAlign w:val="center"/>
                </w:tcPr>
                <w:p w14:paraId="7B661742">
                  <w:pPr>
                    <w:pStyle w:val="1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2"/>
                      <w:szCs w:val="22"/>
                    </w:rPr>
                  </w:pPr>
                  <w:r>
                    <w:rPr>
                      <w:spacing w:val="8"/>
                      <w:sz w:val="22"/>
                      <w:szCs w:val="22"/>
                    </w:rPr>
                    <w:t>综合单位方量投资</w:t>
                  </w:r>
                  <w:r>
                    <w:rPr>
                      <w:spacing w:val="2"/>
                      <w:sz w:val="22"/>
                      <w:szCs w:val="22"/>
                    </w:rPr>
                    <w:t>（元</w:t>
                  </w:r>
                  <w:r>
                    <w:rPr>
                      <w:rFonts w:ascii="Times New Roman" w:hAnsi="Times New Roman" w:eastAsia="Times New Roman" w:cs="Times New Roman"/>
                      <w:spacing w:val="2"/>
                      <w:sz w:val="22"/>
                      <w:szCs w:val="22"/>
                    </w:rPr>
                    <w:t>/</w:t>
                  </w:r>
                  <w:r>
                    <w:rPr>
                      <w:spacing w:val="-42"/>
                      <w:sz w:val="22"/>
                      <w:szCs w:val="22"/>
                    </w:rPr>
                    <w:t xml:space="preserve"> </w:t>
                  </w:r>
                  <w:r>
                    <w:rPr>
                      <w:rFonts w:hint="eastAsia" w:eastAsia="宋体" w:cs="Times New Roman"/>
                      <w:spacing w:val="1"/>
                      <w:sz w:val="22"/>
                      <w:szCs w:val="22"/>
                      <w:lang w:val="en-US" w:eastAsia="zh-CN"/>
                    </w:rPr>
                    <w:t>m</w:t>
                  </w:r>
                  <w:r>
                    <w:rPr>
                      <w:rFonts w:hint="eastAsia" w:eastAsia="宋体" w:cs="Times New Roman"/>
                      <w:spacing w:val="1"/>
                      <w:sz w:val="22"/>
                      <w:szCs w:val="22"/>
                      <w:vertAlign w:val="superscript"/>
                      <w:lang w:val="en-US" w:eastAsia="zh-CN"/>
                    </w:rPr>
                    <w:t>3</w:t>
                  </w:r>
                  <w:r>
                    <w:rPr>
                      <w:spacing w:val="2"/>
                      <w:sz w:val="22"/>
                      <w:szCs w:val="22"/>
                    </w:rPr>
                    <w:t>）</w:t>
                  </w:r>
                </w:p>
              </w:tc>
              <w:tc>
                <w:tcPr>
                  <w:tcW w:w="1920" w:type="dxa"/>
                  <w:tcBorders>
                    <w:right w:val="nil"/>
                  </w:tcBorders>
                  <w:vAlign w:val="center"/>
                </w:tcPr>
                <w:p w14:paraId="7D121CC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12.89</w:t>
                  </w:r>
                </w:p>
              </w:tc>
            </w:tr>
          </w:tbl>
          <w:p w14:paraId="266193D2">
            <w:pPr>
              <w:pStyle w:val="4"/>
              <w:rPr>
                <w:rFonts w:hint="eastAsia"/>
                <w:lang w:val="en-US" w:eastAsia="zh-CN"/>
              </w:rPr>
            </w:pPr>
            <w:r>
              <w:rPr>
                <w:rFonts w:hint="eastAsia"/>
                <w:lang w:val="en-US" w:eastAsia="zh-CN"/>
              </w:rPr>
              <w:t>主要设备</w:t>
            </w:r>
          </w:p>
          <w:p w14:paraId="7A115EE0">
            <w:pPr>
              <w:pStyle w:val="6"/>
              <w:rPr>
                <w:rFonts w:hint="eastAsia" w:ascii="Times New Roman" w:hAnsi="Times New Roman"/>
                <w:lang w:val="en-US" w:eastAsia="zh-CN"/>
              </w:rPr>
            </w:pPr>
            <w:r>
              <w:rPr>
                <w:rFonts w:hint="eastAsia" w:ascii="Times New Roman" w:hAnsi="Times New Roman"/>
                <w:lang w:val="en-US" w:eastAsia="zh-CN"/>
              </w:rPr>
              <w:t>根据施工方案，本工程主要施工机械有：</w:t>
            </w:r>
            <w:r>
              <w:rPr>
                <w:rFonts w:hint="eastAsia"/>
                <w:lang w:val="en-US" w:eastAsia="zh-CN"/>
              </w:rPr>
              <w:t>汽车</w:t>
            </w:r>
            <w:r>
              <w:rPr>
                <w:rFonts w:hint="eastAsia" w:ascii="Times New Roman" w:hAnsi="Times New Roman"/>
                <w:lang w:val="en-US" w:eastAsia="zh-CN"/>
              </w:rPr>
              <w:t>起重机、液压单斗挖掘机、推土机、自卸汽车、载重汽车、</w:t>
            </w:r>
            <w:r>
              <w:rPr>
                <w:rFonts w:hint="eastAsia"/>
                <w:lang w:val="en-US" w:eastAsia="zh-CN"/>
              </w:rPr>
              <w:t>拖拉机、压路机、</w:t>
            </w:r>
            <w:r>
              <w:rPr>
                <w:rFonts w:hint="eastAsia" w:ascii="Times New Roman" w:hAnsi="Times New Roman"/>
                <w:lang w:val="en-US" w:eastAsia="zh-CN"/>
              </w:rPr>
              <w:t>风(砂)水枪、刨毛机、插入式振捣器、平板式振捣器、胶轮车、蛙式夯实机、钢筋弯曲机、钢筋切断机、钢筋调直机等，详见下表。</w:t>
            </w:r>
          </w:p>
          <w:p w14:paraId="50FEE49A">
            <w:pPr>
              <w:pStyle w:val="7"/>
              <w:bidi w:val="0"/>
              <w:rPr>
                <w:rFonts w:hint="eastAsia"/>
                <w:lang w:val="en-US" w:eastAsia="zh-CN"/>
              </w:rPr>
            </w:pPr>
            <w:r>
              <w:rPr>
                <w:rFonts w:hint="eastAsia"/>
                <w:lang w:val="en-US" w:eastAsia="zh-CN"/>
              </w:rPr>
              <w:t xml:space="preserve">  主要施工设备一览表</w:t>
            </w:r>
          </w:p>
          <w:tbl>
            <w:tblPr>
              <w:tblStyle w:val="81"/>
              <w:tblW w:w="5000" w:type="pct"/>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0"/>
              <w:gridCol w:w="2372"/>
              <w:gridCol w:w="1779"/>
              <w:gridCol w:w="1845"/>
              <w:gridCol w:w="1799"/>
            </w:tblGrid>
            <w:tr w14:paraId="783FA0E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14F75C45">
                  <w:pPr>
                    <w:pStyle w:val="98"/>
                    <w:jc w:val="center"/>
                    <w:rPr>
                      <w:rFonts w:hint="eastAsia" w:eastAsia="宋体"/>
                      <w:sz w:val="22"/>
                      <w:szCs w:val="22"/>
                      <w:lang w:eastAsia="zh-CN"/>
                    </w:rPr>
                  </w:pPr>
                  <w:r>
                    <w:rPr>
                      <w:rFonts w:hint="eastAsia"/>
                      <w:sz w:val="22"/>
                      <w:szCs w:val="22"/>
                      <w:lang w:val="en-US" w:eastAsia="zh-CN"/>
                    </w:rPr>
                    <w:t>序号</w:t>
                  </w:r>
                </w:p>
              </w:tc>
              <w:tc>
                <w:tcPr>
                  <w:tcW w:w="1372" w:type="pct"/>
                  <w:vAlign w:val="center"/>
                </w:tcPr>
                <w:p w14:paraId="0041A919">
                  <w:pPr>
                    <w:pStyle w:val="98"/>
                    <w:jc w:val="center"/>
                    <w:rPr>
                      <w:rFonts w:hint="default" w:eastAsia="宋体"/>
                      <w:sz w:val="22"/>
                      <w:szCs w:val="22"/>
                      <w:lang w:val="en-US" w:eastAsia="zh-CN"/>
                    </w:rPr>
                  </w:pPr>
                  <w:r>
                    <w:rPr>
                      <w:rFonts w:hint="eastAsia"/>
                      <w:sz w:val="22"/>
                      <w:szCs w:val="22"/>
                      <w:lang w:val="en-US" w:eastAsia="zh-CN"/>
                    </w:rPr>
                    <w:t>机械名称</w:t>
                  </w:r>
                </w:p>
              </w:tc>
              <w:tc>
                <w:tcPr>
                  <w:tcW w:w="1028" w:type="pct"/>
                  <w:vAlign w:val="center"/>
                </w:tcPr>
                <w:p w14:paraId="2F29AACB">
                  <w:pPr>
                    <w:pStyle w:val="98"/>
                    <w:jc w:val="center"/>
                    <w:rPr>
                      <w:rFonts w:hint="eastAsia" w:eastAsia="宋体"/>
                      <w:sz w:val="22"/>
                      <w:szCs w:val="22"/>
                      <w:lang w:val="en-US" w:eastAsia="zh-CN"/>
                    </w:rPr>
                  </w:pPr>
                  <w:r>
                    <w:rPr>
                      <w:rFonts w:hint="eastAsia"/>
                      <w:sz w:val="22"/>
                      <w:szCs w:val="22"/>
                      <w:lang w:val="en-US" w:eastAsia="zh-CN"/>
                    </w:rPr>
                    <w:t>型号</w:t>
                  </w:r>
                </w:p>
              </w:tc>
              <w:tc>
                <w:tcPr>
                  <w:tcW w:w="1066" w:type="pct"/>
                  <w:vAlign w:val="center"/>
                </w:tcPr>
                <w:p w14:paraId="5718AD28">
                  <w:pPr>
                    <w:pStyle w:val="98"/>
                    <w:jc w:val="center"/>
                    <w:rPr>
                      <w:rFonts w:hint="default" w:eastAsia="宋体"/>
                      <w:sz w:val="22"/>
                      <w:szCs w:val="22"/>
                      <w:lang w:val="en-US" w:eastAsia="zh-CN"/>
                    </w:rPr>
                  </w:pPr>
                  <w:r>
                    <w:rPr>
                      <w:rFonts w:hint="eastAsia"/>
                      <w:sz w:val="22"/>
                      <w:szCs w:val="22"/>
                      <w:lang w:val="en-US" w:eastAsia="zh-CN"/>
                    </w:rPr>
                    <w:t>单位</w:t>
                  </w:r>
                </w:p>
              </w:tc>
              <w:tc>
                <w:tcPr>
                  <w:tcW w:w="1040" w:type="pct"/>
                  <w:vAlign w:val="center"/>
                </w:tcPr>
                <w:p w14:paraId="54FCB3E2">
                  <w:pPr>
                    <w:pStyle w:val="98"/>
                    <w:jc w:val="center"/>
                    <w:rPr>
                      <w:rFonts w:hint="default"/>
                      <w:sz w:val="22"/>
                      <w:szCs w:val="22"/>
                      <w:lang w:val="en-US" w:eastAsia="zh-CN"/>
                    </w:rPr>
                  </w:pPr>
                  <w:r>
                    <w:rPr>
                      <w:rFonts w:hint="eastAsia"/>
                      <w:sz w:val="22"/>
                      <w:szCs w:val="22"/>
                      <w:lang w:val="en-US" w:eastAsia="zh-CN"/>
                    </w:rPr>
                    <w:t>数量</w:t>
                  </w:r>
                </w:p>
              </w:tc>
            </w:tr>
            <w:tr w14:paraId="6559520A">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6BD49CDE">
                  <w:pPr>
                    <w:pStyle w:val="98"/>
                    <w:jc w:val="center"/>
                    <w:rPr>
                      <w:rFonts w:hint="eastAsia" w:eastAsia="宋体"/>
                      <w:sz w:val="22"/>
                      <w:szCs w:val="22"/>
                      <w:lang w:val="en-US" w:eastAsia="zh-CN"/>
                    </w:rPr>
                  </w:pPr>
                  <w:r>
                    <w:rPr>
                      <w:rFonts w:hint="eastAsia"/>
                      <w:sz w:val="22"/>
                      <w:szCs w:val="22"/>
                      <w:lang w:val="en-US" w:eastAsia="zh-CN"/>
                    </w:rPr>
                    <w:t>1</w:t>
                  </w:r>
                </w:p>
              </w:tc>
              <w:tc>
                <w:tcPr>
                  <w:tcW w:w="1372" w:type="pct"/>
                  <w:vAlign w:val="center"/>
                </w:tcPr>
                <w:p w14:paraId="49EF7EB3">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汽车起重机</w:t>
                  </w:r>
                </w:p>
              </w:tc>
              <w:tc>
                <w:tcPr>
                  <w:tcW w:w="1028" w:type="pct"/>
                  <w:vAlign w:val="center"/>
                </w:tcPr>
                <w:p w14:paraId="784784EA">
                  <w:pPr>
                    <w:keepNext w:val="0"/>
                    <w:keepLines w:val="0"/>
                    <w:widowControl/>
                    <w:suppressLineNumbers w:val="0"/>
                    <w:jc w:val="center"/>
                    <w:rPr>
                      <w:rFonts w:hint="eastAsia" w:eastAsia="宋体"/>
                      <w:sz w:val="22"/>
                      <w:szCs w:val="22"/>
                      <w:lang w:eastAsia="zh-CN"/>
                    </w:rPr>
                  </w:pPr>
                  <w:r>
                    <w:rPr>
                      <w:rFonts w:hint="default" w:ascii="Times New Roman" w:hAnsi="Times New Roman" w:eastAsia="宋体" w:cs="Times New Roman"/>
                      <w:color w:val="000000"/>
                      <w:kern w:val="0"/>
                      <w:sz w:val="22"/>
                      <w:szCs w:val="22"/>
                      <w:lang w:val="en-US" w:eastAsia="zh-CN" w:bidi="ar"/>
                      <w14:ligatures w14:val="standardContextual"/>
                    </w:rPr>
                    <w:t>5t</w:t>
                  </w:r>
                </w:p>
              </w:tc>
              <w:tc>
                <w:tcPr>
                  <w:tcW w:w="1066" w:type="pct"/>
                  <w:vAlign w:val="center"/>
                </w:tcPr>
                <w:p w14:paraId="40316A20">
                  <w:pPr>
                    <w:pStyle w:val="98"/>
                    <w:jc w:val="center"/>
                    <w:rPr>
                      <w:rFonts w:hint="eastAsia" w:eastAsia="宋体"/>
                      <w:sz w:val="22"/>
                      <w:szCs w:val="22"/>
                      <w:lang w:val="en-US" w:eastAsia="zh-CN"/>
                    </w:rPr>
                  </w:pPr>
                  <w:r>
                    <w:rPr>
                      <w:rFonts w:hint="eastAsia" w:eastAsia="宋体"/>
                      <w:sz w:val="22"/>
                      <w:szCs w:val="22"/>
                      <w:lang w:val="en-US" w:eastAsia="zh-CN"/>
                    </w:rPr>
                    <w:t>台</w:t>
                  </w:r>
                </w:p>
              </w:tc>
              <w:tc>
                <w:tcPr>
                  <w:tcW w:w="1040" w:type="pct"/>
                  <w:vAlign w:val="center"/>
                </w:tcPr>
                <w:p w14:paraId="45A8DAB0">
                  <w:pPr>
                    <w:pStyle w:val="98"/>
                    <w:jc w:val="center"/>
                    <w:rPr>
                      <w:rFonts w:hint="default" w:eastAsia="宋体"/>
                      <w:sz w:val="22"/>
                      <w:szCs w:val="22"/>
                      <w:lang w:val="en-US" w:eastAsia="zh-CN"/>
                    </w:rPr>
                  </w:pPr>
                  <w:r>
                    <w:rPr>
                      <w:rFonts w:hint="eastAsia"/>
                      <w:sz w:val="22"/>
                      <w:szCs w:val="22"/>
                      <w:lang w:val="en-US" w:eastAsia="zh-CN"/>
                    </w:rPr>
                    <w:t>1</w:t>
                  </w:r>
                </w:p>
              </w:tc>
            </w:tr>
            <w:tr w14:paraId="5CBACCE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63EA90A7">
                  <w:pPr>
                    <w:pStyle w:val="98"/>
                    <w:jc w:val="center"/>
                    <w:rPr>
                      <w:rFonts w:hint="eastAsia" w:eastAsia="宋体"/>
                      <w:sz w:val="22"/>
                      <w:szCs w:val="22"/>
                      <w:lang w:val="en-US" w:eastAsia="zh-CN"/>
                    </w:rPr>
                  </w:pPr>
                  <w:r>
                    <w:rPr>
                      <w:rFonts w:hint="eastAsia"/>
                      <w:sz w:val="22"/>
                      <w:szCs w:val="22"/>
                      <w:lang w:val="en-US" w:eastAsia="zh-CN"/>
                    </w:rPr>
                    <w:t>2</w:t>
                  </w:r>
                </w:p>
              </w:tc>
              <w:tc>
                <w:tcPr>
                  <w:tcW w:w="1372" w:type="pct"/>
                  <w:vAlign w:val="center"/>
                </w:tcPr>
                <w:p w14:paraId="7DAB5DA5">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液压单斗挖掘机</w:t>
                  </w:r>
                </w:p>
              </w:tc>
              <w:tc>
                <w:tcPr>
                  <w:tcW w:w="1028" w:type="pct"/>
                  <w:vAlign w:val="center"/>
                </w:tcPr>
                <w:p w14:paraId="533EBF64">
                  <w:pPr>
                    <w:keepNext w:val="0"/>
                    <w:keepLines w:val="0"/>
                    <w:widowControl/>
                    <w:suppressLineNumbers w:val="0"/>
                    <w:jc w:val="center"/>
                    <w:rPr>
                      <w:sz w:val="22"/>
                      <w:szCs w:val="22"/>
                    </w:rPr>
                  </w:pPr>
                  <w:r>
                    <w:rPr>
                      <w:rFonts w:hint="default" w:ascii="Times New Roman" w:hAnsi="Times New Roman" w:eastAsia="宋体" w:cs="Times New Roman"/>
                      <w:color w:val="000000"/>
                      <w:kern w:val="0"/>
                      <w:sz w:val="22"/>
                      <w:szCs w:val="22"/>
                      <w:lang w:val="en-US" w:eastAsia="zh-CN" w:bidi="ar"/>
                      <w14:ligatures w14:val="standardContextual"/>
                    </w:rPr>
                    <w:t>1.0m</w:t>
                  </w:r>
                  <w:r>
                    <w:rPr>
                      <w:rFonts w:hint="default" w:ascii="Times New Roman" w:hAnsi="Times New Roman" w:eastAsia="宋体" w:cs="Times New Roman"/>
                      <w:color w:val="000000"/>
                      <w:kern w:val="0"/>
                      <w:sz w:val="22"/>
                      <w:szCs w:val="22"/>
                      <w:vertAlign w:val="superscript"/>
                      <w:lang w:val="en-US" w:eastAsia="zh-CN" w:bidi="ar"/>
                      <w14:ligatures w14:val="standardContextual"/>
                    </w:rPr>
                    <w:t>3</w:t>
                  </w:r>
                </w:p>
              </w:tc>
              <w:tc>
                <w:tcPr>
                  <w:tcW w:w="1066" w:type="pct"/>
                  <w:vAlign w:val="center"/>
                </w:tcPr>
                <w:p w14:paraId="4A25AEE3">
                  <w:pPr>
                    <w:pStyle w:val="98"/>
                    <w:jc w:val="center"/>
                    <w:rPr>
                      <w:rFonts w:hint="eastAsia" w:eastAsia="宋体"/>
                      <w:sz w:val="22"/>
                      <w:szCs w:val="22"/>
                      <w:lang w:val="en-US" w:eastAsia="zh-CN"/>
                    </w:rPr>
                  </w:pPr>
                  <w:r>
                    <w:rPr>
                      <w:rFonts w:hint="eastAsia" w:eastAsia="宋体"/>
                      <w:sz w:val="22"/>
                      <w:szCs w:val="22"/>
                      <w:lang w:val="en-US" w:eastAsia="zh-CN"/>
                    </w:rPr>
                    <w:t>台</w:t>
                  </w:r>
                </w:p>
              </w:tc>
              <w:tc>
                <w:tcPr>
                  <w:tcW w:w="1040" w:type="pct"/>
                  <w:vAlign w:val="center"/>
                </w:tcPr>
                <w:p w14:paraId="511B31AB">
                  <w:pPr>
                    <w:pStyle w:val="98"/>
                    <w:jc w:val="center"/>
                    <w:rPr>
                      <w:rFonts w:hint="default" w:eastAsia="宋体"/>
                      <w:sz w:val="22"/>
                      <w:szCs w:val="22"/>
                      <w:lang w:val="en-US" w:eastAsia="zh-CN"/>
                    </w:rPr>
                  </w:pPr>
                  <w:r>
                    <w:rPr>
                      <w:rFonts w:hint="eastAsia"/>
                      <w:sz w:val="22"/>
                      <w:szCs w:val="22"/>
                      <w:lang w:val="en-US" w:eastAsia="zh-CN"/>
                    </w:rPr>
                    <w:t>5</w:t>
                  </w:r>
                </w:p>
              </w:tc>
            </w:tr>
            <w:tr w14:paraId="1E574EA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683F1CAD">
                  <w:pPr>
                    <w:pStyle w:val="98"/>
                    <w:jc w:val="center"/>
                    <w:rPr>
                      <w:rFonts w:hint="eastAsia" w:eastAsia="宋体"/>
                      <w:sz w:val="22"/>
                      <w:szCs w:val="22"/>
                      <w:lang w:val="en-US" w:eastAsia="zh-CN"/>
                    </w:rPr>
                  </w:pPr>
                  <w:r>
                    <w:rPr>
                      <w:rFonts w:hint="eastAsia"/>
                      <w:sz w:val="22"/>
                      <w:szCs w:val="22"/>
                      <w:lang w:val="en-US" w:eastAsia="zh-CN"/>
                    </w:rPr>
                    <w:t>3</w:t>
                  </w:r>
                </w:p>
              </w:tc>
              <w:tc>
                <w:tcPr>
                  <w:tcW w:w="1372" w:type="pct"/>
                  <w:vAlign w:val="center"/>
                </w:tcPr>
                <w:p w14:paraId="0B8EE77D">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推土机</w:t>
                  </w:r>
                </w:p>
              </w:tc>
              <w:tc>
                <w:tcPr>
                  <w:tcW w:w="1028" w:type="pct"/>
                  <w:vAlign w:val="center"/>
                </w:tcPr>
                <w:p w14:paraId="55B319DC">
                  <w:pPr>
                    <w:keepNext w:val="0"/>
                    <w:keepLines w:val="0"/>
                    <w:widowControl/>
                    <w:suppressLineNumbers w:val="0"/>
                    <w:jc w:val="center"/>
                    <w:rPr>
                      <w:rFonts w:hint="default" w:eastAsia="宋体"/>
                      <w:b w:val="0"/>
                      <w:bCs w:val="0"/>
                      <w:sz w:val="22"/>
                      <w:szCs w:val="22"/>
                      <w:lang w:val="en-US" w:eastAsia="zh-CN"/>
                    </w:rPr>
                  </w:pPr>
                  <w:r>
                    <w:rPr>
                      <w:rFonts w:hint="default" w:ascii="Times New Roman" w:hAnsi="Times New Roman" w:eastAsia="宋体" w:cs="Times New Roman"/>
                      <w:color w:val="000000"/>
                      <w:kern w:val="0"/>
                      <w:sz w:val="22"/>
                      <w:szCs w:val="22"/>
                      <w:lang w:val="en-US" w:eastAsia="zh-CN" w:bidi="ar"/>
                      <w14:ligatures w14:val="standardContextual"/>
                    </w:rPr>
                    <w:t>59~88kw</w:t>
                  </w:r>
                </w:p>
              </w:tc>
              <w:tc>
                <w:tcPr>
                  <w:tcW w:w="1066" w:type="pct"/>
                  <w:vAlign w:val="center"/>
                </w:tcPr>
                <w:p w14:paraId="594F4733">
                  <w:pPr>
                    <w:pStyle w:val="98"/>
                    <w:jc w:val="center"/>
                    <w:rPr>
                      <w:rFonts w:hint="eastAsia" w:eastAsia="宋体"/>
                      <w:b w:val="0"/>
                      <w:bCs w:val="0"/>
                      <w:sz w:val="22"/>
                      <w:szCs w:val="22"/>
                      <w:lang w:eastAsia="zh-CN"/>
                    </w:rPr>
                  </w:pPr>
                  <w:r>
                    <w:rPr>
                      <w:rFonts w:hint="eastAsia" w:eastAsia="宋体"/>
                      <w:sz w:val="22"/>
                      <w:szCs w:val="22"/>
                      <w:lang w:val="en-US" w:eastAsia="zh-CN"/>
                    </w:rPr>
                    <w:t>台</w:t>
                  </w:r>
                </w:p>
              </w:tc>
              <w:tc>
                <w:tcPr>
                  <w:tcW w:w="1040" w:type="pct"/>
                  <w:vAlign w:val="center"/>
                </w:tcPr>
                <w:p w14:paraId="39540391">
                  <w:pPr>
                    <w:pStyle w:val="98"/>
                    <w:jc w:val="center"/>
                    <w:rPr>
                      <w:rFonts w:hint="default" w:eastAsia="宋体"/>
                      <w:b w:val="0"/>
                      <w:bCs w:val="0"/>
                      <w:sz w:val="22"/>
                      <w:szCs w:val="22"/>
                      <w:lang w:val="en-US" w:eastAsia="zh-CN"/>
                    </w:rPr>
                  </w:pPr>
                  <w:r>
                    <w:rPr>
                      <w:rFonts w:hint="eastAsia"/>
                      <w:b w:val="0"/>
                      <w:bCs w:val="0"/>
                      <w:sz w:val="22"/>
                      <w:szCs w:val="22"/>
                      <w:lang w:val="en-US" w:eastAsia="zh-CN"/>
                    </w:rPr>
                    <w:t>3</w:t>
                  </w:r>
                </w:p>
              </w:tc>
            </w:tr>
            <w:tr w14:paraId="32F0DEEF">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3E32AEB8">
                  <w:pPr>
                    <w:pStyle w:val="98"/>
                    <w:jc w:val="center"/>
                    <w:rPr>
                      <w:rFonts w:hint="eastAsia" w:eastAsia="宋体"/>
                      <w:sz w:val="22"/>
                      <w:szCs w:val="22"/>
                      <w:lang w:val="en-US" w:eastAsia="zh-CN"/>
                    </w:rPr>
                  </w:pPr>
                  <w:r>
                    <w:rPr>
                      <w:rFonts w:hint="eastAsia"/>
                      <w:sz w:val="22"/>
                      <w:szCs w:val="22"/>
                      <w:lang w:val="en-US" w:eastAsia="zh-CN"/>
                    </w:rPr>
                    <w:t>4</w:t>
                  </w:r>
                </w:p>
              </w:tc>
              <w:tc>
                <w:tcPr>
                  <w:tcW w:w="1372" w:type="pct"/>
                  <w:vAlign w:val="center"/>
                </w:tcPr>
                <w:p w14:paraId="22EE824E">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自卸汽车</w:t>
                  </w:r>
                </w:p>
              </w:tc>
              <w:tc>
                <w:tcPr>
                  <w:tcW w:w="1028" w:type="pct"/>
                  <w:vAlign w:val="center"/>
                </w:tcPr>
                <w:p w14:paraId="20743659">
                  <w:pPr>
                    <w:keepNext w:val="0"/>
                    <w:keepLines w:val="0"/>
                    <w:widowControl/>
                    <w:suppressLineNumbers w:val="0"/>
                    <w:jc w:val="center"/>
                    <w:rPr>
                      <w:sz w:val="22"/>
                      <w:szCs w:val="22"/>
                    </w:rPr>
                  </w:pPr>
                  <w:r>
                    <w:rPr>
                      <w:rFonts w:hint="default" w:ascii="Times New Roman" w:hAnsi="Times New Roman" w:eastAsia="宋体" w:cs="Times New Roman"/>
                      <w:color w:val="000000"/>
                      <w:kern w:val="0"/>
                      <w:sz w:val="22"/>
                      <w:szCs w:val="22"/>
                      <w:lang w:val="en-US" w:eastAsia="zh-CN" w:bidi="ar"/>
                      <w14:ligatures w14:val="standardContextual"/>
                    </w:rPr>
                    <w:t>5~</w:t>
                  </w:r>
                  <w:r>
                    <w:rPr>
                      <w:rFonts w:hint="eastAsia" w:cs="Times New Roman"/>
                      <w:color w:val="000000"/>
                      <w:kern w:val="0"/>
                      <w:sz w:val="22"/>
                      <w:szCs w:val="22"/>
                      <w:lang w:val="en-US" w:eastAsia="zh-CN" w:bidi="ar"/>
                      <w14:ligatures w14:val="standardContextual"/>
                    </w:rPr>
                    <w:t>10</w:t>
                  </w:r>
                  <w:r>
                    <w:rPr>
                      <w:rFonts w:hint="default" w:ascii="Times New Roman" w:hAnsi="Times New Roman" w:eastAsia="宋体" w:cs="Times New Roman"/>
                      <w:color w:val="000000"/>
                      <w:kern w:val="0"/>
                      <w:sz w:val="22"/>
                      <w:szCs w:val="22"/>
                      <w:lang w:val="en-US" w:eastAsia="zh-CN" w:bidi="ar"/>
                      <w14:ligatures w14:val="standardContextual"/>
                    </w:rPr>
                    <w:t>t</w:t>
                  </w:r>
                </w:p>
              </w:tc>
              <w:tc>
                <w:tcPr>
                  <w:tcW w:w="1066" w:type="pct"/>
                  <w:vAlign w:val="center"/>
                </w:tcPr>
                <w:p w14:paraId="262E6418">
                  <w:pPr>
                    <w:pStyle w:val="98"/>
                    <w:jc w:val="center"/>
                    <w:rPr>
                      <w:sz w:val="22"/>
                      <w:szCs w:val="22"/>
                    </w:rPr>
                  </w:pPr>
                  <w:r>
                    <w:rPr>
                      <w:rFonts w:hint="eastAsia"/>
                      <w:sz w:val="22"/>
                      <w:szCs w:val="22"/>
                      <w:lang w:val="en-US" w:eastAsia="zh-CN"/>
                    </w:rPr>
                    <w:t>辆</w:t>
                  </w:r>
                </w:p>
              </w:tc>
              <w:tc>
                <w:tcPr>
                  <w:tcW w:w="1040" w:type="pct"/>
                  <w:vAlign w:val="center"/>
                </w:tcPr>
                <w:p w14:paraId="1D518B68">
                  <w:pPr>
                    <w:pStyle w:val="98"/>
                    <w:jc w:val="center"/>
                    <w:rPr>
                      <w:rFonts w:hint="eastAsia" w:eastAsia="宋体"/>
                      <w:sz w:val="22"/>
                      <w:szCs w:val="22"/>
                      <w:lang w:val="en-US" w:eastAsia="zh-CN"/>
                    </w:rPr>
                  </w:pPr>
                  <w:r>
                    <w:rPr>
                      <w:rFonts w:hint="eastAsia"/>
                      <w:sz w:val="22"/>
                      <w:szCs w:val="22"/>
                      <w:lang w:val="en-US" w:eastAsia="zh-CN"/>
                    </w:rPr>
                    <w:t>6</w:t>
                  </w:r>
                </w:p>
              </w:tc>
            </w:tr>
            <w:tr w14:paraId="3C9E3C3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1DD3CCD9">
                  <w:pPr>
                    <w:pStyle w:val="98"/>
                    <w:jc w:val="center"/>
                    <w:rPr>
                      <w:rFonts w:hint="default"/>
                      <w:sz w:val="22"/>
                      <w:szCs w:val="22"/>
                      <w:lang w:val="en-US" w:eastAsia="zh-CN"/>
                    </w:rPr>
                  </w:pPr>
                  <w:r>
                    <w:rPr>
                      <w:rFonts w:hint="eastAsia"/>
                      <w:sz w:val="22"/>
                      <w:szCs w:val="22"/>
                      <w:lang w:val="en-US" w:eastAsia="zh-CN"/>
                    </w:rPr>
                    <w:t>5</w:t>
                  </w:r>
                </w:p>
              </w:tc>
              <w:tc>
                <w:tcPr>
                  <w:tcW w:w="1372" w:type="pct"/>
                  <w:vAlign w:val="center"/>
                </w:tcPr>
                <w:p w14:paraId="6722DC3E">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载重汽车</w:t>
                  </w:r>
                </w:p>
              </w:tc>
              <w:tc>
                <w:tcPr>
                  <w:tcW w:w="1028" w:type="pct"/>
                  <w:vAlign w:val="center"/>
                </w:tcPr>
                <w:p w14:paraId="5898585C">
                  <w:pPr>
                    <w:keepNext w:val="0"/>
                    <w:keepLines w:val="0"/>
                    <w:widowControl/>
                    <w:suppressLineNumbers w:val="0"/>
                    <w:jc w:val="center"/>
                    <w:rPr>
                      <w:sz w:val="22"/>
                      <w:szCs w:val="22"/>
                    </w:rPr>
                  </w:pPr>
                  <w:r>
                    <w:rPr>
                      <w:rFonts w:hint="default" w:ascii="Times New Roman" w:hAnsi="Times New Roman" w:eastAsia="宋体" w:cs="Times New Roman"/>
                      <w:color w:val="000000"/>
                      <w:kern w:val="0"/>
                      <w:sz w:val="22"/>
                      <w:szCs w:val="22"/>
                      <w:lang w:val="en-US" w:eastAsia="zh-CN" w:bidi="ar"/>
                      <w14:ligatures w14:val="standardContextual"/>
                    </w:rPr>
                    <w:t>5t~10t</w:t>
                  </w:r>
                </w:p>
              </w:tc>
              <w:tc>
                <w:tcPr>
                  <w:tcW w:w="1066" w:type="pct"/>
                  <w:vAlign w:val="center"/>
                </w:tcPr>
                <w:p w14:paraId="6529444A">
                  <w:pPr>
                    <w:pStyle w:val="98"/>
                    <w:jc w:val="center"/>
                    <w:rPr>
                      <w:rFonts w:hint="eastAsia"/>
                      <w:sz w:val="22"/>
                      <w:szCs w:val="22"/>
                      <w:lang w:val="en-US" w:eastAsia="zh-CN"/>
                    </w:rPr>
                  </w:pPr>
                  <w:r>
                    <w:rPr>
                      <w:rFonts w:hint="eastAsia"/>
                      <w:sz w:val="22"/>
                      <w:szCs w:val="22"/>
                      <w:lang w:val="en-US" w:eastAsia="zh-CN"/>
                    </w:rPr>
                    <w:t>辆</w:t>
                  </w:r>
                </w:p>
              </w:tc>
              <w:tc>
                <w:tcPr>
                  <w:tcW w:w="1040" w:type="pct"/>
                  <w:vAlign w:val="center"/>
                </w:tcPr>
                <w:p w14:paraId="6A9B722D">
                  <w:pPr>
                    <w:pStyle w:val="98"/>
                    <w:jc w:val="center"/>
                    <w:rPr>
                      <w:rFonts w:hint="default"/>
                      <w:sz w:val="22"/>
                      <w:szCs w:val="22"/>
                      <w:lang w:val="en-US" w:eastAsia="zh-CN"/>
                    </w:rPr>
                  </w:pPr>
                  <w:r>
                    <w:rPr>
                      <w:rFonts w:hint="eastAsia"/>
                      <w:sz w:val="22"/>
                      <w:szCs w:val="22"/>
                      <w:lang w:val="en-US" w:eastAsia="zh-CN"/>
                    </w:rPr>
                    <w:t>2</w:t>
                  </w:r>
                </w:p>
              </w:tc>
            </w:tr>
            <w:tr w14:paraId="5D71010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6710BF43">
                  <w:pPr>
                    <w:pStyle w:val="98"/>
                    <w:jc w:val="center"/>
                    <w:rPr>
                      <w:rFonts w:hint="default"/>
                      <w:sz w:val="22"/>
                      <w:szCs w:val="22"/>
                      <w:lang w:val="en-US" w:eastAsia="zh-CN"/>
                    </w:rPr>
                  </w:pPr>
                  <w:r>
                    <w:rPr>
                      <w:rFonts w:hint="eastAsia"/>
                      <w:sz w:val="22"/>
                      <w:szCs w:val="22"/>
                      <w:lang w:val="en-US" w:eastAsia="zh-CN"/>
                    </w:rPr>
                    <w:t>6</w:t>
                  </w:r>
                </w:p>
              </w:tc>
              <w:tc>
                <w:tcPr>
                  <w:tcW w:w="1372" w:type="pct"/>
                  <w:vAlign w:val="center"/>
                </w:tcPr>
                <w:p w14:paraId="4AB80AFF">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拖拉机</w:t>
                  </w:r>
                </w:p>
              </w:tc>
              <w:tc>
                <w:tcPr>
                  <w:tcW w:w="1028" w:type="pct"/>
                  <w:vAlign w:val="center"/>
                </w:tcPr>
                <w:p w14:paraId="097408BB">
                  <w:pPr>
                    <w:keepNext w:val="0"/>
                    <w:keepLines w:val="0"/>
                    <w:widowControl/>
                    <w:suppressLineNumbers w:val="0"/>
                    <w:jc w:val="center"/>
                    <w:rPr>
                      <w:sz w:val="22"/>
                      <w:szCs w:val="22"/>
                    </w:rPr>
                  </w:pPr>
                  <w:r>
                    <w:rPr>
                      <w:rFonts w:hint="eastAsia" w:ascii="宋体" w:hAnsi="宋体" w:eastAsia="宋体" w:cs="宋体"/>
                      <w:color w:val="000000"/>
                      <w:kern w:val="0"/>
                      <w:sz w:val="22"/>
                      <w:szCs w:val="22"/>
                      <w:lang w:val="en-US" w:eastAsia="zh-CN" w:bidi="ar"/>
                      <w14:ligatures w14:val="standardContextual"/>
                    </w:rPr>
                    <w:t>履带式</w:t>
                  </w:r>
                </w:p>
              </w:tc>
              <w:tc>
                <w:tcPr>
                  <w:tcW w:w="1066" w:type="pct"/>
                  <w:vAlign w:val="center"/>
                </w:tcPr>
                <w:p w14:paraId="20629A4C">
                  <w:pPr>
                    <w:pStyle w:val="98"/>
                    <w:jc w:val="center"/>
                    <w:rPr>
                      <w:rFonts w:hint="eastAsia"/>
                      <w:sz w:val="22"/>
                      <w:szCs w:val="22"/>
                      <w:lang w:val="en-US" w:eastAsia="zh-CN"/>
                    </w:rPr>
                  </w:pPr>
                  <w:r>
                    <w:rPr>
                      <w:rFonts w:hint="eastAsia"/>
                      <w:sz w:val="22"/>
                      <w:szCs w:val="22"/>
                      <w:lang w:val="en-US" w:eastAsia="zh-CN"/>
                    </w:rPr>
                    <w:t>辆</w:t>
                  </w:r>
                </w:p>
              </w:tc>
              <w:tc>
                <w:tcPr>
                  <w:tcW w:w="1040" w:type="pct"/>
                  <w:vAlign w:val="center"/>
                </w:tcPr>
                <w:p w14:paraId="00A118BC">
                  <w:pPr>
                    <w:pStyle w:val="98"/>
                    <w:jc w:val="center"/>
                    <w:rPr>
                      <w:rFonts w:hint="default"/>
                      <w:sz w:val="22"/>
                      <w:szCs w:val="22"/>
                      <w:lang w:val="en-US" w:eastAsia="zh-CN"/>
                    </w:rPr>
                  </w:pPr>
                  <w:r>
                    <w:rPr>
                      <w:rFonts w:hint="eastAsia"/>
                      <w:sz w:val="22"/>
                      <w:szCs w:val="22"/>
                      <w:lang w:val="en-US" w:eastAsia="zh-CN"/>
                    </w:rPr>
                    <w:t>4</w:t>
                  </w:r>
                </w:p>
              </w:tc>
            </w:tr>
            <w:tr w14:paraId="0D4867A1">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43111F34">
                  <w:pPr>
                    <w:pStyle w:val="98"/>
                    <w:jc w:val="center"/>
                    <w:rPr>
                      <w:rFonts w:hint="default"/>
                      <w:sz w:val="22"/>
                      <w:szCs w:val="22"/>
                      <w:lang w:val="en-US" w:eastAsia="zh-CN"/>
                    </w:rPr>
                  </w:pPr>
                  <w:r>
                    <w:rPr>
                      <w:rFonts w:hint="eastAsia"/>
                      <w:sz w:val="22"/>
                      <w:szCs w:val="22"/>
                      <w:lang w:val="en-US" w:eastAsia="zh-CN"/>
                    </w:rPr>
                    <w:t>7</w:t>
                  </w:r>
                </w:p>
              </w:tc>
              <w:tc>
                <w:tcPr>
                  <w:tcW w:w="1372" w:type="pct"/>
                  <w:vAlign w:val="center"/>
                </w:tcPr>
                <w:p w14:paraId="45AFEBCC">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压路机</w:t>
                  </w:r>
                </w:p>
              </w:tc>
              <w:tc>
                <w:tcPr>
                  <w:tcW w:w="1028" w:type="pct"/>
                  <w:vAlign w:val="center"/>
                </w:tcPr>
                <w:p w14:paraId="6A802F78">
                  <w:pPr>
                    <w:keepNext w:val="0"/>
                    <w:keepLines w:val="0"/>
                    <w:widowControl/>
                    <w:suppressLineNumbers w:val="0"/>
                    <w:jc w:val="center"/>
                    <w:rPr>
                      <w:sz w:val="22"/>
                      <w:szCs w:val="22"/>
                    </w:rPr>
                  </w:pPr>
                  <w:r>
                    <w:rPr>
                      <w:rFonts w:hint="eastAsia" w:ascii="宋体" w:hAnsi="宋体" w:eastAsia="宋体" w:cs="宋体"/>
                      <w:color w:val="000000"/>
                      <w:kern w:val="0"/>
                      <w:sz w:val="22"/>
                      <w:szCs w:val="22"/>
                      <w:lang w:val="en-US" w:eastAsia="zh-CN" w:bidi="ar"/>
                      <w14:ligatures w14:val="standardContextual"/>
                    </w:rPr>
                    <w:t xml:space="preserve">内燃 </w:t>
                  </w:r>
                  <w:r>
                    <w:rPr>
                      <w:rFonts w:hint="default" w:ascii="Times New Roman" w:hAnsi="Times New Roman" w:eastAsia="宋体" w:cs="Times New Roman"/>
                      <w:color w:val="000000"/>
                      <w:kern w:val="0"/>
                      <w:sz w:val="22"/>
                      <w:szCs w:val="22"/>
                      <w:lang w:val="en-US" w:eastAsia="zh-CN" w:bidi="ar"/>
                      <w14:ligatures w14:val="standardContextual"/>
                    </w:rPr>
                    <w:t>12-15t</w:t>
                  </w:r>
                </w:p>
              </w:tc>
              <w:tc>
                <w:tcPr>
                  <w:tcW w:w="1066" w:type="pct"/>
                  <w:vAlign w:val="center"/>
                </w:tcPr>
                <w:p w14:paraId="23F3686B">
                  <w:pPr>
                    <w:pStyle w:val="98"/>
                    <w:jc w:val="center"/>
                    <w:rPr>
                      <w:rFonts w:hint="eastAsia"/>
                      <w:sz w:val="22"/>
                      <w:szCs w:val="22"/>
                      <w:lang w:val="en-US" w:eastAsia="zh-CN"/>
                    </w:rPr>
                  </w:pPr>
                  <w:r>
                    <w:rPr>
                      <w:rFonts w:hint="eastAsia"/>
                      <w:sz w:val="22"/>
                      <w:szCs w:val="22"/>
                      <w:lang w:val="en-US" w:eastAsia="zh-CN"/>
                    </w:rPr>
                    <w:t>辆</w:t>
                  </w:r>
                </w:p>
              </w:tc>
              <w:tc>
                <w:tcPr>
                  <w:tcW w:w="1040" w:type="pct"/>
                  <w:vAlign w:val="center"/>
                </w:tcPr>
                <w:p w14:paraId="5C665831">
                  <w:pPr>
                    <w:pStyle w:val="98"/>
                    <w:jc w:val="center"/>
                    <w:rPr>
                      <w:rFonts w:hint="default"/>
                      <w:sz w:val="22"/>
                      <w:szCs w:val="22"/>
                      <w:lang w:val="en-US" w:eastAsia="zh-CN"/>
                    </w:rPr>
                  </w:pPr>
                  <w:r>
                    <w:rPr>
                      <w:rFonts w:hint="eastAsia"/>
                      <w:sz w:val="22"/>
                      <w:szCs w:val="22"/>
                      <w:lang w:val="en-US" w:eastAsia="zh-CN"/>
                    </w:rPr>
                    <w:t>1</w:t>
                  </w:r>
                </w:p>
              </w:tc>
            </w:tr>
            <w:tr w14:paraId="571C617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55BAE1EE">
                  <w:pPr>
                    <w:pStyle w:val="98"/>
                    <w:jc w:val="center"/>
                    <w:rPr>
                      <w:rFonts w:hint="default"/>
                      <w:sz w:val="22"/>
                      <w:szCs w:val="22"/>
                      <w:lang w:val="en-US" w:eastAsia="zh-CN"/>
                    </w:rPr>
                  </w:pPr>
                  <w:r>
                    <w:rPr>
                      <w:rFonts w:hint="eastAsia"/>
                      <w:sz w:val="22"/>
                      <w:szCs w:val="22"/>
                      <w:lang w:val="en-US" w:eastAsia="zh-CN"/>
                    </w:rPr>
                    <w:t>8</w:t>
                  </w:r>
                </w:p>
              </w:tc>
              <w:tc>
                <w:tcPr>
                  <w:tcW w:w="1372" w:type="pct"/>
                  <w:vAlign w:val="center"/>
                </w:tcPr>
                <w:p w14:paraId="65052850">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风</w:t>
                  </w:r>
                  <w:r>
                    <w:rPr>
                      <w:rFonts w:hint="default" w:ascii="Times New Roman" w:hAnsi="Times New Roman" w:eastAsia="宋体" w:cs="Times New Roman"/>
                      <w:color w:val="000000"/>
                      <w:kern w:val="0"/>
                      <w:sz w:val="22"/>
                      <w:szCs w:val="22"/>
                      <w:lang w:val="en-US" w:eastAsia="zh-CN" w:bidi="ar"/>
                      <w14:ligatures w14:val="standardContextual"/>
                    </w:rPr>
                    <w:t>(</w:t>
                  </w:r>
                  <w:r>
                    <w:rPr>
                      <w:rFonts w:hint="eastAsia" w:ascii="宋体" w:hAnsi="宋体" w:eastAsia="宋体" w:cs="宋体"/>
                      <w:color w:val="000000"/>
                      <w:kern w:val="0"/>
                      <w:sz w:val="22"/>
                      <w:szCs w:val="22"/>
                      <w:lang w:val="en-US" w:eastAsia="zh-CN" w:bidi="ar"/>
                      <w14:ligatures w14:val="standardContextual"/>
                    </w:rPr>
                    <w:t>砂</w:t>
                  </w:r>
                  <w:r>
                    <w:rPr>
                      <w:rFonts w:hint="default" w:ascii="Times New Roman" w:hAnsi="Times New Roman" w:eastAsia="宋体" w:cs="Times New Roman"/>
                      <w:color w:val="000000"/>
                      <w:kern w:val="0"/>
                      <w:sz w:val="22"/>
                      <w:szCs w:val="22"/>
                      <w:lang w:val="en-US" w:eastAsia="zh-CN" w:bidi="ar"/>
                      <w14:ligatures w14:val="standardContextual"/>
                    </w:rPr>
                    <w:t>)</w:t>
                  </w:r>
                  <w:r>
                    <w:rPr>
                      <w:rFonts w:hint="eastAsia" w:ascii="宋体" w:hAnsi="宋体" w:eastAsia="宋体" w:cs="宋体"/>
                      <w:color w:val="000000"/>
                      <w:kern w:val="0"/>
                      <w:sz w:val="22"/>
                      <w:szCs w:val="22"/>
                      <w:lang w:val="en-US" w:eastAsia="zh-CN" w:bidi="ar"/>
                      <w14:ligatures w14:val="standardContextual"/>
                    </w:rPr>
                    <w:t>水枪</w:t>
                  </w:r>
                </w:p>
              </w:tc>
              <w:tc>
                <w:tcPr>
                  <w:tcW w:w="1028" w:type="pct"/>
                  <w:vAlign w:val="center"/>
                </w:tcPr>
                <w:p w14:paraId="1006CA14">
                  <w:pPr>
                    <w:keepNext w:val="0"/>
                    <w:keepLines w:val="0"/>
                    <w:widowControl/>
                    <w:suppressLineNumbers w:val="0"/>
                    <w:jc w:val="center"/>
                    <w:rPr>
                      <w:sz w:val="22"/>
                      <w:szCs w:val="22"/>
                    </w:rPr>
                  </w:pPr>
                  <w:r>
                    <w:rPr>
                      <w:rFonts w:hint="default" w:ascii="Times New Roman" w:hAnsi="Times New Roman" w:eastAsia="宋体" w:cs="Times New Roman"/>
                      <w:color w:val="000000"/>
                      <w:kern w:val="0"/>
                      <w:sz w:val="22"/>
                      <w:szCs w:val="22"/>
                      <w:lang w:val="en-US" w:eastAsia="zh-CN" w:bidi="ar"/>
                      <w14:ligatures w14:val="standardContextual"/>
                    </w:rPr>
                    <w:t>6m</w:t>
                  </w:r>
                  <w:r>
                    <w:rPr>
                      <w:rFonts w:hint="default" w:ascii="Times New Roman" w:hAnsi="Times New Roman" w:eastAsia="宋体" w:cs="Times New Roman"/>
                      <w:color w:val="000000"/>
                      <w:kern w:val="0"/>
                      <w:sz w:val="22"/>
                      <w:szCs w:val="22"/>
                      <w:vertAlign w:val="superscript"/>
                      <w:lang w:val="en-US" w:eastAsia="zh-CN" w:bidi="ar"/>
                      <w14:ligatures w14:val="standardContextual"/>
                    </w:rPr>
                    <w:t>3</w:t>
                  </w:r>
                  <w:r>
                    <w:rPr>
                      <w:rFonts w:hint="default" w:ascii="Times New Roman" w:hAnsi="Times New Roman" w:eastAsia="宋体" w:cs="Times New Roman"/>
                      <w:color w:val="000000"/>
                      <w:kern w:val="0"/>
                      <w:sz w:val="22"/>
                      <w:szCs w:val="22"/>
                      <w:lang w:val="en-US" w:eastAsia="zh-CN" w:bidi="ar"/>
                      <w14:ligatures w14:val="standardContextual"/>
                    </w:rPr>
                    <w:t xml:space="preserve"> /min</w:t>
                  </w:r>
                </w:p>
              </w:tc>
              <w:tc>
                <w:tcPr>
                  <w:tcW w:w="1066" w:type="pct"/>
                  <w:vAlign w:val="center"/>
                </w:tcPr>
                <w:p w14:paraId="598EEE55">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052D5AB8">
                  <w:pPr>
                    <w:pStyle w:val="98"/>
                    <w:jc w:val="center"/>
                    <w:rPr>
                      <w:rFonts w:hint="default"/>
                      <w:sz w:val="22"/>
                      <w:szCs w:val="22"/>
                      <w:lang w:val="en-US" w:eastAsia="zh-CN"/>
                    </w:rPr>
                  </w:pPr>
                  <w:r>
                    <w:rPr>
                      <w:rFonts w:hint="eastAsia"/>
                      <w:sz w:val="22"/>
                      <w:szCs w:val="22"/>
                      <w:lang w:val="en-US" w:eastAsia="zh-CN"/>
                    </w:rPr>
                    <w:t>2</w:t>
                  </w:r>
                </w:p>
              </w:tc>
            </w:tr>
            <w:tr w14:paraId="6C77374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607CAF37">
                  <w:pPr>
                    <w:pStyle w:val="98"/>
                    <w:jc w:val="center"/>
                    <w:rPr>
                      <w:rFonts w:hint="default"/>
                      <w:sz w:val="22"/>
                      <w:szCs w:val="22"/>
                      <w:lang w:val="en-US" w:eastAsia="zh-CN"/>
                    </w:rPr>
                  </w:pPr>
                  <w:r>
                    <w:rPr>
                      <w:rFonts w:hint="eastAsia"/>
                      <w:sz w:val="22"/>
                      <w:szCs w:val="22"/>
                      <w:lang w:val="en-US" w:eastAsia="zh-CN"/>
                    </w:rPr>
                    <w:t>9</w:t>
                  </w:r>
                </w:p>
              </w:tc>
              <w:tc>
                <w:tcPr>
                  <w:tcW w:w="1372" w:type="pct"/>
                  <w:vAlign w:val="center"/>
                </w:tcPr>
                <w:p w14:paraId="0EC24A9B">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刨毛机</w:t>
                  </w:r>
                </w:p>
              </w:tc>
              <w:tc>
                <w:tcPr>
                  <w:tcW w:w="1028" w:type="pct"/>
                  <w:vAlign w:val="center"/>
                </w:tcPr>
                <w:p w14:paraId="70FEA21D">
                  <w:pPr>
                    <w:widowControl/>
                    <w:spacing w:line="240" w:lineRule="auto"/>
                    <w:ind w:firstLine="0" w:firstLineChars="0"/>
                    <w:jc w:val="center"/>
                    <w:rPr>
                      <w:sz w:val="22"/>
                      <w:szCs w:val="22"/>
                    </w:rPr>
                  </w:pPr>
                </w:p>
              </w:tc>
              <w:tc>
                <w:tcPr>
                  <w:tcW w:w="1066" w:type="pct"/>
                  <w:vAlign w:val="center"/>
                </w:tcPr>
                <w:p w14:paraId="7AE30211">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6B188A86">
                  <w:pPr>
                    <w:pStyle w:val="98"/>
                    <w:jc w:val="center"/>
                    <w:rPr>
                      <w:rFonts w:hint="default"/>
                      <w:sz w:val="22"/>
                      <w:szCs w:val="22"/>
                      <w:lang w:val="en-US" w:eastAsia="zh-CN"/>
                    </w:rPr>
                  </w:pPr>
                  <w:r>
                    <w:rPr>
                      <w:rFonts w:hint="eastAsia"/>
                      <w:sz w:val="22"/>
                      <w:szCs w:val="22"/>
                      <w:lang w:val="en-US" w:eastAsia="zh-CN"/>
                    </w:rPr>
                    <w:t>2</w:t>
                  </w:r>
                </w:p>
              </w:tc>
            </w:tr>
            <w:tr w14:paraId="12C36DE3">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08C45443">
                  <w:pPr>
                    <w:pStyle w:val="98"/>
                    <w:jc w:val="center"/>
                    <w:rPr>
                      <w:rFonts w:hint="default"/>
                      <w:sz w:val="22"/>
                      <w:szCs w:val="22"/>
                      <w:lang w:val="en-US" w:eastAsia="zh-CN"/>
                    </w:rPr>
                  </w:pPr>
                  <w:r>
                    <w:rPr>
                      <w:rFonts w:hint="eastAsia"/>
                      <w:sz w:val="22"/>
                      <w:szCs w:val="22"/>
                      <w:lang w:val="en-US" w:eastAsia="zh-CN"/>
                    </w:rPr>
                    <w:t>10</w:t>
                  </w:r>
                </w:p>
              </w:tc>
              <w:tc>
                <w:tcPr>
                  <w:tcW w:w="1372" w:type="pct"/>
                  <w:vAlign w:val="center"/>
                </w:tcPr>
                <w:p w14:paraId="07D05E53">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插入式振捣器</w:t>
                  </w:r>
                </w:p>
              </w:tc>
              <w:tc>
                <w:tcPr>
                  <w:tcW w:w="1028" w:type="pct"/>
                  <w:vAlign w:val="center"/>
                </w:tcPr>
                <w:p w14:paraId="42D22A45">
                  <w:pPr>
                    <w:widowControl/>
                    <w:spacing w:line="240" w:lineRule="auto"/>
                    <w:ind w:firstLine="0" w:firstLineChars="0"/>
                    <w:jc w:val="center"/>
                    <w:rPr>
                      <w:sz w:val="22"/>
                      <w:szCs w:val="22"/>
                    </w:rPr>
                  </w:pPr>
                </w:p>
              </w:tc>
              <w:tc>
                <w:tcPr>
                  <w:tcW w:w="1066" w:type="pct"/>
                  <w:vAlign w:val="center"/>
                </w:tcPr>
                <w:p w14:paraId="410AE660">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1B5C7FF0">
                  <w:pPr>
                    <w:pStyle w:val="98"/>
                    <w:jc w:val="center"/>
                    <w:rPr>
                      <w:rFonts w:hint="default"/>
                      <w:sz w:val="22"/>
                      <w:szCs w:val="22"/>
                      <w:lang w:val="en-US" w:eastAsia="zh-CN"/>
                    </w:rPr>
                  </w:pPr>
                  <w:r>
                    <w:rPr>
                      <w:rFonts w:hint="eastAsia"/>
                      <w:sz w:val="22"/>
                      <w:szCs w:val="22"/>
                      <w:lang w:val="en-US" w:eastAsia="zh-CN"/>
                    </w:rPr>
                    <w:t>4</w:t>
                  </w:r>
                </w:p>
              </w:tc>
            </w:tr>
            <w:tr w14:paraId="22B418F1">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1B39BDA1">
                  <w:pPr>
                    <w:pStyle w:val="98"/>
                    <w:jc w:val="center"/>
                    <w:rPr>
                      <w:rFonts w:hint="default"/>
                      <w:sz w:val="22"/>
                      <w:szCs w:val="22"/>
                      <w:lang w:val="en-US" w:eastAsia="zh-CN"/>
                    </w:rPr>
                  </w:pPr>
                  <w:r>
                    <w:rPr>
                      <w:rFonts w:hint="eastAsia"/>
                      <w:sz w:val="22"/>
                      <w:szCs w:val="22"/>
                      <w:lang w:val="en-US" w:eastAsia="zh-CN"/>
                    </w:rPr>
                    <w:t>11</w:t>
                  </w:r>
                </w:p>
              </w:tc>
              <w:tc>
                <w:tcPr>
                  <w:tcW w:w="1372" w:type="pct"/>
                  <w:vAlign w:val="center"/>
                </w:tcPr>
                <w:p w14:paraId="276EE30A">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平板式振捣器</w:t>
                  </w:r>
                </w:p>
              </w:tc>
              <w:tc>
                <w:tcPr>
                  <w:tcW w:w="1028" w:type="pct"/>
                  <w:vAlign w:val="center"/>
                </w:tcPr>
                <w:p w14:paraId="541202AA">
                  <w:pPr>
                    <w:widowControl/>
                    <w:spacing w:line="240" w:lineRule="auto"/>
                    <w:ind w:firstLine="0" w:firstLineChars="0"/>
                    <w:jc w:val="center"/>
                    <w:rPr>
                      <w:sz w:val="22"/>
                      <w:szCs w:val="22"/>
                    </w:rPr>
                  </w:pPr>
                </w:p>
              </w:tc>
              <w:tc>
                <w:tcPr>
                  <w:tcW w:w="1066" w:type="pct"/>
                  <w:vAlign w:val="center"/>
                </w:tcPr>
                <w:p w14:paraId="5AC945BE">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3E4B03A3">
                  <w:pPr>
                    <w:pStyle w:val="98"/>
                    <w:jc w:val="center"/>
                    <w:rPr>
                      <w:rFonts w:hint="default"/>
                      <w:sz w:val="22"/>
                      <w:szCs w:val="22"/>
                      <w:lang w:val="en-US" w:eastAsia="zh-CN"/>
                    </w:rPr>
                  </w:pPr>
                  <w:r>
                    <w:rPr>
                      <w:rFonts w:hint="eastAsia"/>
                      <w:sz w:val="22"/>
                      <w:szCs w:val="22"/>
                      <w:lang w:val="en-US" w:eastAsia="zh-CN"/>
                    </w:rPr>
                    <w:t>2</w:t>
                  </w:r>
                </w:p>
              </w:tc>
            </w:tr>
            <w:tr w14:paraId="62595C5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3A3D3417">
                  <w:pPr>
                    <w:pStyle w:val="98"/>
                    <w:jc w:val="center"/>
                    <w:rPr>
                      <w:rFonts w:hint="default"/>
                      <w:sz w:val="22"/>
                      <w:szCs w:val="22"/>
                      <w:lang w:val="en-US" w:eastAsia="zh-CN"/>
                    </w:rPr>
                  </w:pPr>
                  <w:r>
                    <w:rPr>
                      <w:rFonts w:hint="eastAsia"/>
                      <w:sz w:val="22"/>
                      <w:szCs w:val="22"/>
                      <w:lang w:val="en-US" w:eastAsia="zh-CN"/>
                    </w:rPr>
                    <w:t>12</w:t>
                  </w:r>
                </w:p>
              </w:tc>
              <w:tc>
                <w:tcPr>
                  <w:tcW w:w="1372" w:type="pct"/>
                  <w:vAlign w:val="center"/>
                </w:tcPr>
                <w:p w14:paraId="27C8D49A">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混凝土搅拌机</w:t>
                  </w:r>
                </w:p>
              </w:tc>
              <w:tc>
                <w:tcPr>
                  <w:tcW w:w="1028" w:type="pct"/>
                  <w:vAlign w:val="center"/>
                </w:tcPr>
                <w:p w14:paraId="31FFFF11">
                  <w:pPr>
                    <w:keepNext w:val="0"/>
                    <w:keepLines w:val="0"/>
                    <w:widowControl/>
                    <w:suppressLineNumbers w:val="0"/>
                    <w:jc w:val="center"/>
                    <w:rPr>
                      <w:sz w:val="22"/>
                      <w:szCs w:val="22"/>
                    </w:rPr>
                  </w:pPr>
                  <w:r>
                    <w:rPr>
                      <w:rFonts w:hint="default" w:ascii="Times New Roman" w:hAnsi="Times New Roman" w:eastAsia="宋体" w:cs="Times New Roman"/>
                      <w:color w:val="000000"/>
                      <w:kern w:val="0"/>
                      <w:sz w:val="22"/>
                      <w:szCs w:val="22"/>
                      <w:lang w:val="en-US" w:eastAsia="zh-CN" w:bidi="ar"/>
                      <w14:ligatures w14:val="standardContextual"/>
                    </w:rPr>
                    <w:t>0.4m</w:t>
                  </w:r>
                  <w:r>
                    <w:rPr>
                      <w:rFonts w:hint="default" w:ascii="Times New Roman" w:hAnsi="Times New Roman" w:eastAsia="宋体" w:cs="Times New Roman"/>
                      <w:color w:val="000000"/>
                      <w:kern w:val="0"/>
                      <w:sz w:val="22"/>
                      <w:szCs w:val="22"/>
                      <w:vertAlign w:val="superscript"/>
                      <w:lang w:val="en-US" w:eastAsia="zh-CN" w:bidi="ar"/>
                      <w14:ligatures w14:val="standardContextual"/>
                    </w:rPr>
                    <w:t>3</w:t>
                  </w:r>
                </w:p>
              </w:tc>
              <w:tc>
                <w:tcPr>
                  <w:tcW w:w="1066" w:type="pct"/>
                  <w:vAlign w:val="center"/>
                </w:tcPr>
                <w:p w14:paraId="3851E4A1">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7BDB25E5">
                  <w:pPr>
                    <w:pStyle w:val="98"/>
                    <w:jc w:val="center"/>
                    <w:rPr>
                      <w:rFonts w:hint="default"/>
                      <w:sz w:val="22"/>
                      <w:szCs w:val="22"/>
                      <w:lang w:val="en-US" w:eastAsia="zh-CN"/>
                    </w:rPr>
                  </w:pPr>
                  <w:r>
                    <w:rPr>
                      <w:rFonts w:hint="eastAsia"/>
                      <w:sz w:val="22"/>
                      <w:szCs w:val="22"/>
                      <w:lang w:val="en-US" w:eastAsia="zh-CN"/>
                    </w:rPr>
                    <w:t>2</w:t>
                  </w:r>
                </w:p>
              </w:tc>
            </w:tr>
            <w:tr w14:paraId="11046C7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161CE665">
                  <w:pPr>
                    <w:pStyle w:val="98"/>
                    <w:jc w:val="center"/>
                    <w:rPr>
                      <w:rFonts w:hint="default"/>
                      <w:sz w:val="22"/>
                      <w:szCs w:val="22"/>
                      <w:lang w:val="en-US" w:eastAsia="zh-CN"/>
                    </w:rPr>
                  </w:pPr>
                  <w:r>
                    <w:rPr>
                      <w:rFonts w:hint="eastAsia"/>
                      <w:sz w:val="22"/>
                      <w:szCs w:val="22"/>
                      <w:lang w:val="en-US" w:eastAsia="zh-CN"/>
                    </w:rPr>
                    <w:t>13</w:t>
                  </w:r>
                </w:p>
              </w:tc>
              <w:tc>
                <w:tcPr>
                  <w:tcW w:w="1372" w:type="pct"/>
                  <w:vAlign w:val="center"/>
                </w:tcPr>
                <w:p w14:paraId="05273D30">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胶轮车</w:t>
                  </w:r>
                </w:p>
              </w:tc>
              <w:tc>
                <w:tcPr>
                  <w:tcW w:w="1028" w:type="pct"/>
                  <w:vAlign w:val="center"/>
                </w:tcPr>
                <w:p w14:paraId="151EE19B">
                  <w:pPr>
                    <w:widowControl/>
                    <w:spacing w:line="240" w:lineRule="auto"/>
                    <w:ind w:firstLine="0" w:firstLineChars="0"/>
                    <w:jc w:val="center"/>
                    <w:rPr>
                      <w:sz w:val="22"/>
                      <w:szCs w:val="22"/>
                    </w:rPr>
                  </w:pPr>
                </w:p>
              </w:tc>
              <w:tc>
                <w:tcPr>
                  <w:tcW w:w="1066" w:type="pct"/>
                  <w:vAlign w:val="center"/>
                </w:tcPr>
                <w:p w14:paraId="7D792F48">
                  <w:pPr>
                    <w:pStyle w:val="98"/>
                    <w:jc w:val="center"/>
                    <w:rPr>
                      <w:rFonts w:hint="default"/>
                      <w:sz w:val="22"/>
                      <w:szCs w:val="22"/>
                      <w:lang w:val="en-US" w:eastAsia="zh-CN"/>
                    </w:rPr>
                  </w:pPr>
                  <w:r>
                    <w:rPr>
                      <w:rFonts w:hint="eastAsia"/>
                      <w:sz w:val="22"/>
                      <w:szCs w:val="22"/>
                      <w:lang w:val="en-US" w:eastAsia="zh-CN"/>
                    </w:rPr>
                    <w:t>辆</w:t>
                  </w:r>
                </w:p>
              </w:tc>
              <w:tc>
                <w:tcPr>
                  <w:tcW w:w="1040" w:type="pct"/>
                  <w:vAlign w:val="center"/>
                </w:tcPr>
                <w:p w14:paraId="790C6777">
                  <w:pPr>
                    <w:pStyle w:val="98"/>
                    <w:jc w:val="center"/>
                    <w:rPr>
                      <w:rFonts w:hint="default"/>
                      <w:sz w:val="22"/>
                      <w:szCs w:val="22"/>
                      <w:lang w:val="en-US" w:eastAsia="zh-CN"/>
                    </w:rPr>
                  </w:pPr>
                  <w:r>
                    <w:rPr>
                      <w:rFonts w:hint="eastAsia"/>
                      <w:sz w:val="22"/>
                      <w:szCs w:val="22"/>
                      <w:lang w:val="en-US" w:eastAsia="zh-CN"/>
                    </w:rPr>
                    <w:t>20</w:t>
                  </w:r>
                </w:p>
              </w:tc>
            </w:tr>
            <w:tr w14:paraId="2EAE20A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3288F5B9">
                  <w:pPr>
                    <w:pStyle w:val="98"/>
                    <w:jc w:val="center"/>
                    <w:rPr>
                      <w:rFonts w:hint="default"/>
                      <w:sz w:val="22"/>
                      <w:szCs w:val="22"/>
                      <w:lang w:val="en-US" w:eastAsia="zh-CN"/>
                    </w:rPr>
                  </w:pPr>
                  <w:r>
                    <w:rPr>
                      <w:rFonts w:hint="eastAsia"/>
                      <w:sz w:val="22"/>
                      <w:szCs w:val="22"/>
                      <w:lang w:val="en-US" w:eastAsia="zh-CN"/>
                    </w:rPr>
                    <w:t>14</w:t>
                  </w:r>
                </w:p>
              </w:tc>
              <w:tc>
                <w:tcPr>
                  <w:tcW w:w="1372" w:type="pct"/>
                  <w:vAlign w:val="center"/>
                </w:tcPr>
                <w:p w14:paraId="379B2006">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蛙式夯实机</w:t>
                  </w:r>
                </w:p>
              </w:tc>
              <w:tc>
                <w:tcPr>
                  <w:tcW w:w="1028" w:type="pct"/>
                  <w:vAlign w:val="center"/>
                </w:tcPr>
                <w:p w14:paraId="167261AD">
                  <w:pPr>
                    <w:widowControl/>
                    <w:spacing w:line="240" w:lineRule="auto"/>
                    <w:ind w:firstLine="0" w:firstLineChars="0"/>
                    <w:jc w:val="center"/>
                    <w:rPr>
                      <w:rFonts w:hint="default" w:eastAsia="宋体"/>
                      <w:sz w:val="22"/>
                      <w:szCs w:val="22"/>
                      <w:lang w:val="en-US" w:eastAsia="zh-CN"/>
                    </w:rPr>
                  </w:pPr>
                  <w:r>
                    <w:rPr>
                      <w:rFonts w:hint="eastAsia"/>
                      <w:sz w:val="22"/>
                      <w:szCs w:val="22"/>
                      <w:lang w:val="en-US" w:eastAsia="zh-CN"/>
                    </w:rPr>
                    <w:t>2.8</w:t>
                  </w:r>
                  <w:r>
                    <w:rPr>
                      <w:rFonts w:hint="default" w:ascii="Times New Roman" w:hAnsi="Times New Roman" w:eastAsia="宋体" w:cs="Times New Roman"/>
                      <w:color w:val="000000"/>
                      <w:kern w:val="0"/>
                      <w:sz w:val="22"/>
                      <w:szCs w:val="22"/>
                      <w:lang w:val="en-US" w:eastAsia="zh-CN" w:bidi="ar"/>
                      <w14:ligatures w14:val="standardContextual"/>
                    </w:rPr>
                    <w:t>kw</w:t>
                  </w:r>
                </w:p>
              </w:tc>
              <w:tc>
                <w:tcPr>
                  <w:tcW w:w="1066" w:type="pct"/>
                  <w:vAlign w:val="center"/>
                </w:tcPr>
                <w:p w14:paraId="4844A6DD">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0DB95563">
                  <w:pPr>
                    <w:pStyle w:val="98"/>
                    <w:jc w:val="center"/>
                    <w:rPr>
                      <w:rFonts w:hint="default"/>
                      <w:sz w:val="22"/>
                      <w:szCs w:val="22"/>
                      <w:lang w:val="en-US" w:eastAsia="zh-CN"/>
                    </w:rPr>
                  </w:pPr>
                  <w:r>
                    <w:rPr>
                      <w:rFonts w:hint="eastAsia"/>
                      <w:sz w:val="22"/>
                      <w:szCs w:val="22"/>
                      <w:lang w:val="en-US" w:eastAsia="zh-CN"/>
                    </w:rPr>
                    <w:t>4</w:t>
                  </w:r>
                </w:p>
              </w:tc>
            </w:tr>
            <w:tr w14:paraId="1032E52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483C0E25">
                  <w:pPr>
                    <w:pStyle w:val="98"/>
                    <w:jc w:val="center"/>
                    <w:rPr>
                      <w:rFonts w:hint="default"/>
                      <w:sz w:val="22"/>
                      <w:szCs w:val="22"/>
                      <w:lang w:val="en-US" w:eastAsia="zh-CN"/>
                    </w:rPr>
                  </w:pPr>
                  <w:r>
                    <w:rPr>
                      <w:rFonts w:hint="eastAsia"/>
                      <w:sz w:val="22"/>
                      <w:szCs w:val="22"/>
                      <w:lang w:val="en-US" w:eastAsia="zh-CN"/>
                    </w:rPr>
                    <w:t>15</w:t>
                  </w:r>
                </w:p>
              </w:tc>
              <w:tc>
                <w:tcPr>
                  <w:tcW w:w="1372" w:type="pct"/>
                  <w:vAlign w:val="center"/>
                </w:tcPr>
                <w:p w14:paraId="192BB073">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钢筋弯曲机</w:t>
                  </w:r>
                </w:p>
              </w:tc>
              <w:tc>
                <w:tcPr>
                  <w:tcW w:w="1028" w:type="pct"/>
                  <w:vAlign w:val="center"/>
                </w:tcPr>
                <w:p w14:paraId="7966BFFD">
                  <w:pPr>
                    <w:keepNext w:val="0"/>
                    <w:keepLines w:val="0"/>
                    <w:widowControl/>
                    <w:suppressLineNumbers w:val="0"/>
                    <w:jc w:val="center"/>
                    <w:rPr>
                      <w:sz w:val="22"/>
                      <w:szCs w:val="22"/>
                    </w:rPr>
                  </w:pPr>
                  <w:r>
                    <w:rPr>
                      <w:rFonts w:hint="default" w:ascii="Times New Roman" w:hAnsi="Times New Roman" w:eastAsia="宋体" w:cs="Times New Roman"/>
                      <w:color w:val="000000"/>
                      <w:kern w:val="0"/>
                      <w:sz w:val="22"/>
                      <w:szCs w:val="22"/>
                      <w:lang w:val="en-US" w:eastAsia="zh-CN" w:bidi="ar"/>
                      <w14:ligatures w14:val="standardContextual"/>
                    </w:rPr>
                    <w:t>Φ6~40</w:t>
                  </w:r>
                </w:p>
              </w:tc>
              <w:tc>
                <w:tcPr>
                  <w:tcW w:w="1066" w:type="pct"/>
                  <w:vAlign w:val="center"/>
                </w:tcPr>
                <w:p w14:paraId="28D201F0">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7E4BB1B2">
                  <w:pPr>
                    <w:pStyle w:val="98"/>
                    <w:jc w:val="center"/>
                    <w:rPr>
                      <w:rFonts w:hint="default"/>
                      <w:sz w:val="22"/>
                      <w:szCs w:val="22"/>
                      <w:lang w:val="en-US" w:eastAsia="zh-CN"/>
                    </w:rPr>
                  </w:pPr>
                  <w:r>
                    <w:rPr>
                      <w:rFonts w:hint="eastAsia"/>
                      <w:sz w:val="22"/>
                      <w:szCs w:val="22"/>
                      <w:lang w:val="en-US" w:eastAsia="zh-CN"/>
                    </w:rPr>
                    <w:t>1</w:t>
                  </w:r>
                </w:p>
              </w:tc>
            </w:tr>
            <w:tr w14:paraId="39D63560">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491" w:type="pct"/>
                  <w:vAlign w:val="center"/>
                </w:tcPr>
                <w:p w14:paraId="4166DCD9">
                  <w:pPr>
                    <w:pStyle w:val="98"/>
                    <w:jc w:val="center"/>
                    <w:rPr>
                      <w:rFonts w:hint="default"/>
                      <w:sz w:val="22"/>
                      <w:szCs w:val="22"/>
                      <w:lang w:val="en-US" w:eastAsia="zh-CN"/>
                    </w:rPr>
                  </w:pPr>
                  <w:r>
                    <w:rPr>
                      <w:rFonts w:hint="eastAsia"/>
                      <w:sz w:val="22"/>
                      <w:szCs w:val="22"/>
                      <w:lang w:val="en-US" w:eastAsia="zh-CN"/>
                    </w:rPr>
                    <w:t>16</w:t>
                  </w:r>
                </w:p>
              </w:tc>
              <w:tc>
                <w:tcPr>
                  <w:tcW w:w="1372" w:type="pct"/>
                  <w:vAlign w:val="center"/>
                </w:tcPr>
                <w:p w14:paraId="04C93870">
                  <w:pPr>
                    <w:keepNext w:val="0"/>
                    <w:keepLines w:val="0"/>
                    <w:widowControl/>
                    <w:suppressLineNumbers w:val="0"/>
                    <w:jc w:val="center"/>
                    <w:rPr>
                      <w:rFonts w:hint="eastAsia" w:eastAsia="宋体"/>
                      <w:sz w:val="22"/>
                      <w:szCs w:val="22"/>
                      <w:lang w:eastAsia="zh-CN"/>
                    </w:rPr>
                  </w:pPr>
                  <w:r>
                    <w:rPr>
                      <w:rFonts w:hint="eastAsia" w:ascii="宋体" w:hAnsi="宋体" w:eastAsia="宋体" w:cs="宋体"/>
                      <w:color w:val="000000"/>
                      <w:kern w:val="0"/>
                      <w:sz w:val="22"/>
                      <w:szCs w:val="22"/>
                      <w:lang w:val="en-US" w:eastAsia="zh-CN" w:bidi="ar"/>
                      <w14:ligatures w14:val="standardContextual"/>
                    </w:rPr>
                    <w:t>钢筋切断机</w:t>
                  </w:r>
                </w:p>
              </w:tc>
              <w:tc>
                <w:tcPr>
                  <w:tcW w:w="1028" w:type="pct"/>
                  <w:vAlign w:val="center"/>
                </w:tcPr>
                <w:p w14:paraId="02DB070A">
                  <w:pPr>
                    <w:widowControl/>
                    <w:spacing w:line="240" w:lineRule="auto"/>
                    <w:ind w:firstLine="0" w:firstLineChars="0"/>
                    <w:jc w:val="center"/>
                    <w:rPr>
                      <w:sz w:val="22"/>
                      <w:szCs w:val="22"/>
                    </w:rPr>
                  </w:pPr>
                </w:p>
              </w:tc>
              <w:tc>
                <w:tcPr>
                  <w:tcW w:w="1066" w:type="pct"/>
                  <w:vAlign w:val="center"/>
                </w:tcPr>
                <w:p w14:paraId="6334BEA5">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740768F6">
                  <w:pPr>
                    <w:pStyle w:val="98"/>
                    <w:jc w:val="center"/>
                    <w:rPr>
                      <w:rFonts w:hint="default"/>
                      <w:sz w:val="22"/>
                      <w:szCs w:val="22"/>
                      <w:lang w:val="en-US" w:eastAsia="zh-CN"/>
                    </w:rPr>
                  </w:pPr>
                  <w:r>
                    <w:rPr>
                      <w:rFonts w:hint="eastAsia"/>
                      <w:sz w:val="22"/>
                      <w:szCs w:val="22"/>
                      <w:lang w:val="en-US" w:eastAsia="zh-CN"/>
                    </w:rPr>
                    <w:t>1</w:t>
                  </w:r>
                </w:p>
              </w:tc>
            </w:tr>
            <w:tr w14:paraId="74CFC0E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PrEx>
              <w:trPr>
                <w:trHeight w:val="369" w:hRule="atLeast"/>
              </w:trPr>
              <w:tc>
                <w:tcPr>
                  <w:tcW w:w="491" w:type="pct"/>
                  <w:vAlign w:val="center"/>
                </w:tcPr>
                <w:p w14:paraId="79E47527">
                  <w:pPr>
                    <w:pStyle w:val="98"/>
                    <w:jc w:val="center"/>
                    <w:rPr>
                      <w:rFonts w:hint="default"/>
                      <w:sz w:val="22"/>
                      <w:szCs w:val="22"/>
                      <w:lang w:val="en-US" w:eastAsia="zh-CN"/>
                    </w:rPr>
                  </w:pPr>
                  <w:r>
                    <w:rPr>
                      <w:rFonts w:hint="eastAsia"/>
                      <w:sz w:val="22"/>
                      <w:szCs w:val="22"/>
                      <w:lang w:val="en-US" w:eastAsia="zh-CN"/>
                    </w:rPr>
                    <w:t>17</w:t>
                  </w:r>
                </w:p>
              </w:tc>
              <w:tc>
                <w:tcPr>
                  <w:tcW w:w="1372" w:type="pct"/>
                  <w:vAlign w:val="center"/>
                </w:tcPr>
                <w:p w14:paraId="527C9D9C">
                  <w:pPr>
                    <w:keepNext w:val="0"/>
                    <w:keepLines w:val="0"/>
                    <w:widowControl/>
                    <w:suppressLineNumbers w:val="0"/>
                    <w:jc w:val="center"/>
                    <w:rPr>
                      <w:rFonts w:hint="eastAsia" w:ascii="宋体" w:hAnsi="宋体" w:eastAsia="宋体" w:cs="宋体"/>
                      <w:color w:val="000000"/>
                      <w:kern w:val="0"/>
                      <w:sz w:val="22"/>
                      <w:szCs w:val="22"/>
                      <w:lang w:val="en-US" w:eastAsia="zh-CN" w:bidi="ar"/>
                      <w14:ligatures w14:val="standardContextual"/>
                    </w:rPr>
                  </w:pPr>
                  <w:r>
                    <w:rPr>
                      <w:rFonts w:hint="eastAsia" w:ascii="宋体" w:hAnsi="宋体" w:eastAsia="宋体" w:cs="宋体"/>
                      <w:color w:val="000000"/>
                      <w:kern w:val="0"/>
                      <w:sz w:val="22"/>
                      <w:szCs w:val="22"/>
                      <w:lang w:val="en-US" w:eastAsia="zh-CN" w:bidi="ar"/>
                      <w14:ligatures w14:val="standardContextual"/>
                    </w:rPr>
                    <w:t>钢筋调直机</w:t>
                  </w:r>
                </w:p>
              </w:tc>
              <w:tc>
                <w:tcPr>
                  <w:tcW w:w="1028" w:type="pct"/>
                  <w:vAlign w:val="center"/>
                </w:tcPr>
                <w:p w14:paraId="604CAA24">
                  <w:pPr>
                    <w:widowControl/>
                    <w:spacing w:line="240" w:lineRule="auto"/>
                    <w:ind w:firstLine="0" w:firstLineChars="0"/>
                    <w:jc w:val="center"/>
                    <w:rPr>
                      <w:sz w:val="22"/>
                      <w:szCs w:val="22"/>
                    </w:rPr>
                  </w:pPr>
                </w:p>
              </w:tc>
              <w:tc>
                <w:tcPr>
                  <w:tcW w:w="1066" w:type="pct"/>
                  <w:vAlign w:val="center"/>
                </w:tcPr>
                <w:p w14:paraId="5BF66A83">
                  <w:pPr>
                    <w:pStyle w:val="98"/>
                    <w:jc w:val="center"/>
                    <w:rPr>
                      <w:rFonts w:hint="eastAsia"/>
                      <w:sz w:val="22"/>
                      <w:szCs w:val="22"/>
                      <w:lang w:val="en-US" w:eastAsia="zh-CN"/>
                    </w:rPr>
                  </w:pPr>
                  <w:r>
                    <w:rPr>
                      <w:rFonts w:hint="eastAsia" w:eastAsia="宋体"/>
                      <w:sz w:val="22"/>
                      <w:szCs w:val="22"/>
                      <w:lang w:val="en-US" w:eastAsia="zh-CN"/>
                    </w:rPr>
                    <w:t>台</w:t>
                  </w:r>
                </w:p>
              </w:tc>
              <w:tc>
                <w:tcPr>
                  <w:tcW w:w="1040" w:type="pct"/>
                  <w:vAlign w:val="center"/>
                </w:tcPr>
                <w:p w14:paraId="4F7F4AB9">
                  <w:pPr>
                    <w:pStyle w:val="98"/>
                    <w:jc w:val="center"/>
                    <w:rPr>
                      <w:rFonts w:hint="default"/>
                      <w:sz w:val="22"/>
                      <w:szCs w:val="22"/>
                      <w:lang w:val="en-US" w:eastAsia="zh-CN"/>
                    </w:rPr>
                  </w:pPr>
                  <w:r>
                    <w:rPr>
                      <w:rFonts w:hint="eastAsia"/>
                      <w:sz w:val="22"/>
                      <w:szCs w:val="22"/>
                      <w:lang w:val="en-US" w:eastAsia="zh-CN"/>
                    </w:rPr>
                    <w:t>1</w:t>
                  </w:r>
                </w:p>
              </w:tc>
            </w:tr>
          </w:tbl>
          <w:p w14:paraId="68B70334">
            <w:pPr>
              <w:pStyle w:val="4"/>
              <w:rPr>
                <w:rFonts w:hint="eastAsia"/>
                <w:lang w:val="en-US" w:eastAsia="zh-CN"/>
              </w:rPr>
            </w:pPr>
            <w:r>
              <w:rPr>
                <w:rFonts w:hint="eastAsia"/>
                <w:lang w:val="en-US" w:eastAsia="zh-CN"/>
              </w:rPr>
              <w:t>土石方平衡</w:t>
            </w:r>
          </w:p>
          <w:p w14:paraId="69EB3DD8">
            <w:pPr>
              <w:pStyle w:val="6"/>
              <w:rPr>
                <w:rFonts w:hint="eastAsia" w:ascii="Times New Roman" w:hAnsi="Times New Roman"/>
                <w:lang w:val="en-US" w:eastAsia="zh-CN"/>
              </w:rPr>
            </w:pPr>
            <w:r>
              <w:rPr>
                <w:rFonts w:hint="eastAsia" w:ascii="Times New Roman" w:hAnsi="Times New Roman"/>
                <w:lang w:val="en-US" w:eastAsia="zh-CN"/>
              </w:rPr>
              <w:t>根据项目初设报告，本工程土方开挖总量2.74万m</w:t>
            </w:r>
            <w:r>
              <w:rPr>
                <w:rFonts w:hint="eastAsia" w:ascii="Times New Roman" w:hAnsi="Times New Roman"/>
                <w:vertAlign w:val="superscript"/>
                <w:lang w:val="en-US" w:eastAsia="zh-CN"/>
              </w:rPr>
              <w:t>3</w:t>
            </w:r>
            <w:r>
              <w:rPr>
                <w:rFonts w:hint="eastAsia" w:ascii="Times New Roman" w:hAnsi="Times New Roman"/>
                <w:lang w:val="en-US" w:eastAsia="zh-CN"/>
              </w:rPr>
              <w:t>（自然方），石方开挖0.29万m</w:t>
            </w:r>
            <w:r>
              <w:rPr>
                <w:rFonts w:hint="eastAsia" w:ascii="Times New Roman" w:hAnsi="Times New Roman"/>
                <w:vertAlign w:val="superscript"/>
                <w:lang w:val="en-US" w:eastAsia="zh-CN"/>
              </w:rPr>
              <w:t>3</w:t>
            </w:r>
            <w:r>
              <w:rPr>
                <w:rFonts w:hint="eastAsia" w:ascii="Times New Roman" w:hAnsi="Times New Roman"/>
                <w:lang w:val="en-US" w:eastAsia="zh-CN"/>
              </w:rPr>
              <w:t>（自然方），表土剥离0.55万m</w:t>
            </w:r>
            <w:r>
              <w:rPr>
                <w:rFonts w:hint="eastAsia" w:ascii="Times New Roman" w:hAnsi="Times New Roman"/>
                <w:vertAlign w:val="superscript"/>
                <w:lang w:val="en-US" w:eastAsia="zh-CN"/>
              </w:rPr>
              <w:t>3</w:t>
            </w:r>
            <w:r>
              <w:rPr>
                <w:rFonts w:hint="eastAsia" w:ascii="Times New Roman" w:hAnsi="Times New Roman"/>
                <w:lang w:val="en-US" w:eastAsia="zh-CN"/>
              </w:rPr>
              <w:t>（自然方），堤身填筑及堤脚回填利用4.92万m</w:t>
            </w:r>
            <w:r>
              <w:rPr>
                <w:rFonts w:hint="eastAsia" w:ascii="Times New Roman" w:hAnsi="Times New Roman"/>
                <w:vertAlign w:val="superscript"/>
                <w:lang w:val="en-US" w:eastAsia="zh-CN"/>
              </w:rPr>
              <w:t>3</w:t>
            </w:r>
            <w:r>
              <w:rPr>
                <w:rFonts w:hint="eastAsia" w:ascii="Times New Roman" w:hAnsi="Times New Roman"/>
                <w:lang w:val="en-US" w:eastAsia="zh-CN"/>
              </w:rPr>
              <w:t>（压实方），工程填筑、回填料用量大于开挖料，尚需调入2.17万m</w:t>
            </w:r>
            <w:r>
              <w:rPr>
                <w:rFonts w:hint="eastAsia" w:ascii="Times New Roman" w:hAnsi="Times New Roman"/>
                <w:vertAlign w:val="superscript"/>
                <w:lang w:val="en-US" w:eastAsia="zh-CN"/>
              </w:rPr>
              <w:t>3</w:t>
            </w:r>
            <w:r>
              <w:rPr>
                <w:rFonts w:hint="eastAsia" w:ascii="Times New Roman" w:hAnsi="Times New Roman"/>
                <w:lang w:val="en-US" w:eastAsia="zh-CN"/>
              </w:rPr>
              <w:t>用于堤身填筑，填筑、回填料优先考虑开挖的土石料，不足部分考虑</w:t>
            </w:r>
            <w:r>
              <w:rPr>
                <w:rFonts w:hint="eastAsia"/>
                <w:lang w:val="en-US" w:eastAsia="zh-CN"/>
              </w:rPr>
              <w:t>外部调运</w:t>
            </w:r>
            <w:r>
              <w:rPr>
                <w:rFonts w:hint="eastAsia" w:ascii="Times New Roman" w:hAnsi="Times New Roman"/>
                <w:lang w:val="en-US" w:eastAsia="zh-CN"/>
              </w:rPr>
              <w:t>，工程区天然土石混合弃土料十分丰富，综合运距1km。经土石平衡后，工程弃渣0.2万m</w:t>
            </w:r>
            <w:r>
              <w:rPr>
                <w:rFonts w:hint="eastAsia" w:ascii="Times New Roman" w:hAnsi="Times New Roman"/>
                <w:vertAlign w:val="superscript"/>
                <w:lang w:val="en-US" w:eastAsia="zh-CN"/>
              </w:rPr>
              <w:t>3</w:t>
            </w:r>
            <w:r>
              <w:rPr>
                <w:rFonts w:hint="eastAsia" w:ascii="Times New Roman" w:hAnsi="Times New Roman"/>
                <w:lang w:val="en-US" w:eastAsia="zh-CN"/>
              </w:rPr>
              <w:t>（松方），主要为表层含腐质土不合格料，弃渣就近回填至堤后低洼地段。</w:t>
            </w:r>
          </w:p>
          <w:p w14:paraId="760954FE">
            <w:pPr>
              <w:pStyle w:val="7"/>
              <w:bidi w:val="0"/>
              <w:rPr>
                <w:rFonts w:hint="eastAsia"/>
                <w:lang w:val="en-US" w:eastAsia="zh-CN"/>
              </w:rPr>
            </w:pPr>
            <w:r>
              <w:rPr>
                <w:rFonts w:hint="eastAsia"/>
                <w:lang w:val="en-US" w:eastAsia="zh-CN"/>
              </w:rPr>
              <w:t xml:space="preserve">  项目土石方平衡表            单位：m</w:t>
            </w:r>
            <w:r>
              <w:rPr>
                <w:rFonts w:hint="eastAsia"/>
                <w:vertAlign w:val="superscript"/>
                <w:lang w:val="en-US" w:eastAsia="zh-CN"/>
              </w:rPr>
              <w:t>3</w:t>
            </w:r>
          </w:p>
          <w:tbl>
            <w:tblPr>
              <w:tblStyle w:val="81"/>
              <w:tblW w:w="5000" w:type="pct"/>
              <w:jc w:val="center"/>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80"/>
              <w:gridCol w:w="703"/>
              <w:gridCol w:w="875"/>
              <w:gridCol w:w="875"/>
              <w:gridCol w:w="875"/>
              <w:gridCol w:w="875"/>
              <w:gridCol w:w="875"/>
              <w:gridCol w:w="875"/>
              <w:gridCol w:w="875"/>
              <w:gridCol w:w="656"/>
              <w:gridCol w:w="678"/>
            </w:tblGrid>
            <w:tr w14:paraId="2BCC93B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84" w:type="pct"/>
                  <w:gridSpan w:val="2"/>
                  <w:vMerge w:val="restart"/>
                  <w:vAlign w:val="center"/>
                </w:tcPr>
                <w:p w14:paraId="0C853327">
                  <w:pPr>
                    <w:pStyle w:val="98"/>
                    <w:jc w:val="center"/>
                    <w:rPr>
                      <w:rFonts w:hint="default" w:eastAsia="宋体"/>
                      <w:sz w:val="22"/>
                      <w:szCs w:val="22"/>
                      <w:lang w:val="en-US" w:eastAsia="zh-CN"/>
                    </w:rPr>
                  </w:pPr>
                  <w:r>
                    <w:rPr>
                      <w:rFonts w:hint="eastAsia"/>
                      <w:sz w:val="22"/>
                      <w:szCs w:val="22"/>
                      <w:lang w:val="en-US" w:eastAsia="zh-CN"/>
                    </w:rPr>
                    <w:t>工程名称</w:t>
                  </w:r>
                </w:p>
              </w:tc>
              <w:tc>
                <w:tcPr>
                  <w:tcW w:w="1519" w:type="pct"/>
                  <w:gridSpan w:val="3"/>
                  <w:vAlign w:val="center"/>
                </w:tcPr>
                <w:p w14:paraId="0B65C4F1">
                  <w:pPr>
                    <w:pStyle w:val="98"/>
                    <w:jc w:val="center"/>
                    <w:rPr>
                      <w:rFonts w:hint="default" w:eastAsia="宋体"/>
                      <w:sz w:val="22"/>
                      <w:szCs w:val="22"/>
                      <w:lang w:val="en-US" w:eastAsia="zh-CN"/>
                    </w:rPr>
                  </w:pPr>
                  <w:r>
                    <w:rPr>
                      <w:rFonts w:hint="eastAsia"/>
                      <w:sz w:val="22"/>
                      <w:szCs w:val="22"/>
                      <w:lang w:val="en-US" w:eastAsia="zh-CN"/>
                    </w:rPr>
                    <w:t>开挖量</w:t>
                  </w:r>
                </w:p>
              </w:tc>
              <w:tc>
                <w:tcPr>
                  <w:tcW w:w="1012" w:type="pct"/>
                  <w:gridSpan w:val="2"/>
                  <w:vAlign w:val="center"/>
                </w:tcPr>
                <w:p w14:paraId="2635F6CC">
                  <w:pPr>
                    <w:pStyle w:val="98"/>
                    <w:jc w:val="center"/>
                    <w:rPr>
                      <w:rFonts w:hint="default" w:eastAsia="宋体"/>
                      <w:sz w:val="22"/>
                      <w:szCs w:val="22"/>
                      <w:lang w:val="en-US" w:eastAsia="zh-CN"/>
                    </w:rPr>
                  </w:pPr>
                  <w:r>
                    <w:rPr>
                      <w:rFonts w:hint="eastAsia"/>
                      <w:sz w:val="22"/>
                      <w:szCs w:val="22"/>
                      <w:lang w:val="en-US" w:eastAsia="zh-CN"/>
                    </w:rPr>
                    <w:t>回填、填筑混合料</w:t>
                  </w:r>
                </w:p>
              </w:tc>
              <w:tc>
                <w:tcPr>
                  <w:tcW w:w="506" w:type="pct"/>
                  <w:vAlign w:val="center"/>
                </w:tcPr>
                <w:p w14:paraId="5241CC05">
                  <w:pPr>
                    <w:pStyle w:val="98"/>
                    <w:jc w:val="center"/>
                    <w:rPr>
                      <w:rFonts w:hint="default" w:eastAsia="宋体"/>
                      <w:sz w:val="22"/>
                      <w:szCs w:val="22"/>
                      <w:lang w:val="en-US" w:eastAsia="zh-CN"/>
                    </w:rPr>
                  </w:pPr>
                  <w:r>
                    <w:rPr>
                      <w:rFonts w:hint="eastAsia"/>
                      <w:sz w:val="22"/>
                      <w:szCs w:val="22"/>
                      <w:lang w:val="en-US" w:eastAsia="zh-CN"/>
                    </w:rPr>
                    <w:t>表土回覆</w:t>
                  </w:r>
                </w:p>
              </w:tc>
              <w:tc>
                <w:tcPr>
                  <w:tcW w:w="506" w:type="pct"/>
                  <w:vAlign w:val="center"/>
                </w:tcPr>
                <w:p w14:paraId="4F2AEA94">
                  <w:pPr>
                    <w:pStyle w:val="98"/>
                    <w:jc w:val="center"/>
                    <w:rPr>
                      <w:rFonts w:hint="default" w:eastAsia="宋体"/>
                      <w:sz w:val="22"/>
                      <w:szCs w:val="22"/>
                      <w:lang w:val="en-US" w:eastAsia="zh-CN"/>
                    </w:rPr>
                  </w:pPr>
                  <w:r>
                    <w:rPr>
                      <w:rFonts w:hint="eastAsia"/>
                      <w:sz w:val="22"/>
                      <w:szCs w:val="22"/>
                      <w:lang w:val="en-US" w:eastAsia="zh-CN"/>
                    </w:rPr>
                    <w:t>调运</w:t>
                  </w:r>
                </w:p>
              </w:tc>
              <w:tc>
                <w:tcPr>
                  <w:tcW w:w="771" w:type="pct"/>
                  <w:gridSpan w:val="2"/>
                  <w:vAlign w:val="center"/>
                </w:tcPr>
                <w:p w14:paraId="5B0C866F">
                  <w:pPr>
                    <w:pStyle w:val="98"/>
                    <w:jc w:val="center"/>
                    <w:rPr>
                      <w:rFonts w:hint="default" w:eastAsia="宋体"/>
                      <w:sz w:val="22"/>
                      <w:szCs w:val="22"/>
                      <w:lang w:val="en-US" w:eastAsia="zh-CN"/>
                    </w:rPr>
                  </w:pPr>
                  <w:r>
                    <w:rPr>
                      <w:rFonts w:hint="eastAsia"/>
                      <w:sz w:val="22"/>
                      <w:szCs w:val="22"/>
                      <w:lang w:val="en-US" w:eastAsia="zh-CN"/>
                    </w:rPr>
                    <w:t>弃渣量</w:t>
                  </w:r>
                </w:p>
              </w:tc>
            </w:tr>
            <w:tr w14:paraId="7917DA0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84" w:type="pct"/>
                  <w:gridSpan w:val="2"/>
                  <w:vMerge w:val="continue"/>
                  <w:vAlign w:val="center"/>
                </w:tcPr>
                <w:p w14:paraId="6D739F13">
                  <w:pPr>
                    <w:pStyle w:val="98"/>
                    <w:jc w:val="center"/>
                    <w:rPr>
                      <w:rFonts w:hint="eastAsia"/>
                      <w:sz w:val="22"/>
                      <w:szCs w:val="22"/>
                      <w:lang w:val="en-US" w:eastAsia="zh-CN"/>
                    </w:rPr>
                  </w:pPr>
                </w:p>
              </w:tc>
              <w:tc>
                <w:tcPr>
                  <w:tcW w:w="506" w:type="pct"/>
                  <w:vAlign w:val="center"/>
                </w:tcPr>
                <w:p w14:paraId="19B7C966">
                  <w:pPr>
                    <w:pStyle w:val="98"/>
                    <w:jc w:val="center"/>
                    <w:rPr>
                      <w:rFonts w:hint="default" w:eastAsia="宋体"/>
                      <w:sz w:val="22"/>
                      <w:szCs w:val="22"/>
                      <w:lang w:val="en-US" w:eastAsia="zh-CN"/>
                    </w:rPr>
                  </w:pPr>
                  <w:r>
                    <w:rPr>
                      <w:rFonts w:hint="eastAsia"/>
                      <w:sz w:val="22"/>
                      <w:szCs w:val="22"/>
                      <w:lang w:val="en-US" w:eastAsia="zh-CN"/>
                    </w:rPr>
                    <w:t>土方（自然方）</w:t>
                  </w:r>
                </w:p>
              </w:tc>
              <w:tc>
                <w:tcPr>
                  <w:tcW w:w="506" w:type="pct"/>
                  <w:vAlign w:val="center"/>
                </w:tcPr>
                <w:p w14:paraId="485C4070">
                  <w:pPr>
                    <w:pStyle w:val="98"/>
                    <w:jc w:val="center"/>
                    <w:rPr>
                      <w:rFonts w:hint="default" w:eastAsia="宋体"/>
                      <w:sz w:val="22"/>
                      <w:szCs w:val="22"/>
                      <w:lang w:val="en-US" w:eastAsia="zh-CN"/>
                    </w:rPr>
                  </w:pPr>
                  <w:r>
                    <w:rPr>
                      <w:rFonts w:hint="eastAsia"/>
                      <w:sz w:val="22"/>
                      <w:szCs w:val="22"/>
                      <w:lang w:val="en-US" w:eastAsia="zh-CN"/>
                    </w:rPr>
                    <w:t>表土剥离（自然方）</w:t>
                  </w:r>
                </w:p>
              </w:tc>
              <w:tc>
                <w:tcPr>
                  <w:tcW w:w="506" w:type="pct"/>
                  <w:vAlign w:val="center"/>
                </w:tcPr>
                <w:p w14:paraId="7DA6DBB8">
                  <w:pPr>
                    <w:pStyle w:val="98"/>
                    <w:jc w:val="center"/>
                    <w:rPr>
                      <w:rFonts w:hint="default" w:eastAsia="宋体"/>
                      <w:sz w:val="22"/>
                      <w:szCs w:val="22"/>
                      <w:lang w:val="en-US" w:eastAsia="zh-CN"/>
                    </w:rPr>
                  </w:pPr>
                  <w:r>
                    <w:rPr>
                      <w:rFonts w:hint="eastAsia"/>
                      <w:sz w:val="22"/>
                      <w:szCs w:val="22"/>
                      <w:lang w:val="en-US" w:eastAsia="zh-CN"/>
                    </w:rPr>
                    <w:t>石方（自然方）</w:t>
                  </w:r>
                </w:p>
              </w:tc>
              <w:tc>
                <w:tcPr>
                  <w:tcW w:w="506" w:type="pct"/>
                  <w:vAlign w:val="center"/>
                </w:tcPr>
                <w:p w14:paraId="51D65C01">
                  <w:pPr>
                    <w:pStyle w:val="98"/>
                    <w:jc w:val="center"/>
                    <w:rPr>
                      <w:rFonts w:hint="eastAsia" w:eastAsia="宋体"/>
                      <w:sz w:val="22"/>
                      <w:szCs w:val="22"/>
                      <w:lang w:eastAsia="zh-CN"/>
                    </w:rPr>
                  </w:pPr>
                  <w:r>
                    <w:rPr>
                      <w:rFonts w:hint="eastAsia"/>
                      <w:sz w:val="22"/>
                      <w:szCs w:val="22"/>
                      <w:lang w:eastAsia="zh-CN"/>
                    </w:rPr>
                    <w:t>（</w:t>
                  </w:r>
                  <w:r>
                    <w:rPr>
                      <w:rFonts w:hint="eastAsia"/>
                      <w:sz w:val="22"/>
                      <w:szCs w:val="22"/>
                      <w:lang w:val="en-US" w:eastAsia="zh-CN"/>
                    </w:rPr>
                    <w:t>实方</w:t>
                  </w:r>
                  <w:r>
                    <w:rPr>
                      <w:rFonts w:hint="eastAsia"/>
                      <w:sz w:val="22"/>
                      <w:szCs w:val="22"/>
                      <w:lang w:eastAsia="zh-CN"/>
                    </w:rPr>
                    <w:t>）</w:t>
                  </w:r>
                </w:p>
              </w:tc>
              <w:tc>
                <w:tcPr>
                  <w:tcW w:w="506" w:type="pct"/>
                  <w:vAlign w:val="center"/>
                </w:tcPr>
                <w:p w14:paraId="0ACEA860">
                  <w:pPr>
                    <w:pStyle w:val="98"/>
                    <w:jc w:val="center"/>
                    <w:rPr>
                      <w:rFonts w:hint="eastAsia" w:eastAsia="宋体"/>
                      <w:sz w:val="22"/>
                      <w:szCs w:val="22"/>
                      <w:lang w:eastAsia="zh-CN"/>
                    </w:rPr>
                  </w:pPr>
                  <w:r>
                    <w:rPr>
                      <w:rFonts w:hint="eastAsia"/>
                      <w:sz w:val="22"/>
                      <w:szCs w:val="22"/>
                      <w:lang w:eastAsia="zh-CN"/>
                    </w:rPr>
                    <w:t>（</w:t>
                  </w:r>
                  <w:r>
                    <w:rPr>
                      <w:rFonts w:hint="eastAsia"/>
                      <w:sz w:val="22"/>
                      <w:szCs w:val="22"/>
                      <w:lang w:val="en-US" w:eastAsia="zh-CN"/>
                    </w:rPr>
                    <w:t>自然方</w:t>
                  </w:r>
                  <w:r>
                    <w:rPr>
                      <w:rFonts w:hint="eastAsia"/>
                      <w:sz w:val="22"/>
                      <w:szCs w:val="22"/>
                      <w:lang w:eastAsia="zh-CN"/>
                    </w:rPr>
                    <w:t>）</w:t>
                  </w:r>
                </w:p>
              </w:tc>
              <w:tc>
                <w:tcPr>
                  <w:tcW w:w="506" w:type="pct"/>
                  <w:vAlign w:val="center"/>
                </w:tcPr>
                <w:p w14:paraId="67FF82EB">
                  <w:pPr>
                    <w:pStyle w:val="98"/>
                    <w:jc w:val="center"/>
                    <w:rPr>
                      <w:rFonts w:hint="eastAsia" w:eastAsia="宋体"/>
                      <w:sz w:val="22"/>
                      <w:szCs w:val="22"/>
                      <w:lang w:eastAsia="zh-CN"/>
                    </w:rPr>
                  </w:pPr>
                  <w:r>
                    <w:rPr>
                      <w:rFonts w:hint="eastAsia"/>
                      <w:sz w:val="22"/>
                      <w:szCs w:val="22"/>
                      <w:lang w:eastAsia="zh-CN"/>
                    </w:rPr>
                    <w:t>（</w:t>
                  </w:r>
                  <w:r>
                    <w:rPr>
                      <w:rFonts w:hint="eastAsia"/>
                      <w:sz w:val="22"/>
                      <w:szCs w:val="22"/>
                      <w:lang w:val="en-US" w:eastAsia="zh-CN"/>
                    </w:rPr>
                    <w:t>自然方</w:t>
                  </w:r>
                  <w:r>
                    <w:rPr>
                      <w:rFonts w:hint="eastAsia"/>
                      <w:sz w:val="22"/>
                      <w:szCs w:val="22"/>
                      <w:lang w:eastAsia="zh-CN"/>
                    </w:rPr>
                    <w:t>）</w:t>
                  </w:r>
                </w:p>
              </w:tc>
              <w:tc>
                <w:tcPr>
                  <w:tcW w:w="506" w:type="pct"/>
                  <w:vAlign w:val="center"/>
                </w:tcPr>
                <w:p w14:paraId="5E84D018">
                  <w:pPr>
                    <w:pStyle w:val="98"/>
                    <w:jc w:val="center"/>
                    <w:rPr>
                      <w:rFonts w:hint="default" w:eastAsia="宋体"/>
                      <w:sz w:val="22"/>
                      <w:szCs w:val="22"/>
                      <w:lang w:val="en-US" w:eastAsia="zh-CN"/>
                    </w:rPr>
                  </w:pPr>
                  <w:r>
                    <w:rPr>
                      <w:rFonts w:hint="eastAsia"/>
                      <w:sz w:val="22"/>
                      <w:szCs w:val="22"/>
                      <w:lang w:val="en-US" w:eastAsia="zh-CN"/>
                    </w:rPr>
                    <w:t>（+入/-出）</w:t>
                  </w:r>
                </w:p>
              </w:tc>
              <w:tc>
                <w:tcPr>
                  <w:tcW w:w="378" w:type="pct"/>
                  <w:vAlign w:val="center"/>
                </w:tcPr>
                <w:p w14:paraId="3BC034E5">
                  <w:pPr>
                    <w:pStyle w:val="98"/>
                    <w:jc w:val="center"/>
                    <w:rPr>
                      <w:rFonts w:hint="default" w:eastAsia="宋体"/>
                      <w:sz w:val="22"/>
                      <w:szCs w:val="22"/>
                      <w:lang w:val="en-US" w:eastAsia="zh-CN"/>
                    </w:rPr>
                  </w:pPr>
                  <w:r>
                    <w:rPr>
                      <w:rFonts w:hint="eastAsia"/>
                      <w:sz w:val="22"/>
                      <w:szCs w:val="22"/>
                      <w:lang w:val="en-US" w:eastAsia="zh-CN"/>
                    </w:rPr>
                    <w:t>（自然方）</w:t>
                  </w:r>
                </w:p>
              </w:tc>
              <w:tc>
                <w:tcPr>
                  <w:tcW w:w="392" w:type="pct"/>
                  <w:vAlign w:val="center"/>
                </w:tcPr>
                <w:p w14:paraId="7AE731B0">
                  <w:pPr>
                    <w:pStyle w:val="98"/>
                    <w:jc w:val="center"/>
                    <w:rPr>
                      <w:rFonts w:hint="default" w:eastAsia="宋体"/>
                      <w:sz w:val="22"/>
                      <w:szCs w:val="22"/>
                      <w:lang w:val="en-US" w:eastAsia="zh-CN"/>
                    </w:rPr>
                  </w:pPr>
                  <w:r>
                    <w:rPr>
                      <w:rFonts w:hint="eastAsia"/>
                      <w:sz w:val="22"/>
                      <w:szCs w:val="22"/>
                      <w:lang w:val="en-US" w:eastAsia="zh-CN"/>
                    </w:rPr>
                    <w:t>（松方）</w:t>
                  </w:r>
                </w:p>
              </w:tc>
            </w:tr>
            <w:tr w14:paraId="4CCC60F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77" w:type="pct"/>
                  <w:vMerge w:val="restart"/>
                  <w:vAlign w:val="center"/>
                </w:tcPr>
                <w:p w14:paraId="0EA51EE0">
                  <w:pPr>
                    <w:pStyle w:val="98"/>
                    <w:jc w:val="center"/>
                    <w:rPr>
                      <w:rFonts w:hint="default" w:eastAsia="宋体"/>
                      <w:sz w:val="22"/>
                      <w:szCs w:val="22"/>
                      <w:lang w:val="en-US" w:eastAsia="zh-CN"/>
                    </w:rPr>
                  </w:pPr>
                  <w:r>
                    <w:rPr>
                      <w:rFonts w:hint="eastAsia"/>
                      <w:sz w:val="22"/>
                      <w:szCs w:val="22"/>
                      <w:lang w:val="en-US" w:eastAsia="zh-CN"/>
                    </w:rPr>
                    <w:t>主体工程</w:t>
                  </w:r>
                </w:p>
              </w:tc>
              <w:tc>
                <w:tcPr>
                  <w:tcW w:w="406" w:type="pct"/>
                  <w:vAlign w:val="center"/>
                </w:tcPr>
                <w:p w14:paraId="57F336FA">
                  <w:pPr>
                    <w:pStyle w:val="98"/>
                    <w:jc w:val="center"/>
                    <w:rPr>
                      <w:rFonts w:hint="default" w:eastAsia="宋体"/>
                      <w:sz w:val="22"/>
                      <w:szCs w:val="22"/>
                      <w:lang w:val="en-US" w:eastAsia="zh-CN"/>
                    </w:rPr>
                  </w:pPr>
                  <w:r>
                    <w:rPr>
                      <w:rFonts w:hint="eastAsia"/>
                      <w:sz w:val="22"/>
                      <w:szCs w:val="22"/>
                      <w:lang w:val="en-US" w:eastAsia="zh-CN"/>
                    </w:rPr>
                    <w:t>天生河段堤防</w:t>
                  </w:r>
                </w:p>
              </w:tc>
              <w:tc>
                <w:tcPr>
                  <w:tcW w:w="506" w:type="pct"/>
                  <w:vAlign w:val="center"/>
                </w:tcPr>
                <w:p w14:paraId="1B7F8430">
                  <w:pPr>
                    <w:pStyle w:val="98"/>
                    <w:jc w:val="center"/>
                    <w:rPr>
                      <w:rFonts w:hint="default" w:eastAsia="宋体"/>
                      <w:sz w:val="22"/>
                      <w:szCs w:val="22"/>
                      <w:lang w:val="en-US" w:eastAsia="zh-CN"/>
                    </w:rPr>
                  </w:pPr>
                  <w:r>
                    <w:rPr>
                      <w:rFonts w:hint="eastAsia"/>
                      <w:sz w:val="22"/>
                      <w:szCs w:val="22"/>
                      <w:lang w:val="en-US" w:eastAsia="zh-CN"/>
                    </w:rPr>
                    <w:t>22230</w:t>
                  </w:r>
                </w:p>
              </w:tc>
              <w:tc>
                <w:tcPr>
                  <w:tcW w:w="506" w:type="pct"/>
                  <w:vAlign w:val="center"/>
                </w:tcPr>
                <w:p w14:paraId="7A6DAA6F">
                  <w:pPr>
                    <w:pStyle w:val="98"/>
                    <w:jc w:val="center"/>
                    <w:rPr>
                      <w:rFonts w:hint="default" w:eastAsia="宋体"/>
                      <w:sz w:val="22"/>
                      <w:szCs w:val="22"/>
                      <w:lang w:val="en-US" w:eastAsia="zh-CN"/>
                    </w:rPr>
                  </w:pPr>
                  <w:r>
                    <w:rPr>
                      <w:rFonts w:hint="eastAsia"/>
                      <w:sz w:val="22"/>
                      <w:szCs w:val="22"/>
                      <w:lang w:val="en-US" w:eastAsia="zh-CN"/>
                    </w:rPr>
                    <w:t>5190</w:t>
                  </w:r>
                </w:p>
              </w:tc>
              <w:tc>
                <w:tcPr>
                  <w:tcW w:w="506" w:type="pct"/>
                  <w:vAlign w:val="center"/>
                </w:tcPr>
                <w:p w14:paraId="41641686">
                  <w:pPr>
                    <w:pStyle w:val="98"/>
                    <w:jc w:val="center"/>
                    <w:rPr>
                      <w:rFonts w:hint="default" w:eastAsia="宋体"/>
                      <w:sz w:val="22"/>
                      <w:szCs w:val="22"/>
                      <w:lang w:val="en-US" w:eastAsia="zh-CN"/>
                    </w:rPr>
                  </w:pPr>
                  <w:r>
                    <w:rPr>
                      <w:rFonts w:hint="eastAsia"/>
                      <w:sz w:val="22"/>
                      <w:szCs w:val="22"/>
                      <w:lang w:val="en-US" w:eastAsia="zh-CN"/>
                    </w:rPr>
                    <w:t>2773</w:t>
                  </w:r>
                </w:p>
              </w:tc>
              <w:tc>
                <w:tcPr>
                  <w:tcW w:w="506" w:type="pct"/>
                  <w:vAlign w:val="center"/>
                </w:tcPr>
                <w:p w14:paraId="04F3D20A">
                  <w:pPr>
                    <w:pStyle w:val="98"/>
                    <w:jc w:val="center"/>
                    <w:rPr>
                      <w:rFonts w:hint="default" w:eastAsia="宋体"/>
                      <w:sz w:val="22"/>
                      <w:szCs w:val="22"/>
                      <w:lang w:val="en-US" w:eastAsia="zh-CN"/>
                    </w:rPr>
                  </w:pPr>
                  <w:r>
                    <w:rPr>
                      <w:rFonts w:hint="eastAsia"/>
                      <w:sz w:val="22"/>
                      <w:szCs w:val="22"/>
                      <w:lang w:val="en-US" w:eastAsia="zh-CN"/>
                    </w:rPr>
                    <w:t>47969</w:t>
                  </w:r>
                </w:p>
              </w:tc>
              <w:tc>
                <w:tcPr>
                  <w:tcW w:w="506" w:type="pct"/>
                  <w:vAlign w:val="center"/>
                </w:tcPr>
                <w:p w14:paraId="7F70B1BA">
                  <w:pPr>
                    <w:pStyle w:val="98"/>
                    <w:jc w:val="center"/>
                    <w:rPr>
                      <w:rFonts w:hint="default" w:eastAsia="宋体"/>
                      <w:sz w:val="22"/>
                      <w:szCs w:val="22"/>
                      <w:lang w:val="en-US" w:eastAsia="zh-CN"/>
                    </w:rPr>
                  </w:pPr>
                  <w:r>
                    <w:rPr>
                      <w:rFonts w:hint="eastAsia"/>
                      <w:sz w:val="22"/>
                      <w:szCs w:val="22"/>
                      <w:lang w:val="en-US" w:eastAsia="zh-CN"/>
                    </w:rPr>
                    <w:t>54510</w:t>
                  </w:r>
                </w:p>
              </w:tc>
              <w:tc>
                <w:tcPr>
                  <w:tcW w:w="506" w:type="pct"/>
                  <w:vAlign w:val="center"/>
                </w:tcPr>
                <w:p w14:paraId="1A1DD39A">
                  <w:pPr>
                    <w:pStyle w:val="98"/>
                    <w:jc w:val="center"/>
                    <w:rPr>
                      <w:rFonts w:hint="default" w:eastAsia="宋体"/>
                      <w:sz w:val="22"/>
                      <w:szCs w:val="22"/>
                      <w:lang w:val="en-US" w:eastAsia="zh-CN"/>
                    </w:rPr>
                  </w:pPr>
                  <w:r>
                    <w:rPr>
                      <w:rFonts w:hint="eastAsia"/>
                      <w:sz w:val="22"/>
                      <w:szCs w:val="22"/>
                      <w:lang w:val="en-US" w:eastAsia="zh-CN"/>
                    </w:rPr>
                    <w:t>3657</w:t>
                  </w:r>
                </w:p>
              </w:tc>
              <w:tc>
                <w:tcPr>
                  <w:tcW w:w="506" w:type="pct"/>
                  <w:vAlign w:val="center"/>
                </w:tcPr>
                <w:p w14:paraId="46956939">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+29507</w:t>
                  </w:r>
                </w:p>
              </w:tc>
              <w:tc>
                <w:tcPr>
                  <w:tcW w:w="378" w:type="pct"/>
                  <w:vAlign w:val="center"/>
                </w:tcPr>
                <w:p w14:paraId="4941ABF3">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1533</w:t>
                  </w:r>
                </w:p>
              </w:tc>
              <w:tc>
                <w:tcPr>
                  <w:tcW w:w="392" w:type="pct"/>
                  <w:vAlign w:val="center"/>
                </w:tcPr>
                <w:p w14:paraId="3888CC1E">
                  <w:pPr>
                    <w:pStyle w:val="98"/>
                    <w:jc w:val="center"/>
                    <w:rPr>
                      <w:rFonts w:hint="default" w:eastAsia="宋体"/>
                      <w:sz w:val="22"/>
                      <w:szCs w:val="22"/>
                      <w:lang w:val="en-US" w:eastAsia="zh-CN"/>
                    </w:rPr>
                  </w:pPr>
                  <w:r>
                    <w:rPr>
                      <w:rFonts w:hint="eastAsia"/>
                      <w:sz w:val="22"/>
                      <w:szCs w:val="22"/>
                      <w:lang w:val="en-US" w:eastAsia="zh-CN"/>
                    </w:rPr>
                    <w:t>1824</w:t>
                  </w:r>
                </w:p>
              </w:tc>
            </w:tr>
            <w:tr w14:paraId="4DF03F97">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77" w:type="pct"/>
                  <w:vMerge w:val="continue"/>
                  <w:vAlign w:val="center"/>
                </w:tcPr>
                <w:p w14:paraId="7D6BAB13">
                  <w:pPr>
                    <w:pStyle w:val="98"/>
                    <w:jc w:val="center"/>
                    <w:rPr>
                      <w:rFonts w:hint="eastAsia" w:eastAsia="宋体"/>
                      <w:sz w:val="22"/>
                      <w:szCs w:val="22"/>
                      <w:lang w:val="en-US" w:eastAsia="zh-CN"/>
                    </w:rPr>
                  </w:pPr>
                </w:p>
              </w:tc>
              <w:tc>
                <w:tcPr>
                  <w:tcW w:w="406" w:type="pct"/>
                  <w:vAlign w:val="center"/>
                </w:tcPr>
                <w:p w14:paraId="10BF7683">
                  <w:pPr>
                    <w:pStyle w:val="98"/>
                    <w:jc w:val="center"/>
                    <w:rPr>
                      <w:rFonts w:hint="default" w:eastAsia="宋体"/>
                      <w:sz w:val="22"/>
                      <w:szCs w:val="22"/>
                      <w:lang w:val="en-US" w:eastAsia="zh-CN"/>
                    </w:rPr>
                  </w:pPr>
                  <w:r>
                    <w:rPr>
                      <w:rFonts w:hint="eastAsia"/>
                      <w:sz w:val="22"/>
                      <w:szCs w:val="22"/>
                      <w:lang w:val="en-US" w:eastAsia="zh-CN"/>
                    </w:rPr>
                    <w:t>黎家沟堤防</w:t>
                  </w:r>
                </w:p>
              </w:tc>
              <w:tc>
                <w:tcPr>
                  <w:tcW w:w="506" w:type="pct"/>
                  <w:vAlign w:val="center"/>
                </w:tcPr>
                <w:p w14:paraId="29822723">
                  <w:pPr>
                    <w:pStyle w:val="98"/>
                    <w:jc w:val="center"/>
                    <w:rPr>
                      <w:rFonts w:hint="default" w:eastAsia="宋体"/>
                      <w:sz w:val="22"/>
                      <w:szCs w:val="22"/>
                      <w:lang w:val="en-US" w:eastAsia="zh-CN"/>
                    </w:rPr>
                  </w:pPr>
                  <w:r>
                    <w:rPr>
                      <w:rFonts w:hint="eastAsia"/>
                      <w:sz w:val="22"/>
                      <w:szCs w:val="22"/>
                      <w:lang w:val="en-US" w:eastAsia="zh-CN"/>
                    </w:rPr>
                    <w:t>3242</w:t>
                  </w:r>
                </w:p>
              </w:tc>
              <w:tc>
                <w:tcPr>
                  <w:tcW w:w="506" w:type="pct"/>
                  <w:vAlign w:val="center"/>
                </w:tcPr>
                <w:p w14:paraId="24B6A702">
                  <w:pPr>
                    <w:pStyle w:val="98"/>
                    <w:jc w:val="center"/>
                    <w:rPr>
                      <w:rFonts w:hint="default" w:eastAsia="宋体"/>
                      <w:sz w:val="22"/>
                      <w:szCs w:val="22"/>
                      <w:lang w:val="en-US" w:eastAsia="zh-CN"/>
                    </w:rPr>
                  </w:pPr>
                  <w:r>
                    <w:rPr>
                      <w:rFonts w:hint="eastAsia"/>
                      <w:sz w:val="22"/>
                      <w:szCs w:val="22"/>
                      <w:lang w:val="en-US" w:eastAsia="zh-CN"/>
                    </w:rPr>
                    <w:t>315</w:t>
                  </w:r>
                </w:p>
              </w:tc>
              <w:tc>
                <w:tcPr>
                  <w:tcW w:w="506" w:type="pct"/>
                  <w:vAlign w:val="center"/>
                </w:tcPr>
                <w:p w14:paraId="258569F9">
                  <w:pPr>
                    <w:pStyle w:val="98"/>
                    <w:jc w:val="center"/>
                    <w:rPr>
                      <w:rFonts w:hint="default" w:eastAsia="宋体"/>
                      <w:sz w:val="22"/>
                      <w:szCs w:val="22"/>
                      <w:lang w:val="en-US" w:eastAsia="zh-CN"/>
                    </w:rPr>
                  </w:pPr>
                  <w:r>
                    <w:rPr>
                      <w:rFonts w:hint="eastAsia"/>
                      <w:sz w:val="22"/>
                      <w:szCs w:val="22"/>
                      <w:lang w:val="en-US" w:eastAsia="zh-CN"/>
                    </w:rPr>
                    <w:t>154</w:t>
                  </w:r>
                </w:p>
              </w:tc>
              <w:tc>
                <w:tcPr>
                  <w:tcW w:w="506" w:type="pct"/>
                  <w:vAlign w:val="center"/>
                </w:tcPr>
                <w:p w14:paraId="3065BF78">
                  <w:pPr>
                    <w:pStyle w:val="98"/>
                    <w:jc w:val="center"/>
                    <w:rPr>
                      <w:rFonts w:hint="default" w:eastAsia="宋体"/>
                      <w:sz w:val="22"/>
                      <w:szCs w:val="22"/>
                      <w:lang w:val="en-US" w:eastAsia="zh-CN"/>
                    </w:rPr>
                  </w:pPr>
                  <w:r>
                    <w:rPr>
                      <w:rFonts w:hint="eastAsia"/>
                      <w:sz w:val="22"/>
                      <w:szCs w:val="22"/>
                      <w:lang w:val="en-US" w:eastAsia="zh-CN"/>
                    </w:rPr>
                    <w:t>1229</w:t>
                  </w:r>
                </w:p>
              </w:tc>
              <w:tc>
                <w:tcPr>
                  <w:tcW w:w="506" w:type="pct"/>
                  <w:vAlign w:val="center"/>
                </w:tcPr>
                <w:p w14:paraId="7F34280B">
                  <w:pPr>
                    <w:pStyle w:val="98"/>
                    <w:jc w:val="center"/>
                    <w:rPr>
                      <w:rFonts w:hint="default" w:eastAsia="宋体"/>
                      <w:sz w:val="22"/>
                      <w:szCs w:val="22"/>
                      <w:lang w:val="en-US" w:eastAsia="zh-CN"/>
                    </w:rPr>
                  </w:pPr>
                  <w:r>
                    <w:rPr>
                      <w:rFonts w:hint="eastAsia"/>
                      <w:sz w:val="22"/>
                      <w:szCs w:val="22"/>
                      <w:lang w:val="en-US" w:eastAsia="zh-CN"/>
                    </w:rPr>
                    <w:t>1397</w:t>
                  </w:r>
                </w:p>
              </w:tc>
              <w:tc>
                <w:tcPr>
                  <w:tcW w:w="506" w:type="pct"/>
                  <w:vAlign w:val="center"/>
                </w:tcPr>
                <w:p w14:paraId="2A2C040C">
                  <w:pPr>
                    <w:pStyle w:val="98"/>
                    <w:jc w:val="center"/>
                    <w:rPr>
                      <w:rFonts w:hint="default" w:eastAsia="宋体"/>
                      <w:sz w:val="22"/>
                      <w:szCs w:val="22"/>
                      <w:lang w:val="en-US" w:eastAsia="zh-CN"/>
                    </w:rPr>
                  </w:pPr>
                  <w:r>
                    <w:rPr>
                      <w:rFonts w:hint="eastAsia"/>
                      <w:sz w:val="22"/>
                      <w:szCs w:val="22"/>
                      <w:lang w:val="en-US" w:eastAsia="zh-CN"/>
                    </w:rPr>
                    <w:t>160</w:t>
                  </w:r>
                </w:p>
              </w:tc>
              <w:tc>
                <w:tcPr>
                  <w:tcW w:w="506" w:type="pct"/>
                  <w:vAlign w:val="center"/>
                </w:tcPr>
                <w:p w14:paraId="5AFD828C">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-1999</w:t>
                  </w:r>
                </w:p>
              </w:tc>
              <w:tc>
                <w:tcPr>
                  <w:tcW w:w="378" w:type="pct"/>
                  <w:vAlign w:val="center"/>
                </w:tcPr>
                <w:p w14:paraId="3244833B">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155</w:t>
                  </w:r>
                </w:p>
              </w:tc>
              <w:tc>
                <w:tcPr>
                  <w:tcW w:w="392" w:type="pct"/>
                  <w:vAlign w:val="center"/>
                </w:tcPr>
                <w:p w14:paraId="6196A409">
                  <w:pPr>
                    <w:pStyle w:val="98"/>
                    <w:jc w:val="center"/>
                    <w:rPr>
                      <w:rFonts w:hint="default" w:eastAsia="宋体"/>
                      <w:sz w:val="22"/>
                      <w:szCs w:val="22"/>
                      <w:lang w:val="en-US" w:eastAsia="zh-CN"/>
                    </w:rPr>
                  </w:pPr>
                  <w:r>
                    <w:rPr>
                      <w:rFonts w:hint="eastAsia"/>
                      <w:sz w:val="22"/>
                      <w:szCs w:val="22"/>
                      <w:lang w:val="en-US" w:eastAsia="zh-CN"/>
                    </w:rPr>
                    <w:t>184</w:t>
                  </w:r>
                </w:p>
              </w:tc>
            </w:tr>
            <w:tr w14:paraId="0E35655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77" w:type="pct"/>
                  <w:vMerge w:val="continue"/>
                  <w:vAlign w:val="center"/>
                </w:tcPr>
                <w:p w14:paraId="18DBFB9B">
                  <w:pPr>
                    <w:pStyle w:val="98"/>
                    <w:jc w:val="center"/>
                    <w:rPr>
                      <w:rFonts w:hint="eastAsia" w:eastAsia="宋体"/>
                      <w:sz w:val="22"/>
                      <w:szCs w:val="22"/>
                      <w:lang w:val="en-US" w:eastAsia="zh-CN"/>
                    </w:rPr>
                  </w:pPr>
                </w:p>
              </w:tc>
              <w:tc>
                <w:tcPr>
                  <w:tcW w:w="406" w:type="pct"/>
                  <w:vAlign w:val="center"/>
                </w:tcPr>
                <w:p w14:paraId="33C07F77">
                  <w:pPr>
                    <w:pStyle w:val="98"/>
                    <w:jc w:val="center"/>
                    <w:rPr>
                      <w:rFonts w:hint="default" w:eastAsia="宋体"/>
                      <w:sz w:val="22"/>
                      <w:szCs w:val="22"/>
                      <w:lang w:val="en-US" w:eastAsia="zh-CN"/>
                    </w:rPr>
                  </w:pPr>
                  <w:r>
                    <w:rPr>
                      <w:rFonts w:hint="eastAsia"/>
                      <w:sz w:val="22"/>
                      <w:szCs w:val="22"/>
                      <w:lang w:val="en-US" w:eastAsia="zh-CN"/>
                    </w:rPr>
                    <w:t>天生河道疏浚</w:t>
                  </w:r>
                </w:p>
              </w:tc>
              <w:tc>
                <w:tcPr>
                  <w:tcW w:w="506" w:type="pct"/>
                  <w:vAlign w:val="center"/>
                </w:tcPr>
                <w:p w14:paraId="3168B774">
                  <w:pPr>
                    <w:pStyle w:val="98"/>
                    <w:jc w:val="center"/>
                    <w:rPr>
                      <w:rFonts w:hint="default" w:eastAsia="宋体"/>
                      <w:sz w:val="22"/>
                      <w:szCs w:val="22"/>
                      <w:lang w:val="en-US" w:eastAsia="zh-CN"/>
                    </w:rPr>
                  </w:pPr>
                  <w:r>
                    <w:rPr>
                      <w:rFonts w:hint="eastAsia"/>
                      <w:sz w:val="22"/>
                      <w:szCs w:val="22"/>
                      <w:lang w:val="en-US" w:eastAsia="zh-CN"/>
                    </w:rPr>
                    <w:t>1970</w:t>
                  </w:r>
                </w:p>
              </w:tc>
              <w:tc>
                <w:tcPr>
                  <w:tcW w:w="506" w:type="pct"/>
                  <w:vAlign w:val="center"/>
                </w:tcPr>
                <w:p w14:paraId="0010A38C">
                  <w:pPr>
                    <w:pStyle w:val="98"/>
                    <w:jc w:val="center"/>
                    <w:rPr>
                      <w:rFonts w:hint="default" w:eastAsia="宋体"/>
                      <w:sz w:val="22"/>
                      <w:szCs w:val="22"/>
                      <w:lang w:val="en-US" w:eastAsia="zh-CN"/>
                    </w:rPr>
                  </w:pPr>
                  <w:r>
                    <w:rPr>
                      <w:rFonts w:hint="eastAsia"/>
                      <w:sz w:val="22"/>
                      <w:szCs w:val="22"/>
                      <w:lang w:val="en-US" w:eastAsia="zh-CN"/>
                    </w:rPr>
                    <w:t>/</w:t>
                  </w:r>
                </w:p>
              </w:tc>
              <w:tc>
                <w:tcPr>
                  <w:tcW w:w="506" w:type="pct"/>
                  <w:vAlign w:val="center"/>
                </w:tcPr>
                <w:p w14:paraId="6AC96B38">
                  <w:pPr>
                    <w:pStyle w:val="98"/>
                    <w:jc w:val="center"/>
                    <w:rPr>
                      <w:rFonts w:hint="default" w:eastAsia="宋体"/>
                      <w:sz w:val="22"/>
                      <w:szCs w:val="22"/>
                      <w:lang w:val="en-US" w:eastAsia="zh-CN"/>
                    </w:rPr>
                  </w:pPr>
                  <w:r>
                    <w:rPr>
                      <w:rFonts w:hint="eastAsia"/>
                      <w:sz w:val="22"/>
                      <w:szCs w:val="22"/>
                      <w:lang w:val="en-US" w:eastAsia="zh-CN"/>
                    </w:rPr>
                    <w:t>/</w:t>
                  </w:r>
                </w:p>
              </w:tc>
              <w:tc>
                <w:tcPr>
                  <w:tcW w:w="506" w:type="pct"/>
                  <w:vAlign w:val="center"/>
                </w:tcPr>
                <w:p w14:paraId="5DE806F8">
                  <w:pPr>
                    <w:pStyle w:val="98"/>
                    <w:jc w:val="center"/>
                    <w:rPr>
                      <w:rFonts w:hint="eastAsia" w:eastAsia="宋体"/>
                      <w:sz w:val="22"/>
                      <w:szCs w:val="22"/>
                      <w:lang w:val="en-US" w:eastAsia="zh-CN"/>
                    </w:rPr>
                  </w:pPr>
                </w:p>
              </w:tc>
              <w:tc>
                <w:tcPr>
                  <w:tcW w:w="506" w:type="pct"/>
                  <w:vAlign w:val="center"/>
                </w:tcPr>
                <w:p w14:paraId="5651D2F3">
                  <w:pPr>
                    <w:pStyle w:val="98"/>
                    <w:jc w:val="center"/>
                    <w:rPr>
                      <w:rFonts w:hint="eastAsia" w:eastAsia="宋体"/>
                      <w:sz w:val="22"/>
                      <w:szCs w:val="22"/>
                      <w:lang w:val="en-US" w:eastAsia="zh-CN"/>
                    </w:rPr>
                  </w:pPr>
                </w:p>
              </w:tc>
              <w:tc>
                <w:tcPr>
                  <w:tcW w:w="506" w:type="pct"/>
                  <w:vAlign w:val="center"/>
                </w:tcPr>
                <w:p w14:paraId="221DBD50">
                  <w:pPr>
                    <w:pStyle w:val="98"/>
                    <w:jc w:val="center"/>
                    <w:rPr>
                      <w:rFonts w:hint="eastAsia" w:eastAsia="宋体"/>
                      <w:sz w:val="22"/>
                      <w:szCs w:val="22"/>
                      <w:lang w:val="en-US" w:eastAsia="zh-CN"/>
                    </w:rPr>
                  </w:pPr>
                </w:p>
              </w:tc>
              <w:tc>
                <w:tcPr>
                  <w:tcW w:w="506" w:type="pct"/>
                  <w:vAlign w:val="center"/>
                </w:tcPr>
                <w:p w14:paraId="6895A656">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-1970</w:t>
                  </w:r>
                </w:p>
              </w:tc>
              <w:tc>
                <w:tcPr>
                  <w:tcW w:w="378" w:type="pct"/>
                  <w:vAlign w:val="center"/>
                </w:tcPr>
                <w:p w14:paraId="2A315BD8">
                  <w:pPr>
                    <w:keepNext w:val="0"/>
                    <w:keepLines w:val="0"/>
                    <w:widowControl/>
                    <w:suppressLineNumbers w:val="0"/>
                    <w:jc w:val="center"/>
                    <w:rPr>
                      <w:rFonts w:hint="default" w:eastAsia="宋体"/>
                      <w:b w:val="0"/>
                      <w:bCs w:val="0"/>
                      <w:sz w:val="22"/>
                      <w:szCs w:val="22"/>
                      <w:lang w:val="en-US" w:eastAsia="zh-CN"/>
                    </w:rPr>
                  </w:pPr>
                  <w:r>
                    <w:rPr>
                      <w:rFonts w:hint="eastAsia"/>
                      <w:b w:val="0"/>
                      <w:bCs w:val="0"/>
                      <w:sz w:val="22"/>
                      <w:szCs w:val="22"/>
                      <w:lang w:val="en-US" w:eastAsia="zh-CN"/>
                    </w:rPr>
                    <w:t>0</w:t>
                  </w:r>
                </w:p>
              </w:tc>
              <w:tc>
                <w:tcPr>
                  <w:tcW w:w="392" w:type="pct"/>
                  <w:vAlign w:val="center"/>
                </w:tcPr>
                <w:p w14:paraId="239E8DA8">
                  <w:pPr>
                    <w:pStyle w:val="98"/>
                    <w:jc w:val="center"/>
                    <w:rPr>
                      <w:rFonts w:hint="default" w:eastAsia="宋体"/>
                      <w:b w:val="0"/>
                      <w:bCs w:val="0"/>
                      <w:sz w:val="22"/>
                      <w:szCs w:val="22"/>
                      <w:lang w:val="en-US" w:eastAsia="zh-CN"/>
                    </w:rPr>
                  </w:pPr>
                  <w:r>
                    <w:rPr>
                      <w:rFonts w:hint="eastAsia"/>
                      <w:b w:val="0"/>
                      <w:bCs w:val="0"/>
                      <w:sz w:val="22"/>
                      <w:szCs w:val="22"/>
                      <w:lang w:val="en-US" w:eastAsia="zh-CN"/>
                    </w:rPr>
                    <w:t>0</w:t>
                  </w:r>
                </w:p>
              </w:tc>
            </w:tr>
            <w:tr w14:paraId="4687FDA6">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84" w:type="pct"/>
                  <w:gridSpan w:val="2"/>
                  <w:vAlign w:val="center"/>
                </w:tcPr>
                <w:p w14:paraId="19BDEE5E">
                  <w:pPr>
                    <w:pStyle w:val="98"/>
                    <w:jc w:val="center"/>
                    <w:rPr>
                      <w:rFonts w:hint="default" w:eastAsia="宋体"/>
                      <w:sz w:val="22"/>
                      <w:szCs w:val="22"/>
                      <w:lang w:val="en-US" w:eastAsia="zh-CN"/>
                    </w:rPr>
                  </w:pPr>
                  <w:r>
                    <w:rPr>
                      <w:rFonts w:hint="eastAsia"/>
                      <w:sz w:val="22"/>
                      <w:szCs w:val="22"/>
                      <w:lang w:val="en-US" w:eastAsia="zh-CN"/>
                    </w:rPr>
                    <w:t>合计</w:t>
                  </w:r>
                </w:p>
              </w:tc>
              <w:tc>
                <w:tcPr>
                  <w:tcW w:w="506" w:type="pct"/>
                  <w:vAlign w:val="center"/>
                </w:tcPr>
                <w:p w14:paraId="72FB61E7">
                  <w:pPr>
                    <w:pStyle w:val="98"/>
                    <w:jc w:val="center"/>
                    <w:rPr>
                      <w:rFonts w:hint="default" w:eastAsia="宋体"/>
                      <w:sz w:val="22"/>
                      <w:szCs w:val="22"/>
                      <w:lang w:val="en-US" w:eastAsia="zh-CN"/>
                    </w:rPr>
                  </w:pPr>
                  <w:r>
                    <w:rPr>
                      <w:rFonts w:hint="eastAsia"/>
                      <w:sz w:val="22"/>
                      <w:szCs w:val="22"/>
                      <w:lang w:val="en-US" w:eastAsia="zh-CN"/>
                    </w:rPr>
                    <w:t>27442</w:t>
                  </w:r>
                </w:p>
              </w:tc>
              <w:tc>
                <w:tcPr>
                  <w:tcW w:w="506" w:type="pct"/>
                  <w:vAlign w:val="center"/>
                </w:tcPr>
                <w:p w14:paraId="7E65B1DA">
                  <w:pPr>
                    <w:pStyle w:val="98"/>
                    <w:jc w:val="center"/>
                    <w:rPr>
                      <w:rFonts w:hint="default" w:eastAsia="宋体"/>
                      <w:sz w:val="22"/>
                      <w:szCs w:val="22"/>
                      <w:lang w:val="en-US" w:eastAsia="zh-CN"/>
                    </w:rPr>
                  </w:pPr>
                  <w:r>
                    <w:rPr>
                      <w:rFonts w:hint="eastAsia"/>
                      <w:sz w:val="22"/>
                      <w:szCs w:val="22"/>
                      <w:lang w:val="en-US" w:eastAsia="zh-CN"/>
                    </w:rPr>
                    <w:t>5505</w:t>
                  </w:r>
                </w:p>
              </w:tc>
              <w:tc>
                <w:tcPr>
                  <w:tcW w:w="506" w:type="pct"/>
                  <w:vAlign w:val="center"/>
                </w:tcPr>
                <w:p w14:paraId="6B5DF720">
                  <w:pPr>
                    <w:pStyle w:val="98"/>
                    <w:jc w:val="center"/>
                    <w:rPr>
                      <w:rFonts w:hint="default" w:eastAsia="宋体"/>
                      <w:sz w:val="22"/>
                      <w:szCs w:val="22"/>
                      <w:lang w:val="en-US" w:eastAsia="zh-CN"/>
                    </w:rPr>
                  </w:pPr>
                  <w:r>
                    <w:rPr>
                      <w:rFonts w:hint="eastAsia"/>
                      <w:sz w:val="22"/>
                      <w:szCs w:val="22"/>
                      <w:lang w:val="en-US" w:eastAsia="zh-CN"/>
                    </w:rPr>
                    <w:t>2927</w:t>
                  </w:r>
                </w:p>
              </w:tc>
              <w:tc>
                <w:tcPr>
                  <w:tcW w:w="506" w:type="pct"/>
                  <w:vAlign w:val="center"/>
                </w:tcPr>
                <w:p w14:paraId="386E310B">
                  <w:pPr>
                    <w:pStyle w:val="98"/>
                    <w:jc w:val="center"/>
                    <w:rPr>
                      <w:rFonts w:hint="default" w:eastAsia="宋体"/>
                      <w:sz w:val="22"/>
                      <w:szCs w:val="22"/>
                      <w:lang w:val="en-US" w:eastAsia="zh-CN"/>
                    </w:rPr>
                  </w:pPr>
                  <w:r>
                    <w:rPr>
                      <w:rFonts w:hint="eastAsia"/>
                      <w:sz w:val="22"/>
                      <w:szCs w:val="22"/>
                      <w:lang w:val="en-US" w:eastAsia="zh-CN"/>
                    </w:rPr>
                    <w:t>49198</w:t>
                  </w:r>
                </w:p>
              </w:tc>
              <w:tc>
                <w:tcPr>
                  <w:tcW w:w="506" w:type="pct"/>
                  <w:vAlign w:val="center"/>
                </w:tcPr>
                <w:p w14:paraId="13C4C816">
                  <w:pPr>
                    <w:pStyle w:val="98"/>
                    <w:jc w:val="center"/>
                    <w:rPr>
                      <w:rFonts w:hint="default" w:eastAsia="宋体"/>
                      <w:sz w:val="22"/>
                      <w:szCs w:val="22"/>
                      <w:lang w:val="en-US" w:eastAsia="zh-CN"/>
                    </w:rPr>
                  </w:pPr>
                  <w:r>
                    <w:rPr>
                      <w:rFonts w:hint="eastAsia"/>
                      <w:sz w:val="22"/>
                      <w:szCs w:val="22"/>
                      <w:lang w:val="en-US" w:eastAsia="zh-CN"/>
                    </w:rPr>
                    <w:t>55907</w:t>
                  </w:r>
                </w:p>
              </w:tc>
              <w:tc>
                <w:tcPr>
                  <w:tcW w:w="506" w:type="pct"/>
                  <w:vAlign w:val="center"/>
                </w:tcPr>
                <w:p w14:paraId="11BBF628">
                  <w:pPr>
                    <w:pStyle w:val="98"/>
                    <w:jc w:val="center"/>
                    <w:rPr>
                      <w:rFonts w:hint="default" w:eastAsia="宋体"/>
                      <w:sz w:val="22"/>
                      <w:szCs w:val="22"/>
                      <w:lang w:val="en-US" w:eastAsia="zh-CN"/>
                    </w:rPr>
                  </w:pPr>
                  <w:r>
                    <w:rPr>
                      <w:rFonts w:hint="eastAsia"/>
                      <w:sz w:val="22"/>
                      <w:szCs w:val="22"/>
                      <w:lang w:val="en-US" w:eastAsia="zh-CN"/>
                    </w:rPr>
                    <w:t>3817</w:t>
                  </w:r>
                </w:p>
              </w:tc>
              <w:tc>
                <w:tcPr>
                  <w:tcW w:w="506" w:type="pct"/>
                  <w:vAlign w:val="center"/>
                </w:tcPr>
                <w:p w14:paraId="07B68855">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+25538</w:t>
                  </w:r>
                </w:p>
              </w:tc>
              <w:tc>
                <w:tcPr>
                  <w:tcW w:w="378" w:type="pct"/>
                  <w:vAlign w:val="center"/>
                </w:tcPr>
                <w:p w14:paraId="7807179B">
                  <w:pPr>
                    <w:keepNext w:val="0"/>
                    <w:keepLines w:val="0"/>
                    <w:widowControl/>
                    <w:suppressLineNumbers w:val="0"/>
                    <w:jc w:val="center"/>
                    <w:rPr>
                      <w:rFonts w:hint="default" w:eastAsia="宋体"/>
                      <w:sz w:val="22"/>
                      <w:szCs w:val="22"/>
                      <w:lang w:val="en-US" w:eastAsia="zh-CN"/>
                    </w:rPr>
                  </w:pPr>
                  <w:r>
                    <w:rPr>
                      <w:rFonts w:hint="eastAsia"/>
                      <w:sz w:val="22"/>
                      <w:szCs w:val="22"/>
                      <w:lang w:val="en-US" w:eastAsia="zh-CN"/>
                    </w:rPr>
                    <w:t>1688</w:t>
                  </w:r>
                </w:p>
              </w:tc>
              <w:tc>
                <w:tcPr>
                  <w:tcW w:w="392" w:type="pct"/>
                  <w:vAlign w:val="center"/>
                </w:tcPr>
                <w:p w14:paraId="6B02B43C">
                  <w:pPr>
                    <w:pStyle w:val="98"/>
                    <w:jc w:val="center"/>
                    <w:rPr>
                      <w:rFonts w:hint="default" w:eastAsia="宋体"/>
                      <w:sz w:val="22"/>
                      <w:szCs w:val="22"/>
                      <w:lang w:val="en-US" w:eastAsia="zh-CN"/>
                    </w:rPr>
                  </w:pPr>
                  <w:r>
                    <w:rPr>
                      <w:rFonts w:hint="eastAsia"/>
                      <w:sz w:val="22"/>
                      <w:szCs w:val="22"/>
                      <w:lang w:val="en-US" w:eastAsia="zh-CN"/>
                    </w:rPr>
                    <w:t>2009</w:t>
                  </w:r>
                </w:p>
              </w:tc>
            </w:tr>
            <w:tr w14:paraId="236B785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000" w:type="pct"/>
                  <w:gridSpan w:val="11"/>
                  <w:vAlign w:val="center"/>
                </w:tcPr>
                <w:p w14:paraId="39056660">
                  <w:pPr>
                    <w:pStyle w:val="98"/>
                    <w:jc w:val="both"/>
                    <w:rPr>
                      <w:rFonts w:hint="eastAsia"/>
                      <w:sz w:val="22"/>
                      <w:szCs w:val="22"/>
                      <w:lang w:val="en-US" w:eastAsia="zh-CN"/>
                    </w:rPr>
                  </w:pPr>
                  <w:r>
                    <w:rPr>
                      <w:rFonts w:hint="eastAsia"/>
                      <w:sz w:val="22"/>
                      <w:szCs w:val="22"/>
                      <w:lang w:val="en-US" w:eastAsia="zh-CN"/>
                    </w:rPr>
                    <w:t>注：自然方换算为实方系数混合料取0.88；自然方换算为松方系数混合料取1.19。</w:t>
                  </w:r>
                </w:p>
              </w:tc>
            </w:tr>
          </w:tbl>
          <w:p w14:paraId="4D7C3465">
            <w:pPr>
              <w:pStyle w:val="4"/>
              <w:rPr>
                <w:rFonts w:hint="eastAsia" w:ascii="Times New Roman" w:hAnsi="Times New Roman"/>
                <w:lang w:val="en-US" w:eastAsia="zh-CN"/>
              </w:rPr>
            </w:pPr>
            <w:r>
              <w:rPr>
                <w:rFonts w:hint="eastAsia"/>
                <w:lang w:val="en-US" w:eastAsia="zh-CN"/>
              </w:rPr>
              <w:t>工程占地</w:t>
            </w:r>
          </w:p>
          <w:p w14:paraId="74A78CA4">
            <w:pPr>
              <w:pStyle w:val="6"/>
              <w:rPr>
                <w:rFonts w:hint="eastAsia" w:ascii="Times New Roman" w:hAnsi="Times New Roman"/>
                <w:lang w:val="en-US" w:eastAsia="zh-CN"/>
              </w:rPr>
            </w:pPr>
            <w:r>
              <w:rPr>
                <w:rFonts w:hint="eastAsia" w:ascii="Times New Roman" w:hAnsi="Times New Roman"/>
                <w:lang w:val="en-US" w:eastAsia="zh-CN"/>
              </w:rPr>
              <w:t>工程永久占地共5.24hm</w:t>
            </w:r>
            <w:r>
              <w:rPr>
                <w:rFonts w:hint="eastAsia" w:ascii="Times New Roman" w:hAnsi="Times New Roman"/>
                <w:vertAlign w:val="superscript"/>
                <w:lang w:val="en-US" w:eastAsia="zh-CN"/>
              </w:rPr>
              <w:t>2</w:t>
            </w:r>
            <w:r>
              <w:rPr>
                <w:rFonts w:hint="eastAsia" w:ascii="Times New Roman" w:hAnsi="Times New Roman"/>
                <w:lang w:val="en-US" w:eastAsia="zh-CN"/>
              </w:rPr>
              <w:t>，包括占用耕地0.55hm</w:t>
            </w:r>
            <w:r>
              <w:rPr>
                <w:rFonts w:hint="eastAsia" w:ascii="Times New Roman" w:hAnsi="Times New Roman"/>
                <w:vertAlign w:val="superscript"/>
                <w:lang w:val="en-US" w:eastAsia="zh-CN"/>
              </w:rPr>
              <w:t>2</w:t>
            </w:r>
            <w:r>
              <w:rPr>
                <w:rFonts w:hint="eastAsia" w:ascii="Times New Roman" w:hAnsi="Times New Roman"/>
                <w:lang w:val="en-US" w:eastAsia="zh-CN"/>
              </w:rPr>
              <w:t>，林地0.57hm</w:t>
            </w:r>
            <w:r>
              <w:rPr>
                <w:rFonts w:hint="eastAsia" w:ascii="Times New Roman" w:hAnsi="Times New Roman"/>
                <w:vertAlign w:val="superscript"/>
                <w:lang w:val="en-US" w:eastAsia="zh-CN"/>
              </w:rPr>
              <w:t>2</w:t>
            </w:r>
            <w:r>
              <w:rPr>
                <w:rFonts w:hint="eastAsia" w:ascii="Times New Roman" w:hAnsi="Times New Roman"/>
                <w:lang w:val="en-US" w:eastAsia="zh-CN"/>
              </w:rPr>
              <w:t>，草地1.01hm</w:t>
            </w:r>
            <w:r>
              <w:rPr>
                <w:rFonts w:hint="eastAsia" w:ascii="Times New Roman" w:hAnsi="Times New Roman"/>
                <w:vertAlign w:val="superscript"/>
                <w:lang w:val="en-US" w:eastAsia="zh-CN"/>
              </w:rPr>
              <w:t>2</w:t>
            </w:r>
            <w:r>
              <w:rPr>
                <w:rFonts w:hint="eastAsia" w:ascii="Times New Roman" w:hAnsi="Times New Roman"/>
                <w:lang w:val="en-US" w:eastAsia="zh-CN"/>
              </w:rPr>
              <w:t>，水域及水利设施用地2.86hm</w:t>
            </w:r>
            <w:r>
              <w:rPr>
                <w:rFonts w:hint="eastAsia" w:ascii="Times New Roman" w:hAnsi="Times New Roman"/>
                <w:vertAlign w:val="superscript"/>
                <w:lang w:val="en-US" w:eastAsia="zh-CN"/>
              </w:rPr>
              <w:t>2</w:t>
            </w:r>
            <w:r>
              <w:rPr>
                <w:rFonts w:hint="eastAsia" w:ascii="Times New Roman" w:hAnsi="Times New Roman"/>
                <w:lang w:val="en-US" w:eastAsia="zh-CN"/>
              </w:rPr>
              <w:t>，居民及交通工矿用地0.25hm</w:t>
            </w:r>
            <w:r>
              <w:rPr>
                <w:rFonts w:hint="eastAsia" w:ascii="Times New Roman" w:hAnsi="Times New Roman"/>
                <w:vertAlign w:val="superscript"/>
                <w:lang w:val="en-US" w:eastAsia="zh-CN"/>
              </w:rPr>
              <w:t>2</w:t>
            </w:r>
            <w:r>
              <w:rPr>
                <w:rFonts w:hint="eastAsia" w:ascii="Times New Roman" w:hAnsi="Times New Roman"/>
                <w:lang w:val="en-US" w:eastAsia="zh-CN"/>
              </w:rPr>
              <w:t>。</w:t>
            </w:r>
          </w:p>
          <w:p w14:paraId="3507EB24">
            <w:pPr>
              <w:pStyle w:val="6"/>
              <w:rPr>
                <w:rFonts w:hint="eastAsia" w:ascii="Times New Roman" w:hAnsi="Times New Roman"/>
                <w:lang w:val="en-US" w:eastAsia="zh-CN"/>
              </w:rPr>
            </w:pPr>
            <w:r>
              <w:rPr>
                <w:rFonts w:hint="eastAsia" w:ascii="Times New Roman" w:hAnsi="Times New Roman"/>
                <w:lang w:val="en-US" w:eastAsia="zh-CN"/>
              </w:rPr>
              <w:t>本工程材料仓库，办公、生活及文化福利建筑均采用租用方式；工程临时用地主要为工区内的混凝土</w:t>
            </w:r>
            <w:r>
              <w:rPr>
                <w:rFonts w:hint="default" w:ascii="Times New Roman" w:hAnsi="Times New Roman"/>
                <w:lang w:val="en-US" w:eastAsia="zh-CN"/>
              </w:rPr>
              <w:t>拌合站</w:t>
            </w:r>
            <w:r>
              <w:rPr>
                <w:rFonts w:hint="eastAsia" w:ascii="Times New Roman" w:hAnsi="Times New Roman"/>
                <w:lang w:val="en-US" w:eastAsia="zh-CN"/>
              </w:rPr>
              <w:t>、机械停放</w:t>
            </w:r>
            <w:r>
              <w:rPr>
                <w:rFonts w:hint="eastAsia"/>
                <w:lang w:val="en-US" w:eastAsia="zh-CN"/>
              </w:rPr>
              <w:t>场</w:t>
            </w:r>
            <w:r>
              <w:rPr>
                <w:rFonts w:hint="eastAsia" w:ascii="Times New Roman" w:hAnsi="Times New Roman"/>
                <w:lang w:val="en-US" w:eastAsia="zh-CN"/>
              </w:rPr>
              <w:t>、综合加工棚等临建设施用地、临时道路及临时堆料场用地，经统计，工程临时用地共0.6hm</w:t>
            </w:r>
            <w:r>
              <w:rPr>
                <w:rFonts w:hint="eastAsia" w:ascii="Times New Roman" w:hAnsi="Times New Roman"/>
                <w:vertAlign w:val="superscript"/>
                <w:lang w:val="en-US" w:eastAsia="zh-CN"/>
              </w:rPr>
              <w:t>2</w:t>
            </w:r>
            <w:r>
              <w:rPr>
                <w:rFonts w:hint="eastAsia" w:ascii="Times New Roman" w:hAnsi="Times New Roman"/>
                <w:lang w:val="en-US" w:eastAsia="zh-CN"/>
              </w:rPr>
              <w:t>。包括占用耕地0.23hm</w:t>
            </w:r>
            <w:r>
              <w:rPr>
                <w:rFonts w:hint="eastAsia" w:ascii="Times New Roman" w:hAnsi="Times New Roman"/>
                <w:vertAlign w:val="superscript"/>
                <w:lang w:val="en-US" w:eastAsia="zh-CN"/>
              </w:rPr>
              <w:t>2</w:t>
            </w:r>
            <w:r>
              <w:rPr>
                <w:rFonts w:hint="eastAsia" w:ascii="Times New Roman" w:hAnsi="Times New Roman"/>
                <w:lang w:val="en-US" w:eastAsia="zh-CN"/>
              </w:rPr>
              <w:t>，草地0.34m</w:t>
            </w:r>
            <w:r>
              <w:rPr>
                <w:rFonts w:hint="eastAsia" w:ascii="Times New Roman" w:hAnsi="Times New Roman"/>
                <w:vertAlign w:val="superscript"/>
                <w:lang w:val="en-US" w:eastAsia="zh-CN"/>
              </w:rPr>
              <w:t>2</w:t>
            </w:r>
            <w:r>
              <w:rPr>
                <w:rFonts w:hint="eastAsia" w:ascii="Times New Roman" w:hAnsi="Times New Roman"/>
                <w:lang w:val="en-US" w:eastAsia="zh-CN"/>
              </w:rPr>
              <w:t>，水域及水利设施用地0.03hm</w:t>
            </w:r>
            <w:r>
              <w:rPr>
                <w:rFonts w:hint="eastAsia" w:ascii="Times New Roman" w:hAnsi="Times New Roman"/>
                <w:vertAlign w:val="superscript"/>
                <w:lang w:val="en-US" w:eastAsia="zh-CN"/>
              </w:rPr>
              <w:t>2</w:t>
            </w:r>
            <w:r>
              <w:rPr>
                <w:rFonts w:hint="eastAsia" w:ascii="Times New Roman" w:hAnsi="Times New Roman"/>
                <w:lang w:val="en-US" w:eastAsia="zh-CN"/>
              </w:rPr>
              <w:t>。</w:t>
            </w:r>
          </w:p>
          <w:p w14:paraId="70E9DA3F">
            <w:pPr>
              <w:pStyle w:val="7"/>
              <w:bidi w:val="0"/>
              <w:rPr>
                <w:rFonts w:hint="eastAsia"/>
                <w:lang w:val="en-US" w:eastAsia="zh-CN"/>
              </w:rPr>
            </w:pPr>
            <w:r>
              <w:rPr>
                <w:rFonts w:hint="eastAsia"/>
                <w:lang w:val="en-US" w:eastAsia="zh-CN"/>
              </w:rPr>
              <w:t xml:space="preserve">  项目施工占地面积汇总表</w:t>
            </w:r>
          </w:p>
          <w:tbl>
            <w:tblPr>
              <w:tblStyle w:val="81"/>
              <w:tblW w:w="5000" w:type="pct"/>
              <w:jc w:val="center"/>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65"/>
              <w:gridCol w:w="1474"/>
              <w:gridCol w:w="786"/>
              <w:gridCol w:w="1230"/>
              <w:gridCol w:w="1014"/>
              <w:gridCol w:w="1014"/>
              <w:gridCol w:w="1014"/>
              <w:gridCol w:w="762"/>
              <w:gridCol w:w="787"/>
            </w:tblGrid>
            <w:tr w14:paraId="28B7B9DB">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Merge w:val="restart"/>
                  <w:vAlign w:val="center"/>
                </w:tcPr>
                <w:p w14:paraId="6E374D37">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序号</w:t>
                  </w:r>
                </w:p>
              </w:tc>
              <w:tc>
                <w:tcPr>
                  <w:tcW w:w="852" w:type="pct"/>
                  <w:vMerge w:val="restart"/>
                  <w:vAlign w:val="center"/>
                </w:tcPr>
                <w:p w14:paraId="6CC8E06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项目</w:t>
                  </w:r>
                </w:p>
              </w:tc>
              <w:tc>
                <w:tcPr>
                  <w:tcW w:w="454" w:type="pct"/>
                  <w:vMerge w:val="restart"/>
                  <w:vAlign w:val="center"/>
                </w:tcPr>
                <w:p w14:paraId="16936ADE">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单位</w:t>
                  </w:r>
                </w:p>
              </w:tc>
              <w:tc>
                <w:tcPr>
                  <w:tcW w:w="711" w:type="pct"/>
                  <w:vAlign w:val="center"/>
                </w:tcPr>
                <w:p w14:paraId="594B8517">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永久占地</w:t>
                  </w:r>
                </w:p>
              </w:tc>
              <w:tc>
                <w:tcPr>
                  <w:tcW w:w="2199" w:type="pct"/>
                  <w:gridSpan w:val="4"/>
                  <w:vAlign w:val="center"/>
                </w:tcPr>
                <w:p w14:paraId="51ABA110">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临时占地</w:t>
                  </w:r>
                </w:p>
              </w:tc>
              <w:tc>
                <w:tcPr>
                  <w:tcW w:w="454" w:type="pct"/>
                  <w:vMerge w:val="restart"/>
                  <w:vAlign w:val="center"/>
                </w:tcPr>
                <w:p w14:paraId="1C0D255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合计</w:t>
                  </w:r>
                </w:p>
              </w:tc>
            </w:tr>
            <w:tr w14:paraId="65DDA85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Merge w:val="continue"/>
                  <w:vAlign w:val="center"/>
                </w:tcPr>
                <w:p w14:paraId="6954B136">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p>
              </w:tc>
              <w:tc>
                <w:tcPr>
                  <w:tcW w:w="852" w:type="pct"/>
                  <w:vMerge w:val="continue"/>
                  <w:vAlign w:val="center"/>
                </w:tcPr>
                <w:p w14:paraId="01EB7FB8">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p>
              </w:tc>
              <w:tc>
                <w:tcPr>
                  <w:tcW w:w="454" w:type="pct"/>
                  <w:vMerge w:val="continue"/>
                  <w:vAlign w:val="center"/>
                </w:tcPr>
                <w:p w14:paraId="1FFB430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p>
              </w:tc>
              <w:tc>
                <w:tcPr>
                  <w:tcW w:w="711" w:type="pct"/>
                  <w:vAlign w:val="center"/>
                </w:tcPr>
                <w:p w14:paraId="7DB87CE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default" w:eastAsia="宋体"/>
                      <w:sz w:val="22"/>
                      <w:szCs w:val="22"/>
                      <w:lang w:val="en-US" w:eastAsia="zh-CN"/>
                    </w:rPr>
                    <w:t>堤防及附属建筑物</w:t>
                  </w:r>
                </w:p>
              </w:tc>
              <w:tc>
                <w:tcPr>
                  <w:tcW w:w="586" w:type="pct"/>
                  <w:vAlign w:val="center"/>
                </w:tcPr>
                <w:p w14:paraId="4498144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工区用地</w:t>
                  </w:r>
                </w:p>
              </w:tc>
              <w:tc>
                <w:tcPr>
                  <w:tcW w:w="586" w:type="pct"/>
                  <w:vAlign w:val="center"/>
                </w:tcPr>
                <w:p w14:paraId="04616DA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临时道路</w:t>
                  </w:r>
                </w:p>
              </w:tc>
              <w:tc>
                <w:tcPr>
                  <w:tcW w:w="586" w:type="pct"/>
                  <w:vAlign w:val="center"/>
                </w:tcPr>
                <w:p w14:paraId="059B66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临时堆料场</w:t>
                  </w:r>
                </w:p>
              </w:tc>
              <w:tc>
                <w:tcPr>
                  <w:tcW w:w="440" w:type="pct"/>
                  <w:vAlign w:val="center"/>
                </w:tcPr>
                <w:p w14:paraId="0FDF9D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小计</w:t>
                  </w:r>
                </w:p>
              </w:tc>
              <w:tc>
                <w:tcPr>
                  <w:tcW w:w="454" w:type="pct"/>
                  <w:vMerge w:val="continue"/>
                  <w:vAlign w:val="center"/>
                </w:tcPr>
                <w:p w14:paraId="637B83F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p>
              </w:tc>
            </w:tr>
            <w:tr w14:paraId="15A4E40E">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731C122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一</w:t>
                  </w:r>
                </w:p>
              </w:tc>
              <w:tc>
                <w:tcPr>
                  <w:tcW w:w="852" w:type="pct"/>
                  <w:vAlign w:val="center"/>
                </w:tcPr>
                <w:p w14:paraId="6D29CF6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工程占地</w:t>
                  </w:r>
                </w:p>
              </w:tc>
              <w:tc>
                <w:tcPr>
                  <w:tcW w:w="454" w:type="pct"/>
                  <w:vAlign w:val="center"/>
                </w:tcPr>
                <w:p w14:paraId="6FE86AD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6326BB4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5.24</w:t>
                  </w:r>
                </w:p>
              </w:tc>
              <w:tc>
                <w:tcPr>
                  <w:tcW w:w="586" w:type="pct"/>
                  <w:vAlign w:val="center"/>
                </w:tcPr>
                <w:p w14:paraId="10329BA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0.08</w:t>
                  </w:r>
                </w:p>
              </w:tc>
              <w:tc>
                <w:tcPr>
                  <w:tcW w:w="586" w:type="pct"/>
                  <w:vAlign w:val="center"/>
                </w:tcPr>
                <w:p w14:paraId="47E89898">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0.33</w:t>
                  </w:r>
                </w:p>
              </w:tc>
              <w:tc>
                <w:tcPr>
                  <w:tcW w:w="586" w:type="pct"/>
                  <w:vAlign w:val="center"/>
                </w:tcPr>
                <w:p w14:paraId="437F80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0.19</w:t>
                  </w:r>
                </w:p>
              </w:tc>
              <w:tc>
                <w:tcPr>
                  <w:tcW w:w="440" w:type="pct"/>
                  <w:vAlign w:val="center"/>
                </w:tcPr>
                <w:p w14:paraId="3EA3EA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0.6</w:t>
                  </w:r>
                </w:p>
              </w:tc>
              <w:tc>
                <w:tcPr>
                  <w:tcW w:w="454" w:type="pct"/>
                  <w:vAlign w:val="center"/>
                </w:tcPr>
                <w:p w14:paraId="695660C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5.84</w:t>
                  </w:r>
                </w:p>
              </w:tc>
            </w:tr>
            <w:tr w14:paraId="2B7289EC">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6B8644D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w:t>
                  </w:r>
                </w:p>
              </w:tc>
              <w:tc>
                <w:tcPr>
                  <w:tcW w:w="852" w:type="pct"/>
                  <w:vAlign w:val="center"/>
                </w:tcPr>
                <w:p w14:paraId="33302CC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耕地</w:t>
                  </w:r>
                </w:p>
              </w:tc>
              <w:tc>
                <w:tcPr>
                  <w:tcW w:w="454" w:type="pct"/>
                  <w:vAlign w:val="center"/>
                </w:tcPr>
                <w:p w14:paraId="60E83BBD">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29D1EEB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0.55</w:t>
                  </w:r>
                </w:p>
              </w:tc>
              <w:tc>
                <w:tcPr>
                  <w:tcW w:w="586" w:type="pct"/>
                  <w:vAlign w:val="center"/>
                </w:tcPr>
                <w:p w14:paraId="68AB45C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0.02</w:t>
                  </w:r>
                </w:p>
              </w:tc>
              <w:tc>
                <w:tcPr>
                  <w:tcW w:w="586" w:type="pct"/>
                  <w:vAlign w:val="center"/>
                </w:tcPr>
                <w:p w14:paraId="092F17E3">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0.21</w:t>
                  </w:r>
                </w:p>
              </w:tc>
              <w:tc>
                <w:tcPr>
                  <w:tcW w:w="586" w:type="pct"/>
                  <w:vAlign w:val="center"/>
                </w:tcPr>
                <w:p w14:paraId="6C2561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19EE1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val="0"/>
                      <w:bCs w:val="0"/>
                      <w:sz w:val="22"/>
                      <w:szCs w:val="22"/>
                      <w:lang w:val="en-US" w:eastAsia="zh-CN"/>
                    </w:rPr>
                  </w:pPr>
                  <w:r>
                    <w:rPr>
                      <w:rFonts w:hint="eastAsia"/>
                      <w:b w:val="0"/>
                      <w:bCs w:val="0"/>
                      <w:sz w:val="22"/>
                      <w:szCs w:val="22"/>
                      <w:lang w:val="en-US" w:eastAsia="zh-CN"/>
                    </w:rPr>
                    <w:t>0.23</w:t>
                  </w:r>
                </w:p>
              </w:tc>
              <w:tc>
                <w:tcPr>
                  <w:tcW w:w="454" w:type="pct"/>
                  <w:vAlign w:val="center"/>
                </w:tcPr>
                <w:p w14:paraId="3B5F1F0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val="0"/>
                      <w:bCs w:val="0"/>
                      <w:sz w:val="22"/>
                      <w:szCs w:val="22"/>
                      <w:lang w:val="en-US" w:eastAsia="zh-CN"/>
                    </w:rPr>
                  </w:pPr>
                  <w:r>
                    <w:rPr>
                      <w:rFonts w:hint="eastAsia"/>
                      <w:b w:val="0"/>
                      <w:bCs w:val="0"/>
                      <w:sz w:val="22"/>
                      <w:szCs w:val="22"/>
                      <w:lang w:val="en-US" w:eastAsia="zh-CN"/>
                    </w:rPr>
                    <w:t>0.78</w:t>
                  </w:r>
                </w:p>
              </w:tc>
            </w:tr>
            <w:tr w14:paraId="1F580321">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67A3B3CD">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1.1</w:t>
                  </w:r>
                </w:p>
              </w:tc>
              <w:tc>
                <w:tcPr>
                  <w:tcW w:w="852" w:type="pct"/>
                  <w:vAlign w:val="center"/>
                </w:tcPr>
                <w:p w14:paraId="54AE7F78">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旱地</w:t>
                  </w:r>
                </w:p>
              </w:tc>
              <w:tc>
                <w:tcPr>
                  <w:tcW w:w="454" w:type="pct"/>
                  <w:vAlign w:val="center"/>
                </w:tcPr>
                <w:p w14:paraId="583F547D">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3A9F41A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0.52</w:t>
                  </w:r>
                </w:p>
              </w:tc>
              <w:tc>
                <w:tcPr>
                  <w:tcW w:w="586" w:type="pct"/>
                  <w:vAlign w:val="center"/>
                </w:tcPr>
                <w:p w14:paraId="30A61FA4">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0.02</w:t>
                  </w:r>
                </w:p>
              </w:tc>
              <w:tc>
                <w:tcPr>
                  <w:tcW w:w="586" w:type="pct"/>
                  <w:vAlign w:val="center"/>
                </w:tcPr>
                <w:p w14:paraId="06E04246">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0.20</w:t>
                  </w:r>
                </w:p>
              </w:tc>
              <w:tc>
                <w:tcPr>
                  <w:tcW w:w="586" w:type="pct"/>
                  <w:vAlign w:val="center"/>
                </w:tcPr>
                <w:p w14:paraId="01C95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322F81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0.22</w:t>
                  </w:r>
                </w:p>
              </w:tc>
              <w:tc>
                <w:tcPr>
                  <w:tcW w:w="454" w:type="pct"/>
                  <w:vAlign w:val="center"/>
                </w:tcPr>
                <w:p w14:paraId="3D4F839B">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0.74</w:t>
                  </w:r>
                </w:p>
              </w:tc>
            </w:tr>
            <w:tr w14:paraId="51168D7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346B538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1.2</w:t>
                  </w:r>
                </w:p>
              </w:tc>
              <w:tc>
                <w:tcPr>
                  <w:tcW w:w="852" w:type="pct"/>
                  <w:vAlign w:val="center"/>
                </w:tcPr>
                <w:p w14:paraId="0D26A527">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水田</w:t>
                  </w:r>
                </w:p>
              </w:tc>
              <w:tc>
                <w:tcPr>
                  <w:tcW w:w="454" w:type="pct"/>
                  <w:vAlign w:val="center"/>
                </w:tcPr>
                <w:p w14:paraId="34B9B82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19BE9B3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0.03</w:t>
                  </w:r>
                </w:p>
              </w:tc>
              <w:tc>
                <w:tcPr>
                  <w:tcW w:w="586" w:type="pct"/>
                  <w:vAlign w:val="center"/>
                </w:tcPr>
                <w:p w14:paraId="3EBF945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185C987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0.01</w:t>
                  </w:r>
                </w:p>
              </w:tc>
              <w:tc>
                <w:tcPr>
                  <w:tcW w:w="586" w:type="pct"/>
                  <w:vAlign w:val="center"/>
                </w:tcPr>
                <w:p w14:paraId="2BBA38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197B6D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0.01</w:t>
                  </w:r>
                </w:p>
              </w:tc>
              <w:tc>
                <w:tcPr>
                  <w:tcW w:w="454" w:type="pct"/>
                  <w:vAlign w:val="center"/>
                </w:tcPr>
                <w:p w14:paraId="1DD08E73">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0.04</w:t>
                  </w:r>
                </w:p>
              </w:tc>
            </w:tr>
            <w:tr w14:paraId="283A739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6ADD372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2</w:t>
                  </w:r>
                </w:p>
              </w:tc>
              <w:tc>
                <w:tcPr>
                  <w:tcW w:w="852" w:type="pct"/>
                  <w:vAlign w:val="center"/>
                </w:tcPr>
                <w:p w14:paraId="5D313783">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林地</w:t>
                  </w:r>
                </w:p>
              </w:tc>
              <w:tc>
                <w:tcPr>
                  <w:tcW w:w="454" w:type="pct"/>
                  <w:vAlign w:val="center"/>
                </w:tcPr>
                <w:p w14:paraId="2E1883B6">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2D86287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0.57</w:t>
                  </w:r>
                </w:p>
              </w:tc>
              <w:tc>
                <w:tcPr>
                  <w:tcW w:w="586" w:type="pct"/>
                  <w:vAlign w:val="center"/>
                </w:tcPr>
                <w:p w14:paraId="209081D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1396D22D">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59BAFA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1E8020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54" w:type="pct"/>
                  <w:vAlign w:val="center"/>
                </w:tcPr>
                <w:p w14:paraId="41F5910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0.57</w:t>
                  </w:r>
                </w:p>
              </w:tc>
            </w:tr>
            <w:tr w14:paraId="1A8816F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223ED86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2.1</w:t>
                  </w:r>
                </w:p>
              </w:tc>
              <w:tc>
                <w:tcPr>
                  <w:tcW w:w="852" w:type="pct"/>
                  <w:vAlign w:val="center"/>
                </w:tcPr>
                <w:p w14:paraId="1D35F3A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竹林地</w:t>
                  </w:r>
                </w:p>
              </w:tc>
              <w:tc>
                <w:tcPr>
                  <w:tcW w:w="454" w:type="pct"/>
                  <w:vAlign w:val="center"/>
                </w:tcPr>
                <w:p w14:paraId="51CD5010">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7195AED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4678979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43355BE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3E92FE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740299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54" w:type="pct"/>
                  <w:vAlign w:val="center"/>
                </w:tcPr>
                <w:p w14:paraId="172FC54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r>
            <w:tr w14:paraId="2328B43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1E894820">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2.2</w:t>
                  </w:r>
                </w:p>
              </w:tc>
              <w:tc>
                <w:tcPr>
                  <w:tcW w:w="852" w:type="pct"/>
                  <w:vAlign w:val="center"/>
                </w:tcPr>
                <w:p w14:paraId="0C8F4807">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灌木林地</w:t>
                  </w:r>
                </w:p>
              </w:tc>
              <w:tc>
                <w:tcPr>
                  <w:tcW w:w="454" w:type="pct"/>
                  <w:vAlign w:val="center"/>
                </w:tcPr>
                <w:p w14:paraId="7788AB0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039B88B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0.11</w:t>
                  </w:r>
                </w:p>
              </w:tc>
              <w:tc>
                <w:tcPr>
                  <w:tcW w:w="586" w:type="pct"/>
                  <w:vAlign w:val="center"/>
                </w:tcPr>
                <w:p w14:paraId="5C9D1AC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04B709BE">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4FADC8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7E1461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54" w:type="pct"/>
                  <w:vAlign w:val="center"/>
                </w:tcPr>
                <w:p w14:paraId="48EC7376">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0.11</w:t>
                  </w:r>
                </w:p>
              </w:tc>
            </w:tr>
            <w:tr w14:paraId="03C88602">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2EB18E3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2.3</w:t>
                  </w:r>
                </w:p>
              </w:tc>
              <w:tc>
                <w:tcPr>
                  <w:tcW w:w="852" w:type="pct"/>
                  <w:vAlign w:val="center"/>
                </w:tcPr>
                <w:p w14:paraId="159D6A4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其他林地</w:t>
                  </w:r>
                </w:p>
              </w:tc>
              <w:tc>
                <w:tcPr>
                  <w:tcW w:w="454" w:type="pct"/>
                  <w:vAlign w:val="center"/>
                </w:tcPr>
                <w:p w14:paraId="2378261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5738675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0.47</w:t>
                  </w:r>
                </w:p>
              </w:tc>
              <w:tc>
                <w:tcPr>
                  <w:tcW w:w="586" w:type="pct"/>
                  <w:vAlign w:val="center"/>
                </w:tcPr>
                <w:p w14:paraId="5253B11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3BD81FC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4DB109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2EE193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54" w:type="pct"/>
                  <w:vAlign w:val="center"/>
                </w:tcPr>
                <w:p w14:paraId="2BF35F00">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0.47</w:t>
                  </w:r>
                </w:p>
              </w:tc>
            </w:tr>
            <w:tr w14:paraId="7A0105D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2E076B0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3</w:t>
                  </w:r>
                </w:p>
              </w:tc>
              <w:tc>
                <w:tcPr>
                  <w:tcW w:w="852" w:type="pct"/>
                  <w:vAlign w:val="center"/>
                </w:tcPr>
                <w:p w14:paraId="6968FF74">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草地</w:t>
                  </w:r>
                </w:p>
              </w:tc>
              <w:tc>
                <w:tcPr>
                  <w:tcW w:w="454" w:type="pct"/>
                  <w:vAlign w:val="center"/>
                </w:tcPr>
                <w:p w14:paraId="5E442F1E">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752A590B">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1.01</w:t>
                  </w:r>
                </w:p>
              </w:tc>
              <w:tc>
                <w:tcPr>
                  <w:tcW w:w="586" w:type="pct"/>
                  <w:vAlign w:val="center"/>
                </w:tcPr>
                <w:p w14:paraId="3DB74D2B">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0.06</w:t>
                  </w:r>
                </w:p>
              </w:tc>
              <w:tc>
                <w:tcPr>
                  <w:tcW w:w="586" w:type="pct"/>
                  <w:vAlign w:val="center"/>
                </w:tcPr>
                <w:p w14:paraId="64521ED8">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0.09</w:t>
                  </w:r>
                </w:p>
              </w:tc>
              <w:tc>
                <w:tcPr>
                  <w:tcW w:w="586" w:type="pct"/>
                  <w:vAlign w:val="center"/>
                </w:tcPr>
                <w:p w14:paraId="429E46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0.19</w:t>
                  </w:r>
                </w:p>
              </w:tc>
              <w:tc>
                <w:tcPr>
                  <w:tcW w:w="440" w:type="pct"/>
                  <w:vAlign w:val="center"/>
                </w:tcPr>
                <w:p w14:paraId="1D8DDE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0.34</w:t>
                  </w:r>
                </w:p>
              </w:tc>
              <w:tc>
                <w:tcPr>
                  <w:tcW w:w="454" w:type="pct"/>
                  <w:vAlign w:val="center"/>
                </w:tcPr>
                <w:p w14:paraId="50CC527E">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1.35</w:t>
                  </w:r>
                </w:p>
              </w:tc>
            </w:tr>
            <w:tr w14:paraId="161D64F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7E74749B">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3.1</w:t>
                  </w:r>
                </w:p>
              </w:tc>
              <w:tc>
                <w:tcPr>
                  <w:tcW w:w="852" w:type="pct"/>
                  <w:vAlign w:val="center"/>
                </w:tcPr>
                <w:p w14:paraId="6862E3C0">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天然草地</w:t>
                  </w:r>
                </w:p>
              </w:tc>
              <w:tc>
                <w:tcPr>
                  <w:tcW w:w="454" w:type="pct"/>
                  <w:vAlign w:val="center"/>
                </w:tcPr>
                <w:p w14:paraId="630FD6F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39F1BD0B">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1.01</w:t>
                  </w:r>
                </w:p>
              </w:tc>
              <w:tc>
                <w:tcPr>
                  <w:tcW w:w="586" w:type="pct"/>
                  <w:vAlign w:val="center"/>
                </w:tcPr>
                <w:p w14:paraId="5455315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0.06</w:t>
                  </w:r>
                </w:p>
              </w:tc>
              <w:tc>
                <w:tcPr>
                  <w:tcW w:w="586" w:type="pct"/>
                  <w:vAlign w:val="center"/>
                </w:tcPr>
                <w:p w14:paraId="4BF6EA4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0.09</w:t>
                  </w:r>
                </w:p>
              </w:tc>
              <w:tc>
                <w:tcPr>
                  <w:tcW w:w="586" w:type="pct"/>
                  <w:vAlign w:val="center"/>
                </w:tcPr>
                <w:p w14:paraId="1DE711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0.19</w:t>
                  </w:r>
                </w:p>
              </w:tc>
              <w:tc>
                <w:tcPr>
                  <w:tcW w:w="440" w:type="pct"/>
                  <w:vAlign w:val="center"/>
                </w:tcPr>
                <w:p w14:paraId="364050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0.34</w:t>
                  </w:r>
                </w:p>
              </w:tc>
              <w:tc>
                <w:tcPr>
                  <w:tcW w:w="454" w:type="pct"/>
                  <w:vAlign w:val="center"/>
                </w:tcPr>
                <w:p w14:paraId="6DBF7C4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1.35</w:t>
                  </w:r>
                </w:p>
              </w:tc>
            </w:tr>
            <w:tr w14:paraId="7168F7BD">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5EC22274">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4</w:t>
                  </w:r>
                </w:p>
              </w:tc>
              <w:tc>
                <w:tcPr>
                  <w:tcW w:w="852" w:type="pct"/>
                  <w:vAlign w:val="center"/>
                </w:tcPr>
                <w:p w14:paraId="6F846F64">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水域及水利设施用地</w:t>
                  </w:r>
                </w:p>
              </w:tc>
              <w:tc>
                <w:tcPr>
                  <w:tcW w:w="454" w:type="pct"/>
                  <w:vAlign w:val="center"/>
                </w:tcPr>
                <w:p w14:paraId="54BDE3D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3BCF3A0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2.86</w:t>
                  </w:r>
                </w:p>
              </w:tc>
              <w:tc>
                <w:tcPr>
                  <w:tcW w:w="586" w:type="pct"/>
                  <w:vAlign w:val="center"/>
                </w:tcPr>
                <w:p w14:paraId="053FF14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6A4ABA4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0.03</w:t>
                  </w:r>
                </w:p>
              </w:tc>
              <w:tc>
                <w:tcPr>
                  <w:tcW w:w="586" w:type="pct"/>
                  <w:vAlign w:val="center"/>
                </w:tcPr>
                <w:p w14:paraId="07BECC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317815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0.03</w:t>
                  </w:r>
                </w:p>
              </w:tc>
              <w:tc>
                <w:tcPr>
                  <w:tcW w:w="454" w:type="pct"/>
                  <w:vAlign w:val="center"/>
                </w:tcPr>
                <w:p w14:paraId="4234C90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2.89</w:t>
                  </w:r>
                </w:p>
              </w:tc>
            </w:tr>
            <w:tr w14:paraId="13CFCC95">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1A69A666">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4.1</w:t>
                  </w:r>
                </w:p>
              </w:tc>
              <w:tc>
                <w:tcPr>
                  <w:tcW w:w="852" w:type="pct"/>
                  <w:vAlign w:val="center"/>
                </w:tcPr>
                <w:p w14:paraId="6E300091">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河流水面</w:t>
                  </w:r>
                </w:p>
              </w:tc>
              <w:tc>
                <w:tcPr>
                  <w:tcW w:w="454" w:type="pct"/>
                  <w:vAlign w:val="center"/>
                </w:tcPr>
                <w:p w14:paraId="71AF881D">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49CD7BAF">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1.99</w:t>
                  </w:r>
                </w:p>
              </w:tc>
              <w:tc>
                <w:tcPr>
                  <w:tcW w:w="586" w:type="pct"/>
                  <w:vAlign w:val="center"/>
                </w:tcPr>
                <w:p w14:paraId="2E09DB7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6BCD095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1AC8A8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2F3FD9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54" w:type="pct"/>
                  <w:vAlign w:val="center"/>
                </w:tcPr>
                <w:p w14:paraId="4071A4F2">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1.99</w:t>
                  </w:r>
                </w:p>
              </w:tc>
            </w:tr>
            <w:tr w14:paraId="7B790194">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4A2D2D9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4.2</w:t>
                  </w:r>
                </w:p>
              </w:tc>
              <w:tc>
                <w:tcPr>
                  <w:tcW w:w="852" w:type="pct"/>
                  <w:vAlign w:val="center"/>
                </w:tcPr>
                <w:p w14:paraId="23193C1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内陆滩涂</w:t>
                  </w:r>
                </w:p>
              </w:tc>
              <w:tc>
                <w:tcPr>
                  <w:tcW w:w="454" w:type="pct"/>
                  <w:vAlign w:val="center"/>
                </w:tcPr>
                <w:p w14:paraId="3A228BDD">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73009F28">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0.87</w:t>
                  </w:r>
                </w:p>
              </w:tc>
              <w:tc>
                <w:tcPr>
                  <w:tcW w:w="586" w:type="pct"/>
                  <w:vAlign w:val="center"/>
                </w:tcPr>
                <w:p w14:paraId="31673D4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16945A59">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0.03</w:t>
                  </w:r>
                </w:p>
              </w:tc>
              <w:tc>
                <w:tcPr>
                  <w:tcW w:w="586" w:type="pct"/>
                  <w:vAlign w:val="center"/>
                </w:tcPr>
                <w:p w14:paraId="4627C8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069305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0.03</w:t>
                  </w:r>
                </w:p>
              </w:tc>
              <w:tc>
                <w:tcPr>
                  <w:tcW w:w="454" w:type="pct"/>
                  <w:vAlign w:val="center"/>
                </w:tcPr>
                <w:p w14:paraId="30F11017">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0.9</w:t>
                  </w:r>
                </w:p>
              </w:tc>
            </w:tr>
            <w:tr w14:paraId="78346B99">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26" w:type="pct"/>
                  <w:vAlign w:val="center"/>
                </w:tcPr>
                <w:p w14:paraId="6AAA91BE">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5</w:t>
                  </w:r>
                </w:p>
              </w:tc>
              <w:tc>
                <w:tcPr>
                  <w:tcW w:w="852" w:type="pct"/>
                  <w:vAlign w:val="center"/>
                </w:tcPr>
                <w:p w14:paraId="10E8AF8A">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居民及交通工矿用地</w:t>
                  </w:r>
                </w:p>
              </w:tc>
              <w:tc>
                <w:tcPr>
                  <w:tcW w:w="454" w:type="pct"/>
                  <w:vAlign w:val="center"/>
                </w:tcPr>
                <w:p w14:paraId="7CCCEB50">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hm</w:t>
                  </w:r>
                  <w:r>
                    <w:rPr>
                      <w:rFonts w:hint="eastAsia"/>
                      <w:sz w:val="22"/>
                      <w:szCs w:val="22"/>
                      <w:vertAlign w:val="superscript"/>
                      <w:lang w:val="en-US" w:eastAsia="zh-CN"/>
                    </w:rPr>
                    <w:t>2</w:t>
                  </w:r>
                </w:p>
              </w:tc>
              <w:tc>
                <w:tcPr>
                  <w:tcW w:w="711" w:type="pct"/>
                  <w:vAlign w:val="center"/>
                </w:tcPr>
                <w:p w14:paraId="263E22EE">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0.25</w:t>
                  </w:r>
                </w:p>
              </w:tc>
              <w:tc>
                <w:tcPr>
                  <w:tcW w:w="586" w:type="pct"/>
                  <w:vAlign w:val="center"/>
                </w:tcPr>
                <w:p w14:paraId="76AABEBC">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7DF8A5A5">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586" w:type="pct"/>
                  <w:vAlign w:val="center"/>
                </w:tcPr>
                <w:p w14:paraId="640654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40" w:type="pct"/>
                  <w:vAlign w:val="center"/>
                </w:tcPr>
                <w:p w14:paraId="53405A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w:t>
                  </w:r>
                </w:p>
              </w:tc>
              <w:tc>
                <w:tcPr>
                  <w:tcW w:w="454" w:type="pct"/>
                  <w:vAlign w:val="center"/>
                </w:tcPr>
                <w:p w14:paraId="02451567">
                  <w:pPr>
                    <w:pStyle w:val="9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int="eastAsia"/>
                      <w:sz w:val="22"/>
                      <w:szCs w:val="22"/>
                      <w:lang w:val="en-US" w:eastAsia="zh-CN"/>
                    </w:rPr>
                    <w:t>0.25</w:t>
                  </w:r>
                </w:p>
              </w:tc>
            </w:tr>
          </w:tbl>
          <w:p w14:paraId="706786F1">
            <w:pPr>
              <w:pStyle w:val="4"/>
              <w:rPr>
                <w:rFonts w:hint="eastAsia" w:ascii="Times New Roman" w:hAnsi="Times New Roman"/>
                <w:lang w:val="en-US" w:eastAsia="zh-CN"/>
              </w:rPr>
            </w:pPr>
            <w:r>
              <w:rPr>
                <w:rFonts w:hint="eastAsia"/>
                <w:lang w:val="en-US" w:eastAsia="zh-CN"/>
              </w:rPr>
              <w:t xml:space="preserve">公用工程 </w:t>
            </w:r>
          </w:p>
          <w:p w14:paraId="31AC9F73">
            <w:pPr>
              <w:pStyle w:val="6"/>
              <w:rPr>
                <w:rFonts w:hint="default" w:ascii="Times New Roman" w:hAnsi="Times New Roman"/>
                <w:lang w:val="en-US" w:eastAsia="zh-CN"/>
              </w:rPr>
            </w:pPr>
            <w:r>
              <w:rPr>
                <w:rFonts w:hint="eastAsia" w:ascii="Times New Roman" w:hAnsi="Times New Roman"/>
                <w:lang w:val="en-US" w:eastAsia="zh-CN"/>
              </w:rPr>
              <w:t>（1）施工用水</w:t>
            </w:r>
          </w:p>
          <w:p w14:paraId="119A6B39">
            <w:pPr>
              <w:pStyle w:val="6"/>
              <w:rPr>
                <w:rFonts w:hint="eastAsia" w:ascii="Times New Roman" w:hAnsi="Times New Roman"/>
                <w:lang w:val="en-US" w:eastAsia="zh-CN"/>
              </w:rPr>
            </w:pPr>
            <w:r>
              <w:rPr>
                <w:rFonts w:hint="eastAsia" w:ascii="Times New Roman" w:hAnsi="Times New Roman"/>
                <w:lang w:val="en-US" w:eastAsia="zh-CN"/>
              </w:rPr>
              <w:t>施工区沿线村庄分布较广，施工生活用水从附近村庄取用；施工用水直接由水泵就近从河中抽取。即可满足施工用水要求。</w:t>
            </w:r>
          </w:p>
          <w:p w14:paraId="08452C32">
            <w:pPr>
              <w:pStyle w:val="6"/>
              <w:rPr>
                <w:rFonts w:hint="default" w:ascii="Times New Roman" w:hAnsi="Times New Roman"/>
                <w:lang w:val="en-US" w:eastAsia="zh-CN"/>
              </w:rPr>
            </w:pPr>
            <w:r>
              <w:rPr>
                <w:rFonts w:hint="eastAsia" w:ascii="Times New Roman" w:hAnsi="Times New Roman"/>
                <w:lang w:val="en-US" w:eastAsia="zh-CN"/>
              </w:rPr>
              <w:t>（2）施工供电</w:t>
            </w:r>
          </w:p>
          <w:p w14:paraId="1EB3FCC4">
            <w:pPr>
              <w:pStyle w:val="6"/>
              <w:rPr>
                <w:rFonts w:hint="eastAsia" w:ascii="Times New Roman" w:hAnsi="Times New Roman"/>
                <w:lang w:val="en-US" w:eastAsia="zh-CN"/>
              </w:rPr>
            </w:pPr>
            <w:r>
              <w:rPr>
                <w:rFonts w:hint="eastAsia" w:ascii="Times New Roman" w:hAnsi="Times New Roman"/>
                <w:lang w:val="en-US" w:eastAsia="zh-CN"/>
              </w:rPr>
              <w:t>工区采用T接10KV电线集中供电。在各工区内架设10KV电缆0.3km，其中：1#工区0.1km，2#工区0.2km。另备用50</w:t>
            </w:r>
            <w:r>
              <w:rPr>
                <w:rFonts w:hint="eastAsia"/>
                <w:lang w:val="en-US" w:eastAsia="zh-CN"/>
              </w:rPr>
              <w:t>kW</w:t>
            </w:r>
            <w:r>
              <w:rPr>
                <w:rFonts w:hint="eastAsia" w:ascii="Times New Roman" w:hAnsi="Times New Roman"/>
                <w:lang w:val="en-US" w:eastAsia="zh-CN"/>
              </w:rPr>
              <w:t>发电机1台，机动使用。</w:t>
            </w:r>
          </w:p>
          <w:p w14:paraId="40F45A09">
            <w:pPr>
              <w:pStyle w:val="6"/>
              <w:rPr>
                <w:rFonts w:hint="default" w:ascii="Times New Roman" w:hAnsi="Times New Roman"/>
                <w:lang w:val="en-US" w:eastAsia="zh-CN"/>
              </w:rPr>
            </w:pPr>
            <w:r>
              <w:rPr>
                <w:rFonts w:hint="eastAsia" w:ascii="Times New Roman" w:hAnsi="Times New Roman"/>
                <w:lang w:val="en-US" w:eastAsia="zh-CN"/>
              </w:rPr>
              <w:t>（3）通讯系统</w:t>
            </w:r>
          </w:p>
          <w:p w14:paraId="19A65BCA">
            <w:pPr>
              <w:pStyle w:val="6"/>
              <w:rPr>
                <w:rFonts w:hint="eastAsia" w:ascii="Times New Roman" w:hAnsi="Times New Roman"/>
                <w:lang w:val="en-US" w:eastAsia="zh-CN"/>
              </w:rPr>
            </w:pPr>
            <w:r>
              <w:rPr>
                <w:rFonts w:hint="eastAsia" w:ascii="Times New Roman" w:hAnsi="Times New Roman"/>
                <w:lang w:val="en-US" w:eastAsia="zh-CN"/>
              </w:rPr>
              <w:t>施工区移动电话的信号好，不需架设固定电话的通讯线，施工通讯采用移动电话，能满足施工通讯要求。</w:t>
            </w:r>
          </w:p>
          <w:p w14:paraId="7DCCB290">
            <w:pPr>
              <w:pStyle w:val="4"/>
              <w:rPr>
                <w:rFonts w:hint="eastAsia" w:ascii="Times New Roman" w:hAnsi="Times New Roman"/>
                <w:lang w:val="en-US" w:eastAsia="zh-CN"/>
              </w:rPr>
            </w:pPr>
            <w:r>
              <w:rPr>
                <w:rFonts w:hint="eastAsia"/>
                <w:lang w:val="en-US" w:eastAsia="zh-CN"/>
              </w:rPr>
              <w:t>主要施工材料及来源</w:t>
            </w:r>
          </w:p>
          <w:p w14:paraId="3FF6ED5F">
            <w:pPr>
              <w:pStyle w:val="6"/>
              <w:rPr>
                <w:rFonts w:hint="eastAsia" w:ascii="Times New Roman" w:hAnsi="Times New Roman"/>
                <w:lang w:val="en-US" w:eastAsia="zh-CN"/>
              </w:rPr>
            </w:pPr>
            <w:r>
              <w:rPr>
                <w:rFonts w:hint="eastAsia" w:ascii="Times New Roman" w:hAnsi="Times New Roman"/>
                <w:lang w:val="en-US" w:eastAsia="zh-CN"/>
              </w:rPr>
              <w:t>（1）天然建筑材料</w:t>
            </w:r>
          </w:p>
          <w:p w14:paraId="71323AFB">
            <w:pPr>
              <w:pStyle w:val="6"/>
              <w:rPr>
                <w:rFonts w:hint="eastAsia" w:ascii="Times New Roman" w:hAnsi="Times New Roman"/>
                <w:lang w:val="en-US" w:eastAsia="zh-CN"/>
              </w:rPr>
            </w:pPr>
            <w:r>
              <w:rPr>
                <w:rFonts w:hint="eastAsia" w:ascii="Times New Roman" w:hAnsi="Times New Roman"/>
                <w:lang w:val="en-US" w:eastAsia="zh-CN"/>
              </w:rPr>
              <w:t>本工程所需天然建筑材料包括填筑料、混凝土砂石骨料。混凝土砂石骨料可</w:t>
            </w:r>
            <w:r>
              <w:rPr>
                <w:rFonts w:hint="eastAsia"/>
                <w:lang w:val="en-US" w:eastAsia="zh-CN"/>
              </w:rPr>
              <w:t>就近</w:t>
            </w:r>
            <w:r>
              <w:rPr>
                <w:rFonts w:hint="eastAsia" w:ascii="Times New Roman" w:hAnsi="Times New Roman"/>
                <w:lang w:val="en-US" w:eastAsia="zh-CN"/>
              </w:rPr>
              <w:t>在宣汉县</w:t>
            </w:r>
            <w:r>
              <w:rPr>
                <w:rFonts w:hint="eastAsia"/>
                <w:lang w:val="en-US" w:eastAsia="zh-CN"/>
              </w:rPr>
              <w:t>周边</w:t>
            </w:r>
            <w:r>
              <w:rPr>
                <w:rFonts w:hint="eastAsia" w:ascii="Times New Roman" w:hAnsi="Times New Roman"/>
                <w:lang w:val="en-US" w:eastAsia="zh-CN"/>
              </w:rPr>
              <w:t>砂石经营场</w:t>
            </w:r>
            <w:r>
              <w:rPr>
                <w:rFonts w:hint="eastAsia"/>
                <w:lang w:val="en-US" w:eastAsia="zh-CN"/>
              </w:rPr>
              <w:t>购买</w:t>
            </w:r>
            <w:r>
              <w:rPr>
                <w:rFonts w:hint="eastAsia" w:ascii="Times New Roman" w:hAnsi="Times New Roman"/>
                <w:lang w:val="en-US" w:eastAsia="zh-CN"/>
              </w:rPr>
              <w:t>，工程区</w:t>
            </w:r>
            <w:r>
              <w:rPr>
                <w:rFonts w:hint="eastAsia"/>
                <w:lang w:val="en-US" w:eastAsia="zh-CN"/>
              </w:rPr>
              <w:t>周边</w:t>
            </w:r>
            <w:r>
              <w:rPr>
                <w:rFonts w:hint="eastAsia" w:ascii="Times New Roman" w:hAnsi="Times New Roman"/>
                <w:lang w:val="en-US" w:eastAsia="zh-CN"/>
              </w:rPr>
              <w:t>有S201、S202省道相通，交通方便。填筑料利用开挖料及河道疏浚料。</w:t>
            </w:r>
          </w:p>
          <w:p w14:paraId="32247ED2">
            <w:pPr>
              <w:pStyle w:val="6"/>
              <w:rPr>
                <w:rFonts w:hint="eastAsia" w:ascii="Times New Roman" w:hAnsi="Times New Roman"/>
                <w:lang w:val="en-US" w:eastAsia="zh-CN"/>
              </w:rPr>
            </w:pPr>
            <w:r>
              <w:rPr>
                <w:rFonts w:hint="eastAsia" w:ascii="Times New Roman" w:hAnsi="Times New Roman"/>
                <w:lang w:val="en-US" w:eastAsia="zh-CN"/>
              </w:rPr>
              <w:t>（2）三材及其他供应条件</w:t>
            </w:r>
          </w:p>
          <w:p w14:paraId="5889C539">
            <w:pPr>
              <w:pStyle w:val="6"/>
              <w:rPr>
                <w:rFonts w:hint="eastAsia"/>
                <w:lang w:val="en-US" w:eastAsia="zh-CN"/>
              </w:rPr>
            </w:pPr>
            <w:r>
              <w:rPr>
                <w:rFonts w:hint="eastAsia" w:ascii="Times New Roman" w:hAnsi="Times New Roman"/>
                <w:lang w:val="en-US" w:eastAsia="zh-CN"/>
              </w:rPr>
              <w:t>本工程所需的主要外来材料：水泥、钢筋、板材等自宣汉县购买，综合运距为16km；汽油、柴油自天生</w:t>
            </w:r>
            <w:r>
              <w:rPr>
                <w:rFonts w:hint="eastAsia"/>
                <w:lang w:val="en-US" w:eastAsia="zh-CN"/>
              </w:rPr>
              <w:t>镇</w:t>
            </w:r>
            <w:r>
              <w:rPr>
                <w:rFonts w:hint="eastAsia" w:ascii="Times New Roman" w:hAnsi="Times New Roman"/>
                <w:lang w:val="en-US" w:eastAsia="zh-CN"/>
              </w:rPr>
              <w:t>附近加油站购买。</w:t>
            </w:r>
          </w:p>
        </w:tc>
      </w:tr>
      <w:tr w14:paraId="5738F5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98" w:type="pct"/>
            <w:vAlign w:val="center"/>
          </w:tcPr>
          <w:p w14:paraId="770EF3E6">
            <w:r>
              <w:rPr>
                <w:rFonts w:hint="eastAsia"/>
              </w:rPr>
              <w:t>总平面及现场布置</w:t>
            </w:r>
          </w:p>
        </w:tc>
        <w:tc>
          <w:tcPr>
            <w:tcW w:w="4601" w:type="pct"/>
            <w:vAlign w:val="center"/>
          </w:tcPr>
          <w:p w14:paraId="5D998E83">
            <w:pPr>
              <w:pStyle w:val="3"/>
            </w:pPr>
            <w:bookmarkStart w:id="49" w:name="_Toc5828"/>
            <w:bookmarkStart w:id="50" w:name="_Toc193096027"/>
            <w:r>
              <w:rPr>
                <w:rFonts w:hint="eastAsia"/>
              </w:rPr>
              <w:t>总平面及现场布置</w:t>
            </w:r>
            <w:bookmarkEnd w:id="49"/>
            <w:bookmarkEnd w:id="50"/>
          </w:p>
          <w:p w14:paraId="66FD1C97">
            <w:pPr>
              <w:pStyle w:val="4"/>
              <w:bidi w:val="0"/>
              <w:rPr>
                <w:lang w:val="zh-CN"/>
              </w:rPr>
            </w:pPr>
            <w:r>
              <w:rPr>
                <w:rFonts w:hint="eastAsia"/>
                <w:lang w:val="en-US" w:eastAsia="zh-CN"/>
              </w:rPr>
              <w:t>工程布局情况</w:t>
            </w:r>
          </w:p>
          <w:p w14:paraId="47E19872">
            <w:pPr>
              <w:pStyle w:val="6"/>
              <w:rPr>
                <w:rFonts w:hint="eastAsia"/>
                <w:lang w:eastAsia="zh-CN"/>
              </w:rPr>
            </w:pPr>
            <w:r>
              <w:rPr>
                <w:rFonts w:hint="eastAsia"/>
                <w:lang w:eastAsia="zh-CN"/>
              </w:rPr>
              <w:t>本次河道综合治理长度为4.573km，新建堤防2.673km，河道疏浚4.2km，分为天生河段和黎家沟段。</w:t>
            </w:r>
          </w:p>
          <w:p w14:paraId="30AC9A23">
            <w:pPr>
              <w:pStyle w:val="6"/>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堤防工程</w:t>
            </w:r>
          </w:p>
          <w:p w14:paraId="7F0CB818">
            <w:pPr>
              <w:pStyle w:val="6"/>
              <w:rPr>
                <w:rFonts w:hint="default"/>
                <w:lang w:val="en-US" w:eastAsia="zh-CN"/>
              </w:rPr>
            </w:pPr>
            <w:r>
              <w:rPr>
                <w:rFonts w:hint="eastAsia"/>
                <w:lang w:val="en-US" w:eastAsia="zh-CN"/>
              </w:rPr>
              <w:t>①天生河段</w:t>
            </w:r>
          </w:p>
          <w:p w14:paraId="632C99C0">
            <w:pPr>
              <w:pStyle w:val="6"/>
              <w:rPr>
                <w:rFonts w:hint="eastAsia"/>
                <w:lang w:eastAsia="zh-CN"/>
              </w:rPr>
            </w:pPr>
            <w:r>
              <w:rPr>
                <w:rFonts w:hint="eastAsia"/>
                <w:lang w:eastAsia="zh-CN"/>
              </w:rPr>
              <w:t>天生河</w:t>
            </w:r>
            <w:r>
              <w:rPr>
                <w:rFonts w:hint="eastAsia"/>
                <w:lang w:val="en-US" w:eastAsia="zh-CN"/>
              </w:rPr>
              <w:t>治理段河道综合治理长度4.2km，</w:t>
            </w:r>
            <w:r>
              <w:rPr>
                <w:rFonts w:hint="eastAsia"/>
                <w:lang w:eastAsia="zh-CN"/>
              </w:rPr>
              <w:t>新建堤防2.313km，分为3段，左岸2段，右岸1段。</w:t>
            </w:r>
          </w:p>
          <w:p w14:paraId="1FD00EE1">
            <w:pPr>
              <w:pStyle w:val="6"/>
              <w:rPr>
                <w:rFonts w:hint="eastAsia"/>
                <w:lang w:eastAsia="zh-CN"/>
              </w:rPr>
            </w:pPr>
            <w:r>
              <w:rPr>
                <w:rFonts w:hint="eastAsia"/>
                <w:lang w:eastAsia="zh-CN"/>
              </w:rPr>
              <w:t>左岸第一段长度0.427km，起点位于青地湾人行桥上游约110m左岸岸坡，终点位于龙王潭机耕桥上游左岸桥墩，左0+000.00~左0+119.66、左0+191.87~左0+375.79为保证河道行洪断面，适当向岸边偏移4~10m；其余段堤防轴线基本沿现状河岸线布置。</w:t>
            </w:r>
          </w:p>
          <w:p w14:paraId="3583CABD">
            <w:pPr>
              <w:pStyle w:val="6"/>
              <w:rPr>
                <w:rFonts w:hint="eastAsia"/>
                <w:lang w:val="en-US" w:eastAsia="zh-CN"/>
              </w:rPr>
            </w:pPr>
            <w:r>
              <w:rPr>
                <w:rFonts w:hint="eastAsia"/>
                <w:lang w:val="en-US" w:eastAsia="zh-CN"/>
              </w:rPr>
              <w:t>左岸第二段新建堤防长度0.26km，起点位于石岭子临时下河道路处，终点位于黎家沟沟口处岸坡，为保证河道行洪断面，左0+964.31~左1+143.16段适当向岸边偏移6~8m；其余段堤防轴线基本沿现状河岸线布置。</w:t>
            </w:r>
          </w:p>
          <w:p w14:paraId="4E721746">
            <w:pPr>
              <w:pStyle w:val="6"/>
              <w:rPr>
                <w:rFonts w:hint="eastAsia"/>
                <w:lang w:val="en-US" w:eastAsia="zh-CN"/>
              </w:rPr>
            </w:pPr>
            <w:r>
              <w:rPr>
                <w:rFonts w:hint="eastAsia"/>
                <w:lang w:val="en-US" w:eastAsia="zh-CN"/>
              </w:rPr>
              <w:t>右岸新建堤防长度1.626km，起点位于天生归原农业园区排水沟出口，终点位于石马扁大桥上游约150m，天生牛奶草莓园对岸人户房屋基础高堡坎处，右0+056.00~右0+140.36岸边有约1.4亩耕地，为保证河道行洪断面，堤轴线向岸边扩宽1~6m；右0+392.00~右0+437.69岸边地势平坦，无明显河岸线，本次堤线沿高于水边线1~2m岸边高程布置，布置后堤线向岸边偏移约6~10m；右0+997.91~右1+262.61岸边有约4.8亩耕地，为保证河道行洪断面，堤轴线向岸边扩宽1~8m，其余段堤防轴线基本沿现状河岸线布置。</w:t>
            </w:r>
          </w:p>
          <w:p w14:paraId="63736B7B">
            <w:pPr>
              <w:pStyle w:val="6"/>
              <w:rPr>
                <w:rFonts w:hint="default"/>
                <w:lang w:val="en-US" w:eastAsia="zh-CN"/>
              </w:rPr>
            </w:pPr>
            <w:r>
              <w:rPr>
                <w:rFonts w:hint="eastAsia"/>
                <w:lang w:val="en-US" w:eastAsia="zh-CN"/>
              </w:rPr>
              <w:t>②黎家沟段</w:t>
            </w:r>
          </w:p>
          <w:p w14:paraId="7905641C">
            <w:pPr>
              <w:pStyle w:val="6"/>
              <w:rPr>
                <w:rFonts w:hint="default"/>
                <w:lang w:val="en-US" w:eastAsia="zh-CN"/>
              </w:rPr>
            </w:pPr>
            <w:r>
              <w:rPr>
                <w:rFonts w:hint="eastAsia"/>
                <w:lang w:val="en-US" w:eastAsia="zh-CN"/>
              </w:rPr>
              <w:t>黎家沟治理段河道综合治理长度0.373km，新建堤防0.36km，位于沟道右岸，新建堤防起、终点分别与右岸沟道转弯处高岸坡顺接，堤防轴线基本沿天生归原温泉酒店临时道路外侧布置。</w:t>
            </w:r>
          </w:p>
          <w:p w14:paraId="0BEE0A2E">
            <w:pPr>
              <w:pStyle w:val="6"/>
              <w:rPr>
                <w:rFonts w:hint="eastAsia"/>
                <w:lang w:eastAsia="zh-CN"/>
              </w:rPr>
            </w:pPr>
            <w:r>
              <w:rPr>
                <w:rFonts w:hint="eastAsia"/>
                <w:lang w:eastAsia="zh-CN"/>
              </w:rPr>
              <w:t>新建堤防采用衡重式挡墙+框格梁植草护坡堤型。结合地形条件，堤后设排水沟，接入穿堤涵管。</w:t>
            </w:r>
            <w:r>
              <w:rPr>
                <w:rFonts w:hint="eastAsia"/>
                <w:lang w:val="en-US" w:eastAsia="zh-CN"/>
              </w:rPr>
              <w:t>本工程</w:t>
            </w:r>
            <w:r>
              <w:rPr>
                <w:rFonts w:hint="eastAsia"/>
                <w:lang w:eastAsia="zh-CN"/>
              </w:rPr>
              <w:t>新建10处穿堤涵管，堤后排水沟2.020km，下河梯步10处。</w:t>
            </w:r>
            <w:r>
              <w:rPr>
                <w:rFonts w:hint="eastAsia"/>
                <w:lang w:val="en-US" w:eastAsia="zh-CN"/>
              </w:rPr>
              <w:t>其中</w:t>
            </w:r>
            <w:r>
              <w:rPr>
                <w:rFonts w:hint="eastAsia"/>
                <w:lang w:eastAsia="zh-CN"/>
              </w:rPr>
              <w:t>天生河段新建穿堤涵管9处，堤后排水沟1.477km，下河梯步9处；黎家沟段新建穿堤涵管1处，堤后排水沟0.35km，下河梯步1处。</w:t>
            </w:r>
          </w:p>
          <w:p w14:paraId="7C3D643D">
            <w:pPr>
              <w:pStyle w:val="6"/>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河道疏浚工程</w:t>
            </w:r>
          </w:p>
          <w:p w14:paraId="241DF3CD">
            <w:pPr>
              <w:pStyle w:val="6"/>
              <w:rPr>
                <w:rFonts w:hint="eastAsia"/>
                <w:lang w:eastAsia="zh-CN"/>
              </w:rPr>
            </w:pPr>
            <w:r>
              <w:rPr>
                <w:rFonts w:hint="eastAsia"/>
                <w:lang w:eastAsia="zh-CN"/>
              </w:rPr>
              <w:t>本次河道疏浚总长度4.2km，</w:t>
            </w:r>
            <w:r>
              <w:rPr>
                <w:rFonts w:hint="eastAsia"/>
                <w:lang w:val="en-US" w:eastAsia="zh-CN"/>
              </w:rPr>
              <w:t>为</w:t>
            </w:r>
            <w:r>
              <w:rPr>
                <w:rFonts w:hint="eastAsia"/>
                <w:lang w:eastAsia="zh-CN"/>
              </w:rPr>
              <w:t>局部疏浚，</w:t>
            </w:r>
            <w:r>
              <w:rPr>
                <w:rFonts w:hint="default" w:ascii="Times New Roman" w:hAnsi="Times New Roman" w:eastAsia="宋体" w:cs="Times New Roman"/>
                <w:color w:val="auto"/>
                <w:sz w:val="24"/>
                <w:highlight w:val="none"/>
                <w:lang w:val="en-US" w:eastAsia="zh-CN"/>
              </w:rPr>
              <w:t>疏浚面积共计0.38万m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，河道疏浚总量为0.197万m³</w:t>
            </w:r>
            <w:r>
              <w:rPr>
                <w:rFonts w:hint="eastAsia"/>
                <w:lang w:eastAsia="zh-CN"/>
              </w:rPr>
              <w:t>。疏浚区域6处，疏浚分段情况为：K0+300.00~K0+350.00段左岸滩地疏浚清理；K0+550.0~K0+635.00段左岸滩地疏浚清理；K1+530.0~K1+670.00段右岸滩地疏浚清理；K3+135.00~K3+240.00右岸滩地疏浚清理；K3+450.00~K3+515.00左岸滩地疏浚清理、河槽疏挖；K4+060.00~K4+200.00右岸滩地疏浚清理。</w:t>
            </w:r>
          </w:p>
          <w:p w14:paraId="2631CF65">
            <w:pPr>
              <w:pStyle w:val="6"/>
              <w:rPr>
                <w:rFonts w:hint="eastAsia"/>
                <w:lang w:eastAsia="zh-CN"/>
              </w:rPr>
            </w:pPr>
            <w:r>
              <w:rPr>
                <w:rFonts w:hint="eastAsia"/>
                <w:lang w:val="en-US" w:eastAsia="zh-CN"/>
              </w:rPr>
              <w:t>项目线路走向图及总平面布置图详见附图3、附图4。</w:t>
            </w:r>
          </w:p>
          <w:p w14:paraId="65F5E542">
            <w:pPr>
              <w:pStyle w:val="4"/>
              <w:rPr>
                <w:lang w:val="zh-CN"/>
              </w:rPr>
            </w:pPr>
            <w:bookmarkStart w:id="51" w:name="_Toc193096029"/>
            <w:bookmarkStart w:id="52" w:name="_Toc30521"/>
            <w:r>
              <w:rPr>
                <w:rFonts w:hint="eastAsia"/>
                <w:lang w:val="zh-CN"/>
              </w:rPr>
              <w:t>施工</w:t>
            </w:r>
            <w:bookmarkEnd w:id="51"/>
            <w:bookmarkEnd w:id="52"/>
            <w:r>
              <w:rPr>
                <w:rFonts w:hint="eastAsia"/>
                <w:lang w:val="en-US" w:eastAsia="zh-CN"/>
              </w:rPr>
              <w:t>布置情况</w:t>
            </w:r>
          </w:p>
          <w:p w14:paraId="3F081316">
            <w:pPr>
              <w:pStyle w:val="6"/>
              <w:rPr>
                <w:rFonts w:hint="eastAsia"/>
                <w:color w:val="auto"/>
                <w:lang w:val="en-US" w:eastAsia="zh-CN"/>
              </w:rPr>
            </w:pPr>
            <w:r>
              <w:rPr>
                <w:rFonts w:hint="eastAsia"/>
                <w:color w:val="auto"/>
                <w:lang w:val="en-US" w:eastAsia="zh-CN"/>
              </w:rPr>
              <w:t>（1）施工工区</w:t>
            </w:r>
          </w:p>
          <w:p w14:paraId="6E6E7FB0">
            <w:pPr>
              <w:pStyle w:val="6"/>
              <w:rPr>
                <w:rFonts w:hint="eastAsia"/>
                <w:color w:val="auto"/>
                <w:lang w:val="en-US" w:eastAsia="zh-CN"/>
              </w:rPr>
            </w:pPr>
            <w:r>
              <w:rPr>
                <w:rFonts w:hint="eastAsia"/>
                <w:color w:val="auto"/>
                <w:lang w:val="en-US" w:eastAsia="zh-CN"/>
              </w:rPr>
              <w:t>工程区位于天生河两岸及黎家沟，按堤防布置特点，采用分区布置方式，按实际情况分为2个工区：1#工区布置K0+775.00左岸堤顶附近，主要控制天生河左岸两段堤防、黎家沟堤防、天生河右岸右0+000.00~右0+944.32段堤防的施工和天生河K0+000.00~K1+350.00段的河道疏浚；2#工区布置K1+700.00右岸堤顶附近，主要控制天生河右岸右0+944.32~右1+641.00段堤防的施工和天生河K1+350.00~K4+200.00段的河道疏浚。</w:t>
            </w:r>
          </w:p>
          <w:p w14:paraId="1C896FD5">
            <w:pPr>
              <w:pStyle w:val="6"/>
              <w:rPr>
                <w:rFonts w:hint="eastAsia"/>
                <w:color w:val="auto"/>
                <w:lang w:val="en-US" w:eastAsia="zh-CN"/>
              </w:rPr>
            </w:pPr>
            <w:r>
              <w:rPr>
                <w:rFonts w:hint="eastAsia"/>
                <w:color w:val="auto"/>
                <w:lang w:val="en-US" w:eastAsia="zh-CN"/>
              </w:rPr>
              <w:t>工区内布置有相应的施工临时设施，如混凝土拌和站，机械停放场，综合加工棚等，材料仓库和办公、生活及文化福利建筑租用附近民房。施工工区布置具体见下表。</w:t>
            </w:r>
          </w:p>
          <w:p w14:paraId="2D3E11D9">
            <w:pPr>
              <w:pStyle w:val="7"/>
              <w:bidi w:val="0"/>
              <w:rPr>
                <w:rFonts w:hint="eastAsia"/>
                <w:lang w:val="en-US" w:eastAsia="zh-CN"/>
              </w:rPr>
            </w:pPr>
            <w:r>
              <w:rPr>
                <w:rFonts w:hint="eastAsia"/>
                <w:lang w:val="en-US" w:eastAsia="zh-CN"/>
              </w:rPr>
              <w:t xml:space="preserve">  施工工区布置情况表</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591"/>
              <w:gridCol w:w="2018"/>
              <w:gridCol w:w="1873"/>
              <w:gridCol w:w="2143"/>
            </w:tblGrid>
            <w:tr w14:paraId="42F1A4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89" w:type="pct"/>
                  <w:noWrap w:val="0"/>
                  <w:vAlign w:val="center"/>
                </w:tcPr>
                <w:p w14:paraId="685711BB">
                  <w:pPr>
                    <w:pStyle w:val="59"/>
                    <w:bidi w:val="0"/>
                    <w:rPr>
                      <w:sz w:val="22"/>
                      <w:szCs w:val="22"/>
                    </w:rPr>
                  </w:pPr>
                  <w:r>
                    <w:rPr>
                      <w:rFonts w:hint="eastAsia"/>
                      <w:sz w:val="22"/>
                      <w:szCs w:val="22"/>
                    </w:rPr>
                    <w:t>名称</w:t>
                  </w:r>
                </w:p>
              </w:tc>
              <w:tc>
                <w:tcPr>
                  <w:tcW w:w="920" w:type="pct"/>
                  <w:noWrap w:val="0"/>
                  <w:vAlign w:val="center"/>
                </w:tcPr>
                <w:p w14:paraId="4DF087BE">
                  <w:pPr>
                    <w:pStyle w:val="59"/>
                    <w:bidi w:val="0"/>
                    <w:rPr>
                      <w:sz w:val="22"/>
                      <w:szCs w:val="22"/>
                    </w:rPr>
                  </w:pPr>
                  <w:r>
                    <w:rPr>
                      <w:rFonts w:hint="eastAsia"/>
                      <w:sz w:val="22"/>
                      <w:szCs w:val="22"/>
                    </w:rPr>
                    <w:t>位置</w:t>
                  </w:r>
                </w:p>
              </w:tc>
              <w:tc>
                <w:tcPr>
                  <w:tcW w:w="1167" w:type="pct"/>
                  <w:noWrap w:val="0"/>
                  <w:vAlign w:val="center"/>
                </w:tcPr>
                <w:p w14:paraId="2019C603">
                  <w:pPr>
                    <w:pStyle w:val="59"/>
                    <w:bidi w:val="0"/>
                    <w:rPr>
                      <w:rFonts w:hint="default" w:eastAsia="宋体"/>
                      <w:sz w:val="22"/>
                      <w:szCs w:val="22"/>
                      <w:lang w:val="en-US" w:eastAsia="zh-CN"/>
                    </w:rPr>
                  </w:pPr>
                  <w:r>
                    <w:rPr>
                      <w:rFonts w:hint="eastAsia"/>
                      <w:sz w:val="22"/>
                      <w:szCs w:val="22"/>
                      <w:lang w:val="en-US" w:eastAsia="zh-CN"/>
                    </w:rPr>
                    <w:t>设施布置</w:t>
                  </w:r>
                </w:p>
              </w:tc>
              <w:tc>
                <w:tcPr>
                  <w:tcW w:w="1083" w:type="pct"/>
                  <w:noWrap w:val="0"/>
                  <w:vAlign w:val="center"/>
                </w:tcPr>
                <w:p w14:paraId="70FA1352">
                  <w:pPr>
                    <w:pStyle w:val="59"/>
                    <w:bidi w:val="0"/>
                    <w:rPr>
                      <w:rFonts w:hint="default" w:eastAsia="宋体"/>
                      <w:sz w:val="22"/>
                      <w:szCs w:val="22"/>
                      <w:lang w:val="en-US" w:eastAsia="zh-CN"/>
                    </w:rPr>
                  </w:pPr>
                  <w:r>
                    <w:rPr>
                      <w:rFonts w:hint="eastAsia"/>
                      <w:sz w:val="22"/>
                      <w:szCs w:val="22"/>
                      <w:lang w:val="en-US" w:eastAsia="zh-CN"/>
                    </w:rPr>
                    <w:t>建筑面积（m</w:t>
                  </w:r>
                  <w:r>
                    <w:rPr>
                      <w:rFonts w:hint="eastAsia"/>
                      <w:sz w:val="22"/>
                      <w:szCs w:val="22"/>
                      <w:vertAlign w:val="superscript"/>
                      <w:lang w:val="en-US" w:eastAsia="zh-CN"/>
                    </w:rPr>
                    <w:t>2</w:t>
                  </w:r>
                  <w:r>
                    <w:rPr>
                      <w:rFonts w:hint="eastAsia"/>
                      <w:sz w:val="22"/>
                      <w:szCs w:val="22"/>
                      <w:lang w:val="en-US" w:eastAsia="zh-CN"/>
                    </w:rPr>
                    <w:t>）</w:t>
                  </w:r>
                </w:p>
              </w:tc>
              <w:tc>
                <w:tcPr>
                  <w:tcW w:w="1239" w:type="pct"/>
                  <w:noWrap w:val="0"/>
                  <w:vAlign w:val="center"/>
                </w:tcPr>
                <w:p w14:paraId="7FFFF479">
                  <w:pPr>
                    <w:pStyle w:val="59"/>
                    <w:bidi w:val="0"/>
                    <w:rPr>
                      <w:rFonts w:hint="default" w:eastAsia="宋体"/>
                      <w:sz w:val="22"/>
                      <w:szCs w:val="22"/>
                      <w:lang w:val="en-US" w:eastAsia="zh-CN"/>
                    </w:rPr>
                  </w:pPr>
                  <w:r>
                    <w:rPr>
                      <w:rFonts w:hint="eastAsia"/>
                      <w:sz w:val="22"/>
                      <w:szCs w:val="22"/>
                      <w:lang w:val="en-US" w:eastAsia="zh-CN"/>
                    </w:rPr>
                    <w:t>占地面积（m</w:t>
                  </w:r>
                  <w:r>
                    <w:rPr>
                      <w:rFonts w:hint="eastAsia"/>
                      <w:sz w:val="22"/>
                      <w:szCs w:val="22"/>
                      <w:vertAlign w:val="superscript"/>
                      <w:lang w:val="en-US" w:eastAsia="zh-CN"/>
                    </w:rPr>
                    <w:t>2</w:t>
                  </w:r>
                  <w:r>
                    <w:rPr>
                      <w:rFonts w:hint="eastAsia"/>
                      <w:sz w:val="22"/>
                      <w:szCs w:val="22"/>
                      <w:lang w:val="en-US" w:eastAsia="zh-CN"/>
                    </w:rPr>
                    <w:t>）</w:t>
                  </w:r>
                </w:p>
              </w:tc>
            </w:tr>
            <w:tr w14:paraId="38C9E7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vMerge w:val="restart"/>
                  <w:noWrap w:val="0"/>
                  <w:vAlign w:val="center"/>
                </w:tcPr>
                <w:p w14:paraId="39D16BB9">
                  <w:pPr>
                    <w:pStyle w:val="59"/>
                    <w:bidi w:val="0"/>
                    <w:rPr>
                      <w:rFonts w:hint="eastAsia" w:eastAsia="宋体"/>
                      <w:sz w:val="22"/>
                      <w:szCs w:val="22"/>
                      <w:lang w:eastAsia="zh-CN"/>
                    </w:rPr>
                  </w:pPr>
                  <w:r>
                    <w:rPr>
                      <w:rFonts w:hint="eastAsia"/>
                      <w:sz w:val="22"/>
                      <w:szCs w:val="22"/>
                    </w:rPr>
                    <w:t>1#施工</w:t>
                  </w:r>
                  <w:r>
                    <w:rPr>
                      <w:rFonts w:hint="eastAsia"/>
                      <w:sz w:val="22"/>
                      <w:szCs w:val="22"/>
                      <w:lang w:val="en-US" w:eastAsia="zh-CN"/>
                    </w:rPr>
                    <w:t>工区</w:t>
                  </w:r>
                </w:p>
              </w:tc>
              <w:tc>
                <w:tcPr>
                  <w:tcW w:w="920" w:type="pct"/>
                  <w:vMerge w:val="restart"/>
                  <w:noWrap w:val="0"/>
                  <w:vAlign w:val="center"/>
                </w:tcPr>
                <w:p w14:paraId="4B043F71">
                  <w:pPr>
                    <w:pStyle w:val="59"/>
                    <w:bidi w:val="0"/>
                    <w:rPr>
                      <w:sz w:val="22"/>
                      <w:szCs w:val="22"/>
                    </w:rPr>
                  </w:pPr>
                  <w:r>
                    <w:rPr>
                      <w:rFonts w:hint="eastAsia"/>
                      <w:sz w:val="22"/>
                      <w:szCs w:val="22"/>
                    </w:rPr>
                    <w:t>K0+775.00左岸堤顶</w:t>
                  </w:r>
                </w:p>
              </w:tc>
              <w:tc>
                <w:tcPr>
                  <w:tcW w:w="1167" w:type="pct"/>
                  <w:noWrap w:val="0"/>
                  <w:vAlign w:val="center"/>
                </w:tcPr>
                <w:p w14:paraId="164E186D">
                  <w:pPr>
                    <w:pStyle w:val="59"/>
                    <w:bidi w:val="0"/>
                    <w:rPr>
                      <w:rFonts w:hint="default" w:eastAsia="宋体"/>
                      <w:sz w:val="22"/>
                      <w:szCs w:val="22"/>
                      <w:lang w:val="en-US" w:eastAsia="zh-CN"/>
                    </w:rPr>
                  </w:pPr>
                  <w:r>
                    <w:rPr>
                      <w:rFonts w:hint="eastAsia"/>
                      <w:color w:val="auto"/>
                      <w:sz w:val="22"/>
                      <w:szCs w:val="22"/>
                      <w:lang w:val="en-US" w:eastAsia="zh-CN"/>
                    </w:rPr>
                    <w:t>综合加工棚</w:t>
                  </w:r>
                </w:p>
              </w:tc>
              <w:tc>
                <w:tcPr>
                  <w:tcW w:w="1083" w:type="pct"/>
                  <w:noWrap w:val="0"/>
                  <w:vAlign w:val="center"/>
                </w:tcPr>
                <w:p w14:paraId="4B83B267">
                  <w:pPr>
                    <w:pStyle w:val="59"/>
                    <w:bidi w:val="0"/>
                    <w:rPr>
                      <w:rFonts w:hint="default" w:eastAsia="宋体"/>
                      <w:sz w:val="22"/>
                      <w:szCs w:val="22"/>
                      <w:lang w:val="en-US" w:eastAsia="zh-CN"/>
                    </w:rPr>
                  </w:pPr>
                  <w:r>
                    <w:rPr>
                      <w:rFonts w:hint="eastAsia"/>
                      <w:sz w:val="22"/>
                      <w:szCs w:val="22"/>
                      <w:lang w:val="en-US" w:eastAsia="zh-CN"/>
                    </w:rPr>
                    <w:t>80</w:t>
                  </w:r>
                </w:p>
              </w:tc>
              <w:tc>
                <w:tcPr>
                  <w:tcW w:w="1239" w:type="pct"/>
                  <w:noWrap w:val="0"/>
                  <w:vAlign w:val="center"/>
                </w:tcPr>
                <w:p w14:paraId="414130F6">
                  <w:pPr>
                    <w:pStyle w:val="59"/>
                    <w:bidi w:val="0"/>
                    <w:rPr>
                      <w:rFonts w:hint="default" w:eastAsia="宋体"/>
                      <w:sz w:val="22"/>
                      <w:szCs w:val="22"/>
                      <w:lang w:val="en-US" w:eastAsia="zh-CN"/>
                    </w:rPr>
                  </w:pPr>
                  <w:r>
                    <w:rPr>
                      <w:rFonts w:hint="eastAsia"/>
                      <w:sz w:val="22"/>
                      <w:szCs w:val="22"/>
                      <w:lang w:val="en-US" w:eastAsia="zh-CN"/>
                    </w:rPr>
                    <w:t>100</w:t>
                  </w:r>
                </w:p>
              </w:tc>
            </w:tr>
            <w:tr w14:paraId="70B919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vMerge w:val="continue"/>
                  <w:noWrap w:val="0"/>
                  <w:vAlign w:val="center"/>
                </w:tcPr>
                <w:p w14:paraId="2AFCD9D4">
                  <w:pPr>
                    <w:pStyle w:val="59"/>
                    <w:bidi w:val="0"/>
                    <w:rPr>
                      <w:rFonts w:hint="eastAsia"/>
                      <w:sz w:val="22"/>
                      <w:szCs w:val="22"/>
                    </w:rPr>
                  </w:pPr>
                </w:p>
              </w:tc>
              <w:tc>
                <w:tcPr>
                  <w:tcW w:w="920" w:type="pct"/>
                  <w:vMerge w:val="continue"/>
                  <w:noWrap w:val="0"/>
                  <w:vAlign w:val="center"/>
                </w:tcPr>
                <w:p w14:paraId="0908AC0D">
                  <w:pPr>
                    <w:pStyle w:val="59"/>
                    <w:bidi w:val="0"/>
                    <w:rPr>
                      <w:rFonts w:hint="eastAsia"/>
                      <w:sz w:val="22"/>
                      <w:szCs w:val="22"/>
                    </w:rPr>
                  </w:pPr>
                </w:p>
              </w:tc>
              <w:tc>
                <w:tcPr>
                  <w:tcW w:w="1167" w:type="pct"/>
                  <w:noWrap w:val="0"/>
                  <w:vAlign w:val="center"/>
                </w:tcPr>
                <w:p w14:paraId="7E48DA7C">
                  <w:pPr>
                    <w:pStyle w:val="59"/>
                    <w:bidi w:val="0"/>
                    <w:rPr>
                      <w:rFonts w:hint="default"/>
                      <w:sz w:val="22"/>
                      <w:szCs w:val="22"/>
                      <w:lang w:val="en-US" w:eastAsia="zh-CN"/>
                    </w:rPr>
                  </w:pPr>
                  <w:r>
                    <w:rPr>
                      <w:rFonts w:hint="eastAsia"/>
                      <w:color w:val="auto"/>
                      <w:sz w:val="22"/>
                      <w:szCs w:val="22"/>
                      <w:lang w:val="en-US" w:eastAsia="zh-CN"/>
                    </w:rPr>
                    <w:t>机械停放场</w:t>
                  </w:r>
                </w:p>
              </w:tc>
              <w:tc>
                <w:tcPr>
                  <w:tcW w:w="1083" w:type="pct"/>
                  <w:noWrap w:val="0"/>
                  <w:vAlign w:val="center"/>
                </w:tcPr>
                <w:p w14:paraId="597E2599">
                  <w:pPr>
                    <w:pStyle w:val="59"/>
                    <w:bidi w:val="0"/>
                    <w:rPr>
                      <w:rFonts w:hint="default"/>
                      <w:sz w:val="22"/>
                      <w:szCs w:val="22"/>
                      <w:lang w:val="en-US" w:eastAsia="zh-CN"/>
                    </w:rPr>
                  </w:pPr>
                  <w:r>
                    <w:rPr>
                      <w:rFonts w:hint="eastAsia"/>
                      <w:sz w:val="22"/>
                      <w:szCs w:val="22"/>
                      <w:lang w:val="en-US" w:eastAsia="zh-CN"/>
                    </w:rPr>
                    <w:t>/</w:t>
                  </w:r>
                </w:p>
              </w:tc>
              <w:tc>
                <w:tcPr>
                  <w:tcW w:w="1239" w:type="pct"/>
                  <w:noWrap w:val="0"/>
                  <w:vAlign w:val="center"/>
                </w:tcPr>
                <w:p w14:paraId="07A721D9">
                  <w:pPr>
                    <w:pStyle w:val="59"/>
                    <w:bidi w:val="0"/>
                    <w:rPr>
                      <w:rFonts w:hint="default"/>
                      <w:color w:val="auto"/>
                      <w:sz w:val="22"/>
                      <w:szCs w:val="22"/>
                      <w:lang w:val="en-US" w:eastAsia="zh-CN"/>
                    </w:rPr>
                  </w:pPr>
                  <w:r>
                    <w:rPr>
                      <w:rFonts w:hint="eastAsia"/>
                      <w:color w:val="auto"/>
                      <w:sz w:val="22"/>
                      <w:szCs w:val="22"/>
                      <w:lang w:val="en-US" w:eastAsia="zh-CN"/>
                    </w:rPr>
                    <w:t>200</w:t>
                  </w:r>
                </w:p>
              </w:tc>
            </w:tr>
            <w:tr w14:paraId="30E49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vMerge w:val="continue"/>
                  <w:noWrap w:val="0"/>
                  <w:vAlign w:val="center"/>
                </w:tcPr>
                <w:p w14:paraId="5023A744">
                  <w:pPr>
                    <w:pStyle w:val="59"/>
                    <w:bidi w:val="0"/>
                    <w:rPr>
                      <w:rFonts w:hint="eastAsia"/>
                      <w:sz w:val="22"/>
                      <w:szCs w:val="22"/>
                    </w:rPr>
                  </w:pPr>
                </w:p>
              </w:tc>
              <w:tc>
                <w:tcPr>
                  <w:tcW w:w="920" w:type="pct"/>
                  <w:vMerge w:val="continue"/>
                  <w:noWrap w:val="0"/>
                  <w:vAlign w:val="center"/>
                </w:tcPr>
                <w:p w14:paraId="769ACECE">
                  <w:pPr>
                    <w:pStyle w:val="59"/>
                    <w:bidi w:val="0"/>
                    <w:rPr>
                      <w:rFonts w:hint="eastAsia"/>
                      <w:sz w:val="22"/>
                      <w:szCs w:val="22"/>
                    </w:rPr>
                  </w:pPr>
                </w:p>
              </w:tc>
              <w:tc>
                <w:tcPr>
                  <w:tcW w:w="1167" w:type="pct"/>
                  <w:noWrap w:val="0"/>
                  <w:vAlign w:val="center"/>
                </w:tcPr>
                <w:p w14:paraId="114F24E0">
                  <w:pPr>
                    <w:pStyle w:val="59"/>
                    <w:bidi w:val="0"/>
                    <w:rPr>
                      <w:rFonts w:hint="eastAsia"/>
                      <w:sz w:val="22"/>
                      <w:szCs w:val="22"/>
                      <w:lang w:val="en-US" w:eastAsia="zh-CN"/>
                    </w:rPr>
                  </w:pPr>
                  <w:r>
                    <w:rPr>
                      <w:rFonts w:hint="eastAsia"/>
                      <w:color w:val="auto"/>
                      <w:sz w:val="22"/>
                      <w:szCs w:val="22"/>
                      <w:lang w:val="en-US" w:eastAsia="zh-CN"/>
                    </w:rPr>
                    <w:t>混凝土拌和站</w:t>
                  </w:r>
                </w:p>
              </w:tc>
              <w:tc>
                <w:tcPr>
                  <w:tcW w:w="1083" w:type="pct"/>
                  <w:noWrap w:val="0"/>
                  <w:vAlign w:val="center"/>
                </w:tcPr>
                <w:p w14:paraId="2DBFB46C">
                  <w:pPr>
                    <w:pStyle w:val="59"/>
                    <w:bidi w:val="0"/>
                    <w:rPr>
                      <w:rFonts w:hint="default"/>
                      <w:sz w:val="22"/>
                      <w:szCs w:val="22"/>
                      <w:lang w:val="en-US" w:eastAsia="zh-CN"/>
                    </w:rPr>
                  </w:pPr>
                  <w:r>
                    <w:rPr>
                      <w:rFonts w:hint="eastAsia"/>
                      <w:sz w:val="22"/>
                      <w:szCs w:val="22"/>
                      <w:lang w:val="en-US" w:eastAsia="zh-CN"/>
                    </w:rPr>
                    <w:t>/</w:t>
                  </w:r>
                </w:p>
              </w:tc>
              <w:tc>
                <w:tcPr>
                  <w:tcW w:w="1239" w:type="pct"/>
                  <w:noWrap w:val="0"/>
                  <w:vAlign w:val="center"/>
                </w:tcPr>
                <w:p w14:paraId="54DA277C">
                  <w:pPr>
                    <w:pStyle w:val="59"/>
                    <w:bidi w:val="0"/>
                    <w:rPr>
                      <w:rFonts w:hint="default"/>
                      <w:color w:val="auto"/>
                      <w:sz w:val="22"/>
                      <w:szCs w:val="22"/>
                      <w:lang w:val="en-US" w:eastAsia="zh-CN"/>
                    </w:rPr>
                  </w:pPr>
                  <w:r>
                    <w:rPr>
                      <w:rFonts w:hint="eastAsia"/>
                      <w:color w:val="auto"/>
                      <w:sz w:val="22"/>
                      <w:szCs w:val="22"/>
                      <w:lang w:val="en-US" w:eastAsia="zh-CN"/>
                    </w:rPr>
                    <w:t>100</w:t>
                  </w:r>
                </w:p>
              </w:tc>
            </w:tr>
            <w:tr w14:paraId="4AFD8B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vMerge w:val="restart"/>
                  <w:noWrap w:val="0"/>
                  <w:vAlign w:val="center"/>
                </w:tcPr>
                <w:p w14:paraId="590ABEAC">
                  <w:pPr>
                    <w:pStyle w:val="59"/>
                    <w:bidi w:val="0"/>
                    <w:rPr>
                      <w:rFonts w:hint="eastAsia" w:eastAsia="宋体"/>
                      <w:sz w:val="22"/>
                      <w:szCs w:val="22"/>
                      <w:lang w:val="en-US" w:eastAsia="zh-CN"/>
                    </w:rPr>
                  </w:pPr>
                  <w:r>
                    <w:rPr>
                      <w:sz w:val="22"/>
                      <w:szCs w:val="22"/>
                    </w:rPr>
                    <w:t>2</w:t>
                  </w:r>
                  <w:r>
                    <w:rPr>
                      <w:rFonts w:hint="eastAsia"/>
                      <w:sz w:val="22"/>
                      <w:szCs w:val="22"/>
                    </w:rPr>
                    <w:t>#施工</w:t>
                  </w:r>
                  <w:r>
                    <w:rPr>
                      <w:rFonts w:hint="eastAsia"/>
                      <w:sz w:val="22"/>
                      <w:szCs w:val="22"/>
                      <w:lang w:val="en-US" w:eastAsia="zh-CN"/>
                    </w:rPr>
                    <w:t>工区</w:t>
                  </w:r>
                </w:p>
              </w:tc>
              <w:tc>
                <w:tcPr>
                  <w:tcW w:w="920" w:type="pct"/>
                  <w:vMerge w:val="restart"/>
                  <w:noWrap w:val="0"/>
                  <w:vAlign w:val="center"/>
                </w:tcPr>
                <w:p w14:paraId="500B7973">
                  <w:pPr>
                    <w:pStyle w:val="59"/>
                    <w:bidi w:val="0"/>
                    <w:rPr>
                      <w:rFonts w:hint="default"/>
                      <w:sz w:val="22"/>
                      <w:szCs w:val="22"/>
                      <w:lang w:val="en-US"/>
                    </w:rPr>
                  </w:pPr>
                  <w:r>
                    <w:rPr>
                      <w:rFonts w:hint="default"/>
                      <w:sz w:val="22"/>
                      <w:szCs w:val="22"/>
                      <w:lang w:val="en-US"/>
                    </w:rPr>
                    <w:t>K1+700.00右岸堤顶</w:t>
                  </w:r>
                </w:p>
              </w:tc>
              <w:tc>
                <w:tcPr>
                  <w:tcW w:w="1167" w:type="pct"/>
                  <w:noWrap w:val="0"/>
                  <w:vAlign w:val="center"/>
                </w:tcPr>
                <w:p w14:paraId="677ED828">
                  <w:pPr>
                    <w:pStyle w:val="59"/>
                    <w:bidi w:val="0"/>
                    <w:rPr>
                      <w:rFonts w:hint="default" w:eastAsia="宋体"/>
                      <w:sz w:val="22"/>
                      <w:szCs w:val="22"/>
                      <w:lang w:val="en-US" w:eastAsia="zh-CN"/>
                    </w:rPr>
                  </w:pPr>
                  <w:r>
                    <w:rPr>
                      <w:rFonts w:hint="eastAsia"/>
                      <w:color w:val="auto"/>
                      <w:sz w:val="22"/>
                      <w:szCs w:val="22"/>
                      <w:lang w:val="en-US" w:eastAsia="zh-CN"/>
                    </w:rPr>
                    <w:t>综合加工棚</w:t>
                  </w:r>
                </w:p>
              </w:tc>
              <w:tc>
                <w:tcPr>
                  <w:tcW w:w="1083" w:type="pct"/>
                  <w:noWrap w:val="0"/>
                  <w:vAlign w:val="center"/>
                </w:tcPr>
                <w:p w14:paraId="772B917C">
                  <w:pPr>
                    <w:pStyle w:val="59"/>
                    <w:bidi w:val="0"/>
                    <w:rPr>
                      <w:rFonts w:hint="eastAsia"/>
                      <w:sz w:val="22"/>
                      <w:szCs w:val="22"/>
                    </w:rPr>
                  </w:pPr>
                  <w:r>
                    <w:rPr>
                      <w:rFonts w:hint="eastAsia"/>
                      <w:sz w:val="22"/>
                      <w:szCs w:val="22"/>
                      <w:lang w:val="en-US" w:eastAsia="zh-CN"/>
                    </w:rPr>
                    <w:t>80</w:t>
                  </w:r>
                </w:p>
              </w:tc>
              <w:tc>
                <w:tcPr>
                  <w:tcW w:w="1239" w:type="pct"/>
                  <w:noWrap w:val="0"/>
                  <w:vAlign w:val="center"/>
                </w:tcPr>
                <w:p w14:paraId="26882689">
                  <w:pPr>
                    <w:pStyle w:val="59"/>
                    <w:bidi w:val="0"/>
                    <w:rPr>
                      <w:rFonts w:hint="eastAsia"/>
                      <w:sz w:val="22"/>
                      <w:szCs w:val="22"/>
                    </w:rPr>
                  </w:pPr>
                  <w:r>
                    <w:rPr>
                      <w:rFonts w:hint="eastAsia"/>
                      <w:sz w:val="22"/>
                      <w:szCs w:val="22"/>
                      <w:lang w:val="en-US" w:eastAsia="zh-CN"/>
                    </w:rPr>
                    <w:t>100</w:t>
                  </w:r>
                </w:p>
              </w:tc>
            </w:tr>
            <w:tr w14:paraId="4C562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vMerge w:val="continue"/>
                  <w:noWrap w:val="0"/>
                  <w:vAlign w:val="center"/>
                </w:tcPr>
                <w:p w14:paraId="715C59B1">
                  <w:pPr>
                    <w:pStyle w:val="59"/>
                    <w:bidi w:val="0"/>
                    <w:rPr>
                      <w:sz w:val="22"/>
                      <w:szCs w:val="22"/>
                    </w:rPr>
                  </w:pPr>
                </w:p>
              </w:tc>
              <w:tc>
                <w:tcPr>
                  <w:tcW w:w="920" w:type="pct"/>
                  <w:vMerge w:val="continue"/>
                  <w:noWrap w:val="0"/>
                  <w:vAlign w:val="center"/>
                </w:tcPr>
                <w:p w14:paraId="2FB9FDB6">
                  <w:pPr>
                    <w:pStyle w:val="59"/>
                    <w:bidi w:val="0"/>
                    <w:rPr>
                      <w:rFonts w:hint="default"/>
                      <w:sz w:val="22"/>
                      <w:szCs w:val="22"/>
                      <w:lang w:val="en-US"/>
                    </w:rPr>
                  </w:pPr>
                </w:p>
              </w:tc>
              <w:tc>
                <w:tcPr>
                  <w:tcW w:w="1167" w:type="pct"/>
                  <w:noWrap w:val="0"/>
                  <w:vAlign w:val="center"/>
                </w:tcPr>
                <w:p w14:paraId="353B86A2">
                  <w:pPr>
                    <w:pStyle w:val="59"/>
                    <w:bidi w:val="0"/>
                    <w:rPr>
                      <w:rFonts w:hint="eastAsia"/>
                      <w:sz w:val="22"/>
                      <w:szCs w:val="22"/>
                      <w:lang w:val="en-US" w:eastAsia="zh-CN"/>
                    </w:rPr>
                  </w:pPr>
                  <w:r>
                    <w:rPr>
                      <w:rFonts w:hint="eastAsia"/>
                      <w:color w:val="auto"/>
                      <w:sz w:val="22"/>
                      <w:szCs w:val="22"/>
                      <w:lang w:val="en-US" w:eastAsia="zh-CN"/>
                    </w:rPr>
                    <w:t>机械停放</w:t>
                  </w:r>
                </w:p>
              </w:tc>
              <w:tc>
                <w:tcPr>
                  <w:tcW w:w="1083" w:type="pct"/>
                  <w:noWrap w:val="0"/>
                  <w:vAlign w:val="center"/>
                </w:tcPr>
                <w:p w14:paraId="381272AD">
                  <w:pPr>
                    <w:pStyle w:val="59"/>
                    <w:bidi w:val="0"/>
                    <w:rPr>
                      <w:rFonts w:hint="eastAsia"/>
                      <w:sz w:val="22"/>
                      <w:szCs w:val="22"/>
                      <w:lang w:val="en-US" w:eastAsia="zh-CN"/>
                    </w:rPr>
                  </w:pPr>
                  <w:r>
                    <w:rPr>
                      <w:rFonts w:hint="eastAsia"/>
                      <w:sz w:val="22"/>
                      <w:szCs w:val="22"/>
                      <w:lang w:val="en-US" w:eastAsia="zh-CN"/>
                    </w:rPr>
                    <w:t>/</w:t>
                  </w:r>
                </w:p>
              </w:tc>
              <w:tc>
                <w:tcPr>
                  <w:tcW w:w="1239" w:type="pct"/>
                  <w:noWrap w:val="0"/>
                  <w:vAlign w:val="center"/>
                </w:tcPr>
                <w:p w14:paraId="3F3F7200">
                  <w:pPr>
                    <w:pStyle w:val="59"/>
                    <w:bidi w:val="0"/>
                    <w:rPr>
                      <w:rFonts w:hint="eastAsia"/>
                      <w:sz w:val="22"/>
                      <w:szCs w:val="22"/>
                    </w:rPr>
                  </w:pPr>
                  <w:r>
                    <w:rPr>
                      <w:rFonts w:hint="eastAsia"/>
                      <w:color w:val="auto"/>
                      <w:sz w:val="22"/>
                      <w:szCs w:val="22"/>
                      <w:lang w:val="en-US" w:eastAsia="zh-CN"/>
                    </w:rPr>
                    <w:t>200</w:t>
                  </w:r>
                </w:p>
              </w:tc>
            </w:tr>
            <w:tr w14:paraId="1F2D3D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vMerge w:val="continue"/>
                  <w:noWrap w:val="0"/>
                  <w:vAlign w:val="center"/>
                </w:tcPr>
                <w:p w14:paraId="7536D14A">
                  <w:pPr>
                    <w:pStyle w:val="59"/>
                    <w:bidi w:val="0"/>
                    <w:rPr>
                      <w:sz w:val="22"/>
                      <w:szCs w:val="22"/>
                    </w:rPr>
                  </w:pPr>
                </w:p>
              </w:tc>
              <w:tc>
                <w:tcPr>
                  <w:tcW w:w="920" w:type="pct"/>
                  <w:vMerge w:val="continue"/>
                  <w:noWrap w:val="0"/>
                  <w:vAlign w:val="center"/>
                </w:tcPr>
                <w:p w14:paraId="655E1249">
                  <w:pPr>
                    <w:pStyle w:val="59"/>
                    <w:bidi w:val="0"/>
                    <w:rPr>
                      <w:rFonts w:hint="default"/>
                      <w:sz w:val="22"/>
                      <w:szCs w:val="22"/>
                      <w:lang w:val="en-US"/>
                    </w:rPr>
                  </w:pPr>
                </w:p>
              </w:tc>
              <w:tc>
                <w:tcPr>
                  <w:tcW w:w="1167" w:type="pct"/>
                  <w:noWrap w:val="0"/>
                  <w:vAlign w:val="center"/>
                </w:tcPr>
                <w:p w14:paraId="437F3B75">
                  <w:pPr>
                    <w:pStyle w:val="59"/>
                    <w:bidi w:val="0"/>
                    <w:rPr>
                      <w:rFonts w:hint="eastAsia"/>
                      <w:sz w:val="22"/>
                      <w:szCs w:val="22"/>
                      <w:lang w:val="en-US" w:eastAsia="zh-CN"/>
                    </w:rPr>
                  </w:pPr>
                  <w:r>
                    <w:rPr>
                      <w:rFonts w:hint="eastAsia"/>
                      <w:color w:val="auto"/>
                      <w:sz w:val="22"/>
                      <w:szCs w:val="22"/>
                      <w:lang w:val="en-US" w:eastAsia="zh-CN"/>
                    </w:rPr>
                    <w:t>混凝土拌和站</w:t>
                  </w:r>
                </w:p>
              </w:tc>
              <w:tc>
                <w:tcPr>
                  <w:tcW w:w="1083" w:type="pct"/>
                  <w:noWrap w:val="0"/>
                  <w:vAlign w:val="center"/>
                </w:tcPr>
                <w:p w14:paraId="5C33D7E6">
                  <w:pPr>
                    <w:pStyle w:val="59"/>
                    <w:bidi w:val="0"/>
                    <w:rPr>
                      <w:rFonts w:hint="eastAsia"/>
                      <w:sz w:val="22"/>
                      <w:szCs w:val="22"/>
                      <w:lang w:val="en-US" w:eastAsia="zh-CN"/>
                    </w:rPr>
                  </w:pPr>
                  <w:r>
                    <w:rPr>
                      <w:rFonts w:hint="eastAsia"/>
                      <w:sz w:val="22"/>
                      <w:szCs w:val="22"/>
                      <w:lang w:val="en-US" w:eastAsia="zh-CN"/>
                    </w:rPr>
                    <w:t>/</w:t>
                  </w:r>
                </w:p>
              </w:tc>
              <w:tc>
                <w:tcPr>
                  <w:tcW w:w="1239" w:type="pct"/>
                  <w:noWrap w:val="0"/>
                  <w:vAlign w:val="center"/>
                </w:tcPr>
                <w:p w14:paraId="6E857C82">
                  <w:pPr>
                    <w:pStyle w:val="59"/>
                    <w:bidi w:val="0"/>
                    <w:rPr>
                      <w:rFonts w:hint="eastAsia"/>
                      <w:sz w:val="22"/>
                      <w:szCs w:val="22"/>
                    </w:rPr>
                  </w:pPr>
                  <w:r>
                    <w:rPr>
                      <w:rFonts w:hint="eastAsia"/>
                      <w:color w:val="auto"/>
                      <w:sz w:val="22"/>
                      <w:szCs w:val="22"/>
                      <w:lang w:val="en-US" w:eastAsia="zh-CN"/>
                    </w:rPr>
                    <w:t>100</w:t>
                  </w:r>
                </w:p>
              </w:tc>
            </w:tr>
            <w:tr w14:paraId="4E31C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7" w:type="pct"/>
                  <w:gridSpan w:val="3"/>
                  <w:noWrap w:val="0"/>
                  <w:vAlign w:val="center"/>
                </w:tcPr>
                <w:p w14:paraId="69595BB9">
                  <w:pPr>
                    <w:pStyle w:val="59"/>
                    <w:bidi w:val="0"/>
                    <w:rPr>
                      <w:rFonts w:hint="eastAsia"/>
                      <w:color w:val="auto"/>
                      <w:sz w:val="22"/>
                      <w:szCs w:val="22"/>
                      <w:lang w:val="en-US" w:eastAsia="zh-CN"/>
                    </w:rPr>
                  </w:pPr>
                  <w:r>
                    <w:rPr>
                      <w:rFonts w:hint="eastAsia"/>
                      <w:color w:val="auto"/>
                      <w:sz w:val="22"/>
                      <w:szCs w:val="22"/>
                      <w:lang w:val="en-US" w:eastAsia="zh-CN"/>
                    </w:rPr>
                    <w:t>材料仓库</w:t>
                  </w:r>
                </w:p>
              </w:tc>
              <w:tc>
                <w:tcPr>
                  <w:tcW w:w="1083" w:type="pct"/>
                  <w:noWrap w:val="0"/>
                  <w:vAlign w:val="center"/>
                </w:tcPr>
                <w:p w14:paraId="71AC6308">
                  <w:pPr>
                    <w:pStyle w:val="59"/>
                    <w:bidi w:val="0"/>
                    <w:rPr>
                      <w:rFonts w:hint="default"/>
                      <w:sz w:val="22"/>
                      <w:szCs w:val="22"/>
                      <w:lang w:val="en-US" w:eastAsia="zh-CN"/>
                    </w:rPr>
                  </w:pPr>
                  <w:r>
                    <w:rPr>
                      <w:rFonts w:hint="eastAsia"/>
                      <w:sz w:val="22"/>
                      <w:szCs w:val="22"/>
                      <w:lang w:val="en-US" w:eastAsia="zh-CN"/>
                    </w:rPr>
                    <w:t>200</w:t>
                  </w:r>
                </w:p>
              </w:tc>
              <w:tc>
                <w:tcPr>
                  <w:tcW w:w="1239" w:type="pct"/>
                  <w:noWrap w:val="0"/>
                  <w:vAlign w:val="center"/>
                </w:tcPr>
                <w:p w14:paraId="267DAB75">
                  <w:pPr>
                    <w:pStyle w:val="59"/>
                    <w:bidi w:val="0"/>
                    <w:rPr>
                      <w:rFonts w:hint="default"/>
                      <w:color w:val="auto"/>
                      <w:sz w:val="22"/>
                      <w:szCs w:val="22"/>
                      <w:lang w:val="en-US" w:eastAsia="zh-CN"/>
                    </w:rPr>
                  </w:pPr>
                  <w:r>
                    <w:rPr>
                      <w:rFonts w:hint="eastAsia"/>
                      <w:color w:val="auto"/>
                      <w:sz w:val="22"/>
                      <w:szCs w:val="22"/>
                      <w:lang w:val="en-US" w:eastAsia="zh-CN"/>
                    </w:rPr>
                    <w:t>租用</w:t>
                  </w:r>
                </w:p>
              </w:tc>
            </w:tr>
            <w:tr w14:paraId="3A4A0A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7" w:type="pct"/>
                  <w:gridSpan w:val="3"/>
                  <w:noWrap w:val="0"/>
                  <w:vAlign w:val="center"/>
                </w:tcPr>
                <w:p w14:paraId="01B62A36">
                  <w:pPr>
                    <w:pStyle w:val="59"/>
                    <w:bidi w:val="0"/>
                    <w:rPr>
                      <w:rFonts w:hint="eastAsia"/>
                      <w:color w:val="auto"/>
                      <w:sz w:val="22"/>
                      <w:szCs w:val="22"/>
                      <w:lang w:val="en-US" w:eastAsia="zh-CN"/>
                    </w:rPr>
                  </w:pPr>
                  <w:r>
                    <w:rPr>
                      <w:rFonts w:hint="eastAsia"/>
                      <w:color w:val="auto"/>
                      <w:sz w:val="22"/>
                      <w:szCs w:val="22"/>
                      <w:lang w:val="en-US" w:eastAsia="zh-CN"/>
                    </w:rPr>
                    <w:t>办公生活建筑</w:t>
                  </w:r>
                </w:p>
              </w:tc>
              <w:tc>
                <w:tcPr>
                  <w:tcW w:w="1083" w:type="pct"/>
                  <w:noWrap w:val="0"/>
                  <w:vAlign w:val="center"/>
                </w:tcPr>
                <w:p w14:paraId="1E79929E">
                  <w:pPr>
                    <w:pStyle w:val="59"/>
                    <w:bidi w:val="0"/>
                    <w:rPr>
                      <w:rFonts w:hint="default"/>
                      <w:sz w:val="22"/>
                      <w:szCs w:val="22"/>
                      <w:lang w:val="en-US" w:eastAsia="zh-CN"/>
                    </w:rPr>
                  </w:pPr>
                  <w:r>
                    <w:rPr>
                      <w:rFonts w:hint="eastAsia"/>
                      <w:sz w:val="22"/>
                      <w:szCs w:val="22"/>
                      <w:lang w:val="en-US" w:eastAsia="zh-CN"/>
                    </w:rPr>
                    <w:t>300</w:t>
                  </w:r>
                </w:p>
              </w:tc>
              <w:tc>
                <w:tcPr>
                  <w:tcW w:w="1239" w:type="pct"/>
                  <w:noWrap w:val="0"/>
                  <w:vAlign w:val="center"/>
                </w:tcPr>
                <w:p w14:paraId="696BB176">
                  <w:pPr>
                    <w:pStyle w:val="59"/>
                    <w:bidi w:val="0"/>
                    <w:rPr>
                      <w:rFonts w:hint="eastAsia"/>
                      <w:color w:val="auto"/>
                      <w:sz w:val="22"/>
                      <w:szCs w:val="22"/>
                      <w:lang w:val="en-US" w:eastAsia="zh-CN"/>
                    </w:rPr>
                  </w:pPr>
                  <w:r>
                    <w:rPr>
                      <w:rFonts w:hint="eastAsia"/>
                      <w:color w:val="auto"/>
                      <w:sz w:val="22"/>
                      <w:szCs w:val="22"/>
                      <w:lang w:val="en-US" w:eastAsia="zh-CN"/>
                    </w:rPr>
                    <w:t>租用</w:t>
                  </w:r>
                </w:p>
              </w:tc>
            </w:tr>
            <w:tr w14:paraId="5D168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7" w:type="pct"/>
                  <w:gridSpan w:val="3"/>
                  <w:noWrap w:val="0"/>
                  <w:vAlign w:val="center"/>
                </w:tcPr>
                <w:p w14:paraId="31AF79B2">
                  <w:pPr>
                    <w:pStyle w:val="59"/>
                    <w:bidi w:val="0"/>
                    <w:rPr>
                      <w:rFonts w:hint="default" w:eastAsia="宋体"/>
                      <w:sz w:val="22"/>
                      <w:szCs w:val="22"/>
                      <w:lang w:val="en-US" w:eastAsia="zh-CN"/>
                    </w:rPr>
                  </w:pPr>
                  <w:r>
                    <w:rPr>
                      <w:rFonts w:hint="eastAsia"/>
                      <w:sz w:val="22"/>
                      <w:szCs w:val="22"/>
                    </w:rPr>
                    <w:t>小计</w:t>
                  </w:r>
                </w:p>
              </w:tc>
              <w:tc>
                <w:tcPr>
                  <w:tcW w:w="1083" w:type="pct"/>
                  <w:noWrap w:val="0"/>
                  <w:vAlign w:val="center"/>
                </w:tcPr>
                <w:p w14:paraId="0CD6901E">
                  <w:pPr>
                    <w:pStyle w:val="59"/>
                    <w:bidi w:val="0"/>
                    <w:rPr>
                      <w:rFonts w:hint="default" w:eastAsia="宋体"/>
                      <w:sz w:val="22"/>
                      <w:szCs w:val="22"/>
                      <w:lang w:val="en-US" w:eastAsia="zh-CN"/>
                    </w:rPr>
                  </w:pPr>
                  <w:r>
                    <w:rPr>
                      <w:rFonts w:hint="eastAsia"/>
                      <w:sz w:val="22"/>
                      <w:szCs w:val="22"/>
                      <w:lang w:val="en-US" w:eastAsia="zh-CN"/>
                    </w:rPr>
                    <w:t>660</w:t>
                  </w:r>
                </w:p>
              </w:tc>
              <w:tc>
                <w:tcPr>
                  <w:tcW w:w="1239" w:type="pct"/>
                  <w:noWrap w:val="0"/>
                  <w:vAlign w:val="center"/>
                </w:tcPr>
                <w:p w14:paraId="3675FE60">
                  <w:pPr>
                    <w:pStyle w:val="59"/>
                    <w:bidi w:val="0"/>
                    <w:rPr>
                      <w:rFonts w:hint="default" w:eastAsia="宋体"/>
                      <w:sz w:val="22"/>
                      <w:szCs w:val="22"/>
                      <w:lang w:val="en-US" w:eastAsia="zh-CN"/>
                    </w:rPr>
                  </w:pPr>
                  <w:r>
                    <w:rPr>
                      <w:rFonts w:hint="eastAsia"/>
                      <w:sz w:val="22"/>
                      <w:szCs w:val="22"/>
                      <w:lang w:val="en-US" w:eastAsia="zh-CN"/>
                    </w:rPr>
                    <w:t>800</w:t>
                  </w:r>
                </w:p>
              </w:tc>
            </w:tr>
          </w:tbl>
          <w:p w14:paraId="3775C082">
            <w:pPr>
              <w:pStyle w:val="6"/>
              <w:rPr>
                <w:rFonts w:hint="eastAsia"/>
                <w:color w:val="auto"/>
                <w:lang w:val="en-US" w:eastAsia="zh-CN"/>
              </w:rPr>
            </w:pPr>
            <w:r>
              <w:rPr>
                <w:rFonts w:hint="eastAsia"/>
                <w:color w:val="auto"/>
                <w:lang w:val="en-US" w:eastAsia="zh-CN"/>
              </w:rPr>
              <w:t>项目开挖量较小、工期较短，县域内已有大型机修厂，故施工场地内不设置机修设施，依托宣汉县、天生镇现有机修厂。项目周边有加油站，不单独设置柴油储存区域，柴油发电机使用柴油可依托宣汉县、天生镇现有加油站。</w:t>
            </w:r>
          </w:p>
          <w:p w14:paraId="33532088">
            <w:pPr>
              <w:pStyle w:val="6"/>
              <w:rPr>
                <w:rFonts w:hint="eastAsia"/>
                <w:color w:val="auto"/>
                <w:lang w:val="en-US" w:eastAsia="zh-CN"/>
              </w:rPr>
            </w:pPr>
            <w:r>
              <w:rPr>
                <w:rFonts w:hint="eastAsia"/>
                <w:color w:val="auto"/>
                <w:lang w:val="en-US" w:eastAsia="zh-CN"/>
              </w:rPr>
              <w:t>综合加工棚：每个施工工区设置1个综合加工棚，建筑面积80m</w:t>
            </w:r>
            <w:r>
              <w:rPr>
                <w:rFonts w:hint="eastAsia"/>
                <w:color w:val="auto"/>
                <w:vertAlign w:val="superscript"/>
                <w:lang w:val="en-US" w:eastAsia="zh-CN"/>
              </w:rPr>
              <w:t>2</w:t>
            </w:r>
            <w:r>
              <w:rPr>
                <w:rFonts w:hint="eastAsia"/>
                <w:color w:val="auto"/>
                <w:lang w:val="en-US" w:eastAsia="zh-CN"/>
              </w:rPr>
              <w:t>，占地面积100m</w:t>
            </w:r>
            <w:r>
              <w:rPr>
                <w:rFonts w:hint="eastAsia"/>
                <w:color w:val="auto"/>
                <w:vertAlign w:val="superscript"/>
                <w:lang w:val="en-US" w:eastAsia="zh-CN"/>
              </w:rPr>
              <w:t>2</w:t>
            </w:r>
            <w:r>
              <w:rPr>
                <w:rFonts w:hint="eastAsia"/>
                <w:color w:val="auto"/>
                <w:lang w:val="en-US" w:eastAsia="zh-CN"/>
              </w:rPr>
              <w:t>，主要进行钢材加工和木材加工。</w:t>
            </w:r>
          </w:p>
          <w:p w14:paraId="578B23BF">
            <w:pPr>
              <w:pStyle w:val="6"/>
              <w:rPr>
                <w:rFonts w:hint="eastAsia"/>
                <w:color w:val="auto"/>
                <w:lang w:val="en-US" w:eastAsia="zh-CN"/>
              </w:rPr>
            </w:pPr>
            <w:r>
              <w:rPr>
                <w:rFonts w:hint="eastAsia"/>
                <w:color w:val="auto"/>
                <w:lang w:val="en-US" w:eastAsia="zh-CN"/>
              </w:rPr>
              <w:t>机械停放场：每个施工工区设置机械停放区域，占地面积200m</w:t>
            </w:r>
            <w:r>
              <w:rPr>
                <w:rFonts w:hint="eastAsia"/>
                <w:color w:val="auto"/>
                <w:vertAlign w:val="superscript"/>
                <w:lang w:val="en-US" w:eastAsia="zh-CN"/>
              </w:rPr>
              <w:t>2</w:t>
            </w:r>
            <w:r>
              <w:rPr>
                <w:rFonts w:hint="eastAsia"/>
                <w:color w:val="auto"/>
                <w:lang w:val="en-US" w:eastAsia="zh-CN"/>
              </w:rPr>
              <w:t>。</w:t>
            </w:r>
          </w:p>
          <w:p w14:paraId="40315727">
            <w:pPr>
              <w:pStyle w:val="6"/>
              <w:rPr>
                <w:rFonts w:hint="eastAsia"/>
                <w:color w:val="auto"/>
                <w:lang w:val="en-US" w:eastAsia="zh-CN"/>
              </w:rPr>
            </w:pPr>
            <w:r>
              <w:rPr>
                <w:rFonts w:hint="eastAsia"/>
                <w:color w:val="auto"/>
                <w:lang w:val="en-US" w:eastAsia="zh-CN"/>
              </w:rPr>
              <w:t>混凝土拌和站：每个施工工区设置1台0.4m</w:t>
            </w:r>
            <w:r>
              <w:rPr>
                <w:rFonts w:hint="eastAsia"/>
                <w:color w:val="auto"/>
                <w:vertAlign w:val="superscript"/>
                <w:lang w:val="en-US" w:eastAsia="zh-CN"/>
              </w:rPr>
              <w:t>3</w:t>
            </w:r>
            <w:r>
              <w:rPr>
                <w:rFonts w:hint="eastAsia"/>
                <w:color w:val="auto"/>
                <w:lang w:val="en-US" w:eastAsia="zh-CN"/>
              </w:rPr>
              <w:t>的移动式混凝土搅拌机，占地面积100m</w:t>
            </w:r>
            <w:r>
              <w:rPr>
                <w:rFonts w:hint="eastAsia"/>
                <w:color w:val="auto"/>
                <w:vertAlign w:val="superscript"/>
                <w:lang w:val="en-US" w:eastAsia="zh-CN"/>
              </w:rPr>
              <w:t>2</w:t>
            </w:r>
            <w:r>
              <w:rPr>
                <w:rFonts w:hint="eastAsia"/>
                <w:color w:val="auto"/>
                <w:lang w:val="en-US" w:eastAsia="zh-CN"/>
              </w:rPr>
              <w:t>。</w:t>
            </w:r>
          </w:p>
          <w:p w14:paraId="1AE64D7B">
            <w:pPr>
              <w:pStyle w:val="6"/>
              <w:rPr>
                <w:rFonts w:hint="default"/>
                <w:color w:val="auto"/>
                <w:lang w:val="en-US" w:eastAsia="zh-CN"/>
              </w:rPr>
            </w:pPr>
            <w:r>
              <w:rPr>
                <w:rFonts w:hint="eastAsia"/>
                <w:color w:val="auto"/>
                <w:lang w:val="en-US" w:eastAsia="zh-CN"/>
              </w:rPr>
              <w:t>本项目共设置2个隔油沉淀池，采用预沉与沉淀组合的二级沉淀型式和土工布除油处理措施，每个施工工区分别设置1个M7.5浆砌石沉淀池，单个沉淀池容量3m</w:t>
            </w:r>
            <w:r>
              <w:rPr>
                <w:rFonts w:hint="eastAsia"/>
                <w:color w:val="auto"/>
                <w:vertAlign w:val="superscript"/>
                <w:lang w:val="en-US" w:eastAsia="zh-CN"/>
              </w:rPr>
              <w:t>3</w:t>
            </w:r>
            <w:r>
              <w:rPr>
                <w:rFonts w:hint="eastAsia"/>
                <w:color w:val="auto"/>
                <w:lang w:val="en-US" w:eastAsia="zh-CN"/>
              </w:rPr>
              <w:t>。</w:t>
            </w:r>
          </w:p>
          <w:p w14:paraId="6226A68C">
            <w:pPr>
              <w:pStyle w:val="6"/>
              <w:rPr>
                <w:rFonts w:hint="eastAsia"/>
                <w:color w:val="auto"/>
                <w:lang w:val="en-US" w:eastAsia="zh-CN"/>
              </w:rPr>
            </w:pPr>
            <w:r>
              <w:rPr>
                <w:rFonts w:hint="eastAsia"/>
                <w:color w:val="auto"/>
                <w:lang w:val="en-US" w:eastAsia="zh-CN"/>
              </w:rPr>
              <w:t>（2）临时施工道路</w:t>
            </w:r>
          </w:p>
          <w:p w14:paraId="4B6FBC7B">
            <w:pPr>
              <w:pStyle w:val="6"/>
              <w:rPr>
                <w:rFonts w:hint="eastAsia"/>
                <w:color w:val="auto"/>
                <w:lang w:val="en-US" w:eastAsia="zh-CN"/>
              </w:rPr>
            </w:pPr>
            <w:r>
              <w:rPr>
                <w:rFonts w:hint="eastAsia"/>
                <w:color w:val="auto"/>
                <w:lang w:val="en-US" w:eastAsia="zh-CN"/>
              </w:rPr>
              <w:t>本工程堤防的主要施工场地为河滩及阶地，工程区局部有乡村水泥道路穿过。本次设计沿堤线新建8条3.5m宽临时施工道路，共计1.29km，占地面积约0.33hm</w:t>
            </w:r>
            <w:r>
              <w:rPr>
                <w:rFonts w:hint="eastAsia"/>
                <w:color w:val="auto"/>
                <w:vertAlign w:val="superscript"/>
                <w:lang w:val="en-US" w:eastAsia="zh-CN"/>
              </w:rPr>
              <w:t>2</w:t>
            </w:r>
            <w:r>
              <w:rPr>
                <w:rFonts w:hint="eastAsia"/>
                <w:color w:val="auto"/>
                <w:lang w:val="en-US" w:eastAsia="zh-CN"/>
              </w:rPr>
              <w:t>。临时施工道路顺接乡村公路，采用泥结石路面。</w:t>
            </w:r>
          </w:p>
          <w:p w14:paraId="434F92E0">
            <w:pPr>
              <w:pStyle w:val="6"/>
              <w:rPr>
                <w:rFonts w:hint="eastAsia"/>
                <w:color w:val="auto"/>
                <w:lang w:val="en-US" w:eastAsia="zh-CN"/>
              </w:rPr>
            </w:pPr>
            <w:r>
              <w:rPr>
                <w:rFonts w:hint="eastAsia"/>
                <w:color w:val="auto"/>
                <w:lang w:val="en-US" w:eastAsia="zh-CN"/>
              </w:rPr>
              <w:t>（3）临时堆料场</w:t>
            </w:r>
          </w:p>
          <w:p w14:paraId="56237481">
            <w:pPr>
              <w:pStyle w:val="6"/>
              <w:rPr>
                <w:rFonts w:hint="default"/>
                <w:color w:val="auto"/>
                <w:lang w:val="en-US" w:eastAsia="zh-CN"/>
              </w:rPr>
            </w:pPr>
            <w:r>
              <w:rPr>
                <w:rFonts w:hint="eastAsia"/>
                <w:color w:val="auto"/>
                <w:lang w:val="en-US" w:eastAsia="zh-CN"/>
              </w:rPr>
              <w:t>本项目共设置3个临时堆料场，1#~3#临时堆料场分别位于桩号K0+760.00~K0+840.00右岸堤顶、K1+125.00~K1+210.00左岸岸边、K1+725.00~K1+825.00右岸堤顶，占地面积0.19hm</w:t>
            </w:r>
            <w:r>
              <w:rPr>
                <w:rFonts w:hint="eastAsia"/>
                <w:color w:val="auto"/>
                <w:vertAlign w:val="superscript"/>
                <w:lang w:val="en-US" w:eastAsia="zh-CN"/>
              </w:rPr>
              <w:t>2</w:t>
            </w:r>
            <w:r>
              <w:rPr>
                <w:rFonts w:hint="eastAsia"/>
                <w:color w:val="auto"/>
                <w:lang w:val="en-US" w:eastAsia="zh-CN"/>
              </w:rPr>
              <w:t>，用于临时堆放表土、开挖料、疏浚料。其中在1#、3#临时堆料场内划分置表土堆场区域，用于专门堆放开挖表土。</w:t>
            </w:r>
          </w:p>
          <w:p w14:paraId="32BD6A5A">
            <w:pPr>
              <w:pStyle w:val="6"/>
              <w:rPr>
                <w:rFonts w:hint="eastAsia"/>
                <w:color w:val="auto"/>
                <w:lang w:val="en-US" w:eastAsia="zh-CN"/>
              </w:rPr>
            </w:pPr>
            <w:r>
              <w:rPr>
                <w:rFonts w:hint="eastAsia"/>
                <w:color w:val="auto"/>
                <w:lang w:val="zh-CN"/>
              </w:rPr>
              <w:t>（</w:t>
            </w:r>
            <w:r>
              <w:rPr>
                <w:rFonts w:hint="eastAsia"/>
                <w:color w:val="auto"/>
                <w:lang w:val="en-US" w:eastAsia="zh-CN"/>
              </w:rPr>
              <w:t>4</w:t>
            </w:r>
            <w:r>
              <w:rPr>
                <w:rFonts w:hint="eastAsia"/>
                <w:color w:val="auto"/>
                <w:lang w:val="zh-CN"/>
              </w:rPr>
              <w:t>）</w:t>
            </w:r>
            <w:r>
              <w:rPr>
                <w:rFonts w:hint="eastAsia"/>
                <w:color w:val="auto"/>
                <w:lang w:val="en-US" w:eastAsia="zh-CN"/>
              </w:rPr>
              <w:t>施工导流</w:t>
            </w:r>
          </w:p>
          <w:p w14:paraId="13AFB82B">
            <w:pPr>
              <w:pStyle w:val="6"/>
              <w:rPr>
                <w:rFonts w:hint="eastAsia"/>
                <w:color w:val="auto"/>
                <w:lang w:val="en-US" w:eastAsia="zh-CN"/>
              </w:rPr>
            </w:pPr>
            <w:r>
              <w:rPr>
                <w:rFonts w:hint="default"/>
                <w:color w:val="auto"/>
                <w:lang w:val="en-US" w:eastAsia="zh-CN"/>
              </w:rPr>
              <w:t>新建堤防采用土石围堰导流，</w:t>
            </w:r>
            <w:r>
              <w:rPr>
                <w:rFonts w:hint="eastAsia"/>
                <w:color w:val="auto"/>
                <w:lang w:val="en-US" w:eastAsia="zh-CN"/>
              </w:rPr>
              <w:t>天生河段设置</w:t>
            </w:r>
            <w:r>
              <w:rPr>
                <w:rFonts w:hint="eastAsia"/>
                <w:lang w:val="en-US" w:eastAsia="zh-CN"/>
              </w:rPr>
              <w:t>围堰长度1685m，围堰高度1.3m；黎家沟段</w:t>
            </w:r>
            <w:r>
              <w:rPr>
                <w:rFonts w:hint="eastAsia"/>
                <w:color w:val="auto"/>
                <w:lang w:val="en-US" w:eastAsia="zh-CN"/>
              </w:rPr>
              <w:t>设置围堰长度380m，围堰高度0.8m。</w:t>
            </w:r>
          </w:p>
          <w:p w14:paraId="066542EB">
            <w:pPr>
              <w:pStyle w:val="6"/>
              <w:rPr>
                <w:rFonts w:hint="eastAsia"/>
                <w:lang w:val="en-US" w:eastAsia="zh-CN"/>
              </w:rPr>
            </w:pPr>
            <w:r>
              <w:rPr>
                <w:rFonts w:hint="eastAsia"/>
                <w:lang w:val="en-US" w:eastAsia="zh-CN"/>
              </w:rPr>
              <w:t>项目施工布置情况详见附图5。</w:t>
            </w:r>
          </w:p>
          <w:p w14:paraId="6656AFF5">
            <w:pPr>
              <w:pStyle w:val="6"/>
              <w:rPr>
                <w:rFonts w:hint="eastAsia"/>
                <w:lang w:val="en-US" w:eastAsia="zh-CN"/>
              </w:rPr>
            </w:pPr>
          </w:p>
        </w:tc>
      </w:tr>
      <w:tr w14:paraId="2DDB99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98" w:type="pct"/>
            <w:vAlign w:val="center"/>
          </w:tcPr>
          <w:p w14:paraId="6EFDD288">
            <w:pPr>
              <w:rPr>
                <w:rFonts w:hint="eastAsia" w:eastAsia="宋体"/>
                <w:lang w:val="en-US" w:eastAsia="zh-CN"/>
              </w:rPr>
            </w:pPr>
            <w:r>
              <w:rPr>
                <w:rFonts w:hint="eastAsia"/>
                <w:lang w:val="en-US" w:eastAsia="zh-CN"/>
              </w:rPr>
              <w:t>施工方案</w:t>
            </w:r>
          </w:p>
        </w:tc>
        <w:tc>
          <w:tcPr>
            <w:tcW w:w="4601" w:type="pct"/>
            <w:vAlign w:val="center"/>
          </w:tcPr>
          <w:p w14:paraId="1A9D3E60">
            <w:pPr>
              <w:pStyle w:val="3"/>
              <w:bidi w:val="0"/>
            </w:pPr>
            <w:bookmarkStart w:id="53" w:name="_Toc25758"/>
            <w:bookmarkStart w:id="54" w:name="_Toc193096030"/>
            <w:bookmarkStart w:id="55" w:name="_Toc193096063"/>
            <w:r>
              <w:rPr>
                <w:rFonts w:hint="eastAsia"/>
                <w:lang w:val="en-US" w:eastAsia="zh-CN"/>
              </w:rPr>
              <w:t>施工方案</w:t>
            </w:r>
            <w:bookmarkEnd w:id="53"/>
          </w:p>
          <w:bookmarkEnd w:id="54"/>
          <w:p w14:paraId="117108E3">
            <w:pPr>
              <w:pStyle w:val="4"/>
              <w:numPr>
                <w:ilvl w:val="2"/>
                <w:numId w:val="7"/>
              </w:numPr>
              <w:bidi w:val="0"/>
              <w:rPr>
                <w:rFonts w:hint="eastAsia"/>
                <w:lang w:val="en-US" w:eastAsia="zh-CN"/>
              </w:rPr>
            </w:pPr>
            <w:r>
              <w:rPr>
                <w:rFonts w:hint="eastAsia"/>
                <w:lang w:val="en-US" w:eastAsia="zh-CN"/>
              </w:rPr>
              <w:t>施工工艺</w:t>
            </w:r>
          </w:p>
          <w:p w14:paraId="2EC7660C">
            <w:pPr>
              <w:pStyle w:val="6"/>
              <w:bidi w:val="0"/>
              <w:rPr>
                <w:rFonts w:hint="eastAsia"/>
              </w:rPr>
            </w:pPr>
            <w:r>
              <w:rPr>
                <w:rFonts w:hint="eastAsia"/>
              </w:rPr>
              <w:t>本项目属于防洪治理工程，包含河道清淤、河堤建设等内容，其对环境的主要影响为施工期，因河道旱季水量较少，故采用围堰施工方式。施工期包括河道围堰、清淤、混凝土河堤等工程产生的噪声、扬尘、废气、废水、固废、水土流失及植被破坏，破坏野生动物生境，堤防修筑会对水体产生扰动，对水生动物及水体水质造成影响等。</w:t>
            </w:r>
            <w:r>
              <w:rPr>
                <w:rFonts w:hint="eastAsia"/>
                <w:lang w:val="en-US" w:eastAsia="zh-CN"/>
              </w:rPr>
              <w:t>项目主要</w:t>
            </w:r>
            <w:r>
              <w:rPr>
                <w:rFonts w:hint="eastAsia"/>
              </w:rPr>
              <w:t>施工流程及各阶段产污环节如下。</w:t>
            </w:r>
          </w:p>
          <w:p w14:paraId="6F659BF7">
            <w:pPr>
              <w:pStyle w:val="6"/>
              <w:bidi w:val="0"/>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堤防工程</w:t>
            </w:r>
          </w:p>
          <w:p w14:paraId="6DFD1FC2">
            <w:pPr>
              <w:pStyle w:val="6"/>
              <w:bidi w:val="0"/>
              <w:rPr>
                <w:rFonts w:hint="eastAsia" w:eastAsia="宋体"/>
                <w:lang w:eastAsia="zh-CN"/>
              </w:rPr>
            </w:pPr>
            <w:r>
              <w:rPr>
                <w:rFonts w:hint="eastAsia"/>
              </w:rPr>
              <w:t>本项目</w:t>
            </w:r>
            <w:r>
              <w:rPr>
                <w:rFonts w:hint="eastAsia"/>
                <w:lang w:val="en-US" w:eastAsia="zh-CN"/>
              </w:rPr>
              <w:t>堤防工程</w:t>
            </w:r>
            <w:r>
              <w:rPr>
                <w:rFonts w:hint="eastAsia"/>
              </w:rPr>
              <w:t>施工工艺流程及产污节点如下图</w:t>
            </w:r>
            <w:r>
              <w:rPr>
                <w:rFonts w:hint="eastAsia"/>
                <w:lang w:eastAsia="zh-CN"/>
              </w:rPr>
              <w:t>。</w:t>
            </w:r>
          </w:p>
          <w:p w14:paraId="1EC59F1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lang w:eastAsia="zh-CN"/>
              </w:rPr>
            </w:pPr>
            <w:r>
              <w:rPr>
                <w:rFonts w:hint="eastAsia" w:eastAsia="宋体"/>
                <w:lang w:eastAsia="zh-CN"/>
              </w:rPr>
              <w:drawing>
                <wp:inline distT="0" distB="0" distL="114300" distR="114300">
                  <wp:extent cx="5683885" cy="2026285"/>
                  <wp:effectExtent l="0" t="0" r="0" b="0"/>
                  <wp:docPr id="1" name="图片 1"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艺流程图"/>
                          <pic:cNvPicPr>
                            <a:picLocks noChangeAspect="1"/>
                          </pic:cNvPicPr>
                        </pic:nvPicPr>
                        <pic:blipFill>
                          <a:blip r:embed="rId18"/>
                          <a:srcRect b="39827"/>
                          <a:stretch>
                            <a:fillRect/>
                          </a:stretch>
                        </pic:blipFill>
                        <pic:spPr>
                          <a:xfrm>
                            <a:off x="0" y="0"/>
                            <a:ext cx="5683885" cy="2026285"/>
                          </a:xfrm>
                          <a:prstGeom prst="rect">
                            <a:avLst/>
                          </a:prstGeom>
                        </pic:spPr>
                      </pic:pic>
                    </a:graphicData>
                  </a:graphic>
                </wp:inline>
              </w:drawing>
            </w:r>
          </w:p>
          <w:p w14:paraId="6DEA69F6">
            <w:pPr>
              <w:pStyle w:val="8"/>
              <w:bidi w:val="0"/>
              <w:rPr>
                <w:rFonts w:hint="eastAsia"/>
                <w:lang w:val="en-US" w:eastAsia="zh-CN"/>
              </w:rPr>
            </w:pPr>
            <w:r>
              <w:rPr>
                <w:rFonts w:hint="eastAsia"/>
                <w:lang w:val="en-US" w:eastAsia="zh-CN"/>
              </w:rPr>
              <w:t xml:space="preserve"> 项目堤防工程施工工艺流程及产污环节图</w:t>
            </w:r>
          </w:p>
          <w:p w14:paraId="6AF5C25F">
            <w:pPr>
              <w:pStyle w:val="6"/>
              <w:bidi w:val="0"/>
              <w:rPr>
                <w:rFonts w:hint="default"/>
                <w:lang w:val="en-US" w:eastAsia="zh-CN"/>
              </w:rPr>
            </w:pPr>
            <w:r>
              <w:rPr>
                <w:rFonts w:hint="eastAsia"/>
                <w:lang w:val="en-US" w:eastAsia="zh-CN"/>
              </w:rPr>
              <w:t>①测量放线</w:t>
            </w:r>
          </w:p>
          <w:p w14:paraId="07EF94C6">
            <w:pPr>
              <w:pStyle w:val="6"/>
              <w:bidi w:val="0"/>
              <w:rPr>
                <w:rFonts w:hint="eastAsia"/>
                <w:lang w:val="en-US" w:eastAsia="zh-CN"/>
              </w:rPr>
            </w:pPr>
            <w:r>
              <w:rPr>
                <w:rFonts w:hint="eastAsia"/>
                <w:lang w:val="en-US" w:eastAsia="zh-CN"/>
              </w:rPr>
              <w:t>布设施工测量控制网，经校核无误后，按照设计图纸测定桩号位置，放样时以长300~500mm的木桩或铁钎打入地下标定的为位置，出露高度50~80mm，中心偏差不得大于50mm。不能定桩的位置，用红油漆做好标志并写上桩号。</w:t>
            </w:r>
          </w:p>
          <w:p w14:paraId="1B52EEF0">
            <w:pPr>
              <w:pStyle w:val="6"/>
              <w:bidi w:val="0"/>
              <w:rPr>
                <w:rFonts w:hint="default"/>
                <w:lang w:val="en-US" w:eastAsia="zh-CN"/>
              </w:rPr>
            </w:pPr>
            <w:r>
              <w:rPr>
                <w:rFonts w:hint="eastAsia"/>
                <w:lang w:val="en-US" w:eastAsia="zh-CN"/>
              </w:rPr>
              <w:t>②基础开挖</w:t>
            </w:r>
          </w:p>
          <w:p w14:paraId="77AE390F">
            <w:pPr>
              <w:pStyle w:val="6"/>
              <w:bidi w:val="0"/>
              <w:rPr>
                <w:rFonts w:hint="default"/>
                <w:lang w:val="en-US" w:eastAsia="zh-CN"/>
              </w:rPr>
            </w:pPr>
            <w:r>
              <w:rPr>
                <w:rFonts w:hint="eastAsia"/>
                <w:lang w:val="en-US" w:eastAsia="zh-CN"/>
              </w:rPr>
              <w:t>施工前进行表土清理和耕植土剥离。</w:t>
            </w:r>
          </w:p>
          <w:p w14:paraId="63473C44">
            <w:pPr>
              <w:pStyle w:val="6"/>
              <w:bidi w:val="0"/>
              <w:rPr>
                <w:rFonts w:hint="eastAsia"/>
                <w:lang w:val="en-US" w:eastAsia="zh-CN"/>
              </w:rPr>
            </w:pPr>
            <w:r>
              <w:rPr>
                <w:rFonts w:hint="eastAsia"/>
                <w:lang w:val="en-US" w:eastAsia="zh-CN"/>
              </w:rPr>
              <w:t>表土清理：采用1.0m</w:t>
            </w:r>
            <w:r>
              <w:rPr>
                <w:rFonts w:hint="eastAsia"/>
                <w:vertAlign w:val="superscript"/>
                <w:lang w:val="en-US" w:eastAsia="zh-CN"/>
              </w:rPr>
              <w:t>3</w:t>
            </w:r>
            <w:r>
              <w:rPr>
                <w:rFonts w:hint="eastAsia"/>
                <w:lang w:val="en-US" w:eastAsia="zh-CN"/>
              </w:rPr>
              <w:t>液压挖掘机将堤线范围内地面耕植土、杂草、废渣清除，5~8t自卸汽车运输至工作面外集中堆放。其中耕植土应单独堆放，后期用于框格梁坡面绿化种植土。</w:t>
            </w:r>
          </w:p>
          <w:p w14:paraId="73CE4B25">
            <w:pPr>
              <w:pStyle w:val="6"/>
              <w:bidi w:val="0"/>
              <w:rPr>
                <w:rFonts w:hint="eastAsia"/>
                <w:lang w:val="en-US" w:eastAsia="zh-CN"/>
              </w:rPr>
            </w:pPr>
            <w:r>
              <w:rPr>
                <w:rFonts w:hint="eastAsia"/>
                <w:lang w:val="en-US" w:eastAsia="zh-CN"/>
              </w:rPr>
              <w:t>耕植土剥离：工程临时占用的耕地需剥离表层耕植土，就近堆放，用于后期复耕。剥离耕植土时要保证耕植土尽量少地掺入杂质，耕植土的保存应尽量少占用其他耕地，保存过程中应设临时防护措施，如：在堆土区周围设编织袋临时挡护、堆土区周边开挖临时排水土沟以及雨天采用遮雨布遮盖，防止耕植土流失等。</w:t>
            </w:r>
          </w:p>
          <w:p w14:paraId="5E03D50B">
            <w:pPr>
              <w:pStyle w:val="6"/>
              <w:bidi w:val="0"/>
              <w:rPr>
                <w:rFonts w:hint="eastAsia"/>
                <w:lang w:val="en-US" w:eastAsia="zh-CN"/>
              </w:rPr>
            </w:pPr>
            <w:r>
              <w:rPr>
                <w:rFonts w:hint="eastAsia"/>
                <w:lang w:val="en-US" w:eastAsia="zh-CN"/>
              </w:rPr>
              <w:t>基础开挖：开挖应遵循自上而下的原则，不应掏根挖土和反坡挖土，先覆盖层，后土石方分层开挖。基础砂卵石开挖采用1m</w:t>
            </w:r>
            <w:r>
              <w:rPr>
                <w:rFonts w:hint="eastAsia"/>
                <w:vertAlign w:val="superscript"/>
                <w:lang w:val="en-US" w:eastAsia="zh-CN"/>
              </w:rPr>
              <w:t>3</w:t>
            </w:r>
            <w:r>
              <w:rPr>
                <w:rFonts w:hint="eastAsia"/>
                <w:lang w:val="en-US" w:eastAsia="zh-CN"/>
              </w:rPr>
              <w:t>液压挖掘机挖装，部分开挖料用作围堰填筑，剩下采用5~8t自卸汽车运输至堤后临时堆放，其中合格开挖料用于堤身填筑，剩下堆放于堤后洼地，回填后进行复垦。基础石方开挖采用手持风镐破碎，根据标线、按照设计边坡坡度进行破碎，挖掘机配合清除岩块。</w:t>
            </w:r>
          </w:p>
          <w:p w14:paraId="5C98A90B">
            <w:pPr>
              <w:pStyle w:val="6"/>
              <w:bidi w:val="0"/>
              <w:rPr>
                <w:rFonts w:hint="default"/>
                <w:lang w:val="en-US" w:eastAsia="zh-CN"/>
              </w:rPr>
            </w:pPr>
            <w:r>
              <w:rPr>
                <w:rFonts w:hint="eastAsia"/>
                <w:lang w:val="en-US" w:eastAsia="zh-CN"/>
              </w:rPr>
              <w:t>③围堰施工</w:t>
            </w:r>
          </w:p>
          <w:p w14:paraId="3A58F7FF">
            <w:pPr>
              <w:pStyle w:val="6"/>
              <w:bidi w:val="0"/>
              <w:rPr>
                <w:rFonts w:hint="eastAsia"/>
                <w:lang w:val="en-US" w:eastAsia="zh-CN"/>
              </w:rPr>
            </w:pPr>
            <w:r>
              <w:rPr>
                <w:rFonts w:hint="eastAsia"/>
                <w:lang w:val="en-US" w:eastAsia="zh-CN"/>
              </w:rPr>
              <w:t>本项目在枯水期进行，选择导流时段为12月~次年3月，导流流量为天生河段为5.393m</w:t>
            </w:r>
            <w:r>
              <w:rPr>
                <w:rFonts w:hint="eastAsia"/>
                <w:vertAlign w:val="superscript"/>
                <w:lang w:val="en-US" w:eastAsia="zh-CN"/>
              </w:rPr>
              <w:t>3</w:t>
            </w:r>
            <w:r>
              <w:rPr>
                <w:rFonts w:hint="eastAsia"/>
                <w:lang w:val="en-US" w:eastAsia="zh-CN"/>
              </w:rPr>
              <w:t>/s，黎家沟段为0.735m</w:t>
            </w:r>
            <w:r>
              <w:rPr>
                <w:rFonts w:hint="eastAsia"/>
                <w:vertAlign w:val="superscript"/>
                <w:lang w:val="en-US" w:eastAsia="zh-CN"/>
              </w:rPr>
              <w:t>3</w:t>
            </w:r>
            <w:r>
              <w:rPr>
                <w:rFonts w:hint="eastAsia"/>
                <w:lang w:val="en-US" w:eastAsia="zh-CN"/>
              </w:rPr>
              <w:t>/s。施工采取围堰、导流方式施工，按照本项目施工导流方案进行准备工作。</w:t>
            </w:r>
          </w:p>
          <w:p w14:paraId="4DB55199">
            <w:pPr>
              <w:pStyle w:val="6"/>
              <w:bidi w:val="0"/>
              <w:rPr>
                <w:rFonts w:hint="default"/>
                <w:lang w:val="en-US" w:eastAsia="zh-CN"/>
              </w:rPr>
            </w:pPr>
            <w:r>
              <w:rPr>
                <w:rFonts w:hint="eastAsia"/>
                <w:lang w:val="en-US" w:eastAsia="zh-CN"/>
              </w:rPr>
              <w:t>A.导流标准</w:t>
            </w:r>
          </w:p>
          <w:p w14:paraId="0E572F7B">
            <w:pPr>
              <w:pStyle w:val="6"/>
              <w:bidi w:val="0"/>
              <w:rPr>
                <w:rFonts w:hint="eastAsia"/>
                <w:lang w:val="en-US" w:eastAsia="zh-CN"/>
              </w:rPr>
            </w:pPr>
            <w:r>
              <w:rPr>
                <w:rFonts w:hint="eastAsia"/>
                <w:lang w:val="en-US" w:eastAsia="zh-CN"/>
              </w:rPr>
              <w:t>本堤防工程级别为5级，按照《水利水电工程施工组织设计规范》(SL303—2017)，相应导流建筑物洪水标准为5~10年，根据水文、气象资料，结合本工程具体情况，施工导流采用枯水期5年一遇洪水标准。</w:t>
            </w:r>
          </w:p>
          <w:p w14:paraId="2A183F83">
            <w:pPr>
              <w:pStyle w:val="6"/>
              <w:bidi w:val="0"/>
              <w:rPr>
                <w:rFonts w:hint="default"/>
                <w:lang w:val="en-US" w:eastAsia="zh-CN"/>
              </w:rPr>
            </w:pPr>
            <w:r>
              <w:rPr>
                <w:rFonts w:hint="eastAsia"/>
                <w:lang w:val="en-US" w:eastAsia="zh-CN"/>
              </w:rPr>
              <w:t>B.导流时段及流量</w:t>
            </w:r>
          </w:p>
          <w:p w14:paraId="14520DFC">
            <w:pPr>
              <w:pStyle w:val="6"/>
              <w:bidi w:val="0"/>
              <w:rPr>
                <w:rFonts w:hint="eastAsia"/>
                <w:lang w:val="en-US" w:eastAsia="zh-CN"/>
              </w:rPr>
            </w:pPr>
            <w:r>
              <w:rPr>
                <w:rFonts w:hint="eastAsia"/>
                <w:lang w:val="en-US" w:eastAsia="zh-CN"/>
              </w:rPr>
              <w:t>根据各分期不同频率洪水计算成果和分期洪水，选择导流时段为12月~次年3月，导流流量为天生河段为5.393m</w:t>
            </w:r>
            <w:r>
              <w:rPr>
                <w:rFonts w:hint="eastAsia"/>
                <w:vertAlign w:val="superscript"/>
                <w:lang w:val="en-US" w:eastAsia="zh-CN"/>
              </w:rPr>
              <w:t>3</w:t>
            </w:r>
            <w:r>
              <w:rPr>
                <w:rFonts w:hint="eastAsia"/>
                <w:lang w:val="en-US" w:eastAsia="zh-CN"/>
              </w:rPr>
              <w:t>/s，黎家沟段为0.735m</w:t>
            </w:r>
            <w:r>
              <w:rPr>
                <w:rFonts w:hint="eastAsia"/>
                <w:vertAlign w:val="superscript"/>
                <w:lang w:val="en-US" w:eastAsia="zh-CN"/>
              </w:rPr>
              <w:t>3</w:t>
            </w:r>
            <w:r>
              <w:rPr>
                <w:rFonts w:hint="eastAsia"/>
                <w:lang w:val="en-US" w:eastAsia="zh-CN"/>
              </w:rPr>
              <w:t>/s。</w:t>
            </w:r>
          </w:p>
          <w:p w14:paraId="7D668A8C">
            <w:pPr>
              <w:pStyle w:val="6"/>
              <w:bidi w:val="0"/>
              <w:rPr>
                <w:rFonts w:hint="default"/>
                <w:lang w:val="en-US" w:eastAsia="zh-CN"/>
              </w:rPr>
            </w:pPr>
            <w:r>
              <w:rPr>
                <w:rFonts w:hint="eastAsia"/>
                <w:lang w:val="en-US" w:eastAsia="zh-CN"/>
              </w:rPr>
              <w:t>C.导流方式</w:t>
            </w:r>
          </w:p>
          <w:p w14:paraId="25D396CD">
            <w:pPr>
              <w:pStyle w:val="6"/>
              <w:bidi w:val="0"/>
              <w:rPr>
                <w:rFonts w:hint="eastAsia"/>
                <w:lang w:val="en-US" w:eastAsia="zh-CN"/>
              </w:rPr>
            </w:pPr>
            <w:r>
              <w:rPr>
                <w:rFonts w:hint="eastAsia"/>
                <w:lang w:val="en-US" w:eastAsia="zh-CN"/>
              </w:rPr>
              <w:t>本堤防工程安排在枯水期施工，导流方式采用束窄河床，分段围堰导流，沿河道修建纵向围堰，根据施工部位分段布置横向围堰挡水，围堰迎水面采用土工膜防渗，保证河道干地施工。</w:t>
            </w:r>
          </w:p>
          <w:p w14:paraId="5F45D803">
            <w:pPr>
              <w:pStyle w:val="6"/>
              <w:bidi w:val="0"/>
              <w:rPr>
                <w:rFonts w:hint="eastAsia"/>
                <w:lang w:val="en-US" w:eastAsia="zh-CN"/>
              </w:rPr>
            </w:pPr>
            <w:r>
              <w:rPr>
                <w:rFonts w:hint="eastAsia"/>
                <w:lang w:val="en-US" w:eastAsia="zh-CN"/>
              </w:rPr>
              <w:t>堤防基础施工前先填筑好围堰，待主体工程水下部分完工后，即可拆除，围堰拆除料用于堤脚回填。</w:t>
            </w:r>
          </w:p>
          <w:p w14:paraId="1B210B6D">
            <w:pPr>
              <w:pStyle w:val="6"/>
              <w:bidi w:val="0"/>
              <w:rPr>
                <w:rFonts w:hint="default"/>
                <w:lang w:val="en-US" w:eastAsia="zh-CN"/>
              </w:rPr>
            </w:pPr>
            <w:r>
              <w:rPr>
                <w:rFonts w:hint="eastAsia"/>
                <w:lang w:val="en-US" w:eastAsia="zh-CN"/>
              </w:rPr>
              <w:t>D.围堰施工</w:t>
            </w:r>
          </w:p>
          <w:p w14:paraId="5029F58F">
            <w:pPr>
              <w:pStyle w:val="6"/>
              <w:bidi w:val="0"/>
              <w:rPr>
                <w:rFonts w:hint="eastAsia"/>
                <w:lang w:val="en-US" w:eastAsia="zh-CN"/>
              </w:rPr>
            </w:pPr>
            <w:r>
              <w:rPr>
                <w:rFonts w:hint="eastAsia"/>
                <w:lang w:val="en-US" w:eastAsia="zh-CN"/>
              </w:rPr>
              <w:t>新建堤防采用土石围堰导流，围堰充分利用堤脚开挖料，在堤脚开挖线外3～5m修筑岸边围堰进行封堵挡水。围堰施工主要依靠1m³液压挖掘机进行，土石围堰填筑料充分利用堤防基础及堤身开挖料，基本选定1m³液压挖掘机挖覆盖层土石，59~74kW推土机推运分层压实。</w:t>
            </w:r>
          </w:p>
          <w:p w14:paraId="2AF52114">
            <w:pPr>
              <w:pStyle w:val="6"/>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E.基坑排水</w:t>
            </w:r>
          </w:p>
          <w:p w14:paraId="683642B8">
            <w:pPr>
              <w:pStyle w:val="6"/>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基坑排水包括初期排水和经常性排水，初期排水选用4.0kW污水泵，型号QW80-40-15-4.0。经常性主要包括基坑积水、渗透水、降水汇水及施工废水，均采用明沟排至集水坑，再由水泵抽至河中，选用4.0kW污水泵，型号QW80-40-15-4.0。经计算，施工期共需施工排水1200台时。</w:t>
            </w:r>
          </w:p>
          <w:p w14:paraId="693B729D">
            <w:pPr>
              <w:pStyle w:val="6"/>
              <w:bidi w:val="0"/>
              <w:rPr>
                <w:rFonts w:hint="default"/>
                <w:lang w:val="en-US" w:eastAsia="zh-CN"/>
              </w:rPr>
            </w:pPr>
            <w:r>
              <w:rPr>
                <w:rFonts w:hint="eastAsia"/>
                <w:lang w:val="en-US" w:eastAsia="zh-CN"/>
              </w:rPr>
              <w:t>④垫层浇筑</w:t>
            </w:r>
          </w:p>
          <w:p w14:paraId="715430B5">
            <w:pPr>
              <w:pStyle w:val="6"/>
              <w:bidi w:val="0"/>
              <w:rPr>
                <w:rFonts w:hint="eastAsia"/>
                <w:lang w:val="en-US" w:eastAsia="zh-CN"/>
              </w:rPr>
            </w:pPr>
            <w:r>
              <w:rPr>
                <w:rFonts w:hint="eastAsia"/>
                <w:lang w:val="en-US" w:eastAsia="zh-CN"/>
              </w:rPr>
              <w:t>垫层料和滤料采用人工摊铺，蛙式夯实机夯实。</w:t>
            </w:r>
          </w:p>
          <w:p w14:paraId="7C33C0D1">
            <w:pPr>
              <w:pStyle w:val="6"/>
              <w:bidi w:val="0"/>
              <w:rPr>
                <w:rFonts w:hint="eastAsia"/>
                <w:lang w:val="en-US" w:eastAsia="zh-CN"/>
              </w:rPr>
            </w:pPr>
            <w:r>
              <w:rPr>
                <w:rFonts w:hint="eastAsia"/>
                <w:lang w:val="en-US" w:eastAsia="zh-CN"/>
              </w:rPr>
              <w:t>⑤钢筋捆扎</w:t>
            </w:r>
          </w:p>
          <w:p w14:paraId="74F4408D">
            <w:pPr>
              <w:pStyle w:val="6"/>
              <w:bidi w:val="0"/>
              <w:rPr>
                <w:rFonts w:hint="eastAsia"/>
                <w:lang w:val="en-US" w:eastAsia="zh-CN"/>
              </w:rPr>
            </w:pPr>
            <w:r>
              <w:rPr>
                <w:rFonts w:hint="eastAsia"/>
                <w:lang w:val="en-US" w:eastAsia="zh-CN"/>
              </w:rPr>
              <w:t>钢筋的成型：项目部根据施工计划外购加工好的钢筋，按照当天使用量运输至现场，到达现场及时吊至使用部位，暂时不用的半成品，严禁运到现场，以免影响文明施工和安全生产。</w:t>
            </w:r>
          </w:p>
          <w:p w14:paraId="61560300">
            <w:pPr>
              <w:pStyle w:val="6"/>
              <w:bidi w:val="0"/>
              <w:rPr>
                <w:rFonts w:hint="eastAsia"/>
                <w:lang w:val="en-US" w:eastAsia="zh-CN"/>
              </w:rPr>
            </w:pPr>
            <w:r>
              <w:rPr>
                <w:rFonts w:hint="eastAsia"/>
                <w:lang w:val="en-US" w:eastAsia="zh-CN"/>
              </w:rPr>
              <w:t>钢筋连接及安装：板钢筋绑扎前，先按图纸要求把板的钢筋位置线弹在模板上，依线进行先绑扎纵向钢筋、后在绑扎竖向钢筋。钢筋间距纵向、竖向都为25CM。钢筋绑扎后经验收合格后，才能进入下道工序。</w:t>
            </w:r>
          </w:p>
          <w:p w14:paraId="2A107870">
            <w:pPr>
              <w:pStyle w:val="6"/>
              <w:bidi w:val="0"/>
              <w:rPr>
                <w:rFonts w:hint="default"/>
                <w:lang w:val="en-US" w:eastAsia="zh-CN"/>
              </w:rPr>
            </w:pPr>
            <w:r>
              <w:rPr>
                <w:rFonts w:hint="eastAsia"/>
                <w:lang w:val="en-US" w:eastAsia="zh-CN"/>
              </w:rPr>
              <w:t>⑥石渣填筑</w:t>
            </w:r>
          </w:p>
          <w:p w14:paraId="20D6419E">
            <w:pPr>
              <w:pStyle w:val="6"/>
              <w:bidi w:val="0"/>
              <w:rPr>
                <w:rFonts w:hint="eastAsia"/>
                <w:lang w:val="en-US" w:eastAsia="zh-CN"/>
              </w:rPr>
            </w:pPr>
            <w:r>
              <w:rPr>
                <w:rFonts w:hint="eastAsia"/>
                <w:lang w:val="en-US" w:eastAsia="zh-CN"/>
              </w:rPr>
              <w:t>基槽土石回填：基槽土石填筑就地漂卵石回填处理，漂卵石料从工程开挖料及疏浚料中筛选，在施工导流完成后，利用74kW推土机将围堰推至基槽压实。拟采用1.6m</w:t>
            </w:r>
            <w:r>
              <w:rPr>
                <w:rFonts w:hint="eastAsia"/>
                <w:vertAlign w:val="superscript"/>
                <w:lang w:val="en-US" w:eastAsia="zh-CN"/>
              </w:rPr>
              <w:t>3</w:t>
            </w:r>
            <w:r>
              <w:rPr>
                <w:rFonts w:hint="eastAsia"/>
                <w:lang w:val="en-US" w:eastAsia="zh-CN"/>
              </w:rPr>
              <w:t>反铲挖装10t自卸汽车运输，74kW推土机辅以人工平仓，推平密实。</w:t>
            </w:r>
          </w:p>
          <w:p w14:paraId="3563B7FB">
            <w:pPr>
              <w:pStyle w:val="6"/>
              <w:bidi w:val="0"/>
              <w:rPr>
                <w:rFonts w:hint="eastAsia"/>
                <w:lang w:val="en-US" w:eastAsia="zh-CN"/>
              </w:rPr>
            </w:pPr>
            <w:r>
              <w:rPr>
                <w:rFonts w:hint="eastAsia"/>
                <w:lang w:val="en-US" w:eastAsia="zh-CN"/>
              </w:rPr>
              <w:t>堤身填筑：堤身填筑料利用开挖料及疏浚料中的合格料，采用1.6m³挖掘机挖装10t自卸汽车运至作业面，人工铺料，2.8kW蛙式夯实机进行夯实。堤身填筑压实干密度不得小于2g/cm³，堤防堤身填筑相对密度不小于0.63。</w:t>
            </w:r>
          </w:p>
          <w:p w14:paraId="583B658B">
            <w:pPr>
              <w:pStyle w:val="6"/>
              <w:bidi w:val="0"/>
              <w:rPr>
                <w:rFonts w:hint="default"/>
                <w:lang w:val="en-US" w:eastAsia="zh-CN"/>
              </w:rPr>
            </w:pPr>
            <w:r>
              <w:rPr>
                <w:rFonts w:hint="eastAsia"/>
                <w:lang w:val="en-US" w:eastAsia="zh-CN"/>
              </w:rPr>
              <w:t>⑦混凝土浇筑</w:t>
            </w:r>
          </w:p>
          <w:p w14:paraId="142EE3E1">
            <w:pPr>
              <w:pStyle w:val="6"/>
              <w:bidi w:val="0"/>
              <w:rPr>
                <w:rFonts w:hint="eastAsia"/>
                <w:lang w:val="en-US" w:eastAsia="zh-CN"/>
              </w:rPr>
            </w:pPr>
            <w:r>
              <w:rPr>
                <w:rFonts w:hint="eastAsia"/>
                <w:lang w:val="en-US" w:eastAsia="zh-CN"/>
              </w:rPr>
              <w:t>本项目混凝土采用现场制拌，施工工区设置2处混凝土拌和站，采用自卸汽车及胶轮车运输，溜槽入仓。混凝土采用振捣器振捣密实，配合比及外掺剂应满足设计要求，砼浇筑完毕后应重视养护工作。冬季混凝土施工时，混凝土浇筑后表面覆盖草帘保温，防止混凝土裂缝。</w:t>
            </w:r>
          </w:p>
          <w:p w14:paraId="286FE4A6">
            <w:pPr>
              <w:pStyle w:val="6"/>
              <w:bidi w:val="0"/>
              <w:rPr>
                <w:rFonts w:hint="default"/>
                <w:lang w:val="en-US" w:eastAsia="zh-CN"/>
              </w:rPr>
            </w:pPr>
            <w:r>
              <w:rPr>
                <w:rFonts w:hint="eastAsia"/>
                <w:lang w:val="en-US" w:eastAsia="zh-CN"/>
              </w:rPr>
              <w:t>⑧堤后回填</w:t>
            </w:r>
          </w:p>
          <w:p w14:paraId="39352DDD">
            <w:pPr>
              <w:pStyle w:val="6"/>
              <w:bidi w:val="0"/>
              <w:rPr>
                <w:rFonts w:hint="eastAsia"/>
                <w:lang w:val="en-US" w:eastAsia="zh-CN"/>
              </w:rPr>
            </w:pPr>
            <w:r>
              <w:rPr>
                <w:rFonts w:hint="eastAsia"/>
                <w:lang w:val="en-US" w:eastAsia="zh-CN"/>
              </w:rPr>
              <w:t>堤后回填优先利用工程开挖料和疏浚料，采用开挖土石料压实回填，回填料采用1.0m³挖掘机就近取用基础开挖料和围堰拆除料，59~88kW推土机摊铺。</w:t>
            </w:r>
          </w:p>
          <w:p w14:paraId="2C4E094B">
            <w:pPr>
              <w:pStyle w:val="6"/>
              <w:bidi w:val="0"/>
              <w:rPr>
                <w:rFonts w:hint="default"/>
                <w:lang w:val="en-US" w:eastAsia="zh-CN"/>
              </w:rPr>
            </w:pPr>
            <w:r>
              <w:rPr>
                <w:rFonts w:hint="eastAsia"/>
                <w:lang w:val="en-US" w:eastAsia="zh-CN"/>
              </w:rPr>
              <w:t>⑨下河梯步、穿堤排涝工程</w:t>
            </w:r>
          </w:p>
          <w:p w14:paraId="4714C4D3">
            <w:pPr>
              <w:pStyle w:val="6"/>
              <w:bidi w:val="0"/>
              <w:rPr>
                <w:rFonts w:hint="eastAsia"/>
                <w:lang w:val="en-US" w:eastAsia="zh-CN"/>
              </w:rPr>
            </w:pPr>
            <w:r>
              <w:rPr>
                <w:rFonts w:hint="eastAsia"/>
                <w:lang w:val="en-US" w:eastAsia="zh-CN"/>
              </w:rPr>
              <w:t>下河梯步：考虑景观亲水和河岸通行要求，结合实际情况，沿堤防每200~400m布置一座下河梯步，共10座，梯步宽2m，左右两侧设20cm厚边墙，梯步台阶及边墙均采用C20混凝土浇筑，台阶坡比为1:1.5，宽0.3m，高0.2m。</w:t>
            </w:r>
          </w:p>
          <w:p w14:paraId="4016D8F5">
            <w:pPr>
              <w:pStyle w:val="6"/>
              <w:bidi w:val="0"/>
              <w:rPr>
                <w:rFonts w:hint="eastAsia"/>
                <w:lang w:val="en-US" w:eastAsia="zh-CN"/>
              </w:rPr>
            </w:pPr>
            <w:r>
              <w:rPr>
                <w:rFonts w:hint="eastAsia"/>
                <w:lang w:val="en-US" w:eastAsia="zh-CN"/>
              </w:rPr>
              <w:t>穿堤排涝工程：涵管进口设置1.1m×1.1m现浇C20混凝土集水池，池壁及底板厚0.3m，集水池与堤后排水沟相连，便于收集内涝水；管身段采用钢筋混凝土Ⅱ级承插管，壁厚50mm，每节管道长2.0m，底部120°范围采用C15混凝土现浇管床包裹，涵管出口处设30cm厚C20砼防冲板，池长4m，顺水流方向宽5m。</w:t>
            </w:r>
          </w:p>
          <w:p w14:paraId="0C05351D">
            <w:pPr>
              <w:pStyle w:val="6"/>
              <w:bidi w:val="0"/>
              <w:rPr>
                <w:rFonts w:hint="default"/>
                <w:lang w:val="en-US" w:eastAsia="zh-CN"/>
              </w:rPr>
            </w:pPr>
            <w:r>
              <w:rPr>
                <w:rFonts w:hint="eastAsia"/>
                <w:lang w:val="en-US" w:eastAsia="zh-CN"/>
              </w:rPr>
              <w:t>⑩围堰拆除</w:t>
            </w:r>
          </w:p>
          <w:p w14:paraId="0BC56AC7">
            <w:pPr>
              <w:pStyle w:val="6"/>
              <w:bidi w:val="0"/>
              <w:rPr>
                <w:rFonts w:hint="eastAsia"/>
                <w:lang w:val="en-US" w:eastAsia="zh-CN"/>
              </w:rPr>
            </w:pPr>
            <w:r>
              <w:rPr>
                <w:rFonts w:hint="eastAsia"/>
                <w:lang w:val="en-US" w:eastAsia="zh-CN"/>
              </w:rPr>
              <w:t>先下游围堰，再上游围堰。先用1m³液压挖掘机反铲拆除至略高于当时河水位，再用反铲退挖，尽量利用反铲的挖深能力，拆除料就近堆放用于堤防基槽回填和堤后填筑。</w:t>
            </w:r>
          </w:p>
          <w:p w14:paraId="0E167AE9">
            <w:pPr>
              <w:pStyle w:val="6"/>
              <w:bidi w:val="0"/>
              <w:rPr>
                <w:rFonts w:hint="eastAsia"/>
                <w:lang w:val="en-US" w:eastAsia="zh-CN"/>
              </w:rPr>
            </w:pPr>
            <w:r>
              <w:rPr>
                <w:rFonts w:hint="eastAsia" w:ascii="微软雅黑" w:hAnsi="微软雅黑" w:eastAsia="微软雅黑" w:cs="微软雅黑"/>
                <w:lang w:val="en-US" w:eastAsia="zh-CN"/>
              </w:rPr>
              <w:t>⑪</w:t>
            </w:r>
            <w:r>
              <w:rPr>
                <w:rFonts w:hint="eastAsia"/>
                <w:lang w:val="en-US" w:eastAsia="zh-CN"/>
              </w:rPr>
              <w:t>场地清理、生态修复</w:t>
            </w:r>
          </w:p>
          <w:p w14:paraId="01655E21">
            <w:pPr>
              <w:pStyle w:val="6"/>
              <w:bidi w:val="0"/>
              <w:rPr>
                <w:rFonts w:hint="default"/>
                <w:lang w:val="en-US" w:eastAsia="zh-CN"/>
              </w:rPr>
            </w:pPr>
            <w:r>
              <w:rPr>
                <w:rFonts w:hint="default"/>
                <w:lang w:val="en-US" w:eastAsia="zh-CN"/>
              </w:rPr>
              <w:t>工程建设完成后主要进行临时设施拆除、场地清理、临时占地生态恢复和施工单位退场等收尾工作。</w:t>
            </w:r>
          </w:p>
          <w:p w14:paraId="78A6092D">
            <w:pPr>
              <w:pStyle w:val="6"/>
              <w:bidi w:val="0"/>
              <w:rPr>
                <w:rFonts w:hint="default"/>
                <w:lang w:val="en-US" w:eastAsia="zh-CN"/>
              </w:rPr>
            </w:pPr>
            <w:r>
              <w:rPr>
                <w:rFonts w:hint="default"/>
                <w:lang w:val="en-US" w:eastAsia="zh-CN"/>
              </w:rPr>
              <w:t>施工结束后对临时占地进行迹地平整、表土回覆。拆除施工场地、</w:t>
            </w:r>
            <w:r>
              <w:rPr>
                <w:rFonts w:hint="eastAsia"/>
                <w:lang w:val="en-US" w:eastAsia="zh-CN"/>
              </w:rPr>
              <w:t>临时施工道路</w:t>
            </w:r>
            <w:r>
              <w:rPr>
                <w:rFonts w:hint="default"/>
                <w:lang w:val="en-US" w:eastAsia="zh-CN"/>
              </w:rPr>
              <w:t>、临时堆料场等临时占地内建筑及设施，拆除施工导流围堰，恢复为河道，河道内禁止遗留施工弃渣、施工建筑及施工人员生活垃圾；对施工场地、</w:t>
            </w:r>
            <w:r>
              <w:rPr>
                <w:rFonts w:hint="eastAsia"/>
                <w:lang w:val="en-US" w:eastAsia="zh-CN"/>
              </w:rPr>
              <w:t>临时施工道路</w:t>
            </w:r>
            <w:r>
              <w:rPr>
                <w:rFonts w:hint="default"/>
                <w:lang w:val="en-US" w:eastAsia="zh-CN"/>
              </w:rPr>
              <w:t>、堤背陆域回填区进行迹地平整、表土回覆。</w:t>
            </w:r>
          </w:p>
          <w:p w14:paraId="78488F68">
            <w:pPr>
              <w:pStyle w:val="6"/>
              <w:bidi w:val="0"/>
              <w:rPr>
                <w:rFonts w:hint="default" w:eastAsia="宋体"/>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河道疏浚工程</w:t>
            </w:r>
          </w:p>
          <w:p w14:paraId="529685C5">
            <w:pPr>
              <w:pStyle w:val="6"/>
              <w:bidi w:val="0"/>
              <w:rPr>
                <w:rFonts w:hint="eastAsia"/>
              </w:rPr>
            </w:pPr>
            <w:r>
              <w:rPr>
                <w:rFonts w:hint="eastAsia"/>
              </w:rPr>
              <w:t>本项目</w:t>
            </w:r>
            <w:r>
              <w:rPr>
                <w:rFonts w:hint="eastAsia"/>
                <w:lang w:val="en-US" w:eastAsia="zh-CN"/>
              </w:rPr>
              <w:t>河道疏浚工程</w:t>
            </w:r>
            <w:r>
              <w:rPr>
                <w:rFonts w:hint="eastAsia"/>
              </w:rPr>
              <w:t>施工工艺流程及产污节点图如下图</w:t>
            </w:r>
            <w:r>
              <w:rPr>
                <w:rFonts w:hint="eastAsia"/>
                <w:lang w:eastAsia="zh-CN"/>
              </w:rPr>
              <w:t>。</w:t>
            </w:r>
          </w:p>
          <w:p w14:paraId="5375FB7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lang w:eastAsia="zh-CN"/>
              </w:rPr>
            </w:pPr>
            <w:r>
              <w:rPr>
                <w:rFonts w:hint="eastAsia" w:eastAsia="宋体"/>
                <w:lang w:eastAsia="zh-CN"/>
              </w:rPr>
              <w:drawing>
                <wp:inline distT="0" distB="0" distL="114300" distR="114300">
                  <wp:extent cx="5683885" cy="1155700"/>
                  <wp:effectExtent l="0" t="0" r="0" b="0"/>
                  <wp:docPr id="2" name="图片 2"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艺流程图"/>
                          <pic:cNvPicPr>
                            <a:picLocks noChangeAspect="1"/>
                          </pic:cNvPicPr>
                        </pic:nvPicPr>
                        <pic:blipFill>
                          <a:blip r:embed="rId18"/>
                          <a:srcRect t="65680"/>
                          <a:stretch>
                            <a:fillRect/>
                          </a:stretch>
                        </pic:blipFill>
                        <pic:spPr>
                          <a:xfrm>
                            <a:off x="0" y="0"/>
                            <a:ext cx="5683885" cy="1155700"/>
                          </a:xfrm>
                          <a:prstGeom prst="rect">
                            <a:avLst/>
                          </a:prstGeom>
                        </pic:spPr>
                      </pic:pic>
                    </a:graphicData>
                  </a:graphic>
                </wp:inline>
              </w:drawing>
            </w:r>
          </w:p>
          <w:p w14:paraId="32402837">
            <w:pPr>
              <w:pStyle w:val="8"/>
              <w:bidi w:val="0"/>
              <w:rPr>
                <w:rFonts w:hint="eastAsia"/>
                <w:lang w:val="en-US" w:eastAsia="zh-CN"/>
              </w:rPr>
            </w:pPr>
            <w:r>
              <w:rPr>
                <w:rFonts w:hint="eastAsia"/>
                <w:lang w:val="en-US" w:eastAsia="zh-CN"/>
              </w:rPr>
              <w:t xml:space="preserve"> 项目河道疏浚工程施工工艺流程及产污环节图</w:t>
            </w:r>
          </w:p>
          <w:p w14:paraId="14C0AFF0">
            <w:pPr>
              <w:pStyle w:val="6"/>
              <w:bidi w:val="0"/>
              <w:rPr>
                <w:rFonts w:hint="eastAsia"/>
              </w:rPr>
            </w:pPr>
            <w:r>
              <w:rPr>
                <w:rFonts w:hint="eastAsia"/>
              </w:rPr>
              <w:t>采用1m</w:t>
            </w:r>
            <w:r>
              <w:rPr>
                <w:rFonts w:hint="eastAsia"/>
                <w:vertAlign w:val="superscript"/>
              </w:rPr>
              <w:t>3</w:t>
            </w:r>
            <w:r>
              <w:rPr>
                <w:rFonts w:hint="eastAsia"/>
              </w:rPr>
              <w:t>挖掘机开挖，按设计河床高程开挖，疏浚开挖料采用5~</w:t>
            </w:r>
            <w:r>
              <w:rPr>
                <w:rFonts w:hint="eastAsia"/>
                <w:lang w:val="en-US" w:eastAsia="zh-CN"/>
              </w:rPr>
              <w:t>10</w:t>
            </w:r>
            <w:r>
              <w:rPr>
                <w:rFonts w:hint="eastAsia"/>
              </w:rPr>
              <w:t>t自卸汽车运送至堤后临时堆放，合格疏浚料用作堤身填筑，剩余部分堆放于堤后洼地。</w:t>
            </w:r>
          </w:p>
          <w:p w14:paraId="75BEFB13">
            <w:pPr>
              <w:pStyle w:val="6"/>
              <w:bidi w:val="0"/>
              <w:rPr>
                <w:rFonts w:hint="eastAsia"/>
              </w:rPr>
            </w:pPr>
            <w:r>
              <w:rPr>
                <w:rFonts w:hint="eastAsia"/>
              </w:rPr>
              <w:t>河道</w:t>
            </w:r>
            <w:r>
              <w:rPr>
                <w:rFonts w:hint="eastAsia"/>
                <w:lang w:val="en-US" w:eastAsia="zh-CN"/>
              </w:rPr>
              <w:t>疏浚</w:t>
            </w:r>
            <w:r>
              <w:rPr>
                <w:rFonts w:hint="eastAsia"/>
              </w:rPr>
              <w:t>产生的泥沙主要以砂砾石为主，基本不含有机河底淤泥，</w:t>
            </w:r>
            <w:r>
              <w:rPr>
                <w:rFonts w:hint="eastAsia"/>
                <w:lang w:val="en-US" w:eastAsia="zh-CN"/>
              </w:rPr>
              <w:t>疏浚</w:t>
            </w:r>
            <w:r>
              <w:rPr>
                <w:rFonts w:hint="eastAsia"/>
              </w:rPr>
              <w:t>量约为</w:t>
            </w:r>
            <w:r>
              <w:rPr>
                <w:rFonts w:hint="eastAsia"/>
                <w:lang w:val="en-US" w:eastAsia="zh-CN"/>
              </w:rPr>
              <w:t>0.197</w:t>
            </w:r>
            <w:r>
              <w:rPr>
                <w:rFonts w:hint="eastAsia"/>
              </w:rPr>
              <w:t>万m</w:t>
            </w:r>
            <w:r>
              <w:rPr>
                <w:rFonts w:hint="eastAsia"/>
                <w:vertAlign w:val="superscript"/>
              </w:rPr>
              <w:t>3</w:t>
            </w:r>
            <w:r>
              <w:rPr>
                <w:rFonts w:hint="eastAsia"/>
              </w:rPr>
              <w:t>，</w:t>
            </w:r>
            <w:r>
              <w:rPr>
                <w:rFonts w:hint="eastAsia"/>
                <w:lang w:val="en-US" w:eastAsia="zh-CN"/>
              </w:rPr>
              <w:t>疏浚</w:t>
            </w:r>
            <w:r>
              <w:rPr>
                <w:rFonts w:hint="eastAsia"/>
              </w:rPr>
              <w:t>料</w:t>
            </w:r>
            <w:r>
              <w:rPr>
                <w:rFonts w:hint="eastAsia"/>
                <w:lang w:val="en-US" w:eastAsia="zh-CN"/>
              </w:rPr>
              <w:t>于临时堆料场</w:t>
            </w:r>
            <w:r>
              <w:rPr>
                <w:rFonts w:hint="eastAsia"/>
              </w:rPr>
              <w:t>晾干用于堤身填筑及围堰填筑。泥沙滤水为河水，经沉淀池处理后</w:t>
            </w:r>
            <w:r>
              <w:rPr>
                <w:rFonts w:hint="eastAsia"/>
                <w:lang w:val="en-US" w:eastAsia="zh-CN"/>
              </w:rPr>
              <w:t>回用</w:t>
            </w:r>
            <w:r>
              <w:rPr>
                <w:rFonts w:hint="eastAsia"/>
              </w:rPr>
              <w:t>。采用半边围堰施工，为保证围堰不被水流冲垮和更好地隔水，及阻断两岸驳岸挡墙缝隙渗水回流到围堰中，在围堰的迎水侧和围堰与驳岸连接处采用土工膜隔水。</w:t>
            </w:r>
          </w:p>
          <w:p w14:paraId="301C59D5">
            <w:pPr>
              <w:pStyle w:val="6"/>
              <w:bidi w:val="0"/>
              <w:rPr>
                <w:rFonts w:hint="eastAsia"/>
              </w:rPr>
            </w:pPr>
            <w:r>
              <w:rPr>
                <w:rFonts w:hint="eastAsia"/>
              </w:rPr>
              <w:t>本项目</w:t>
            </w:r>
            <w:r>
              <w:rPr>
                <w:rFonts w:hint="eastAsia"/>
                <w:lang w:val="en-US" w:eastAsia="zh-CN"/>
              </w:rPr>
              <w:t>疏浚</w:t>
            </w:r>
            <w:r>
              <w:rPr>
                <w:rFonts w:hint="eastAsia"/>
              </w:rPr>
              <w:t>物主要以无机砂砾石为主，基本不含有机河底淤泥，开挖后</w:t>
            </w:r>
            <w:r>
              <w:rPr>
                <w:rFonts w:hint="eastAsia"/>
                <w:lang w:val="en-US" w:eastAsia="zh-CN"/>
              </w:rPr>
              <w:t>疏浚</w:t>
            </w:r>
            <w:r>
              <w:rPr>
                <w:rFonts w:hint="eastAsia"/>
              </w:rPr>
              <w:t>料</w:t>
            </w:r>
            <w:r>
              <w:rPr>
                <w:rFonts w:hint="eastAsia"/>
                <w:lang w:val="en-US" w:eastAsia="zh-CN"/>
              </w:rPr>
              <w:t>于临时堆料场</w:t>
            </w:r>
            <w:r>
              <w:rPr>
                <w:rFonts w:hint="eastAsia"/>
              </w:rPr>
              <w:t>晾干用于堤身填筑及围堰填筑，</w:t>
            </w:r>
            <w:r>
              <w:rPr>
                <w:rFonts w:hint="eastAsia"/>
                <w:lang w:val="en-US" w:eastAsia="zh-CN"/>
              </w:rPr>
              <w:t>疏浚</w:t>
            </w:r>
            <w:r>
              <w:rPr>
                <w:rFonts w:hint="eastAsia"/>
              </w:rPr>
              <w:t>砂石临时堆存过程产生的异味较小，但项目位于</w:t>
            </w:r>
            <w:r>
              <w:rPr>
                <w:rFonts w:hint="eastAsia"/>
                <w:lang w:val="en-US" w:eastAsia="zh-CN"/>
              </w:rPr>
              <w:t>天生镇</w:t>
            </w:r>
            <w:r>
              <w:rPr>
                <w:rFonts w:hint="eastAsia"/>
              </w:rPr>
              <w:t>区域，为避免清淤物异味对周边环境空气的影响，本评价建议建设单位在</w:t>
            </w:r>
            <w:r>
              <w:rPr>
                <w:rFonts w:hint="eastAsia"/>
                <w:lang w:val="en-US" w:eastAsia="zh-CN"/>
              </w:rPr>
              <w:t>疏浚</w:t>
            </w:r>
            <w:r>
              <w:rPr>
                <w:rFonts w:hint="eastAsia"/>
              </w:rPr>
              <w:t>砂石临时堆放期间应喷洒除臭剂来减少异味的扩散。</w:t>
            </w:r>
          </w:p>
          <w:p w14:paraId="62D19822">
            <w:pPr>
              <w:pStyle w:val="4"/>
              <w:numPr>
                <w:ilvl w:val="2"/>
                <w:numId w:val="7"/>
              </w:numPr>
              <w:bidi w:val="0"/>
              <w:rPr>
                <w:rFonts w:hint="eastAsia"/>
                <w:lang w:val="en-US" w:eastAsia="zh-CN"/>
              </w:rPr>
            </w:pPr>
            <w:r>
              <w:rPr>
                <w:rFonts w:hint="eastAsia"/>
                <w:lang w:val="en-US" w:eastAsia="zh-CN"/>
              </w:rPr>
              <w:t>施工时序及建设周期</w:t>
            </w:r>
          </w:p>
          <w:p w14:paraId="2E623FF8">
            <w:pPr>
              <w:pStyle w:val="6"/>
              <w:bidi w:val="0"/>
              <w:rPr>
                <w:rFonts w:hint="eastAsia"/>
              </w:rPr>
            </w:pPr>
            <w:r>
              <w:rPr>
                <w:rFonts w:hint="eastAsia"/>
              </w:rPr>
              <w:t>工程建设分为筹建期、工程准备期、主体工程施工期和完建期。筹建期主要由业主组织完成施工招投标工作，不计入总工期。工程准备期，由施工单位完成施工道路、供电等三通一平工作。</w:t>
            </w:r>
          </w:p>
          <w:p w14:paraId="18236115">
            <w:pPr>
              <w:pStyle w:val="6"/>
              <w:bidi w:val="0"/>
              <w:rPr>
                <w:rFonts w:hint="eastAsia"/>
              </w:rPr>
            </w:pPr>
            <w:r>
              <w:rPr>
                <w:rFonts w:hint="eastAsia"/>
              </w:rPr>
              <w:t>本工程施工总工期为6个月，其中准备工期1个月，主体工程施工期4个月，完建期1个月。</w:t>
            </w:r>
          </w:p>
          <w:p w14:paraId="17B0E229">
            <w:pPr>
              <w:pStyle w:val="6"/>
              <w:bidi w:val="0"/>
              <w:rPr>
                <w:rFonts w:hint="eastAsia"/>
              </w:rPr>
            </w:pPr>
            <w:r>
              <w:rPr>
                <w:rFonts w:hint="eastAsia"/>
              </w:rPr>
              <w:t>施工准备期安排在第一年1</w:t>
            </w:r>
            <w:r>
              <w:rPr>
                <w:rFonts w:hint="eastAsia"/>
                <w:lang w:val="en-US" w:eastAsia="zh-CN"/>
              </w:rPr>
              <w:t>0</w:t>
            </w:r>
            <w:r>
              <w:rPr>
                <w:rFonts w:hint="eastAsia"/>
              </w:rPr>
              <w:t>月，完成场内交通、临时房屋、施工工厂、施工辅助企业等必要的临时设施。</w:t>
            </w:r>
          </w:p>
          <w:p w14:paraId="2D8D46E0">
            <w:pPr>
              <w:pStyle w:val="6"/>
              <w:bidi w:val="0"/>
              <w:rPr>
                <w:rFonts w:hint="eastAsia"/>
              </w:rPr>
            </w:pPr>
            <w:r>
              <w:rPr>
                <w:rFonts w:hint="eastAsia"/>
              </w:rPr>
              <w:t>主体工程施工期：第一年1</w:t>
            </w:r>
            <w:r>
              <w:rPr>
                <w:rFonts w:hint="eastAsia"/>
                <w:lang w:val="en-US" w:eastAsia="zh-CN"/>
              </w:rPr>
              <w:t>1</w:t>
            </w:r>
            <w:r>
              <w:rPr>
                <w:rFonts w:hint="eastAsia"/>
              </w:rPr>
              <w:t>月~第二年</w:t>
            </w:r>
            <w:r>
              <w:rPr>
                <w:rFonts w:hint="eastAsia"/>
                <w:lang w:val="en-US" w:eastAsia="zh-CN"/>
              </w:rPr>
              <w:t>2</w:t>
            </w:r>
            <w:r>
              <w:rPr>
                <w:rFonts w:hint="eastAsia"/>
              </w:rPr>
              <w:t>月，完成土石方开挖、堤防挡墙、堤脚回填、堤身填筑、马道、框格梁、堤顶道路、穿堤涵管、下河梯步</w:t>
            </w:r>
            <w:r>
              <w:rPr>
                <w:rFonts w:hint="eastAsia"/>
                <w:lang w:eastAsia="zh-CN"/>
              </w:rPr>
              <w:t>、</w:t>
            </w:r>
            <w:r>
              <w:rPr>
                <w:rFonts w:hint="eastAsia"/>
                <w:lang w:val="en-US" w:eastAsia="zh-CN"/>
              </w:rPr>
              <w:t>河道疏浚</w:t>
            </w:r>
            <w:r>
              <w:rPr>
                <w:rFonts w:hint="eastAsia"/>
              </w:rPr>
              <w:t>等工程。</w:t>
            </w:r>
          </w:p>
          <w:p w14:paraId="19E0F060">
            <w:pPr>
              <w:pStyle w:val="6"/>
              <w:rPr>
                <w:rFonts w:hint="eastAsia"/>
                <w:lang w:val="en-US" w:eastAsia="zh-CN"/>
              </w:rPr>
            </w:pPr>
            <w:r>
              <w:rPr>
                <w:rFonts w:hint="eastAsia"/>
              </w:rPr>
              <w:t>完建期：第二年</w:t>
            </w:r>
            <w:r>
              <w:rPr>
                <w:rFonts w:hint="eastAsia"/>
                <w:lang w:val="en-US" w:eastAsia="zh-CN"/>
              </w:rPr>
              <w:t>3</w:t>
            </w:r>
            <w:r>
              <w:rPr>
                <w:rFonts w:hint="eastAsia"/>
              </w:rPr>
              <w:t>月完成施工机械退场、场地清理、迹地恢复等扫尾工作。</w:t>
            </w:r>
            <w:bookmarkEnd w:id="55"/>
          </w:p>
        </w:tc>
      </w:tr>
      <w:tr w14:paraId="1695AC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98" w:type="pct"/>
            <w:vAlign w:val="center"/>
          </w:tcPr>
          <w:p w14:paraId="403A7D27">
            <w:r>
              <w:rPr>
                <w:rFonts w:hint="eastAsia"/>
              </w:rPr>
              <w:t>其他</w:t>
            </w:r>
          </w:p>
        </w:tc>
        <w:tc>
          <w:tcPr>
            <w:tcW w:w="4601" w:type="pct"/>
            <w:vAlign w:val="center"/>
          </w:tcPr>
          <w:p w14:paraId="74B91F4E">
            <w:pPr>
              <w:pStyle w:val="6"/>
            </w:pPr>
            <w:r>
              <w:rPr>
                <w:rFonts w:hint="eastAsia"/>
              </w:rPr>
              <w:t>本工程通过河道开挖清除阻碍水体流通的乱石滩地，提高河流水系的整体连通性，形成以主干河道为主、分流河道为辅，脉络清晰、水流畅通的水系连通格局，保障河道行洪能力。</w:t>
            </w:r>
            <w:r>
              <w:rPr>
                <w:rFonts w:hint="eastAsia"/>
                <w:lang w:val="en-US" w:eastAsia="zh-CN"/>
              </w:rPr>
              <w:t>本项目</w:t>
            </w:r>
            <w:r>
              <w:rPr>
                <w:rFonts w:hint="eastAsia"/>
              </w:rPr>
              <w:t>沿着现有河道开展，路线唯一，无比选方案。</w:t>
            </w:r>
          </w:p>
          <w:p w14:paraId="4FFB88EC">
            <w:pPr>
              <w:pStyle w:val="6"/>
            </w:pPr>
          </w:p>
          <w:p w14:paraId="3233C2A6">
            <w:pPr>
              <w:pStyle w:val="6"/>
            </w:pPr>
          </w:p>
          <w:p w14:paraId="1EB3673A">
            <w:pPr>
              <w:pStyle w:val="6"/>
              <w:ind w:left="0" w:leftChars="0" w:firstLine="0" w:firstLineChars="0"/>
            </w:pPr>
          </w:p>
        </w:tc>
      </w:tr>
    </w:tbl>
    <w:p w14:paraId="5B8A0229">
      <w:pPr>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26" w:charSpace="0"/>
        </w:sectPr>
      </w:pPr>
    </w:p>
    <w:p w14:paraId="6B4DE634">
      <w:pPr>
        <w:pStyle w:val="2"/>
        <w:numPr>
          <w:ilvl w:val="0"/>
          <w:numId w:val="7"/>
        </w:numPr>
        <w:spacing w:after="156"/>
      </w:pPr>
      <w:bookmarkStart w:id="56" w:name="_Toc12215"/>
      <w:r>
        <w:rPr>
          <w:rFonts w:hint="eastAsia"/>
        </w:rPr>
        <w:t>生态环境现状、环境保护目标及评价标准</w:t>
      </w:r>
      <w:bookmarkEnd w:id="56"/>
    </w:p>
    <w:tbl>
      <w:tblPr>
        <w:tblStyle w:val="46"/>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782"/>
      </w:tblGrid>
      <w:tr w14:paraId="4715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5DB66960">
            <w:pPr>
              <w:rPr>
                <w:vertAlign w:val="baseline"/>
              </w:rPr>
            </w:pPr>
            <w:r>
              <w:rPr>
                <w:rFonts w:hint="eastAsia"/>
              </w:rPr>
              <w:t>生态环境现状</w:t>
            </w:r>
          </w:p>
        </w:tc>
        <w:tc>
          <w:tcPr>
            <w:tcW w:w="8782" w:type="dxa"/>
            <w:vAlign w:val="center"/>
          </w:tcPr>
          <w:p w14:paraId="58E22F5F">
            <w:pPr>
              <w:pStyle w:val="3"/>
              <w:numPr>
                <w:ilvl w:val="1"/>
                <w:numId w:val="7"/>
              </w:numPr>
            </w:pPr>
            <w:r>
              <w:rPr>
                <w:rFonts w:hint="eastAsia"/>
              </w:rPr>
              <w:t>生态环境现状</w:t>
            </w:r>
          </w:p>
          <w:p w14:paraId="27E3AF03">
            <w:pPr>
              <w:pStyle w:val="4"/>
              <w:numPr>
                <w:ilvl w:val="2"/>
                <w:numId w:val="7"/>
              </w:numPr>
            </w:pPr>
            <w:r>
              <w:rPr>
                <w:rFonts w:hint="eastAsia"/>
              </w:rPr>
              <w:t>主体功能区划和生态功能区划</w:t>
            </w:r>
          </w:p>
          <w:p w14:paraId="00D0D575">
            <w:pPr>
              <w:pStyle w:val="6"/>
              <w:rPr>
                <w:rFonts w:hint="eastAsia"/>
                <w:lang w:eastAsia="zh-CN"/>
              </w:rPr>
            </w:pPr>
            <w:r>
              <w:rPr>
                <w:rFonts w:hint="eastAsia"/>
                <w:lang w:eastAsia="zh-CN"/>
              </w:rPr>
              <w:t>（</w:t>
            </w:r>
            <w:r>
              <w:rPr>
                <w:rFonts w:hint="eastAsia"/>
                <w:lang w:val="en-US" w:eastAsia="zh-CN"/>
              </w:rPr>
              <w:t>1</w:t>
            </w:r>
            <w:r>
              <w:rPr>
                <w:rFonts w:hint="eastAsia"/>
                <w:lang w:eastAsia="zh-CN"/>
              </w:rPr>
              <w:t>）主体功能区划</w:t>
            </w:r>
          </w:p>
          <w:p w14:paraId="663E9C4D">
            <w:pPr>
              <w:pStyle w:val="6"/>
              <w:rPr>
                <w:rFonts w:hint="default"/>
                <w:lang w:val="en-US" w:eastAsia="zh-CN"/>
              </w:rPr>
            </w:pPr>
            <w:r>
              <w:rPr>
                <w:rFonts w:hint="eastAsia"/>
                <w:lang w:val="en-US" w:eastAsia="zh-CN"/>
              </w:rPr>
              <w:t>根据《</w:t>
            </w:r>
            <w:r>
              <w:rPr>
                <w:rFonts w:hint="eastAsia"/>
                <w:lang w:eastAsia="zh-CN"/>
              </w:rPr>
              <w:t>四川省人民政府关于印发</w:t>
            </w:r>
            <w:r>
              <w:rPr>
                <w:rFonts w:hint="eastAsia"/>
                <w:lang w:val="en-US" w:eastAsia="zh-CN"/>
              </w:rPr>
              <w:t>&lt;</w:t>
            </w:r>
            <w:r>
              <w:rPr>
                <w:rFonts w:hint="eastAsia"/>
                <w:lang w:eastAsia="zh-CN"/>
              </w:rPr>
              <w:t>四川省国土空间规划（2021—2035年）</w:t>
            </w:r>
            <w:r>
              <w:rPr>
                <w:rFonts w:hint="eastAsia"/>
                <w:lang w:val="en-US" w:eastAsia="zh-CN"/>
              </w:rPr>
              <w:t>&gt;</w:t>
            </w:r>
            <w:r>
              <w:rPr>
                <w:rFonts w:hint="eastAsia"/>
                <w:lang w:eastAsia="zh-CN"/>
              </w:rPr>
              <w:t>的通知</w:t>
            </w:r>
            <w:r>
              <w:rPr>
                <w:rFonts w:hint="eastAsia"/>
                <w:lang w:val="en-US" w:eastAsia="zh-CN"/>
              </w:rPr>
              <w:t>》</w:t>
            </w:r>
            <w:r>
              <w:rPr>
                <w:rFonts w:hint="eastAsia"/>
                <w:lang w:eastAsia="zh-CN"/>
              </w:rPr>
              <w:t>（川府发〔2024〕8号），本项目所在地为达州市宣汉县，</w:t>
            </w:r>
            <w:r>
              <w:rPr>
                <w:rFonts w:hint="eastAsia"/>
                <w:lang w:val="en-US" w:eastAsia="zh-CN"/>
              </w:rPr>
              <w:t>属于国家级农产品主产区。</w:t>
            </w:r>
          </w:p>
          <w:p w14:paraId="47019946">
            <w:pPr>
              <w:pStyle w:val="6"/>
              <w:rPr>
                <w:rFonts w:hint="eastAsia"/>
                <w:lang w:eastAsia="zh-CN"/>
              </w:rPr>
            </w:pPr>
            <w:r>
              <w:rPr>
                <w:rFonts w:hint="eastAsia"/>
                <w:lang w:eastAsia="zh-CN"/>
              </w:rPr>
              <w:t>本项目为防洪治理工程，对城镇发展、环境等相关行业具有正效益，因此本项目与《四川省国土空间规划（2021—2035年）》是协调的。</w:t>
            </w:r>
          </w:p>
          <w:p w14:paraId="253C33A1">
            <w:pPr>
              <w:pStyle w:val="6"/>
              <w:rPr>
                <w:rFonts w:hint="eastAsia"/>
                <w:lang w:eastAsia="zh-CN"/>
              </w:rPr>
            </w:pPr>
            <w:r>
              <w:rPr>
                <w:rFonts w:hint="eastAsia"/>
                <w:lang w:eastAsia="zh-CN"/>
              </w:rPr>
              <w:t>（</w:t>
            </w:r>
            <w:r>
              <w:rPr>
                <w:rFonts w:hint="eastAsia"/>
                <w:lang w:val="en-US" w:eastAsia="zh-CN"/>
              </w:rPr>
              <w:t>2</w:t>
            </w:r>
            <w:r>
              <w:rPr>
                <w:rFonts w:hint="eastAsia"/>
                <w:lang w:eastAsia="zh-CN"/>
              </w:rPr>
              <w:t>）生态功能区划</w:t>
            </w:r>
          </w:p>
          <w:p w14:paraId="020E2B5B">
            <w:pPr>
              <w:pStyle w:val="6"/>
              <w:rPr>
                <w:rFonts w:hint="default" w:ascii="Times New Roman" w:hAnsi="Times New Roman" w:cs="Times New Roman"/>
              </w:rPr>
            </w:pPr>
            <w:r>
              <w:rPr>
                <w:rFonts w:hint="default" w:ascii="Times New Roman" w:hAnsi="Times New Roman" w:cs="Times New Roman"/>
              </w:rPr>
              <w:t>根据《四川省生态功能区划》，项目区属于Ⅰ四川盆地亚热带湿润气候生态区、Ⅰ-2盆中丘陵农林复合生态亚区、Ⅰ-2-1盆北深丘农林业与土壤保持生态功能区。主要生态服务功能是农林产品提供功能，土壤保持功能，生态保护与发展方向为巩固长江上游防护林建设、天然林保护和退耕还林成果。发挥山区资源优势，发展生态农业和中药材产业。建设以天然气为主的基础原料和能源化工基地。开发人文景观资源，发展旅游业及相关产业链。用地养地结合，加强水土保持建设。严禁无序开发矿产、水利、生物资源。</w:t>
            </w:r>
          </w:p>
          <w:p w14:paraId="1EFAEAD9">
            <w:pPr>
              <w:pStyle w:val="6"/>
              <w:rPr>
                <w:rFonts w:hint="eastAsia"/>
              </w:rPr>
            </w:pPr>
            <w:r>
              <w:rPr>
                <w:rFonts w:hint="eastAsia"/>
              </w:rPr>
              <w:t>项目区域内生态状态以农村生态环境为主要特征，并结合农村生态系统以及水生生态系统特点，区内无大型野生动物及古代珍稀植物，绿化景观较好，沿线覆盖有河滩地、草地、耕地等，区域生态环境现状受人类活动影响较为频繁。本项目为</w:t>
            </w:r>
            <w:r>
              <w:rPr>
                <w:rFonts w:hint="eastAsia"/>
                <w:lang w:val="en-US" w:eastAsia="zh-CN"/>
              </w:rPr>
              <w:t>天生河、黎家沟治理</w:t>
            </w:r>
            <w:r>
              <w:rPr>
                <w:rFonts w:hint="eastAsia"/>
              </w:rPr>
              <w:t>工程，对河道</w:t>
            </w:r>
            <w:r>
              <w:rPr>
                <w:rFonts w:hint="eastAsia"/>
                <w:lang w:val="en-US" w:eastAsia="zh-CN"/>
              </w:rPr>
              <w:t>进行疏浚</w:t>
            </w:r>
            <w:r>
              <w:rPr>
                <w:rFonts w:hint="eastAsia"/>
              </w:rPr>
              <w:t>，保证行洪流畅，岸线工程在原始河岸上进行修复，不涉及无序开发矿产、水利、生物资源，项目的实施符合四川省生态功能区划。</w:t>
            </w:r>
          </w:p>
          <w:p w14:paraId="6D697968">
            <w:pPr>
              <w:pStyle w:val="4"/>
              <w:numPr>
                <w:ilvl w:val="2"/>
                <w:numId w:val="7"/>
              </w:numPr>
            </w:pPr>
            <w:r>
              <w:rPr>
                <w:rFonts w:hint="eastAsia"/>
                <w:lang w:val="en-US" w:eastAsia="zh-CN"/>
              </w:rPr>
              <w:t>项目用地及周边</w:t>
            </w:r>
            <w:r>
              <w:rPr>
                <w:rFonts w:hint="eastAsia"/>
              </w:rPr>
              <w:t>生态环境现状</w:t>
            </w:r>
          </w:p>
          <w:p w14:paraId="16207BDF">
            <w:pPr>
              <w:pStyle w:val="6"/>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项目用地</w:t>
            </w:r>
          </w:p>
          <w:p w14:paraId="0D5066E4">
            <w:pPr>
              <w:pStyle w:val="6"/>
              <w:rPr>
                <w:rFonts w:hint="eastAsia"/>
                <w:lang w:eastAsia="zh-CN"/>
              </w:rPr>
            </w:pPr>
            <w:r>
              <w:rPr>
                <w:rFonts w:hint="eastAsia"/>
              </w:rPr>
              <w:t>根据本项目初设报告，工程建设征地范围包括工程永久占地和施工临时占地</w:t>
            </w:r>
            <w:r>
              <w:rPr>
                <w:rFonts w:hint="eastAsia"/>
                <w:lang w:eastAsia="zh-CN"/>
              </w:rPr>
              <w:t>。</w:t>
            </w:r>
          </w:p>
          <w:p w14:paraId="18B8B2AA">
            <w:pPr>
              <w:pStyle w:val="6"/>
              <w:rPr>
                <w:rFonts w:hint="eastAsia"/>
              </w:rPr>
            </w:pPr>
            <w:r>
              <w:rPr>
                <w:rFonts w:hint="eastAsia"/>
              </w:rPr>
              <w:t>永久征地范围主要为新建堤防及其附属建筑物占地</w:t>
            </w:r>
            <w:r>
              <w:rPr>
                <w:rFonts w:hint="eastAsia"/>
                <w:lang w:eastAsia="zh-CN"/>
              </w:rPr>
              <w:t>，工程永久占地共5.24hm</w:t>
            </w:r>
            <w:r>
              <w:rPr>
                <w:rFonts w:hint="eastAsia"/>
                <w:vertAlign w:val="superscript"/>
                <w:lang w:eastAsia="zh-CN"/>
              </w:rPr>
              <w:t>2</w:t>
            </w:r>
            <w:r>
              <w:rPr>
                <w:rFonts w:hint="eastAsia"/>
                <w:lang w:eastAsia="zh-CN"/>
              </w:rPr>
              <w:t>，包括占用耕地0.55hm</w:t>
            </w:r>
            <w:r>
              <w:rPr>
                <w:rFonts w:hint="eastAsia"/>
                <w:vertAlign w:val="superscript"/>
                <w:lang w:eastAsia="zh-CN"/>
              </w:rPr>
              <w:t>2</w:t>
            </w:r>
            <w:r>
              <w:rPr>
                <w:rFonts w:hint="eastAsia"/>
                <w:lang w:eastAsia="zh-CN"/>
              </w:rPr>
              <w:t>，林地0.57hm</w:t>
            </w:r>
            <w:r>
              <w:rPr>
                <w:rFonts w:hint="eastAsia"/>
                <w:vertAlign w:val="superscript"/>
                <w:lang w:eastAsia="zh-CN"/>
              </w:rPr>
              <w:t>2</w:t>
            </w:r>
            <w:r>
              <w:rPr>
                <w:rFonts w:hint="eastAsia"/>
                <w:lang w:eastAsia="zh-CN"/>
              </w:rPr>
              <w:t>，草地1.01hm</w:t>
            </w:r>
            <w:r>
              <w:rPr>
                <w:rFonts w:hint="eastAsia"/>
                <w:vertAlign w:val="superscript"/>
                <w:lang w:eastAsia="zh-CN"/>
              </w:rPr>
              <w:t>2</w:t>
            </w:r>
            <w:r>
              <w:rPr>
                <w:rFonts w:hint="eastAsia"/>
                <w:lang w:eastAsia="zh-CN"/>
              </w:rPr>
              <w:t>，水域及水利设施用地2.86hm</w:t>
            </w:r>
            <w:r>
              <w:rPr>
                <w:rFonts w:hint="eastAsia"/>
                <w:vertAlign w:val="superscript"/>
                <w:lang w:eastAsia="zh-CN"/>
              </w:rPr>
              <w:t>2</w:t>
            </w:r>
            <w:r>
              <w:rPr>
                <w:rFonts w:hint="eastAsia"/>
                <w:lang w:eastAsia="zh-CN"/>
              </w:rPr>
              <w:t>，居民及交通工矿用地0.25hm</w:t>
            </w:r>
            <w:r>
              <w:rPr>
                <w:rFonts w:hint="eastAsia"/>
                <w:vertAlign w:val="superscript"/>
                <w:lang w:eastAsia="zh-CN"/>
              </w:rPr>
              <w:t>2</w:t>
            </w:r>
            <w:r>
              <w:rPr>
                <w:rFonts w:hint="eastAsia"/>
                <w:lang w:eastAsia="zh-CN"/>
              </w:rPr>
              <w:t>。</w:t>
            </w:r>
          </w:p>
          <w:p w14:paraId="2F965D11">
            <w:pPr>
              <w:pStyle w:val="6"/>
              <w:rPr>
                <w:rFonts w:hint="eastAsia"/>
              </w:rPr>
            </w:pPr>
            <w:r>
              <w:rPr>
                <w:rFonts w:hint="eastAsia"/>
              </w:rPr>
              <w:t>施工临时用地范围包括工区内的混凝土拌合站、机械停放</w:t>
            </w:r>
            <w:r>
              <w:rPr>
                <w:rFonts w:hint="eastAsia"/>
                <w:lang w:val="en-US" w:eastAsia="zh-CN"/>
              </w:rPr>
              <w:t>场</w:t>
            </w:r>
            <w:r>
              <w:rPr>
                <w:rFonts w:hint="eastAsia"/>
              </w:rPr>
              <w:t>、综合加工棚等临建设施用地、临时道路及临时堆料场用地，经统计，工程临时用地共0.6hm</w:t>
            </w:r>
            <w:r>
              <w:rPr>
                <w:rFonts w:hint="eastAsia"/>
                <w:vertAlign w:val="superscript"/>
              </w:rPr>
              <w:t>2</w:t>
            </w:r>
            <w:r>
              <w:rPr>
                <w:rFonts w:hint="eastAsia"/>
              </w:rPr>
              <w:t>。包括占用耕地0.23hm</w:t>
            </w:r>
            <w:r>
              <w:rPr>
                <w:rFonts w:hint="eastAsia"/>
                <w:vertAlign w:val="superscript"/>
              </w:rPr>
              <w:t>2</w:t>
            </w:r>
            <w:r>
              <w:rPr>
                <w:rFonts w:hint="eastAsia"/>
              </w:rPr>
              <w:t>，草地0.34m</w:t>
            </w:r>
            <w:r>
              <w:rPr>
                <w:rFonts w:hint="eastAsia"/>
                <w:vertAlign w:val="superscript"/>
              </w:rPr>
              <w:t>2</w:t>
            </w:r>
            <w:r>
              <w:rPr>
                <w:rFonts w:hint="eastAsia"/>
              </w:rPr>
              <w:t>，水域及水利设施用地0.03hm</w:t>
            </w:r>
            <w:r>
              <w:rPr>
                <w:rFonts w:hint="eastAsia"/>
                <w:vertAlign w:val="superscript"/>
              </w:rPr>
              <w:t>2</w:t>
            </w:r>
            <w:r>
              <w:rPr>
                <w:rFonts w:hint="eastAsia"/>
              </w:rPr>
              <w:t>。</w:t>
            </w:r>
          </w:p>
          <w:p w14:paraId="1415190D">
            <w:pPr>
              <w:pStyle w:val="6"/>
              <w:rPr>
                <w:rFonts w:hint="eastAsia"/>
              </w:rPr>
            </w:pPr>
            <w:r>
              <w:rPr>
                <w:rFonts w:hint="eastAsia"/>
              </w:rPr>
              <w:t>项目区域内生态状态以农村生态环境为主要特征，并结合农村生态系统以及水生生态系统特点，区内无大型野生动物及珍稀</w:t>
            </w:r>
            <w:r>
              <w:rPr>
                <w:rFonts w:hint="eastAsia"/>
                <w:lang w:val="en-US" w:eastAsia="zh-CN"/>
              </w:rPr>
              <w:t>濒危</w:t>
            </w:r>
            <w:r>
              <w:rPr>
                <w:rFonts w:hint="eastAsia"/>
              </w:rPr>
              <w:t>植物，绿化景观较好，沿线覆盖有河滩地、草地、耕地等，区域生态环境现状受人类活动影响较为频繁。</w:t>
            </w:r>
          </w:p>
          <w:p w14:paraId="3435B57B">
            <w:pPr>
              <w:pStyle w:val="6"/>
              <w:rPr>
                <w:rFonts w:hint="default" w:eastAsia="宋体"/>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陆生生态现状</w:t>
            </w:r>
          </w:p>
          <w:p w14:paraId="47DCA213">
            <w:pPr>
              <w:pStyle w:val="6"/>
              <w:rPr>
                <w:rFonts w:hint="eastAsia"/>
              </w:rPr>
            </w:pPr>
            <w:r>
              <w:rPr>
                <w:rFonts w:hint="eastAsia"/>
              </w:rPr>
              <w:t>根据现场实际调查和文献资料，评价区域主要位于</w:t>
            </w:r>
            <w:r>
              <w:rPr>
                <w:rFonts w:hint="eastAsia"/>
                <w:lang w:val="en-US" w:eastAsia="zh-CN"/>
              </w:rPr>
              <w:t>天生</w:t>
            </w:r>
            <w:r>
              <w:rPr>
                <w:rFonts w:hint="eastAsia"/>
              </w:rPr>
              <w:t>镇镇区，生态系统受人工干扰较大，以人工生态系统为主，主要包括建筑及道路生态系统和农田生态系统；自然生态系统具有较为典型的丘陵山地气候特点，包括水体生态系统、森林生态系统和灌草丛生态系统。评价区域内无</w:t>
            </w:r>
            <w:r>
              <w:rPr>
                <w:rFonts w:hint="eastAsia"/>
                <w:lang w:val="en-US" w:eastAsia="zh-CN"/>
              </w:rPr>
              <w:t>国家级地方重点保护野生动植物、无珍稀濒危物种及古树名木。</w:t>
            </w:r>
          </w:p>
          <w:p w14:paraId="0D99B061">
            <w:pPr>
              <w:pStyle w:val="6"/>
              <w:rPr>
                <w:rFonts w:hint="default" w:eastAsia="宋体"/>
                <w:lang w:val="en-US" w:eastAsia="zh-CN"/>
              </w:rPr>
            </w:pPr>
            <w:r>
              <w:rPr>
                <w:rFonts w:hint="eastAsia"/>
                <w:lang w:val="en-US" w:eastAsia="zh-CN"/>
              </w:rPr>
              <w:t>①陆生植物</w:t>
            </w:r>
          </w:p>
          <w:p w14:paraId="272FEDF7">
            <w:pPr>
              <w:pStyle w:val="6"/>
              <w:rPr>
                <w:rFonts w:hint="eastAsia"/>
              </w:rPr>
            </w:pPr>
            <w:r>
              <w:rPr>
                <w:rFonts w:hint="eastAsia"/>
              </w:rPr>
              <w:t>本项目位于丘陵地区，地带性植被为亚热带常绿阔叶林。但又位于人为活动频繁的农</w:t>
            </w:r>
            <w:r>
              <w:rPr>
                <w:rFonts w:hint="eastAsia"/>
                <w:lang w:eastAsia="zh-CN"/>
              </w:rPr>
              <w:t>村地</w:t>
            </w:r>
            <w:r>
              <w:rPr>
                <w:rFonts w:hint="eastAsia"/>
              </w:rPr>
              <w:t>区，人为干扰严重，植被为次生灌草丛和农作物。河谷两侧主要为水生植被、枫杨林、竹林，地势平缓地区为耕地，局部丘陵为次生的栎林；其余地区为次生的灌草丛。区域植被分自然植被和栽培植被，自然植被主要为分布于两岸岸边、河滩地上的草本植物（包括禾草与非禾草），覆盖率20%~30%，植被较为少。本项目河道两岸分布有大量农田，栽培植被主要为蔬菜、土豆、油菜等。评价区域内无</w:t>
            </w:r>
            <w:r>
              <w:rPr>
                <w:rFonts w:hint="eastAsia"/>
                <w:lang w:val="en-US" w:eastAsia="zh-CN"/>
              </w:rPr>
              <w:t>国家级地方重点保护野生植物、无珍稀濒危植物及古树名木。</w:t>
            </w:r>
          </w:p>
          <w:p w14:paraId="0387C429">
            <w:pPr>
              <w:pStyle w:val="6"/>
              <w:rPr>
                <w:rFonts w:hint="default" w:eastAsia="宋体"/>
                <w:lang w:val="en-US" w:eastAsia="zh-CN"/>
              </w:rPr>
            </w:pPr>
            <w:r>
              <w:rPr>
                <w:rFonts w:hint="eastAsia"/>
                <w:lang w:val="en-US" w:eastAsia="zh-CN"/>
              </w:rPr>
              <w:t>②陆生动物</w:t>
            </w:r>
          </w:p>
          <w:p w14:paraId="167D2A06">
            <w:pPr>
              <w:pStyle w:val="6"/>
              <w:rPr>
                <w:rFonts w:hint="eastAsia"/>
              </w:rPr>
            </w:pPr>
            <w:r>
              <w:rPr>
                <w:rFonts w:hint="eastAsia"/>
                <w:lang w:val="en-US" w:eastAsia="zh-CN"/>
              </w:rPr>
              <w:t>本项目及周边</w:t>
            </w:r>
            <w:r>
              <w:rPr>
                <w:rFonts w:hint="eastAsia"/>
              </w:rPr>
              <w:t>以农耕区为主，人为干扰严重的区域，主要野生动物是小型啮齿类和适应于荒山灌丛、农耕区域和人居环境的小型常见动物（如麻雀、蜻蜓、蝙蝠、蝴蝶等），无珍稀野生保护动物。经调查，项目</w:t>
            </w:r>
            <w:r>
              <w:rPr>
                <w:rFonts w:hint="eastAsia"/>
                <w:lang w:val="en-US" w:eastAsia="zh-CN"/>
              </w:rPr>
              <w:t>周边</w:t>
            </w:r>
            <w:r>
              <w:rPr>
                <w:rFonts w:hint="eastAsia"/>
              </w:rPr>
              <w:t>未发现</w:t>
            </w:r>
            <w:r>
              <w:rPr>
                <w:rFonts w:hint="eastAsia"/>
                <w:lang w:val="en-US" w:eastAsia="zh-CN"/>
              </w:rPr>
              <w:t>国家级地方重点保护野生动物、无珍稀濒危动物</w:t>
            </w:r>
            <w:r>
              <w:rPr>
                <w:rFonts w:hint="eastAsia"/>
              </w:rPr>
              <w:t>。本项目所在区域陆生动物主要是一些两栖类、爬行类和小型兽类，偶有一般动物如蛇、老鼠、斑鸠、麻雀、蜻蜓、蝙蝠、蝴蝶、青蛙等出现。</w:t>
            </w:r>
          </w:p>
          <w:p w14:paraId="137196EC">
            <w:pPr>
              <w:pStyle w:val="6"/>
              <w:rPr>
                <w:rFonts w:hint="default" w:eastAsia="宋体"/>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水生生物现状</w:t>
            </w:r>
          </w:p>
          <w:p w14:paraId="69F07D6E">
            <w:pPr>
              <w:pStyle w:val="6"/>
              <w:rPr>
                <w:rFonts w:hint="eastAsia" w:eastAsia="宋体"/>
                <w:lang w:val="en-US" w:eastAsia="zh-CN"/>
              </w:rPr>
            </w:pPr>
            <w:r>
              <w:rPr>
                <w:rFonts w:hint="eastAsia" w:eastAsia="宋体"/>
                <w:lang w:val="en-US" w:eastAsia="zh-CN"/>
              </w:rPr>
              <w:t>本项目位于</w:t>
            </w:r>
            <w:r>
              <w:rPr>
                <w:rFonts w:hint="eastAsia"/>
                <w:lang w:val="en-US" w:eastAsia="zh-CN"/>
              </w:rPr>
              <w:t>天生河及其支流黎家沟</w:t>
            </w:r>
            <w:r>
              <w:rPr>
                <w:rFonts w:hint="eastAsia" w:eastAsia="宋体"/>
                <w:lang w:val="en-US" w:eastAsia="zh-CN"/>
              </w:rPr>
              <w:t>，项目所在河道水生生态现状简单，水生生物种类较少，群落结构简单，资源量极小，没有较为敏感的物种。项目不涉及饮用水水源保护区，无国家级和</w:t>
            </w:r>
            <w:r>
              <w:rPr>
                <w:rFonts w:hint="eastAsia"/>
                <w:lang w:val="en-US" w:eastAsia="zh-CN"/>
              </w:rPr>
              <w:t>四川省</w:t>
            </w:r>
            <w:r>
              <w:rPr>
                <w:rFonts w:hint="eastAsia" w:eastAsia="宋体"/>
                <w:lang w:val="en-US" w:eastAsia="zh-CN"/>
              </w:rPr>
              <w:t>重点保护鱼类，不涉及</w:t>
            </w:r>
            <w:r>
              <w:rPr>
                <w:rFonts w:hint="eastAsia"/>
                <w:lang w:val="en-US" w:eastAsia="zh-CN"/>
              </w:rPr>
              <w:t>重要</w:t>
            </w:r>
            <w:r>
              <w:rPr>
                <w:rFonts w:hint="eastAsia" w:eastAsia="宋体"/>
                <w:lang w:val="en-US" w:eastAsia="zh-CN"/>
              </w:rPr>
              <w:t>鱼类</w:t>
            </w:r>
            <w:r>
              <w:rPr>
                <w:rFonts w:hint="eastAsia"/>
                <w:lang w:val="en-US" w:eastAsia="zh-CN"/>
              </w:rPr>
              <w:t>的</w:t>
            </w:r>
            <w:r>
              <w:rPr>
                <w:rFonts w:hint="eastAsia" w:eastAsia="宋体"/>
                <w:lang w:val="en-US" w:eastAsia="zh-CN"/>
              </w:rPr>
              <w:t>“三场”</w:t>
            </w:r>
            <w:r>
              <w:rPr>
                <w:rFonts w:hint="eastAsia"/>
                <w:lang w:val="en-US" w:eastAsia="zh-CN"/>
              </w:rPr>
              <w:t>及洄游通道</w:t>
            </w:r>
            <w:r>
              <w:rPr>
                <w:rFonts w:hint="eastAsia" w:eastAsia="宋体"/>
                <w:lang w:val="en-US" w:eastAsia="zh-CN"/>
              </w:rPr>
              <w:t>。</w:t>
            </w:r>
          </w:p>
          <w:p w14:paraId="139FED19">
            <w:pPr>
              <w:pStyle w:val="6"/>
              <w:rPr>
                <w:rFonts w:hint="eastAsia"/>
              </w:rPr>
            </w:pPr>
            <w:r>
              <w:rPr>
                <w:rFonts w:hint="eastAsia"/>
              </w:rPr>
              <w:t>①浮游动物</w:t>
            </w:r>
          </w:p>
          <w:p w14:paraId="5D4D536D">
            <w:pPr>
              <w:pStyle w:val="6"/>
              <w:rPr>
                <w:rFonts w:hint="eastAsia"/>
              </w:rPr>
            </w:pPr>
            <w:r>
              <w:rPr>
                <w:rFonts w:hint="eastAsia"/>
              </w:rPr>
              <w:t>浮游动物（Zooplankton）是一个复杂的生态类群，包含无脊椎动物的大部分门类。在淡水水体中研究最多的有四类，其中原生动物（Protozoan）、轮虫类（Rotifer）合称小型浮游动物，枝角类（Cladocera）和桡足类（Copepod）合称大型浮游动物。</w:t>
            </w:r>
          </w:p>
          <w:p w14:paraId="6E4181A7">
            <w:pPr>
              <w:pStyle w:val="6"/>
              <w:rPr>
                <w:rFonts w:hint="eastAsia"/>
              </w:rPr>
            </w:pPr>
            <w:r>
              <w:rPr>
                <w:rFonts w:hint="eastAsia"/>
              </w:rPr>
              <w:t>评价流域内主要的浮游动物类群为甲壳动物、轮虫和原生动物，区域内浮游动物种类较少，具有明显的优势种群且优势种生物量较丰富，以轮虫为主。</w:t>
            </w:r>
          </w:p>
          <w:p w14:paraId="0A00B78C">
            <w:pPr>
              <w:pStyle w:val="6"/>
              <w:rPr>
                <w:rFonts w:hint="eastAsia"/>
              </w:rPr>
            </w:pPr>
            <w:r>
              <w:rPr>
                <w:rFonts w:hint="eastAsia"/>
              </w:rPr>
              <w:t>②底栖动物</w:t>
            </w:r>
          </w:p>
          <w:p w14:paraId="06B48060">
            <w:pPr>
              <w:pStyle w:val="6"/>
              <w:rPr>
                <w:rFonts w:hint="eastAsia"/>
              </w:rPr>
            </w:pPr>
            <w:r>
              <w:rPr>
                <w:rFonts w:hint="eastAsia"/>
              </w:rPr>
              <w:t>底栖动物（zoobenthos）是指生活史的全部或大部分时间生活于水体底部的水生动物群。除定居和活动生活的以外，栖息的形式多为固着于岩石等坚硬的基体上和埋没于泥沙等松软的基底中。此外，还有附着于植物或其他底栖动物体表的，以及栖息在潮间带的底栖种类。在摄食方法上，以悬浮物摄食和沉积物摄食居多。多为无脊椎动物，是一个庞杂的生态类群。按其尺寸，分大型底栖动物、小型底栖</w:t>
            </w:r>
            <w:r>
              <w:rPr>
                <w:rFonts w:hint="eastAsia"/>
                <w:lang w:eastAsia="zh-CN"/>
              </w:rPr>
              <w:t>动物</w:t>
            </w:r>
            <w:r>
              <w:rPr>
                <w:rFonts w:hint="eastAsia"/>
              </w:rPr>
              <w:t>。</w:t>
            </w:r>
          </w:p>
          <w:p w14:paraId="5B5B8770">
            <w:pPr>
              <w:pStyle w:val="6"/>
              <w:rPr>
                <w:rFonts w:hint="eastAsia"/>
              </w:rPr>
            </w:pPr>
            <w:r>
              <w:rPr>
                <w:rFonts w:hint="eastAsia"/>
              </w:rPr>
              <w:t>评价流域内底栖动物主要以蜉蝣目、毛翅目和積翅目为主要类群，常见种类有四节蜉、舌石蛾、高翔蜉，以及螃蟹（属甲壳纲）等。</w:t>
            </w:r>
          </w:p>
          <w:p w14:paraId="70E9260B">
            <w:pPr>
              <w:pStyle w:val="6"/>
              <w:rPr>
                <w:rFonts w:hint="eastAsia"/>
              </w:rPr>
            </w:pPr>
            <w:r>
              <w:rPr>
                <w:rFonts w:hint="eastAsia"/>
              </w:rPr>
              <w:t>③浮游植物</w:t>
            </w:r>
          </w:p>
          <w:p w14:paraId="5E8B0F81">
            <w:pPr>
              <w:pStyle w:val="6"/>
              <w:rPr>
                <w:rFonts w:hint="eastAsia"/>
              </w:rPr>
            </w:pPr>
            <w:r>
              <w:rPr>
                <w:rFonts w:hint="eastAsia"/>
              </w:rPr>
              <w:t>浮游植物（Phytoplankton）作为水体初级生产力最主要的组成部分，可</w:t>
            </w:r>
            <w:r>
              <w:rPr>
                <w:rFonts w:hint="eastAsia"/>
                <w:lang w:eastAsia="zh-CN"/>
              </w:rPr>
              <w:t>作为</w:t>
            </w:r>
            <w:r>
              <w:rPr>
                <w:rFonts w:hint="eastAsia"/>
              </w:rPr>
              <w:t>鱼苗和成鱼的天然饵料，在营养结构中起着重要的作用。在淡水生态系统中，浮游藻类主要包括蓝藻门（Cyanophyta）、绿藻门（Chlorophyta）、硅藻门（Bacillariophyta）、隐藻门（Cryptophyta）、裸藻门（Euglenophyta）、甲藻门（Cyanophyta）、金藻门（Chrysophyta）、针胞藻门（Rhaphidophyta）和黄藻门（Xanthophyta）等。有些藻类可以直接作为环境监测的指示生物，相对于理化条件而言，其密度、生物量、种类组成和多样性能更好地</w:t>
            </w:r>
            <w:r>
              <w:rPr>
                <w:rFonts w:hint="eastAsia"/>
                <w:lang w:eastAsia="zh-CN"/>
              </w:rPr>
              <w:t>反映出</w:t>
            </w:r>
            <w:r>
              <w:rPr>
                <w:rFonts w:hint="eastAsia"/>
              </w:rPr>
              <w:t>水体的营养水平。</w:t>
            </w:r>
          </w:p>
          <w:p w14:paraId="08ABF189">
            <w:pPr>
              <w:pStyle w:val="6"/>
              <w:rPr>
                <w:rFonts w:hint="eastAsia"/>
              </w:rPr>
            </w:pPr>
            <w:r>
              <w:rPr>
                <w:rFonts w:hint="eastAsia"/>
              </w:rPr>
              <w:t>评价流域内浮游植物种类和现存量较低，主要以硅藻门为主，舟形藻属、脆杆藻属、针杆藻属等出现率相对较高；绿藻门次之，栅藻、小球藻较为常见。总体上浮游植物种类和生物量均较低。</w:t>
            </w:r>
          </w:p>
          <w:p w14:paraId="2AE6EF9D">
            <w:pPr>
              <w:pStyle w:val="6"/>
              <w:rPr>
                <w:rFonts w:hint="eastAsia"/>
              </w:rPr>
            </w:pPr>
            <w:r>
              <w:rPr>
                <w:rFonts w:hint="eastAsia"/>
              </w:rPr>
              <w:t>④水生维管束植物</w:t>
            </w:r>
          </w:p>
          <w:p w14:paraId="0F99B0B6">
            <w:pPr>
              <w:pStyle w:val="6"/>
              <w:rPr>
                <w:rFonts w:hint="eastAsia"/>
              </w:rPr>
            </w:pPr>
            <w:r>
              <w:rPr>
                <w:rFonts w:hint="eastAsia"/>
              </w:rPr>
              <w:t>水生维管束植物是水体中的生产者之一，可作鱼类的饵料和繁殖生活场所，是水生生态系统中的基本环节。调查发现，评价流域内主要的水生维管束植物种类有浮萍、凤眼莲、水浮莲、菹草、马来眼子菜、鱼腥草、水葱、水芹、菖蒲、喜旱莲子草等。</w:t>
            </w:r>
          </w:p>
          <w:p w14:paraId="2AE16981">
            <w:pPr>
              <w:pStyle w:val="6"/>
              <w:rPr>
                <w:rFonts w:hint="eastAsia"/>
              </w:rPr>
            </w:pPr>
            <w:r>
              <w:rPr>
                <w:rFonts w:hint="eastAsia"/>
              </w:rPr>
              <w:t>⑤鱼类</w:t>
            </w:r>
          </w:p>
          <w:p w14:paraId="5DDD3B84">
            <w:pPr>
              <w:pStyle w:val="6"/>
              <w:rPr>
                <w:rFonts w:hint="eastAsia"/>
                <w:lang w:val="en-US" w:eastAsia="zh-CN"/>
              </w:rPr>
            </w:pPr>
            <w:r>
              <w:rPr>
                <w:rFonts w:hint="eastAsia"/>
              </w:rPr>
              <w:t>根据相关资料及现场调查，未在项目评价范围发现珍稀保护鱼类分布，</w:t>
            </w:r>
            <w:r>
              <w:rPr>
                <w:rFonts w:hint="eastAsia"/>
                <w:lang w:val="en-US" w:eastAsia="zh-CN"/>
              </w:rPr>
              <w:t>根据《宣汉县水产局关于“宣汉县新宁河天生镇段、长滩河马渡关镇（庆云）段防洪治理工程建设”对水生生态影响的情况说明》，项目所在河段无国家及省级重点保护鱼类，分布有鱼类产卵场和索饵场。根据现场调查，项目所在河段主要分布少量</w:t>
            </w:r>
            <w:r>
              <w:rPr>
                <w:rFonts w:hint="eastAsia"/>
              </w:rPr>
              <w:t>鲫鱼、草鱼和泥鳅等常见鱼类</w:t>
            </w:r>
            <w:r>
              <w:rPr>
                <w:rFonts w:hint="eastAsia"/>
                <w:lang w:eastAsia="zh-CN"/>
              </w:rPr>
              <w:t>，</w:t>
            </w:r>
            <w:r>
              <w:rPr>
                <w:rFonts w:hint="eastAsia"/>
                <w:lang w:val="en-US" w:eastAsia="zh-CN"/>
              </w:rPr>
              <w:t>不涉及重要水生生物的“三场”（越冬场、产卵场、索饵场）及洄游通道等水生生态敏感区域及水产种质资源保护区。</w:t>
            </w:r>
          </w:p>
          <w:p w14:paraId="36B8266B">
            <w:pPr>
              <w:pStyle w:val="6"/>
              <w:rPr>
                <w:rFonts w:hint="eastAsia"/>
                <w:lang w:val="en-US" w:eastAsia="zh-CN"/>
              </w:rPr>
            </w:pPr>
            <w:r>
              <w:rPr>
                <w:rFonts w:hint="eastAsia"/>
                <w:lang w:val="en-US" w:eastAsia="zh-CN"/>
              </w:rPr>
              <w:t>根据中华人民共和国生态环境部部长信箱于2018年2月8日关于“重要水生生物”该如何界定的回复；“一是国家和地方重点保护的水生生物；二是列入国际、国家、地方物种红色名录的水生生物；三是区域流域特有水生生物；四是重要经济水生生物；五是具有典型洄游或迁移洄游的水生生物”。</w:t>
            </w:r>
          </w:p>
          <w:p w14:paraId="6E1C1ED9">
            <w:pPr>
              <w:pStyle w:val="6"/>
              <w:rPr>
                <w:rFonts w:hint="eastAsia"/>
                <w:lang w:val="en-US" w:eastAsia="zh-CN"/>
              </w:rPr>
            </w:pPr>
            <w:r>
              <w:rPr>
                <w:rFonts w:hint="eastAsia"/>
                <w:lang w:val="en-US" w:eastAsia="zh-CN"/>
              </w:rPr>
              <w:t>本项目所在河段存在的鲫鱼、鲤鱼、草鱼、泥鳅等常见水生动物不属于国家和地方重点保护的水生生物；也未因濒危状态而列入国际、国家、地方物种红色名录；不属于区域流域特有的水生生物，也不属于具有特殊重要性和经济保护价值的生物；不具有特殊的典型洄游或迁移习性。因此，本项目不涉及国家和四川省明文规定的重要水生生物。</w:t>
            </w:r>
          </w:p>
          <w:p w14:paraId="17FD3A04">
            <w:pPr>
              <w:pStyle w:val="6"/>
              <w:rPr>
                <w:rFonts w:hint="default" w:eastAsia="宋体"/>
                <w:lang w:val="en-US" w:eastAsia="zh-CN"/>
              </w:rPr>
            </w:pPr>
            <w:r>
              <w:rPr>
                <w:rFonts w:hint="eastAsia"/>
                <w:lang w:val="en-US" w:eastAsia="zh-CN"/>
              </w:rPr>
              <w:t>项目在落实本评价提出的生态保护措施后，对项目河段的水生生态环境影响较小。</w:t>
            </w:r>
          </w:p>
          <w:p w14:paraId="2CBD2DE1">
            <w:pPr>
              <w:pStyle w:val="6"/>
              <w:rPr>
                <w:rFonts w:hint="default" w:eastAsia="宋体"/>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流域现状</w:t>
            </w:r>
          </w:p>
          <w:p w14:paraId="30B00E27">
            <w:pPr>
              <w:pStyle w:val="6"/>
              <w:rPr>
                <w:rFonts w:hint="default" w:eastAsia="宋体"/>
                <w:lang w:val="en-US" w:eastAsia="zh-CN"/>
              </w:rPr>
            </w:pPr>
            <w:r>
              <w:rPr>
                <w:rFonts w:hint="eastAsia"/>
                <w:lang w:val="en-US" w:eastAsia="zh-CN"/>
              </w:rPr>
              <w:t>①水功能区划</w:t>
            </w:r>
          </w:p>
          <w:p w14:paraId="5C682336">
            <w:pPr>
              <w:pStyle w:val="6"/>
              <w:rPr>
                <w:rFonts w:hint="default" w:eastAsia="宋体"/>
                <w:lang w:val="en-US" w:eastAsia="zh-CN"/>
              </w:rPr>
            </w:pPr>
            <w:r>
              <w:rPr>
                <w:rFonts w:hint="eastAsia"/>
                <w:lang w:val="en-US" w:eastAsia="zh-CN"/>
              </w:rPr>
              <w:t>根据《宣汉县水功能区划报告》，本项目所在河段属于天生河一级水功能区划：天生河天生镇开发利用区，水质现状为Ⅲ类，水质管理目标按二级区划执行；二级水功能区划：天生河天生镇农业用水区，现状水质为Ⅲ类，水质管理目标为Ⅲ类。黎家沟为天生河支流，未划分水功能区，参照天生河执行Ⅲ类。</w:t>
            </w:r>
          </w:p>
          <w:p w14:paraId="0B694C97">
            <w:pPr>
              <w:pStyle w:val="6"/>
              <w:rPr>
                <w:rFonts w:hint="default" w:eastAsia="宋体"/>
                <w:lang w:val="en-US" w:eastAsia="zh-CN"/>
              </w:rPr>
            </w:pPr>
            <w:r>
              <w:rPr>
                <w:rFonts w:hint="eastAsia"/>
                <w:lang w:val="en-US" w:eastAsia="zh-CN"/>
              </w:rPr>
              <w:t>②工程河段概况</w:t>
            </w:r>
          </w:p>
          <w:p w14:paraId="71CC8AA0">
            <w:pPr>
              <w:pStyle w:val="6"/>
              <w:rPr>
                <w:rFonts w:hint="eastAsia"/>
              </w:rPr>
            </w:pPr>
            <w:r>
              <w:rPr>
                <w:rFonts w:hint="eastAsia"/>
              </w:rPr>
              <w:t>天生河为新宁河右岸一级支流，发源于东乡街道西山坡徐家坝，流经东乡街道沙河、拱桥，天生镇进步社区、天生社区、仙桥社区，原七里镇（现为仙桥社区）新芽村、断桥村，于秦家祠堂注入新宁河，流域面积73.9km</w:t>
            </w:r>
            <w:r>
              <w:rPr>
                <w:rFonts w:hint="eastAsia"/>
                <w:vertAlign w:val="superscript"/>
              </w:rPr>
              <w:t>2</w:t>
            </w:r>
            <w:r>
              <w:rPr>
                <w:rFonts w:hint="eastAsia"/>
              </w:rPr>
              <w:t>，全长22.1km，天然落差281m，平均比降12.7‰，进步社区双河铺以上分左、右源头，左源称晋家沟，右源称柏树河，双河铺以下称天生河。</w:t>
            </w:r>
          </w:p>
          <w:p w14:paraId="1D478DAE">
            <w:pPr>
              <w:pStyle w:val="6"/>
              <w:rPr>
                <w:rFonts w:hint="eastAsia"/>
              </w:rPr>
            </w:pPr>
            <w:r>
              <w:rPr>
                <w:rFonts w:hint="eastAsia"/>
              </w:rPr>
              <w:t>黎家沟为天生河中游左岸支沟，主沟马槽沟发源于峨城山长槽，下游于楚家坝汇集杉树沟、癞疤沟、楠竹河沟，流经天生镇石岭子纳牛黄沟，后注入天生河，流域面积6.2km</w:t>
            </w:r>
            <w:r>
              <w:rPr>
                <w:rFonts w:hint="eastAsia"/>
                <w:vertAlign w:val="superscript"/>
              </w:rPr>
              <w:t>2</w:t>
            </w:r>
            <w:r>
              <w:rPr>
                <w:rFonts w:hint="eastAsia"/>
              </w:rPr>
              <w:t>，全长6.1km，天然落差551m，平均比降90.3‰。</w:t>
            </w:r>
          </w:p>
          <w:p w14:paraId="5368613A">
            <w:pPr>
              <w:pStyle w:val="6"/>
              <w:rPr>
                <w:rFonts w:hint="eastAsia"/>
              </w:rPr>
            </w:pPr>
            <w:r>
              <w:rPr>
                <w:rFonts w:hint="eastAsia"/>
              </w:rPr>
              <w:t>工程治理河段位于天生河中游及黎家沟中下游河段，天生河治理段涉河建筑物主要包括1座交通桥、4座机耕桥、2座人行桥、3处溢流堰、1座提灌站、1处跨河输水管道、沿河敷设的约5.5km长污水管道及4处跨河天然气管道。天生河工程河段控制断面以上河道长度10.1km，控制流域面积44km</w:t>
            </w:r>
            <w:r>
              <w:rPr>
                <w:rFonts w:hint="eastAsia"/>
                <w:vertAlign w:val="superscript"/>
              </w:rPr>
              <w:t>2</w:t>
            </w:r>
            <w:r>
              <w:rPr>
                <w:rFonts w:hint="eastAsia"/>
              </w:rPr>
              <w:t>，河道综合比降12.5‰；黎家沟工程河段控制断面以上河道长度6.5km，控制流域面积6km</w:t>
            </w:r>
            <w:r>
              <w:rPr>
                <w:rFonts w:hint="eastAsia"/>
                <w:vertAlign w:val="superscript"/>
              </w:rPr>
              <w:t>2</w:t>
            </w:r>
            <w:r>
              <w:rPr>
                <w:rFonts w:hint="eastAsia"/>
              </w:rPr>
              <w:t>，河道综合比降39.2‰。</w:t>
            </w:r>
          </w:p>
          <w:p w14:paraId="72B82598">
            <w:pPr>
              <w:pStyle w:val="6"/>
              <w:rPr>
                <w:rFonts w:hint="default" w:eastAsia="宋体"/>
                <w:lang w:val="en-US" w:eastAsia="zh-CN"/>
              </w:rPr>
            </w:pPr>
            <w:r>
              <w:rPr>
                <w:rFonts w:hint="eastAsia"/>
                <w:lang w:val="en-US" w:eastAsia="zh-CN"/>
              </w:rPr>
              <w:t>③水文资料</w:t>
            </w:r>
          </w:p>
          <w:p w14:paraId="01F0BF5E">
            <w:pPr>
              <w:pStyle w:val="6"/>
              <w:rPr>
                <w:rFonts w:hint="eastAsia"/>
              </w:rPr>
            </w:pPr>
            <w:r>
              <w:rPr>
                <w:rFonts w:hint="eastAsia"/>
              </w:rPr>
              <w:t>天生河流域内无水文测站，下游干流明月江上有明月潭站和大风站。工程流域邻近水文站的测验项目和观测年限统计见下表。</w:t>
            </w:r>
          </w:p>
          <w:p w14:paraId="2DE73228">
            <w:pPr>
              <w:pStyle w:val="7"/>
              <w:bidi w:val="0"/>
              <w:rPr>
                <w:rFonts w:hint="eastAsia"/>
                <w:lang w:val="en-US" w:eastAsia="zh-CN"/>
              </w:rPr>
            </w:pPr>
            <w:r>
              <w:rPr>
                <w:rFonts w:hint="eastAsia"/>
                <w:lang w:val="en-US" w:eastAsia="zh-CN"/>
              </w:rPr>
              <w:t xml:space="preserve">  临近流域测站统计表</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061"/>
              <w:gridCol w:w="1800"/>
              <w:gridCol w:w="1590"/>
              <w:gridCol w:w="1560"/>
              <w:gridCol w:w="1546"/>
            </w:tblGrid>
            <w:tr w14:paraId="49C7F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89" w:type="pct"/>
                  <w:vMerge w:val="restart"/>
                  <w:noWrap w:val="0"/>
                  <w:vAlign w:val="center"/>
                </w:tcPr>
                <w:p w14:paraId="54EA01F2">
                  <w:pPr>
                    <w:pStyle w:val="59"/>
                    <w:bidi w:val="0"/>
                    <w:rPr>
                      <w:rFonts w:hint="default" w:eastAsia="宋体"/>
                      <w:sz w:val="22"/>
                      <w:szCs w:val="22"/>
                      <w:lang w:val="en-US" w:eastAsia="zh-CN"/>
                    </w:rPr>
                  </w:pPr>
                  <w:r>
                    <w:rPr>
                      <w:rFonts w:hint="eastAsia"/>
                      <w:sz w:val="22"/>
                      <w:szCs w:val="22"/>
                      <w:lang w:val="en-US" w:eastAsia="zh-CN"/>
                    </w:rPr>
                    <w:t>河名</w:t>
                  </w:r>
                </w:p>
              </w:tc>
              <w:tc>
                <w:tcPr>
                  <w:tcW w:w="619" w:type="pct"/>
                  <w:vMerge w:val="restart"/>
                  <w:noWrap w:val="0"/>
                  <w:vAlign w:val="center"/>
                </w:tcPr>
                <w:p w14:paraId="2582E67A">
                  <w:pPr>
                    <w:pStyle w:val="59"/>
                    <w:bidi w:val="0"/>
                    <w:rPr>
                      <w:rFonts w:hint="default" w:eastAsia="宋体"/>
                      <w:sz w:val="22"/>
                      <w:szCs w:val="22"/>
                      <w:lang w:val="en-US" w:eastAsia="zh-CN"/>
                    </w:rPr>
                  </w:pPr>
                  <w:r>
                    <w:rPr>
                      <w:rFonts w:hint="eastAsia"/>
                      <w:sz w:val="22"/>
                      <w:szCs w:val="22"/>
                      <w:lang w:val="en-US" w:eastAsia="zh-CN"/>
                    </w:rPr>
                    <w:t>站名</w:t>
                  </w:r>
                </w:p>
              </w:tc>
              <w:tc>
                <w:tcPr>
                  <w:tcW w:w="1050" w:type="pct"/>
                  <w:vMerge w:val="restart"/>
                  <w:noWrap w:val="0"/>
                  <w:vAlign w:val="center"/>
                </w:tcPr>
                <w:p w14:paraId="4CF25778">
                  <w:pPr>
                    <w:pStyle w:val="59"/>
                    <w:bidi w:val="0"/>
                    <w:rPr>
                      <w:rFonts w:hint="default" w:eastAsia="宋体"/>
                      <w:sz w:val="22"/>
                      <w:szCs w:val="22"/>
                      <w:lang w:val="en-US" w:eastAsia="zh-CN"/>
                    </w:rPr>
                  </w:pPr>
                  <w:r>
                    <w:rPr>
                      <w:rFonts w:hint="eastAsia"/>
                      <w:sz w:val="22"/>
                      <w:szCs w:val="22"/>
                      <w:lang w:val="en-US" w:eastAsia="zh-CN"/>
                    </w:rPr>
                    <w:t>集水面积（km</w:t>
                  </w:r>
                  <w:r>
                    <w:rPr>
                      <w:rFonts w:hint="eastAsia"/>
                      <w:sz w:val="22"/>
                      <w:szCs w:val="22"/>
                      <w:vertAlign w:val="superscript"/>
                      <w:lang w:val="en-US" w:eastAsia="zh-CN"/>
                    </w:rPr>
                    <w:t>2</w:t>
                  </w:r>
                  <w:r>
                    <w:rPr>
                      <w:rFonts w:hint="eastAsia"/>
                      <w:sz w:val="22"/>
                      <w:szCs w:val="22"/>
                      <w:lang w:val="en-US" w:eastAsia="zh-CN"/>
                    </w:rPr>
                    <w:t>）</w:t>
                  </w:r>
                </w:p>
              </w:tc>
              <w:tc>
                <w:tcPr>
                  <w:tcW w:w="2739" w:type="pct"/>
                  <w:gridSpan w:val="3"/>
                  <w:noWrap w:val="0"/>
                  <w:vAlign w:val="center"/>
                </w:tcPr>
                <w:p w14:paraId="1E95AB44">
                  <w:pPr>
                    <w:pStyle w:val="59"/>
                    <w:bidi w:val="0"/>
                    <w:rPr>
                      <w:rFonts w:hint="default"/>
                      <w:sz w:val="22"/>
                      <w:szCs w:val="22"/>
                      <w:lang w:val="en-US" w:eastAsia="zh-CN"/>
                    </w:rPr>
                  </w:pPr>
                  <w:r>
                    <w:rPr>
                      <w:rFonts w:hint="eastAsia"/>
                      <w:sz w:val="22"/>
                      <w:szCs w:val="22"/>
                      <w:lang w:val="en-US" w:eastAsia="zh-CN"/>
                    </w:rPr>
                    <w:t>观测项目及起迄时间（年.月）</w:t>
                  </w:r>
                </w:p>
              </w:tc>
            </w:tr>
            <w:tr w14:paraId="7E04D6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89" w:type="pct"/>
                  <w:vMerge w:val="continue"/>
                  <w:noWrap w:val="0"/>
                  <w:vAlign w:val="center"/>
                </w:tcPr>
                <w:p w14:paraId="291DF001">
                  <w:pPr>
                    <w:pStyle w:val="59"/>
                    <w:bidi w:val="0"/>
                    <w:rPr>
                      <w:rFonts w:hint="eastAsia"/>
                      <w:sz w:val="22"/>
                      <w:szCs w:val="22"/>
                    </w:rPr>
                  </w:pPr>
                </w:p>
              </w:tc>
              <w:tc>
                <w:tcPr>
                  <w:tcW w:w="619" w:type="pct"/>
                  <w:vMerge w:val="continue"/>
                  <w:noWrap w:val="0"/>
                  <w:vAlign w:val="center"/>
                </w:tcPr>
                <w:p w14:paraId="5E1D2579">
                  <w:pPr>
                    <w:pStyle w:val="59"/>
                    <w:bidi w:val="0"/>
                    <w:rPr>
                      <w:rFonts w:hint="eastAsia"/>
                      <w:sz w:val="22"/>
                      <w:szCs w:val="22"/>
                    </w:rPr>
                  </w:pPr>
                </w:p>
              </w:tc>
              <w:tc>
                <w:tcPr>
                  <w:tcW w:w="1050" w:type="pct"/>
                  <w:vMerge w:val="continue"/>
                  <w:noWrap w:val="0"/>
                  <w:vAlign w:val="center"/>
                </w:tcPr>
                <w:p w14:paraId="25E312A1">
                  <w:pPr>
                    <w:pStyle w:val="59"/>
                    <w:bidi w:val="0"/>
                    <w:rPr>
                      <w:rFonts w:hint="eastAsia"/>
                      <w:sz w:val="22"/>
                      <w:szCs w:val="22"/>
                      <w:lang w:val="en-US" w:eastAsia="zh-CN"/>
                    </w:rPr>
                  </w:pPr>
                </w:p>
              </w:tc>
              <w:tc>
                <w:tcPr>
                  <w:tcW w:w="928" w:type="pct"/>
                  <w:noWrap w:val="0"/>
                  <w:vAlign w:val="center"/>
                </w:tcPr>
                <w:p w14:paraId="3223EE59">
                  <w:pPr>
                    <w:pStyle w:val="59"/>
                    <w:bidi w:val="0"/>
                    <w:rPr>
                      <w:rFonts w:hint="default"/>
                      <w:sz w:val="22"/>
                      <w:szCs w:val="22"/>
                      <w:lang w:val="en-US" w:eastAsia="zh-CN"/>
                    </w:rPr>
                  </w:pPr>
                  <w:r>
                    <w:rPr>
                      <w:rFonts w:hint="eastAsia"/>
                      <w:sz w:val="22"/>
                      <w:szCs w:val="22"/>
                      <w:lang w:val="en-US" w:eastAsia="zh-CN"/>
                    </w:rPr>
                    <w:t>水位</w:t>
                  </w:r>
                </w:p>
              </w:tc>
              <w:tc>
                <w:tcPr>
                  <w:tcW w:w="910" w:type="pct"/>
                  <w:noWrap w:val="0"/>
                  <w:vAlign w:val="center"/>
                </w:tcPr>
                <w:p w14:paraId="2A297475">
                  <w:pPr>
                    <w:pStyle w:val="59"/>
                    <w:bidi w:val="0"/>
                    <w:rPr>
                      <w:rFonts w:hint="default"/>
                      <w:sz w:val="22"/>
                      <w:szCs w:val="22"/>
                      <w:lang w:val="en-US" w:eastAsia="zh-CN"/>
                    </w:rPr>
                  </w:pPr>
                  <w:r>
                    <w:rPr>
                      <w:rFonts w:hint="eastAsia"/>
                      <w:sz w:val="22"/>
                      <w:szCs w:val="22"/>
                      <w:lang w:val="en-US" w:eastAsia="zh-CN"/>
                    </w:rPr>
                    <w:t>流量</w:t>
                  </w:r>
                </w:p>
              </w:tc>
              <w:tc>
                <w:tcPr>
                  <w:tcW w:w="900" w:type="pct"/>
                  <w:noWrap w:val="0"/>
                  <w:vAlign w:val="center"/>
                </w:tcPr>
                <w:p w14:paraId="716A7ED0">
                  <w:pPr>
                    <w:pStyle w:val="59"/>
                    <w:bidi w:val="0"/>
                    <w:rPr>
                      <w:rFonts w:hint="default"/>
                      <w:sz w:val="22"/>
                      <w:szCs w:val="22"/>
                      <w:lang w:val="en-US" w:eastAsia="zh-CN"/>
                    </w:rPr>
                  </w:pPr>
                  <w:r>
                    <w:rPr>
                      <w:rFonts w:hint="eastAsia"/>
                      <w:sz w:val="22"/>
                      <w:szCs w:val="22"/>
                      <w:lang w:val="en-US" w:eastAsia="zh-CN"/>
                    </w:rPr>
                    <w:t>降雨</w:t>
                  </w:r>
                </w:p>
              </w:tc>
            </w:tr>
            <w:tr w14:paraId="797FBA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noWrap w:val="0"/>
                  <w:vAlign w:val="center"/>
                </w:tcPr>
                <w:p w14:paraId="1A3E749D">
                  <w:pPr>
                    <w:pStyle w:val="59"/>
                    <w:bidi w:val="0"/>
                    <w:rPr>
                      <w:rFonts w:hint="default" w:eastAsia="宋体"/>
                      <w:sz w:val="22"/>
                      <w:szCs w:val="22"/>
                      <w:lang w:val="en-US" w:eastAsia="zh-CN"/>
                    </w:rPr>
                  </w:pPr>
                  <w:r>
                    <w:rPr>
                      <w:rFonts w:hint="eastAsia"/>
                      <w:sz w:val="22"/>
                      <w:szCs w:val="22"/>
                      <w:lang w:val="en-US" w:eastAsia="zh-CN"/>
                    </w:rPr>
                    <w:t>明月江</w:t>
                  </w:r>
                </w:p>
              </w:tc>
              <w:tc>
                <w:tcPr>
                  <w:tcW w:w="619" w:type="pct"/>
                  <w:noWrap w:val="0"/>
                  <w:vAlign w:val="center"/>
                </w:tcPr>
                <w:p w14:paraId="3082CF46">
                  <w:pPr>
                    <w:pStyle w:val="59"/>
                    <w:bidi w:val="0"/>
                    <w:rPr>
                      <w:rFonts w:hint="default" w:eastAsia="宋体"/>
                      <w:sz w:val="22"/>
                      <w:szCs w:val="22"/>
                      <w:lang w:val="en-US" w:eastAsia="zh-CN"/>
                    </w:rPr>
                  </w:pPr>
                  <w:r>
                    <w:rPr>
                      <w:rFonts w:hint="eastAsia"/>
                      <w:sz w:val="22"/>
                      <w:szCs w:val="22"/>
                      <w:lang w:val="en-US" w:eastAsia="zh-CN"/>
                    </w:rPr>
                    <w:t>明月谭</w:t>
                  </w:r>
                </w:p>
              </w:tc>
              <w:tc>
                <w:tcPr>
                  <w:tcW w:w="1050" w:type="pct"/>
                  <w:noWrap w:val="0"/>
                  <w:vAlign w:val="center"/>
                </w:tcPr>
                <w:p w14:paraId="2D0E8955">
                  <w:pPr>
                    <w:pStyle w:val="59"/>
                    <w:bidi w:val="0"/>
                    <w:rPr>
                      <w:rFonts w:hint="default" w:eastAsia="宋体"/>
                      <w:sz w:val="22"/>
                      <w:szCs w:val="22"/>
                      <w:lang w:val="en-US" w:eastAsia="zh-CN"/>
                    </w:rPr>
                  </w:pPr>
                  <w:r>
                    <w:rPr>
                      <w:rFonts w:hint="eastAsia"/>
                      <w:sz w:val="22"/>
                      <w:szCs w:val="22"/>
                      <w:lang w:val="en-US" w:eastAsia="zh-CN"/>
                    </w:rPr>
                    <w:t>736</w:t>
                  </w:r>
                </w:p>
              </w:tc>
              <w:tc>
                <w:tcPr>
                  <w:tcW w:w="928" w:type="pct"/>
                  <w:noWrap w:val="0"/>
                  <w:vAlign w:val="center"/>
                </w:tcPr>
                <w:p w14:paraId="0C7E23F1">
                  <w:pPr>
                    <w:pStyle w:val="59"/>
                    <w:bidi w:val="0"/>
                    <w:rPr>
                      <w:rFonts w:hint="default" w:eastAsia="宋体"/>
                      <w:sz w:val="22"/>
                      <w:szCs w:val="22"/>
                      <w:lang w:val="en-US" w:eastAsia="zh-CN"/>
                    </w:rPr>
                  </w:pPr>
                  <w:r>
                    <w:rPr>
                      <w:rFonts w:hint="eastAsia"/>
                      <w:sz w:val="22"/>
                      <w:szCs w:val="22"/>
                      <w:lang w:val="en-US" w:eastAsia="zh-CN"/>
                    </w:rPr>
                    <w:t>1954.6~2002</w:t>
                  </w:r>
                </w:p>
              </w:tc>
              <w:tc>
                <w:tcPr>
                  <w:tcW w:w="910" w:type="pct"/>
                  <w:noWrap w:val="0"/>
                  <w:vAlign w:val="center"/>
                </w:tcPr>
                <w:p w14:paraId="500F0F81">
                  <w:pPr>
                    <w:pStyle w:val="59"/>
                    <w:bidi w:val="0"/>
                    <w:rPr>
                      <w:rFonts w:hint="default" w:eastAsia="宋体"/>
                      <w:sz w:val="22"/>
                      <w:szCs w:val="22"/>
                      <w:lang w:val="en-US" w:eastAsia="zh-CN"/>
                    </w:rPr>
                  </w:pPr>
                  <w:r>
                    <w:rPr>
                      <w:rFonts w:hint="eastAsia"/>
                      <w:sz w:val="22"/>
                      <w:szCs w:val="22"/>
                      <w:lang w:val="en-US" w:eastAsia="zh-CN"/>
                    </w:rPr>
                    <w:t>1954.6~1987</w:t>
                  </w:r>
                </w:p>
              </w:tc>
              <w:tc>
                <w:tcPr>
                  <w:tcW w:w="900" w:type="pct"/>
                  <w:noWrap w:val="0"/>
                  <w:vAlign w:val="center"/>
                </w:tcPr>
                <w:p w14:paraId="0BB3DACA">
                  <w:pPr>
                    <w:pStyle w:val="59"/>
                    <w:bidi w:val="0"/>
                    <w:rPr>
                      <w:rFonts w:hint="default"/>
                      <w:sz w:val="22"/>
                      <w:szCs w:val="22"/>
                      <w:lang w:val="en-US" w:eastAsia="zh-CN"/>
                    </w:rPr>
                  </w:pPr>
                  <w:r>
                    <w:rPr>
                      <w:rFonts w:hint="eastAsia"/>
                      <w:sz w:val="22"/>
                      <w:szCs w:val="22"/>
                      <w:lang w:val="en-US" w:eastAsia="zh-CN"/>
                    </w:rPr>
                    <w:t>1954.6~至今</w:t>
                  </w:r>
                </w:p>
              </w:tc>
            </w:tr>
            <w:tr w14:paraId="08E6D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9" w:type="pct"/>
                  <w:noWrap w:val="0"/>
                  <w:vAlign w:val="center"/>
                </w:tcPr>
                <w:p w14:paraId="2ABEA8ED">
                  <w:pPr>
                    <w:pStyle w:val="59"/>
                    <w:bidi w:val="0"/>
                    <w:rPr>
                      <w:rFonts w:hint="default" w:eastAsia="宋体"/>
                      <w:sz w:val="22"/>
                      <w:szCs w:val="22"/>
                      <w:lang w:val="en-US" w:eastAsia="zh-CN"/>
                    </w:rPr>
                  </w:pPr>
                  <w:r>
                    <w:rPr>
                      <w:rFonts w:hint="eastAsia"/>
                      <w:sz w:val="22"/>
                      <w:szCs w:val="22"/>
                      <w:lang w:val="en-US" w:eastAsia="zh-CN"/>
                    </w:rPr>
                    <w:t>明月江</w:t>
                  </w:r>
                </w:p>
              </w:tc>
              <w:tc>
                <w:tcPr>
                  <w:tcW w:w="619" w:type="pct"/>
                  <w:noWrap w:val="0"/>
                  <w:vAlign w:val="center"/>
                </w:tcPr>
                <w:p w14:paraId="16FABA32">
                  <w:pPr>
                    <w:pStyle w:val="59"/>
                    <w:bidi w:val="0"/>
                    <w:rPr>
                      <w:rFonts w:hint="eastAsia" w:eastAsia="宋体"/>
                      <w:sz w:val="22"/>
                      <w:szCs w:val="22"/>
                      <w:lang w:val="en-US" w:eastAsia="zh-CN"/>
                    </w:rPr>
                  </w:pPr>
                  <w:r>
                    <w:rPr>
                      <w:rFonts w:hint="eastAsia"/>
                      <w:sz w:val="22"/>
                      <w:szCs w:val="22"/>
                      <w:lang w:val="en-US" w:eastAsia="zh-CN"/>
                    </w:rPr>
                    <w:t>大风</w:t>
                  </w:r>
                </w:p>
              </w:tc>
              <w:tc>
                <w:tcPr>
                  <w:tcW w:w="1050" w:type="pct"/>
                  <w:noWrap w:val="0"/>
                  <w:vAlign w:val="center"/>
                </w:tcPr>
                <w:p w14:paraId="3DCB89D8">
                  <w:pPr>
                    <w:pStyle w:val="59"/>
                    <w:bidi w:val="0"/>
                    <w:rPr>
                      <w:rFonts w:hint="default" w:eastAsia="宋体"/>
                      <w:sz w:val="22"/>
                      <w:szCs w:val="22"/>
                      <w:lang w:val="en-US" w:eastAsia="zh-CN"/>
                    </w:rPr>
                  </w:pPr>
                  <w:r>
                    <w:rPr>
                      <w:rFonts w:hint="eastAsia"/>
                      <w:sz w:val="22"/>
                      <w:szCs w:val="22"/>
                      <w:lang w:val="en-US" w:eastAsia="zh-CN"/>
                    </w:rPr>
                    <w:t>1125</w:t>
                  </w:r>
                </w:p>
              </w:tc>
              <w:tc>
                <w:tcPr>
                  <w:tcW w:w="928" w:type="pct"/>
                  <w:noWrap w:val="0"/>
                  <w:vAlign w:val="center"/>
                </w:tcPr>
                <w:p w14:paraId="1BBDA8D2">
                  <w:pPr>
                    <w:pStyle w:val="59"/>
                    <w:bidi w:val="0"/>
                    <w:rPr>
                      <w:rFonts w:hint="default" w:eastAsia="宋体"/>
                      <w:sz w:val="22"/>
                      <w:szCs w:val="22"/>
                      <w:lang w:val="en-US" w:eastAsia="zh-CN"/>
                    </w:rPr>
                  </w:pPr>
                  <w:r>
                    <w:rPr>
                      <w:rFonts w:hint="eastAsia"/>
                      <w:sz w:val="22"/>
                      <w:szCs w:val="22"/>
                      <w:lang w:val="en-US" w:eastAsia="zh-CN"/>
                    </w:rPr>
                    <w:t>2003至今</w:t>
                  </w:r>
                </w:p>
              </w:tc>
              <w:tc>
                <w:tcPr>
                  <w:tcW w:w="910" w:type="pct"/>
                  <w:noWrap w:val="0"/>
                  <w:vAlign w:val="center"/>
                </w:tcPr>
                <w:p w14:paraId="28E3E045">
                  <w:pPr>
                    <w:pStyle w:val="59"/>
                    <w:bidi w:val="0"/>
                    <w:rPr>
                      <w:rFonts w:hint="default" w:eastAsia="宋体"/>
                      <w:sz w:val="22"/>
                      <w:szCs w:val="22"/>
                      <w:lang w:val="en-US" w:eastAsia="zh-CN"/>
                    </w:rPr>
                  </w:pPr>
                  <w:r>
                    <w:rPr>
                      <w:rFonts w:hint="eastAsia"/>
                      <w:sz w:val="22"/>
                      <w:szCs w:val="22"/>
                      <w:lang w:val="en-US" w:eastAsia="zh-CN"/>
                    </w:rPr>
                    <w:t>2003至今</w:t>
                  </w:r>
                </w:p>
              </w:tc>
              <w:tc>
                <w:tcPr>
                  <w:tcW w:w="900" w:type="pct"/>
                  <w:noWrap w:val="0"/>
                  <w:vAlign w:val="center"/>
                </w:tcPr>
                <w:p w14:paraId="16205495">
                  <w:pPr>
                    <w:pStyle w:val="59"/>
                    <w:bidi w:val="0"/>
                    <w:rPr>
                      <w:rFonts w:hint="eastAsia"/>
                      <w:sz w:val="22"/>
                      <w:szCs w:val="22"/>
                      <w:lang w:val="en-US" w:eastAsia="zh-CN"/>
                    </w:rPr>
                  </w:pPr>
                  <w:r>
                    <w:rPr>
                      <w:rFonts w:hint="eastAsia"/>
                      <w:sz w:val="22"/>
                      <w:szCs w:val="22"/>
                      <w:lang w:val="en-US" w:eastAsia="zh-CN"/>
                    </w:rPr>
                    <w:t>2003至今</w:t>
                  </w:r>
                </w:p>
              </w:tc>
            </w:tr>
          </w:tbl>
          <w:p w14:paraId="14085F70">
            <w:pPr>
              <w:pStyle w:val="6"/>
              <w:rPr>
                <w:rFonts w:hint="eastAsia"/>
              </w:rPr>
            </w:pPr>
            <w:r>
              <w:rPr>
                <w:rFonts w:hint="eastAsia"/>
              </w:rPr>
              <w:t>明月潭站和大风站均为明月江流域水文站，因此，从地形地貌、降水特性、气候及下垫面条件（土壤、植被）分析，本次设计洪水计算选取明月潭水文据站为计算依据站。</w:t>
            </w:r>
          </w:p>
          <w:p w14:paraId="2F355060">
            <w:pPr>
              <w:pStyle w:val="6"/>
              <w:rPr>
                <w:rFonts w:hint="eastAsia"/>
              </w:rPr>
            </w:pPr>
            <w:r>
              <w:rPr>
                <w:rFonts w:hint="eastAsia"/>
              </w:rPr>
              <w:t>明月潭站于1954年5月由四川省水利厅设立，6月1日开始观测，1988年改为水位站，2003年下迁至大风设立大风站，现由四川省水文水资源局领导。</w:t>
            </w:r>
          </w:p>
          <w:p w14:paraId="5C53D360">
            <w:pPr>
              <w:pStyle w:val="6"/>
              <w:rPr>
                <w:rFonts w:hint="eastAsia"/>
              </w:rPr>
            </w:pPr>
            <w:r>
              <w:rPr>
                <w:rFonts w:hint="eastAsia"/>
                <w:lang w:val="en-US" w:eastAsia="zh-CN"/>
              </w:rPr>
              <w:t>根据初设报告内容，</w:t>
            </w:r>
            <w:r>
              <w:rPr>
                <w:rFonts w:hint="eastAsia"/>
              </w:rPr>
              <w:t>通过复核认为，尽管明月潭站水位流量关系曲线极不稳定，但每年测次较多，整编方法合理，水位流量资料精度较高，基本可靠，可供设计使用。</w:t>
            </w:r>
          </w:p>
          <w:p w14:paraId="4502D59E">
            <w:pPr>
              <w:pStyle w:val="6"/>
              <w:rPr>
                <w:rFonts w:hint="default" w:eastAsia="宋体"/>
                <w:lang w:val="en-US" w:eastAsia="zh-CN"/>
              </w:rPr>
            </w:pPr>
            <w:r>
              <w:rPr>
                <w:rFonts w:hint="eastAsia"/>
                <w:lang w:val="en-US" w:eastAsia="zh-CN"/>
              </w:rPr>
              <w:t>④暴雨洪水特性</w:t>
            </w:r>
          </w:p>
          <w:p w14:paraId="24DE4273">
            <w:pPr>
              <w:pStyle w:val="6"/>
              <w:rPr>
                <w:rFonts w:hint="eastAsia"/>
              </w:rPr>
            </w:pPr>
            <w:r>
              <w:rPr>
                <w:rFonts w:hint="eastAsia"/>
              </w:rPr>
              <w:t>设计流域主要受太平洋热带高压和西南暖湿季风气流等因素影响而形成暴雨。暴雨发生在4月～11月，大暴雨多出现在5月～10月，此期间暴雨洪水频繁，由于流域面积不大，暴雨量在面上的差异不大，暴雨量在年际间的变化较大。</w:t>
            </w:r>
          </w:p>
          <w:p w14:paraId="3DA38566">
            <w:pPr>
              <w:pStyle w:val="6"/>
              <w:rPr>
                <w:rFonts w:hint="eastAsia"/>
              </w:rPr>
            </w:pPr>
            <w:r>
              <w:rPr>
                <w:rFonts w:hint="eastAsia"/>
              </w:rPr>
              <w:t>流域位于工程区地处四川盆地东北边缘地带，地貌处于剥蚀侵蚀低山之深丘单面山地貌单元中。由于岩层总体平缓，受侵蚀切割形成阶梯状岭谷地貌。由于地貌坡面陡峻，径流模数大，汇流时间短，且河床形态多为 U 型，河谷狭窄，滩、阶地不发育，河道调蓄能力很小，流域洪水具有山区河流的典型特点，</w:t>
            </w:r>
            <w:r>
              <w:rPr>
                <w:rFonts w:hint="eastAsia"/>
                <w:lang w:val="en-US" w:eastAsia="zh-CN"/>
              </w:rPr>
              <w:t>A.</w:t>
            </w:r>
            <w:r>
              <w:rPr>
                <w:rFonts w:hint="eastAsia"/>
              </w:rPr>
              <w:t>洪峰暴涨陡落：由于地貌坡面陡峻，径流模数大，汇流时间短在降雨之后，往往短短数小时内即出现洪峰，雨过天晴，洪水又迅速消退。</w:t>
            </w:r>
            <w:r>
              <w:rPr>
                <w:rFonts w:hint="eastAsia"/>
                <w:lang w:val="en-US" w:eastAsia="zh-CN"/>
              </w:rPr>
              <w:t>B.</w:t>
            </w:r>
            <w:r>
              <w:rPr>
                <w:rFonts w:hint="eastAsia"/>
              </w:rPr>
              <w:t>流量和水位变幅很大，洪峰流量是枯期流量的上千倍，随着流量的急剧变化，水位做更大幅度的升降。</w:t>
            </w:r>
            <w:r>
              <w:rPr>
                <w:rFonts w:hint="eastAsia"/>
                <w:lang w:val="en-US" w:eastAsia="zh-CN"/>
              </w:rPr>
              <w:t>C.</w:t>
            </w:r>
            <w:r>
              <w:rPr>
                <w:rFonts w:hint="eastAsia"/>
              </w:rPr>
              <w:t>中水历时很短，流域遇雨即形成洪水，没有雨时则流量很小，缺乏稳定的中水期。</w:t>
            </w:r>
          </w:p>
          <w:p w14:paraId="33A24A3F">
            <w:pPr>
              <w:pStyle w:val="6"/>
              <w:rPr>
                <w:rFonts w:hint="default" w:eastAsia="宋体"/>
                <w:lang w:val="en-US" w:eastAsia="zh-CN"/>
              </w:rPr>
            </w:pPr>
            <w:r>
              <w:rPr>
                <w:rFonts w:hint="eastAsia"/>
                <w:lang w:val="en-US" w:eastAsia="zh-CN"/>
              </w:rPr>
              <w:t>⑤设计洪水</w:t>
            </w:r>
          </w:p>
          <w:p w14:paraId="218571D8">
            <w:pPr>
              <w:pStyle w:val="6"/>
              <w:rPr>
                <w:rFonts w:hint="eastAsia" w:eastAsia="宋体"/>
                <w:lang w:eastAsia="zh-CN"/>
              </w:rPr>
            </w:pPr>
            <w:r>
              <w:rPr>
                <w:rFonts w:hint="eastAsia"/>
              </w:rPr>
              <w:t>工程河段位于天生河中游河段及黎家沟中下游河段，天生河工程河段控制断面以上流域面积为44km</w:t>
            </w:r>
            <w:r>
              <w:rPr>
                <w:rFonts w:hint="eastAsia"/>
                <w:vertAlign w:val="superscript"/>
              </w:rPr>
              <w:t>2</w:t>
            </w:r>
            <w:r>
              <w:rPr>
                <w:rFonts w:hint="eastAsia"/>
              </w:rPr>
              <w:t>，仅占参证站月潭站集雨面积736km</w:t>
            </w:r>
            <w:r>
              <w:rPr>
                <w:rFonts w:hint="eastAsia"/>
                <w:vertAlign w:val="superscript"/>
              </w:rPr>
              <w:t>2</w:t>
            </w:r>
            <w:r>
              <w:rPr>
                <w:rFonts w:hint="eastAsia"/>
              </w:rPr>
              <w:t>的5.98%，黎家沟工程河段控制断面以上流域面积为6km</w:t>
            </w:r>
            <w:r>
              <w:rPr>
                <w:rFonts w:hint="eastAsia"/>
                <w:vertAlign w:val="superscript"/>
              </w:rPr>
              <w:t>2</w:t>
            </w:r>
            <w:r>
              <w:rPr>
                <w:rFonts w:hint="eastAsia"/>
              </w:rPr>
              <w:t>，仅占参证站月潭站集雨面积736km</w:t>
            </w:r>
            <w:r>
              <w:rPr>
                <w:rFonts w:hint="eastAsia"/>
                <w:vertAlign w:val="superscript"/>
              </w:rPr>
              <w:t>2</w:t>
            </w:r>
            <w:r>
              <w:rPr>
                <w:rFonts w:hint="eastAsia"/>
              </w:rPr>
              <w:t>的0.82%。工程河段控制集雨面积与参证站集雨面积相差过大，拟定采用推理公式法计算工程河段设计</w:t>
            </w:r>
            <w:r>
              <w:rPr>
                <w:rFonts w:hint="eastAsia"/>
                <w:lang w:eastAsia="zh-CN"/>
              </w:rPr>
              <w:t>。</w:t>
            </w:r>
          </w:p>
          <w:p w14:paraId="090AAC24">
            <w:pPr>
              <w:pStyle w:val="6"/>
              <w:rPr>
                <w:rFonts w:hint="eastAsia"/>
              </w:rPr>
            </w:pPr>
            <w:r>
              <w:rPr>
                <w:rFonts w:hint="eastAsia"/>
              </w:rPr>
              <w:t>在确定流域特征参数、暴雨参数、产流参数和汇流参数后，根据推理公式计算。推理公式计算设计洪水成果见</w:t>
            </w:r>
            <w:r>
              <w:rPr>
                <w:rFonts w:hint="eastAsia"/>
                <w:lang w:val="en-US" w:eastAsia="zh-CN"/>
              </w:rPr>
              <w:t>下表</w:t>
            </w:r>
            <w:r>
              <w:rPr>
                <w:rFonts w:hint="eastAsia"/>
              </w:rPr>
              <w:t>。</w:t>
            </w:r>
          </w:p>
          <w:p w14:paraId="33336153">
            <w:pPr>
              <w:pStyle w:val="7"/>
              <w:bidi w:val="0"/>
              <w:rPr>
                <w:rFonts w:hint="eastAsia"/>
                <w:lang w:val="en-US" w:eastAsia="zh-CN"/>
              </w:rPr>
            </w:pPr>
            <w:r>
              <w:rPr>
                <w:rFonts w:hint="eastAsia"/>
                <w:lang w:val="en-US" w:eastAsia="zh-CN"/>
              </w:rPr>
              <w:t xml:space="preserve">  工程河段设计洪水成果表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082"/>
              <w:gridCol w:w="1006"/>
              <w:gridCol w:w="1003"/>
              <w:gridCol w:w="1071"/>
              <w:gridCol w:w="1071"/>
              <w:gridCol w:w="1071"/>
              <w:gridCol w:w="1073"/>
            </w:tblGrid>
            <w:tr w14:paraId="6D278B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10" w:type="dxa"/>
                  <w:vMerge w:val="restart"/>
                  <w:vAlign w:val="center"/>
                </w:tcPr>
                <w:p w14:paraId="19A0BBC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控制断面</w:t>
                  </w:r>
                </w:p>
              </w:tc>
              <w:tc>
                <w:tcPr>
                  <w:tcW w:w="1010" w:type="dxa"/>
                  <w:vMerge w:val="restart"/>
                  <w:vAlign w:val="center"/>
                </w:tcPr>
                <w:p w14:paraId="4D3F1C4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F（km</w:t>
                  </w:r>
                  <w:r>
                    <w:rPr>
                      <w:rFonts w:hint="eastAsia"/>
                      <w:sz w:val="22"/>
                      <w:szCs w:val="22"/>
                      <w:vertAlign w:val="superscript"/>
                      <w:lang w:val="en-US" w:eastAsia="zh-CN"/>
                    </w:rPr>
                    <w:t>2</w:t>
                  </w:r>
                  <w:r>
                    <w:rPr>
                      <w:rFonts w:hint="eastAsia"/>
                      <w:sz w:val="22"/>
                      <w:szCs w:val="22"/>
                      <w:vertAlign w:val="baseline"/>
                      <w:lang w:val="en-US" w:eastAsia="zh-CN"/>
                    </w:rPr>
                    <w:t>）</w:t>
                  </w:r>
                </w:p>
              </w:tc>
              <w:tc>
                <w:tcPr>
                  <w:tcW w:w="940" w:type="dxa"/>
                  <w:vMerge w:val="restart"/>
                  <w:vAlign w:val="center"/>
                </w:tcPr>
                <w:p w14:paraId="72A3D6E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L（km）</w:t>
                  </w:r>
                </w:p>
              </w:tc>
              <w:tc>
                <w:tcPr>
                  <w:tcW w:w="936" w:type="dxa"/>
                  <w:vMerge w:val="restart"/>
                  <w:vAlign w:val="center"/>
                </w:tcPr>
                <w:p w14:paraId="3678594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J（‰）</w:t>
                  </w:r>
                </w:p>
              </w:tc>
              <w:tc>
                <w:tcPr>
                  <w:tcW w:w="3997" w:type="dxa"/>
                  <w:gridSpan w:val="4"/>
                  <w:vAlign w:val="center"/>
                </w:tcPr>
                <w:p w14:paraId="3C6009E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各频率设计洪水（m</w:t>
                  </w:r>
                  <w:r>
                    <w:rPr>
                      <w:rFonts w:hint="eastAsia"/>
                      <w:sz w:val="22"/>
                      <w:szCs w:val="22"/>
                      <w:vertAlign w:val="superscript"/>
                      <w:lang w:val="en-US" w:eastAsia="zh-CN"/>
                    </w:rPr>
                    <w:t>3</w:t>
                  </w:r>
                  <w:r>
                    <w:rPr>
                      <w:rFonts w:hint="eastAsia"/>
                      <w:sz w:val="22"/>
                      <w:szCs w:val="22"/>
                      <w:vertAlign w:val="baseline"/>
                      <w:lang w:val="en-US" w:eastAsia="zh-CN"/>
                    </w:rPr>
                    <w:t>/s）</w:t>
                  </w:r>
                </w:p>
              </w:tc>
            </w:tr>
            <w:tr w14:paraId="39C099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10" w:type="dxa"/>
                  <w:vMerge w:val="continue"/>
                  <w:vAlign w:val="center"/>
                </w:tcPr>
                <w:p w14:paraId="0E610907">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p>
              </w:tc>
              <w:tc>
                <w:tcPr>
                  <w:tcW w:w="1010" w:type="dxa"/>
                  <w:vMerge w:val="continue"/>
                  <w:vAlign w:val="center"/>
                </w:tcPr>
                <w:p w14:paraId="1C10961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940" w:type="dxa"/>
                  <w:vMerge w:val="continue"/>
                  <w:vAlign w:val="center"/>
                </w:tcPr>
                <w:p w14:paraId="3ADBC75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936" w:type="dxa"/>
                  <w:vMerge w:val="continue"/>
                  <w:vAlign w:val="center"/>
                </w:tcPr>
                <w:p w14:paraId="6C9A017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999" w:type="dxa"/>
                  <w:vAlign w:val="center"/>
                </w:tcPr>
                <w:p w14:paraId="2E33D52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P=5%</w:t>
                  </w:r>
                </w:p>
              </w:tc>
              <w:tc>
                <w:tcPr>
                  <w:tcW w:w="999" w:type="dxa"/>
                  <w:vAlign w:val="center"/>
                </w:tcPr>
                <w:p w14:paraId="276F687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P=10%</w:t>
                  </w:r>
                </w:p>
              </w:tc>
              <w:tc>
                <w:tcPr>
                  <w:tcW w:w="999" w:type="dxa"/>
                  <w:vAlign w:val="center"/>
                </w:tcPr>
                <w:p w14:paraId="76DA516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P=20%</w:t>
                  </w:r>
                </w:p>
              </w:tc>
              <w:tc>
                <w:tcPr>
                  <w:tcW w:w="1000" w:type="dxa"/>
                  <w:vAlign w:val="center"/>
                </w:tcPr>
                <w:p w14:paraId="05F1BFF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P=50%</w:t>
                  </w:r>
                </w:p>
              </w:tc>
            </w:tr>
            <w:tr w14:paraId="339FF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10" w:type="dxa"/>
                  <w:vAlign w:val="center"/>
                </w:tcPr>
                <w:p w14:paraId="35608EC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天生河工程河段</w:t>
                  </w:r>
                </w:p>
              </w:tc>
              <w:tc>
                <w:tcPr>
                  <w:tcW w:w="1010" w:type="dxa"/>
                  <w:vAlign w:val="center"/>
                </w:tcPr>
                <w:p w14:paraId="375796F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44</w:t>
                  </w:r>
                </w:p>
              </w:tc>
              <w:tc>
                <w:tcPr>
                  <w:tcW w:w="940" w:type="dxa"/>
                  <w:vAlign w:val="center"/>
                </w:tcPr>
                <w:p w14:paraId="0A44019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10.1</w:t>
                  </w:r>
                </w:p>
              </w:tc>
              <w:tc>
                <w:tcPr>
                  <w:tcW w:w="936" w:type="dxa"/>
                  <w:vAlign w:val="center"/>
                </w:tcPr>
                <w:p w14:paraId="272EBCA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12.5</w:t>
                  </w:r>
                </w:p>
              </w:tc>
              <w:tc>
                <w:tcPr>
                  <w:tcW w:w="999" w:type="dxa"/>
                  <w:vAlign w:val="center"/>
                </w:tcPr>
                <w:p w14:paraId="00EE6E2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307</w:t>
                  </w:r>
                </w:p>
              </w:tc>
              <w:tc>
                <w:tcPr>
                  <w:tcW w:w="999" w:type="dxa"/>
                  <w:vAlign w:val="center"/>
                </w:tcPr>
                <w:p w14:paraId="226F6E2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250</w:t>
                  </w:r>
                </w:p>
              </w:tc>
              <w:tc>
                <w:tcPr>
                  <w:tcW w:w="999" w:type="dxa"/>
                  <w:vAlign w:val="center"/>
                </w:tcPr>
                <w:p w14:paraId="1264F87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192</w:t>
                  </w:r>
                </w:p>
              </w:tc>
              <w:tc>
                <w:tcPr>
                  <w:tcW w:w="1000" w:type="dxa"/>
                  <w:vAlign w:val="center"/>
                </w:tcPr>
                <w:p w14:paraId="214707C7">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113</w:t>
                  </w:r>
                </w:p>
              </w:tc>
            </w:tr>
            <w:tr w14:paraId="735A38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10" w:type="dxa"/>
                  <w:vAlign w:val="center"/>
                </w:tcPr>
                <w:p w14:paraId="70482AC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黎家沟工程河段</w:t>
                  </w:r>
                </w:p>
              </w:tc>
              <w:tc>
                <w:tcPr>
                  <w:tcW w:w="1010" w:type="dxa"/>
                  <w:vAlign w:val="center"/>
                </w:tcPr>
                <w:p w14:paraId="3198093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6</w:t>
                  </w:r>
                </w:p>
              </w:tc>
              <w:tc>
                <w:tcPr>
                  <w:tcW w:w="940" w:type="dxa"/>
                  <w:vAlign w:val="center"/>
                </w:tcPr>
                <w:p w14:paraId="6CDCBAA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6.5</w:t>
                  </w:r>
                </w:p>
              </w:tc>
              <w:tc>
                <w:tcPr>
                  <w:tcW w:w="936" w:type="dxa"/>
                  <w:vAlign w:val="center"/>
                </w:tcPr>
                <w:p w14:paraId="4D23661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39.2</w:t>
                  </w:r>
                </w:p>
              </w:tc>
              <w:tc>
                <w:tcPr>
                  <w:tcW w:w="999" w:type="dxa"/>
                  <w:vAlign w:val="center"/>
                </w:tcPr>
                <w:p w14:paraId="0C017A0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50</w:t>
                  </w:r>
                </w:p>
              </w:tc>
              <w:tc>
                <w:tcPr>
                  <w:tcW w:w="999" w:type="dxa"/>
                  <w:vAlign w:val="center"/>
                </w:tcPr>
                <w:p w14:paraId="1AD7F73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41.1</w:t>
                  </w:r>
                </w:p>
              </w:tc>
              <w:tc>
                <w:tcPr>
                  <w:tcW w:w="999" w:type="dxa"/>
                  <w:vAlign w:val="center"/>
                </w:tcPr>
                <w:p w14:paraId="3863E12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31</w:t>
                  </w:r>
                </w:p>
              </w:tc>
              <w:tc>
                <w:tcPr>
                  <w:tcW w:w="1000" w:type="dxa"/>
                  <w:vAlign w:val="center"/>
                </w:tcPr>
                <w:p w14:paraId="1C2EAF0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18.3</w:t>
                  </w:r>
                </w:p>
              </w:tc>
            </w:tr>
          </w:tbl>
          <w:p w14:paraId="1DEC0817">
            <w:pPr>
              <w:pStyle w:val="6"/>
              <w:rPr>
                <w:rFonts w:hint="default" w:eastAsia="宋体"/>
                <w:lang w:val="en-US" w:eastAsia="zh-CN"/>
              </w:rPr>
            </w:pPr>
            <w:r>
              <w:rPr>
                <w:rFonts w:hint="eastAsia"/>
                <w:lang w:val="en-US" w:eastAsia="zh-CN"/>
              </w:rPr>
              <w:t>⑥分期洪水</w:t>
            </w:r>
          </w:p>
          <w:p w14:paraId="743CAE01">
            <w:pPr>
              <w:pStyle w:val="6"/>
              <w:rPr>
                <w:rFonts w:hint="eastAsia"/>
              </w:rPr>
            </w:pPr>
            <w:r>
              <w:rPr>
                <w:rFonts w:hint="eastAsia"/>
              </w:rPr>
              <w:t>设计流域洪水汛期主要由暴雨形成，枯期则由地下水形成，受季风影响，洪水具有明显的季节性变化规律。根据施工组织设计需求，需提供工程流域分期设计洪水成果。由于工程河段无实测水文观测资料，采用明月江干流明月潭水文站作为分期设计洪水参证站。</w:t>
            </w:r>
          </w:p>
          <w:p w14:paraId="69A44C8B">
            <w:pPr>
              <w:pStyle w:val="6"/>
              <w:rPr>
                <w:rFonts w:hint="eastAsia" w:eastAsia="宋体"/>
                <w:lang w:eastAsia="zh-CN"/>
              </w:rPr>
            </w:pPr>
            <w:r>
              <w:rPr>
                <w:rFonts w:hint="eastAsia"/>
              </w:rPr>
              <w:t>根据明月江明月潭水文站分期洪水成果，按面积比的n次方修正移用至工程设计断面，4、11月过渡期n值采用0.8，12~3月枯期n值为1.0。本次治理段分期设计洪水成果见</w:t>
            </w:r>
            <w:r>
              <w:rPr>
                <w:rFonts w:hint="eastAsia"/>
                <w:lang w:val="en-US" w:eastAsia="zh-CN"/>
              </w:rPr>
              <w:t>下</w:t>
            </w:r>
            <w:r>
              <w:rPr>
                <w:rFonts w:hint="eastAsia"/>
              </w:rPr>
              <w:t>表</w:t>
            </w:r>
            <w:r>
              <w:rPr>
                <w:rFonts w:hint="eastAsia"/>
                <w:lang w:eastAsia="zh-CN"/>
              </w:rPr>
              <w:t>。</w:t>
            </w:r>
          </w:p>
          <w:p w14:paraId="3F82979B">
            <w:pPr>
              <w:pStyle w:val="7"/>
              <w:bidi w:val="0"/>
              <w:rPr>
                <w:rFonts w:hint="eastAsia"/>
                <w:lang w:val="en-US" w:eastAsia="zh-CN"/>
              </w:rPr>
            </w:pPr>
            <w:r>
              <w:rPr>
                <w:rFonts w:hint="eastAsia"/>
                <w:lang w:val="en-US" w:eastAsia="zh-CN"/>
              </w:rPr>
              <w:t xml:space="preserve">  天生河工程河段分期洪水计算成果表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68"/>
              <w:gridCol w:w="1713"/>
              <w:gridCol w:w="1713"/>
              <w:gridCol w:w="1717"/>
            </w:tblGrid>
            <w:tr w14:paraId="50066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restart"/>
                  <w:vAlign w:val="center"/>
                </w:tcPr>
                <w:p w14:paraId="1ABA133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控制断面</w:t>
                  </w:r>
                </w:p>
              </w:tc>
              <w:tc>
                <w:tcPr>
                  <w:tcW w:w="1743" w:type="dxa"/>
                  <w:vMerge w:val="restart"/>
                  <w:vAlign w:val="center"/>
                </w:tcPr>
                <w:p w14:paraId="48867BF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分期（月）</w:t>
                  </w:r>
                </w:p>
              </w:tc>
              <w:tc>
                <w:tcPr>
                  <w:tcW w:w="4797" w:type="dxa"/>
                  <w:gridSpan w:val="3"/>
                  <w:vAlign w:val="center"/>
                </w:tcPr>
                <w:p w14:paraId="40BC049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r>
                    <w:rPr>
                      <w:rFonts w:hint="eastAsia"/>
                      <w:sz w:val="22"/>
                      <w:szCs w:val="22"/>
                      <w:vertAlign w:val="baseline"/>
                      <w:lang w:val="en-US" w:eastAsia="zh-CN"/>
                    </w:rPr>
                    <w:t>各频率设计洪水（m</w:t>
                  </w:r>
                  <w:r>
                    <w:rPr>
                      <w:rFonts w:hint="eastAsia"/>
                      <w:sz w:val="22"/>
                      <w:szCs w:val="22"/>
                      <w:vertAlign w:val="superscript"/>
                      <w:lang w:val="en-US" w:eastAsia="zh-CN"/>
                    </w:rPr>
                    <w:t>3</w:t>
                  </w:r>
                  <w:r>
                    <w:rPr>
                      <w:rFonts w:hint="eastAsia"/>
                      <w:sz w:val="22"/>
                      <w:szCs w:val="22"/>
                      <w:vertAlign w:val="baseline"/>
                      <w:lang w:val="en-US" w:eastAsia="zh-CN"/>
                    </w:rPr>
                    <w:t>/s）</w:t>
                  </w:r>
                </w:p>
              </w:tc>
            </w:tr>
            <w:tr w14:paraId="0CF519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686D204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p>
              </w:tc>
              <w:tc>
                <w:tcPr>
                  <w:tcW w:w="1743" w:type="dxa"/>
                  <w:vMerge w:val="continue"/>
                  <w:vAlign w:val="center"/>
                </w:tcPr>
                <w:p w14:paraId="2531FB4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1598" w:type="dxa"/>
                  <w:vAlign w:val="center"/>
                </w:tcPr>
                <w:p w14:paraId="44E9F3D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P=10%</w:t>
                  </w:r>
                </w:p>
              </w:tc>
              <w:tc>
                <w:tcPr>
                  <w:tcW w:w="1598" w:type="dxa"/>
                  <w:vAlign w:val="center"/>
                </w:tcPr>
                <w:p w14:paraId="6D576BB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P=20%</w:t>
                  </w:r>
                </w:p>
              </w:tc>
              <w:tc>
                <w:tcPr>
                  <w:tcW w:w="1601" w:type="dxa"/>
                  <w:vAlign w:val="center"/>
                </w:tcPr>
                <w:p w14:paraId="62A4CCC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P=50%</w:t>
                  </w:r>
                </w:p>
              </w:tc>
            </w:tr>
            <w:tr w14:paraId="33C8E9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restart"/>
                  <w:vAlign w:val="center"/>
                </w:tcPr>
                <w:p w14:paraId="07D142A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天生河</w:t>
                  </w:r>
                </w:p>
              </w:tc>
              <w:tc>
                <w:tcPr>
                  <w:tcW w:w="1743" w:type="dxa"/>
                  <w:vAlign w:val="center"/>
                </w:tcPr>
                <w:p w14:paraId="0D07CC1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3月</w:t>
                  </w:r>
                </w:p>
              </w:tc>
              <w:tc>
                <w:tcPr>
                  <w:tcW w:w="1598" w:type="dxa"/>
                  <w:vAlign w:val="center"/>
                </w:tcPr>
                <w:p w14:paraId="30060B7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3.62</w:t>
                  </w:r>
                </w:p>
              </w:tc>
              <w:tc>
                <w:tcPr>
                  <w:tcW w:w="1598" w:type="dxa"/>
                  <w:vAlign w:val="center"/>
                </w:tcPr>
                <w:p w14:paraId="508D313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1.48</w:t>
                  </w:r>
                </w:p>
              </w:tc>
              <w:tc>
                <w:tcPr>
                  <w:tcW w:w="1601" w:type="dxa"/>
                  <w:vAlign w:val="center"/>
                </w:tcPr>
                <w:p w14:paraId="65ADED7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0.323</w:t>
                  </w:r>
                </w:p>
              </w:tc>
            </w:tr>
            <w:tr w14:paraId="770A9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0CF8689C">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1743" w:type="dxa"/>
                  <w:vAlign w:val="center"/>
                </w:tcPr>
                <w:p w14:paraId="55F5A52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4月</w:t>
                  </w:r>
                </w:p>
              </w:tc>
              <w:tc>
                <w:tcPr>
                  <w:tcW w:w="1598" w:type="dxa"/>
                  <w:vAlign w:val="center"/>
                </w:tcPr>
                <w:p w14:paraId="668541D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15.9</w:t>
                  </w:r>
                </w:p>
              </w:tc>
              <w:tc>
                <w:tcPr>
                  <w:tcW w:w="1598" w:type="dxa"/>
                  <w:vAlign w:val="center"/>
                </w:tcPr>
                <w:p w14:paraId="145237A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11.0</w:t>
                  </w:r>
                </w:p>
              </w:tc>
              <w:tc>
                <w:tcPr>
                  <w:tcW w:w="1601" w:type="dxa"/>
                  <w:vAlign w:val="center"/>
                </w:tcPr>
                <w:p w14:paraId="0EEDD3C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4.76</w:t>
                  </w:r>
                </w:p>
              </w:tc>
            </w:tr>
            <w:tr w14:paraId="31B8E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4F35DA1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p>
              </w:tc>
              <w:tc>
                <w:tcPr>
                  <w:tcW w:w="1743" w:type="dxa"/>
                  <w:vAlign w:val="center"/>
                </w:tcPr>
                <w:p w14:paraId="60AF0B57">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5月~10月</w:t>
                  </w:r>
                </w:p>
              </w:tc>
              <w:tc>
                <w:tcPr>
                  <w:tcW w:w="1598" w:type="dxa"/>
                  <w:vAlign w:val="center"/>
                </w:tcPr>
                <w:p w14:paraId="2F65A89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250</w:t>
                  </w:r>
                </w:p>
              </w:tc>
              <w:tc>
                <w:tcPr>
                  <w:tcW w:w="1598" w:type="dxa"/>
                  <w:vAlign w:val="center"/>
                </w:tcPr>
                <w:p w14:paraId="66F8FB8C">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192</w:t>
                  </w:r>
                </w:p>
              </w:tc>
              <w:tc>
                <w:tcPr>
                  <w:tcW w:w="1601" w:type="dxa"/>
                  <w:vAlign w:val="center"/>
                </w:tcPr>
                <w:p w14:paraId="7B69B67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113</w:t>
                  </w:r>
                </w:p>
              </w:tc>
            </w:tr>
            <w:tr w14:paraId="65511A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689D7FA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p>
              </w:tc>
              <w:tc>
                <w:tcPr>
                  <w:tcW w:w="1743" w:type="dxa"/>
                  <w:vAlign w:val="center"/>
                </w:tcPr>
                <w:p w14:paraId="59C504C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11月</w:t>
                  </w:r>
                </w:p>
              </w:tc>
              <w:tc>
                <w:tcPr>
                  <w:tcW w:w="1598" w:type="dxa"/>
                  <w:vAlign w:val="center"/>
                </w:tcPr>
                <w:p w14:paraId="77C517E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103</w:t>
                  </w:r>
                </w:p>
              </w:tc>
              <w:tc>
                <w:tcPr>
                  <w:tcW w:w="1598" w:type="dxa"/>
                  <w:vAlign w:val="center"/>
                </w:tcPr>
                <w:p w14:paraId="718BE7A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78.2</w:t>
                  </w:r>
                </w:p>
              </w:tc>
              <w:tc>
                <w:tcPr>
                  <w:tcW w:w="1601" w:type="dxa"/>
                  <w:vAlign w:val="center"/>
                </w:tcPr>
                <w:p w14:paraId="101DB0C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44.9</w:t>
                  </w:r>
                </w:p>
              </w:tc>
            </w:tr>
            <w:tr w14:paraId="1BEB00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676B19A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p>
              </w:tc>
              <w:tc>
                <w:tcPr>
                  <w:tcW w:w="1743" w:type="dxa"/>
                  <w:vAlign w:val="center"/>
                </w:tcPr>
                <w:p w14:paraId="65E995F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12月~次年2月</w:t>
                  </w:r>
                </w:p>
              </w:tc>
              <w:tc>
                <w:tcPr>
                  <w:tcW w:w="1598" w:type="dxa"/>
                  <w:vAlign w:val="center"/>
                </w:tcPr>
                <w:p w14:paraId="17FF822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8.55</w:t>
                  </w:r>
                </w:p>
              </w:tc>
              <w:tc>
                <w:tcPr>
                  <w:tcW w:w="1598" w:type="dxa"/>
                  <w:vAlign w:val="center"/>
                </w:tcPr>
                <w:p w14:paraId="676A467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5.39</w:t>
                  </w:r>
                </w:p>
              </w:tc>
              <w:tc>
                <w:tcPr>
                  <w:tcW w:w="1601" w:type="dxa"/>
                  <w:vAlign w:val="center"/>
                </w:tcPr>
                <w:p w14:paraId="2B3179D5">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1.70</w:t>
                  </w:r>
                </w:p>
              </w:tc>
            </w:tr>
          </w:tbl>
          <w:p w14:paraId="1398BC49">
            <w:pPr>
              <w:pStyle w:val="7"/>
              <w:bidi w:val="0"/>
              <w:rPr>
                <w:rFonts w:hint="eastAsia"/>
                <w:lang w:val="en-US" w:eastAsia="zh-CN"/>
              </w:rPr>
            </w:pPr>
            <w:r>
              <w:rPr>
                <w:rFonts w:hint="eastAsia"/>
                <w:lang w:val="en-US" w:eastAsia="zh-CN"/>
              </w:rPr>
              <w:t xml:space="preserve">  黎家沟工程河段分期洪水计算成果表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68"/>
              <w:gridCol w:w="1713"/>
              <w:gridCol w:w="1713"/>
              <w:gridCol w:w="1717"/>
            </w:tblGrid>
            <w:tr w14:paraId="49358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restart"/>
                  <w:vAlign w:val="center"/>
                </w:tcPr>
                <w:p w14:paraId="0B23994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控制断面</w:t>
                  </w:r>
                </w:p>
              </w:tc>
              <w:tc>
                <w:tcPr>
                  <w:tcW w:w="1743" w:type="dxa"/>
                  <w:vMerge w:val="restart"/>
                  <w:vAlign w:val="center"/>
                </w:tcPr>
                <w:p w14:paraId="28C92935">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分期（月）</w:t>
                  </w:r>
                </w:p>
              </w:tc>
              <w:tc>
                <w:tcPr>
                  <w:tcW w:w="4797" w:type="dxa"/>
                  <w:gridSpan w:val="3"/>
                  <w:vAlign w:val="center"/>
                </w:tcPr>
                <w:p w14:paraId="1DA8CAC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r>
                    <w:rPr>
                      <w:rFonts w:hint="eastAsia"/>
                      <w:sz w:val="22"/>
                      <w:szCs w:val="22"/>
                      <w:vertAlign w:val="baseline"/>
                      <w:lang w:val="en-US" w:eastAsia="zh-CN"/>
                    </w:rPr>
                    <w:t>各频率设计洪水（m</w:t>
                  </w:r>
                  <w:r>
                    <w:rPr>
                      <w:rFonts w:hint="eastAsia"/>
                      <w:sz w:val="22"/>
                      <w:szCs w:val="22"/>
                      <w:vertAlign w:val="superscript"/>
                      <w:lang w:val="en-US" w:eastAsia="zh-CN"/>
                    </w:rPr>
                    <w:t>3</w:t>
                  </w:r>
                  <w:r>
                    <w:rPr>
                      <w:rFonts w:hint="eastAsia"/>
                      <w:sz w:val="22"/>
                      <w:szCs w:val="22"/>
                      <w:vertAlign w:val="baseline"/>
                      <w:lang w:val="en-US" w:eastAsia="zh-CN"/>
                    </w:rPr>
                    <w:t>/s）</w:t>
                  </w:r>
                </w:p>
              </w:tc>
            </w:tr>
            <w:tr w14:paraId="674D0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045438D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p>
              </w:tc>
              <w:tc>
                <w:tcPr>
                  <w:tcW w:w="1743" w:type="dxa"/>
                  <w:vMerge w:val="continue"/>
                  <w:vAlign w:val="center"/>
                </w:tcPr>
                <w:p w14:paraId="0CDD919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1598" w:type="dxa"/>
                  <w:vAlign w:val="center"/>
                </w:tcPr>
                <w:p w14:paraId="44877BD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P=10%</w:t>
                  </w:r>
                </w:p>
              </w:tc>
              <w:tc>
                <w:tcPr>
                  <w:tcW w:w="1598" w:type="dxa"/>
                  <w:vAlign w:val="center"/>
                </w:tcPr>
                <w:p w14:paraId="70BB54E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P=20%</w:t>
                  </w:r>
                </w:p>
              </w:tc>
              <w:tc>
                <w:tcPr>
                  <w:tcW w:w="1601" w:type="dxa"/>
                  <w:vAlign w:val="center"/>
                </w:tcPr>
                <w:p w14:paraId="54C9196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r>
                    <w:rPr>
                      <w:rFonts w:hint="eastAsia"/>
                      <w:sz w:val="22"/>
                      <w:szCs w:val="22"/>
                      <w:vertAlign w:val="baseline"/>
                      <w:lang w:val="en-US" w:eastAsia="zh-CN"/>
                    </w:rPr>
                    <w:t>P=50%</w:t>
                  </w:r>
                </w:p>
              </w:tc>
            </w:tr>
            <w:tr w14:paraId="4C8D77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restart"/>
                  <w:vAlign w:val="center"/>
                </w:tcPr>
                <w:p w14:paraId="70B6CB3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黎家沟</w:t>
                  </w:r>
                </w:p>
              </w:tc>
              <w:tc>
                <w:tcPr>
                  <w:tcW w:w="1743" w:type="dxa"/>
                  <w:vAlign w:val="center"/>
                </w:tcPr>
                <w:p w14:paraId="05CA33E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3月</w:t>
                  </w:r>
                </w:p>
              </w:tc>
              <w:tc>
                <w:tcPr>
                  <w:tcW w:w="1598" w:type="dxa"/>
                  <w:vAlign w:val="center"/>
                </w:tcPr>
                <w:p w14:paraId="3F33873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0.493</w:t>
                  </w:r>
                </w:p>
              </w:tc>
              <w:tc>
                <w:tcPr>
                  <w:tcW w:w="1598" w:type="dxa"/>
                  <w:vAlign w:val="center"/>
                </w:tcPr>
                <w:p w14:paraId="2595D53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0.201</w:t>
                  </w:r>
                </w:p>
              </w:tc>
              <w:tc>
                <w:tcPr>
                  <w:tcW w:w="1601" w:type="dxa"/>
                  <w:vAlign w:val="center"/>
                </w:tcPr>
                <w:p w14:paraId="2848860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0.044</w:t>
                  </w:r>
                </w:p>
              </w:tc>
            </w:tr>
            <w:tr w14:paraId="63C98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63F242A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rPr>
                  </w:pPr>
                </w:p>
              </w:tc>
              <w:tc>
                <w:tcPr>
                  <w:tcW w:w="1743" w:type="dxa"/>
                  <w:vAlign w:val="center"/>
                </w:tcPr>
                <w:p w14:paraId="48F214A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4月</w:t>
                  </w:r>
                </w:p>
              </w:tc>
              <w:tc>
                <w:tcPr>
                  <w:tcW w:w="1598" w:type="dxa"/>
                  <w:vAlign w:val="center"/>
                </w:tcPr>
                <w:p w14:paraId="5814E72C">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3.22</w:t>
                  </w:r>
                </w:p>
              </w:tc>
              <w:tc>
                <w:tcPr>
                  <w:tcW w:w="1598" w:type="dxa"/>
                  <w:vAlign w:val="center"/>
                </w:tcPr>
                <w:p w14:paraId="1347294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2.24</w:t>
                  </w:r>
                </w:p>
              </w:tc>
              <w:tc>
                <w:tcPr>
                  <w:tcW w:w="1601" w:type="dxa"/>
                  <w:vAlign w:val="center"/>
                </w:tcPr>
                <w:p w14:paraId="561CA20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2"/>
                      <w:szCs w:val="22"/>
                      <w:vertAlign w:val="baseline"/>
                      <w:lang w:val="en-US" w:eastAsia="zh-CN"/>
                    </w:rPr>
                  </w:pPr>
                  <w:r>
                    <w:rPr>
                      <w:rFonts w:hint="eastAsia"/>
                      <w:sz w:val="22"/>
                      <w:szCs w:val="22"/>
                      <w:vertAlign w:val="baseline"/>
                      <w:lang w:val="en-US" w:eastAsia="zh-CN"/>
                    </w:rPr>
                    <w:t>0.966</w:t>
                  </w:r>
                </w:p>
              </w:tc>
            </w:tr>
            <w:tr w14:paraId="601B22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4C7E1C1C">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p>
              </w:tc>
              <w:tc>
                <w:tcPr>
                  <w:tcW w:w="1743" w:type="dxa"/>
                  <w:vAlign w:val="center"/>
                </w:tcPr>
                <w:p w14:paraId="369199E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5月~10月</w:t>
                  </w:r>
                </w:p>
              </w:tc>
              <w:tc>
                <w:tcPr>
                  <w:tcW w:w="1598" w:type="dxa"/>
                  <w:vAlign w:val="center"/>
                </w:tcPr>
                <w:p w14:paraId="0412546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41.0</w:t>
                  </w:r>
                </w:p>
              </w:tc>
              <w:tc>
                <w:tcPr>
                  <w:tcW w:w="1598" w:type="dxa"/>
                  <w:vAlign w:val="center"/>
                </w:tcPr>
                <w:p w14:paraId="18192AC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31.1</w:t>
                  </w:r>
                </w:p>
              </w:tc>
              <w:tc>
                <w:tcPr>
                  <w:tcW w:w="1601" w:type="dxa"/>
                  <w:vAlign w:val="center"/>
                </w:tcPr>
                <w:p w14:paraId="35F6BFD5">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18.3</w:t>
                  </w:r>
                </w:p>
              </w:tc>
            </w:tr>
            <w:tr w14:paraId="418613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5DCCDDE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p>
              </w:tc>
              <w:tc>
                <w:tcPr>
                  <w:tcW w:w="1743" w:type="dxa"/>
                  <w:vAlign w:val="center"/>
                </w:tcPr>
                <w:p w14:paraId="45B3EBD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11月</w:t>
                  </w:r>
                </w:p>
              </w:tc>
              <w:tc>
                <w:tcPr>
                  <w:tcW w:w="1598" w:type="dxa"/>
                  <w:vAlign w:val="center"/>
                </w:tcPr>
                <w:p w14:paraId="14367E0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21.0</w:t>
                  </w:r>
                </w:p>
              </w:tc>
              <w:tc>
                <w:tcPr>
                  <w:tcW w:w="1598" w:type="dxa"/>
                  <w:vAlign w:val="center"/>
                </w:tcPr>
                <w:p w14:paraId="6FE090C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15.9</w:t>
                  </w:r>
                </w:p>
              </w:tc>
              <w:tc>
                <w:tcPr>
                  <w:tcW w:w="1601" w:type="dxa"/>
                  <w:vAlign w:val="center"/>
                </w:tcPr>
                <w:p w14:paraId="02E1806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9.13</w:t>
                  </w:r>
                </w:p>
              </w:tc>
            </w:tr>
            <w:tr w14:paraId="68C756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3" w:type="dxa"/>
                  <w:vMerge w:val="continue"/>
                  <w:vAlign w:val="center"/>
                </w:tcPr>
                <w:p w14:paraId="4C1C909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vertAlign w:val="baseline"/>
                      <w:lang w:val="en-US" w:eastAsia="zh-CN"/>
                    </w:rPr>
                  </w:pPr>
                </w:p>
              </w:tc>
              <w:tc>
                <w:tcPr>
                  <w:tcW w:w="1743" w:type="dxa"/>
                  <w:vAlign w:val="center"/>
                </w:tcPr>
                <w:p w14:paraId="459F107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12月~次年2月</w:t>
                  </w:r>
                </w:p>
              </w:tc>
              <w:tc>
                <w:tcPr>
                  <w:tcW w:w="1598" w:type="dxa"/>
                  <w:vAlign w:val="center"/>
                </w:tcPr>
                <w:p w14:paraId="4FC4FF1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1.17</w:t>
                  </w:r>
                </w:p>
              </w:tc>
              <w:tc>
                <w:tcPr>
                  <w:tcW w:w="1598" w:type="dxa"/>
                  <w:vAlign w:val="center"/>
                </w:tcPr>
                <w:p w14:paraId="568D0C4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0.735</w:t>
                  </w:r>
                </w:p>
              </w:tc>
              <w:tc>
                <w:tcPr>
                  <w:tcW w:w="1601" w:type="dxa"/>
                  <w:vAlign w:val="center"/>
                </w:tcPr>
                <w:p w14:paraId="31FADD45">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0.232</w:t>
                  </w:r>
                </w:p>
              </w:tc>
            </w:tr>
          </w:tbl>
          <w:p w14:paraId="29278624">
            <w:pPr>
              <w:pStyle w:val="6"/>
              <w:rPr>
                <w:rFonts w:hint="default" w:eastAsia="宋体"/>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治理河段现状情况</w:t>
            </w:r>
          </w:p>
          <w:p w14:paraId="09D2AC43">
            <w:pPr>
              <w:pStyle w:val="6"/>
              <w:rPr>
                <w:rFonts w:hint="default" w:eastAsia="宋体"/>
                <w:lang w:val="en-US" w:eastAsia="zh-CN"/>
              </w:rPr>
            </w:pPr>
            <w:r>
              <w:rPr>
                <w:rFonts w:hint="eastAsia"/>
                <w:lang w:val="en-US" w:eastAsia="zh-CN"/>
              </w:rPr>
              <w:t>①天生河段</w:t>
            </w:r>
          </w:p>
          <w:p w14:paraId="5EF625C4">
            <w:pPr>
              <w:pStyle w:val="6"/>
              <w:rPr>
                <w:rFonts w:hint="eastAsia"/>
              </w:rPr>
            </w:pPr>
            <w:r>
              <w:rPr>
                <w:rFonts w:hint="eastAsia"/>
              </w:rPr>
              <w:t>天生河K0+000.00~K1+450.00段河道多弯，平面多呈“S”形转弯，河道纵坡2~4.4‰，天然河道宽度约7~31m。河流总体流向由北向南，两岸阶地连续出现，阶面较平坦，阶地高出河床1.5~3.5m，两岸耕地较多，K0+000.00~K0+755.00（龙王潭机耕桥）段右岸为天生归原农业园区，沿河有1处溢流堰（武家坝溢流堰）、1座人行桥（青地湾人行桥）、1座机耕桥（龙王潭机耕桥）、1座提灌站（龙王潭提灌站）和4处天然气管道穿河，河道受龙王潭机耕桥底部河床回水影响，上游河道局部淤积较严重，青地湾人行桥桥面高程385.78m，高于该处10年一遇设计洪水位385.29m，龙王潭机耕桥桥面高程383.35m，低于高出10年一遇设计洪水位384.32，但两岸岸边高程较高。本次武家坝溢流堰、青地湾人行桥、龙王潭机耕桥、4处穿河天然气管道、龙王潭提灌站均维持原样，建堤时尽量减少对其扰动。</w:t>
            </w:r>
          </w:p>
          <w:p w14:paraId="1513AEFF">
            <w:pPr>
              <w:pStyle w:val="6"/>
              <w:rPr>
                <w:rFonts w:hint="eastAsia"/>
              </w:rPr>
            </w:pPr>
            <w:r>
              <w:rPr>
                <w:rFonts w:hint="eastAsia"/>
              </w:rPr>
              <w:t>K1+450.00~K2+226.32 段上、下游河道平面呈“C”字形转弯，中间河道顺直，河道纵坡2.6~4.5‰，天然河道宽度约15~28m，河流总体流向由东向西南，沿河有1条DN50钢管（灌溉）跨河，2座溢流堰，受溢流堰回水影响，河床局部淤积严重。两岸阶地阶面较平坦，高出河床2.8~3.7m，两岸耕地较多，K2+070.65~K2+100.00右岸临河侧有1处民房临河而建，K2+226.32石马扁大桥桥面高程379.45，高于该处10年一遇设计洪水位376.49m。</w:t>
            </w:r>
          </w:p>
          <w:p w14:paraId="10AA957C">
            <w:pPr>
              <w:pStyle w:val="6"/>
              <w:rPr>
                <w:rFonts w:hint="eastAsia"/>
              </w:rPr>
            </w:pPr>
            <w:r>
              <w:rPr>
                <w:rFonts w:hint="eastAsia"/>
              </w:rPr>
              <w:t>K2+226.32石马扁大桥~K3+343.10段，河道较弯道较多，多呈“S”形转弯，天然河道宽度15~23m，河道纵坡2.5~8.0‰，河流总体流向由北向西南，河道两岸分布有大量民房，右岸为天生场镇，K2+226.32~K2+750.00、K2+960.00~K3+190.00左岸及K2+500.00~K2+750.00右岸分布有约114亩耕地，河道比降较缓，转弯段凹岸顶冲，凸岸淤积成滩。</w:t>
            </w:r>
          </w:p>
          <w:p w14:paraId="5C97D9EF">
            <w:pPr>
              <w:pStyle w:val="6"/>
              <w:rPr>
                <w:rFonts w:hint="eastAsia"/>
              </w:rPr>
            </w:pPr>
            <w:r>
              <w:rPr>
                <w:rFonts w:hint="eastAsia"/>
              </w:rPr>
              <w:t>K3+343.10~K4+200.00段河道顺直，两岸分布有大量民房，天然河道宽度11~24m，河道纵坡1.0~5.5‰，河流总体流向由东北向西南，由于河道比降缓，河床局部淤积严重。</w:t>
            </w:r>
          </w:p>
          <w:p w14:paraId="0CAA082A">
            <w:pPr>
              <w:pStyle w:val="6"/>
              <w:rPr>
                <w:rFonts w:hint="default" w:eastAsia="宋体"/>
                <w:lang w:val="en-US" w:eastAsia="zh-CN"/>
              </w:rPr>
            </w:pPr>
            <w:r>
              <w:rPr>
                <w:rFonts w:hint="eastAsia"/>
                <w:lang w:val="en-US" w:eastAsia="zh-CN"/>
              </w:rPr>
              <w:t>②黎家沟段</w:t>
            </w:r>
          </w:p>
          <w:p w14:paraId="375891B5">
            <w:pPr>
              <w:pStyle w:val="6"/>
              <w:rPr>
                <w:rFonts w:hint="eastAsia"/>
                <w:color w:val="0000FF"/>
                <w:lang w:eastAsia="zh-CN"/>
              </w:rPr>
            </w:pPr>
            <w:r>
              <w:rPr>
                <w:rFonts w:hint="eastAsia"/>
              </w:rPr>
              <w:t>黎家沟工程河段位于河道转弯处，平面呈“S”形，天然河道宽度8.5~25m，河道纵坡11.5‰，两岸主要为少量耕地。</w:t>
            </w:r>
          </w:p>
          <w:p w14:paraId="2A522045">
            <w:pPr>
              <w:pStyle w:val="3"/>
              <w:numPr>
                <w:ilvl w:val="1"/>
                <w:numId w:val="7"/>
              </w:numPr>
              <w:rPr>
                <w:highlight w:val="none"/>
              </w:rPr>
            </w:pPr>
            <w:r>
              <w:rPr>
                <w:rFonts w:hint="eastAsia"/>
                <w:highlight w:val="none"/>
                <w:lang w:eastAsia="zh-CN"/>
              </w:rPr>
              <w:t>环境质量现状</w:t>
            </w:r>
          </w:p>
          <w:p w14:paraId="294BA7F5">
            <w:pPr>
              <w:pStyle w:val="4"/>
              <w:numPr>
                <w:ilvl w:val="2"/>
                <w:numId w:val="7"/>
              </w:numPr>
              <w:bidi w:val="0"/>
            </w:pPr>
            <w:r>
              <w:rPr>
                <w:rFonts w:hint="eastAsia"/>
              </w:rPr>
              <w:t>大气环境质量现状</w:t>
            </w:r>
          </w:p>
          <w:p w14:paraId="0D905223">
            <w:pPr>
              <w:pStyle w:val="6"/>
              <w:bidi w:val="0"/>
              <w:rPr>
                <w:rFonts w:hint="default" w:eastAsia="宋体"/>
                <w:lang w:val="en-US" w:eastAsia="zh-CN"/>
              </w:rPr>
            </w:pPr>
            <w:r>
              <w:rPr>
                <w:rFonts w:hint="eastAsia"/>
                <w:lang w:val="en-US" w:eastAsia="zh-CN"/>
              </w:rPr>
              <w:t>本项目位于达州市宣汉县天生镇，根据达州市生态环境局官方网站发布的《达州市2024年环境空气质量状况》，达州市宣汉县2024年环境空气质量见下表。</w:t>
            </w:r>
          </w:p>
          <w:p w14:paraId="22A78692">
            <w:pPr>
              <w:pStyle w:val="7"/>
              <w:bidi w:val="0"/>
              <w:rPr>
                <w:rFonts w:hint="eastAsia"/>
                <w:lang w:val="en-US" w:eastAsia="zh-CN"/>
              </w:rPr>
            </w:pPr>
            <w:r>
              <w:rPr>
                <w:rFonts w:hint="eastAsia"/>
                <w:lang w:val="en-US" w:eastAsia="zh-CN"/>
              </w:rPr>
              <w:t xml:space="preserve">  2024年达州市宣汉县环境空气质量统计表</w:t>
            </w:r>
          </w:p>
          <w:tbl>
            <w:tblPr>
              <w:tblStyle w:val="4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550"/>
              <w:gridCol w:w="1340"/>
              <w:gridCol w:w="1385"/>
              <w:gridCol w:w="1150"/>
              <w:gridCol w:w="1277"/>
            </w:tblGrid>
            <w:tr w14:paraId="2FC5B2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6B7E610F">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评价因子</w:t>
                  </w:r>
                </w:p>
              </w:tc>
              <w:tc>
                <w:tcPr>
                  <w:tcW w:w="2582" w:type="dxa"/>
                  <w:vAlign w:val="center"/>
                </w:tcPr>
                <w:p w14:paraId="7012AD0E">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年评价指标</w:t>
                  </w:r>
                </w:p>
              </w:tc>
              <w:tc>
                <w:tcPr>
                  <w:tcW w:w="1357" w:type="dxa"/>
                  <w:vAlign w:val="center"/>
                </w:tcPr>
                <w:p w14:paraId="1362D270">
                  <w:pPr>
                    <w:pStyle w:val="59"/>
                    <w:bidi w:val="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现状浓度（</w:t>
                  </w:r>
                  <w:r>
                    <w:rPr>
                      <w:color w:val="000000" w:themeColor="text1"/>
                      <w:sz w:val="22"/>
                      <w:szCs w:val="22"/>
                      <w14:textFill>
                        <w14:solidFill>
                          <w14:schemeClr w14:val="tx1"/>
                        </w14:solidFill>
                      </w14:textFill>
                    </w:rPr>
                    <w:t>μ</w:t>
                  </w:r>
                  <w:r>
                    <w:rPr>
                      <w:rFonts w:hint="eastAsia"/>
                      <w:color w:val="000000" w:themeColor="text1"/>
                      <w:sz w:val="22"/>
                      <w:szCs w:val="22"/>
                      <w14:textFill>
                        <w14:solidFill>
                          <w14:schemeClr w14:val="tx1"/>
                        </w14:solidFill>
                      </w14:textFill>
                    </w:rPr>
                    <w:t>g/m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w:t>
                  </w:r>
                </w:p>
              </w:tc>
              <w:tc>
                <w:tcPr>
                  <w:tcW w:w="1402" w:type="dxa"/>
                  <w:vAlign w:val="center"/>
                </w:tcPr>
                <w:p w14:paraId="7CB48CFA">
                  <w:pPr>
                    <w:pStyle w:val="59"/>
                    <w:bidi w:val="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标准值</w:t>
                  </w:r>
                </w:p>
                <w:p w14:paraId="0272A7EB">
                  <w:pPr>
                    <w:pStyle w:val="59"/>
                    <w:bidi w:val="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μ</w:t>
                  </w:r>
                  <w:r>
                    <w:rPr>
                      <w:rFonts w:hint="eastAsia"/>
                      <w:color w:val="000000" w:themeColor="text1"/>
                      <w:sz w:val="22"/>
                      <w:szCs w:val="22"/>
                      <w14:textFill>
                        <w14:solidFill>
                          <w14:schemeClr w14:val="tx1"/>
                        </w14:solidFill>
                      </w14:textFill>
                    </w:rPr>
                    <w:t>g/m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w:t>
                  </w:r>
                </w:p>
              </w:tc>
              <w:tc>
                <w:tcPr>
                  <w:tcW w:w="1164" w:type="dxa"/>
                  <w:vAlign w:val="center"/>
                </w:tcPr>
                <w:p w14:paraId="054B5689">
                  <w:pPr>
                    <w:pStyle w:val="59"/>
                    <w:bidi w:val="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占标率（%）</w:t>
                  </w:r>
                </w:p>
              </w:tc>
              <w:tc>
                <w:tcPr>
                  <w:tcW w:w="1293" w:type="dxa"/>
                  <w:vAlign w:val="center"/>
                </w:tcPr>
                <w:p w14:paraId="407404E0">
                  <w:pPr>
                    <w:pStyle w:val="59"/>
                    <w:bidi w:val="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达标情况</w:t>
                  </w:r>
                </w:p>
              </w:tc>
            </w:tr>
            <w:tr w14:paraId="778CD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0D2CE6A4">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SO</w:t>
                  </w:r>
                  <w:r>
                    <w:rPr>
                      <w:rFonts w:hint="eastAsia"/>
                      <w:color w:val="000000" w:themeColor="text1"/>
                      <w:sz w:val="22"/>
                      <w:szCs w:val="22"/>
                      <w:vertAlign w:val="subscript"/>
                      <w14:textFill>
                        <w14:solidFill>
                          <w14:schemeClr w14:val="tx1"/>
                        </w14:solidFill>
                      </w14:textFill>
                    </w:rPr>
                    <w:t>2</w:t>
                  </w:r>
                </w:p>
              </w:tc>
              <w:tc>
                <w:tcPr>
                  <w:tcW w:w="2582" w:type="dxa"/>
                  <w:vAlign w:val="center"/>
                </w:tcPr>
                <w:p w14:paraId="4100FA74">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357" w:type="dxa"/>
                  <w:vAlign w:val="center"/>
                </w:tcPr>
                <w:p w14:paraId="02337607">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7</w:t>
                  </w:r>
                </w:p>
              </w:tc>
              <w:tc>
                <w:tcPr>
                  <w:tcW w:w="1402" w:type="dxa"/>
                  <w:vAlign w:val="center"/>
                </w:tcPr>
                <w:p w14:paraId="1DB7EE94">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60</w:t>
                  </w:r>
                </w:p>
              </w:tc>
              <w:tc>
                <w:tcPr>
                  <w:tcW w:w="1164" w:type="dxa"/>
                  <w:vAlign w:val="center"/>
                </w:tcPr>
                <w:p w14:paraId="582B5229">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11.7</w:t>
                  </w:r>
                </w:p>
              </w:tc>
              <w:tc>
                <w:tcPr>
                  <w:tcW w:w="1293" w:type="dxa"/>
                  <w:vAlign w:val="center"/>
                </w:tcPr>
                <w:p w14:paraId="1CD1D083">
                  <w:pPr>
                    <w:pStyle w:val="59"/>
                    <w:bidi w:val="0"/>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达标</w:t>
                  </w:r>
                </w:p>
              </w:tc>
            </w:tr>
            <w:tr w14:paraId="6F524D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2D78B2F8">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NO</w:t>
                  </w:r>
                  <w:r>
                    <w:rPr>
                      <w:rFonts w:hint="eastAsia"/>
                      <w:color w:val="000000" w:themeColor="text1"/>
                      <w:sz w:val="22"/>
                      <w:szCs w:val="22"/>
                      <w:vertAlign w:val="subscript"/>
                      <w14:textFill>
                        <w14:solidFill>
                          <w14:schemeClr w14:val="tx1"/>
                        </w14:solidFill>
                      </w14:textFill>
                    </w:rPr>
                    <w:t>2</w:t>
                  </w:r>
                </w:p>
              </w:tc>
              <w:tc>
                <w:tcPr>
                  <w:tcW w:w="2582" w:type="dxa"/>
                  <w:vAlign w:val="top"/>
                </w:tcPr>
                <w:p w14:paraId="7B537E31">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357" w:type="dxa"/>
                  <w:vAlign w:val="center"/>
                </w:tcPr>
                <w:p w14:paraId="4F546A06">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18</w:t>
                  </w:r>
                </w:p>
              </w:tc>
              <w:tc>
                <w:tcPr>
                  <w:tcW w:w="1402" w:type="dxa"/>
                  <w:vAlign w:val="center"/>
                </w:tcPr>
                <w:p w14:paraId="7A0E66BA">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40</w:t>
                  </w:r>
                </w:p>
              </w:tc>
              <w:tc>
                <w:tcPr>
                  <w:tcW w:w="1164" w:type="dxa"/>
                  <w:vAlign w:val="center"/>
                </w:tcPr>
                <w:p w14:paraId="531B6BDA">
                  <w:pPr>
                    <w:pStyle w:val="59"/>
                    <w:bidi w:val="0"/>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45.0</w:t>
                  </w:r>
                </w:p>
              </w:tc>
              <w:tc>
                <w:tcPr>
                  <w:tcW w:w="1293" w:type="dxa"/>
                  <w:vAlign w:val="center"/>
                </w:tcPr>
                <w:p w14:paraId="1B405BF3">
                  <w:pPr>
                    <w:pStyle w:val="59"/>
                    <w:bidi w:val="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达标</w:t>
                  </w:r>
                </w:p>
              </w:tc>
            </w:tr>
            <w:tr w14:paraId="0C9E5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63F23D8F">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PM</w:t>
                  </w:r>
                  <w:r>
                    <w:rPr>
                      <w:rFonts w:hint="eastAsia"/>
                      <w:color w:val="000000" w:themeColor="text1"/>
                      <w:sz w:val="22"/>
                      <w:szCs w:val="22"/>
                      <w:vertAlign w:val="subscript"/>
                      <w14:textFill>
                        <w14:solidFill>
                          <w14:schemeClr w14:val="tx1"/>
                        </w14:solidFill>
                      </w14:textFill>
                    </w:rPr>
                    <w:t>10</w:t>
                  </w:r>
                </w:p>
              </w:tc>
              <w:tc>
                <w:tcPr>
                  <w:tcW w:w="2582" w:type="dxa"/>
                  <w:vAlign w:val="top"/>
                </w:tcPr>
                <w:p w14:paraId="4C01CBB4">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357" w:type="dxa"/>
                  <w:vAlign w:val="center"/>
                </w:tcPr>
                <w:p w14:paraId="59E206BA">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48</w:t>
                  </w:r>
                </w:p>
              </w:tc>
              <w:tc>
                <w:tcPr>
                  <w:tcW w:w="1402" w:type="dxa"/>
                  <w:vAlign w:val="center"/>
                </w:tcPr>
                <w:p w14:paraId="1C673132">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70</w:t>
                  </w:r>
                </w:p>
              </w:tc>
              <w:tc>
                <w:tcPr>
                  <w:tcW w:w="1164" w:type="dxa"/>
                  <w:vAlign w:val="center"/>
                </w:tcPr>
                <w:p w14:paraId="4886EB1D">
                  <w:pPr>
                    <w:pStyle w:val="59"/>
                    <w:bidi w:val="0"/>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68.6</w:t>
                  </w:r>
                </w:p>
              </w:tc>
              <w:tc>
                <w:tcPr>
                  <w:tcW w:w="1293" w:type="dxa"/>
                  <w:vAlign w:val="center"/>
                </w:tcPr>
                <w:p w14:paraId="07136D3F">
                  <w:pPr>
                    <w:pStyle w:val="59"/>
                    <w:bidi w:val="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达标</w:t>
                  </w:r>
                </w:p>
              </w:tc>
            </w:tr>
            <w:tr w14:paraId="36DD63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38E8C9BC">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PM</w:t>
                  </w:r>
                  <w:r>
                    <w:rPr>
                      <w:rFonts w:hint="eastAsia"/>
                      <w:color w:val="000000" w:themeColor="text1"/>
                      <w:sz w:val="22"/>
                      <w:szCs w:val="22"/>
                      <w:vertAlign w:val="subscript"/>
                      <w14:textFill>
                        <w14:solidFill>
                          <w14:schemeClr w14:val="tx1"/>
                        </w14:solidFill>
                      </w14:textFill>
                    </w:rPr>
                    <w:t>2.5</w:t>
                  </w:r>
                </w:p>
              </w:tc>
              <w:tc>
                <w:tcPr>
                  <w:tcW w:w="2582" w:type="dxa"/>
                  <w:vAlign w:val="top"/>
                </w:tcPr>
                <w:p w14:paraId="7EB0E251">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357" w:type="dxa"/>
                  <w:vAlign w:val="center"/>
                </w:tcPr>
                <w:p w14:paraId="5834725F">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27</w:t>
                  </w:r>
                </w:p>
              </w:tc>
              <w:tc>
                <w:tcPr>
                  <w:tcW w:w="1402" w:type="dxa"/>
                  <w:vAlign w:val="center"/>
                </w:tcPr>
                <w:p w14:paraId="27AE9D4D">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35</w:t>
                  </w:r>
                </w:p>
              </w:tc>
              <w:tc>
                <w:tcPr>
                  <w:tcW w:w="1164" w:type="dxa"/>
                  <w:vAlign w:val="center"/>
                </w:tcPr>
                <w:p w14:paraId="3A068F20">
                  <w:pPr>
                    <w:pStyle w:val="59"/>
                    <w:bidi w:val="0"/>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77.1</w:t>
                  </w:r>
                </w:p>
              </w:tc>
              <w:tc>
                <w:tcPr>
                  <w:tcW w:w="1293" w:type="dxa"/>
                  <w:vAlign w:val="center"/>
                </w:tcPr>
                <w:p w14:paraId="5EB8524E">
                  <w:pPr>
                    <w:pStyle w:val="59"/>
                    <w:bidi w:val="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达标</w:t>
                  </w:r>
                </w:p>
              </w:tc>
            </w:tr>
            <w:tr w14:paraId="2483E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387CA48C">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CO</w:t>
                  </w:r>
                </w:p>
              </w:tc>
              <w:tc>
                <w:tcPr>
                  <w:tcW w:w="2582" w:type="dxa"/>
                  <w:vAlign w:val="center"/>
                </w:tcPr>
                <w:p w14:paraId="3E21EFA0">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日均浓度的第</w:t>
                  </w:r>
                  <w:r>
                    <w:rPr>
                      <w:rFonts w:hint="eastAsia"/>
                      <w:color w:val="000000" w:themeColor="text1"/>
                      <w:sz w:val="22"/>
                      <w:szCs w:val="22"/>
                      <w14:textFill>
                        <w14:solidFill>
                          <w14:schemeClr w14:val="tx1"/>
                        </w14:solidFill>
                      </w14:textFill>
                    </w:rPr>
                    <w:t>95</w:t>
                  </w:r>
                  <w:r>
                    <w:rPr>
                      <w:color w:val="000000" w:themeColor="text1"/>
                      <w:sz w:val="22"/>
                      <w:szCs w:val="22"/>
                      <w14:textFill>
                        <w14:solidFill>
                          <w14:schemeClr w14:val="tx1"/>
                        </w14:solidFill>
                      </w14:textFill>
                    </w:rPr>
                    <w:t>百分位数</w:t>
                  </w:r>
                </w:p>
              </w:tc>
              <w:tc>
                <w:tcPr>
                  <w:tcW w:w="1357" w:type="dxa"/>
                  <w:vAlign w:val="center"/>
                </w:tcPr>
                <w:p w14:paraId="0CA93918">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1.1mg/m</w:t>
                  </w:r>
                  <w:r>
                    <w:rPr>
                      <w:rFonts w:hint="eastAsia"/>
                      <w:color w:val="000000" w:themeColor="text1"/>
                      <w:sz w:val="22"/>
                      <w:szCs w:val="22"/>
                      <w:vertAlign w:val="superscript"/>
                      <w:lang w:val="en-US" w:eastAsia="zh-CN"/>
                      <w14:textFill>
                        <w14:solidFill>
                          <w14:schemeClr w14:val="tx1"/>
                        </w14:solidFill>
                      </w14:textFill>
                    </w:rPr>
                    <w:t>3</w:t>
                  </w:r>
                </w:p>
              </w:tc>
              <w:tc>
                <w:tcPr>
                  <w:tcW w:w="1402" w:type="dxa"/>
                  <w:vAlign w:val="center"/>
                </w:tcPr>
                <w:p w14:paraId="02DDBC2B">
                  <w:pPr>
                    <w:pStyle w:val="59"/>
                    <w:bidi w:val="0"/>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4mg/m</w:t>
                  </w:r>
                  <w:r>
                    <w:rPr>
                      <w:rFonts w:hint="eastAsia"/>
                      <w:color w:val="000000" w:themeColor="text1"/>
                      <w:sz w:val="22"/>
                      <w:szCs w:val="22"/>
                      <w:vertAlign w:val="superscript"/>
                      <w:lang w:val="en-US" w:eastAsia="zh-CN"/>
                      <w14:textFill>
                        <w14:solidFill>
                          <w14:schemeClr w14:val="tx1"/>
                        </w14:solidFill>
                      </w14:textFill>
                    </w:rPr>
                    <w:t>3</w:t>
                  </w:r>
                </w:p>
              </w:tc>
              <w:tc>
                <w:tcPr>
                  <w:tcW w:w="1164" w:type="dxa"/>
                  <w:vAlign w:val="center"/>
                </w:tcPr>
                <w:p w14:paraId="6F5D9258">
                  <w:pPr>
                    <w:pStyle w:val="59"/>
                    <w:bidi w:val="0"/>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27.5</w:t>
                  </w:r>
                </w:p>
              </w:tc>
              <w:tc>
                <w:tcPr>
                  <w:tcW w:w="1293" w:type="dxa"/>
                  <w:vAlign w:val="center"/>
                </w:tcPr>
                <w:p w14:paraId="1F87100E">
                  <w:pPr>
                    <w:pStyle w:val="59"/>
                    <w:bidi w:val="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达标</w:t>
                  </w:r>
                </w:p>
              </w:tc>
            </w:tr>
            <w:tr w14:paraId="1E8D63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70729C52">
                  <w:pPr>
                    <w:pStyle w:val="59"/>
                    <w:bidi w:val="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O</w:t>
                  </w:r>
                  <w:r>
                    <w:rPr>
                      <w:rFonts w:hint="eastAsia"/>
                      <w:color w:val="000000" w:themeColor="text1"/>
                      <w:sz w:val="22"/>
                      <w:szCs w:val="22"/>
                      <w:vertAlign w:val="subscript"/>
                      <w14:textFill>
                        <w14:solidFill>
                          <w14:schemeClr w14:val="tx1"/>
                        </w14:solidFill>
                      </w14:textFill>
                    </w:rPr>
                    <w:t>3</w:t>
                  </w:r>
                </w:p>
              </w:tc>
              <w:tc>
                <w:tcPr>
                  <w:tcW w:w="2582" w:type="dxa"/>
                  <w:vAlign w:val="center"/>
                </w:tcPr>
                <w:p w14:paraId="4D93C6AE">
                  <w:pPr>
                    <w:pStyle w:val="59"/>
                    <w:bidi w:val="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日最大</w:t>
                  </w:r>
                  <w:r>
                    <w:rPr>
                      <w:rFonts w:hint="eastAsia"/>
                      <w:color w:val="000000" w:themeColor="text1"/>
                      <w:sz w:val="22"/>
                      <w:szCs w:val="22"/>
                      <w14:textFill>
                        <w14:solidFill>
                          <w14:schemeClr w14:val="tx1"/>
                        </w14:solidFill>
                      </w14:textFill>
                    </w:rPr>
                    <w:t>8h平均浓度的第90</w:t>
                  </w:r>
                  <w:r>
                    <w:rPr>
                      <w:color w:val="000000" w:themeColor="text1"/>
                      <w:sz w:val="22"/>
                      <w:szCs w:val="22"/>
                      <w14:textFill>
                        <w14:solidFill>
                          <w14:schemeClr w14:val="tx1"/>
                        </w14:solidFill>
                      </w14:textFill>
                    </w:rPr>
                    <w:t>百分位数</w:t>
                  </w:r>
                </w:p>
              </w:tc>
              <w:tc>
                <w:tcPr>
                  <w:tcW w:w="1357" w:type="dxa"/>
                  <w:vAlign w:val="center"/>
                </w:tcPr>
                <w:p w14:paraId="0A03D41A">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122</w:t>
                  </w:r>
                </w:p>
              </w:tc>
              <w:tc>
                <w:tcPr>
                  <w:tcW w:w="1402" w:type="dxa"/>
                  <w:vAlign w:val="center"/>
                </w:tcPr>
                <w:p w14:paraId="73335B94">
                  <w:pPr>
                    <w:pStyle w:val="59"/>
                    <w:bidi w:val="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160</w:t>
                  </w:r>
                </w:p>
              </w:tc>
              <w:tc>
                <w:tcPr>
                  <w:tcW w:w="1164" w:type="dxa"/>
                  <w:vAlign w:val="center"/>
                </w:tcPr>
                <w:p w14:paraId="7F27C7BE">
                  <w:pPr>
                    <w:pStyle w:val="59"/>
                    <w:bidi w:val="0"/>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76.25</w:t>
                  </w:r>
                </w:p>
              </w:tc>
              <w:tc>
                <w:tcPr>
                  <w:tcW w:w="1293" w:type="dxa"/>
                  <w:vAlign w:val="center"/>
                </w:tcPr>
                <w:p w14:paraId="7C1FF1A8">
                  <w:pPr>
                    <w:pStyle w:val="59"/>
                    <w:bidi w:val="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达标</w:t>
                  </w:r>
                </w:p>
              </w:tc>
            </w:tr>
          </w:tbl>
          <w:p w14:paraId="36044E90">
            <w:pPr>
              <w:pStyle w:val="6"/>
              <w:bidi w:val="0"/>
              <w:rPr>
                <w:rFonts w:hint="default"/>
                <w:color w:val="000000" w:themeColor="text1"/>
                <w:lang w:val="en-US" w:eastAsia="zh-CN"/>
                <w14:textFill>
                  <w14:solidFill>
                    <w14:schemeClr w14:val="tx1"/>
                  </w14:solidFill>
                </w14:textFill>
              </w:rPr>
            </w:pPr>
            <w:r>
              <w:rPr>
                <w:rFonts w:hint="eastAsia"/>
                <w:lang w:val="en-US" w:eastAsia="zh-CN"/>
              </w:rPr>
              <w:t>由上表可知，达州市宣汉县2024年</w:t>
            </w:r>
            <w:r>
              <w:rPr>
                <w:rFonts w:hint="eastAsia"/>
                <w:color w:val="000000" w:themeColor="text1"/>
                <w:lang w:val="en-US" w:eastAsia="zh-CN"/>
                <w14:textFill>
                  <w14:solidFill>
                    <w14:schemeClr w14:val="tx1"/>
                  </w14:solidFill>
                </w14:textFill>
              </w:rPr>
              <w:t>环境空气基本污染物PM</w:t>
            </w:r>
            <w:r>
              <w:rPr>
                <w:rFonts w:hint="eastAsia"/>
                <w:color w:val="000000" w:themeColor="text1"/>
                <w:vertAlign w:val="subscript"/>
                <w:lang w:val="en-US" w:eastAsia="zh-CN"/>
                <w14:textFill>
                  <w14:solidFill>
                    <w14:schemeClr w14:val="tx1"/>
                  </w14:solidFill>
                </w14:textFill>
              </w:rPr>
              <w:t>2.5</w:t>
            </w:r>
            <w:r>
              <w:rPr>
                <w:rFonts w:hint="eastAsia"/>
                <w:color w:val="000000" w:themeColor="text1"/>
                <w:lang w:val="en-US" w:eastAsia="zh-CN"/>
                <w14:textFill>
                  <w14:solidFill>
                    <w14:schemeClr w14:val="tx1"/>
                  </w14:solidFill>
                </w14:textFill>
              </w:rPr>
              <w:t>、PM</w:t>
            </w:r>
            <w:r>
              <w:rPr>
                <w:rFonts w:hint="eastAsia"/>
                <w:color w:val="000000" w:themeColor="text1"/>
                <w:vertAlign w:val="subscript"/>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、CO、O</w:t>
            </w:r>
            <w:r>
              <w:rPr>
                <w:rFonts w:hint="eastAsia"/>
                <w:color w:val="000000" w:themeColor="text1"/>
                <w:vertAlign w:val="sub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浓度均满足</w:t>
            </w:r>
            <w:r>
              <w:rPr>
                <w:rFonts w:hint="eastAsia"/>
                <w:color w:val="000000" w:themeColor="text1"/>
                <w:lang w:val="en-US" w:eastAsia="zh-CN"/>
                <w14:textFill>
                  <w14:solidFill>
                    <w14:schemeClr w14:val="tx1"/>
                  </w14:solidFill>
                </w14:textFill>
              </w:rPr>
              <w:t>《环境空气质量标准》（GB 3095-2012）中的二级标准，属于环境空气质量达标区，项目所在区域环境空气质量良好。</w:t>
            </w:r>
          </w:p>
          <w:p w14:paraId="07E33FA9">
            <w:pPr>
              <w:pStyle w:val="4"/>
              <w:numPr>
                <w:ilvl w:val="2"/>
                <w:numId w:val="7"/>
              </w:numPr>
            </w:pPr>
            <w:r>
              <w:rPr>
                <w:rFonts w:hint="eastAsia"/>
              </w:rPr>
              <w:t>地表水环境质量现状</w:t>
            </w:r>
          </w:p>
          <w:p w14:paraId="6F78E2E5">
            <w:pPr>
              <w:pStyle w:val="6"/>
              <w:bidi w:val="0"/>
              <w:rPr>
                <w:rFonts w:hint="eastAsia" w:eastAsia="宋体"/>
                <w:lang w:val="en-US" w:eastAsia="zh-CN"/>
              </w:rPr>
            </w:pPr>
            <w:r>
              <w:rPr>
                <w:rFonts w:hint="eastAsia"/>
                <w:lang w:val="en-US" w:eastAsia="zh-CN"/>
              </w:rPr>
              <w:t>本项目涉及天生河及其支流黎家沟，为了解区域地表水环境质量现状，本次委托四川华皓检测技术有限公司于2025年7月26日-28日</w:t>
            </w:r>
            <w:r>
              <w:t>开展地表水监测（</w:t>
            </w:r>
            <w:r>
              <w:rPr>
                <w:rFonts w:hint="eastAsia"/>
              </w:rPr>
              <w:t>HH25072601</w:t>
            </w:r>
            <w:r>
              <w:t>）</w:t>
            </w:r>
            <w:r>
              <w:rPr>
                <w:rFonts w:hint="eastAsia"/>
                <w:lang w:eastAsia="zh-CN"/>
              </w:rPr>
              <w:t>。</w:t>
            </w:r>
          </w:p>
          <w:p w14:paraId="3C71162E">
            <w:pPr>
              <w:pStyle w:val="6"/>
              <w:bidi w:val="0"/>
              <w:rPr>
                <w:rFonts w:hint="eastAsia"/>
                <w:lang w:val="en-US" w:eastAsia="zh-CN"/>
              </w:rPr>
            </w:pPr>
            <w:r>
              <w:rPr>
                <w:rFonts w:hint="eastAsia"/>
                <w:lang w:val="en-US" w:eastAsia="zh-CN"/>
              </w:rPr>
              <w:t>（1）监测断面布置</w:t>
            </w:r>
          </w:p>
          <w:p w14:paraId="0767CC60">
            <w:pPr>
              <w:pStyle w:val="6"/>
              <w:bidi w:val="0"/>
              <w:rPr>
                <w:rFonts w:hint="eastAsia"/>
                <w:lang w:val="en-US" w:eastAsia="zh-CN"/>
              </w:rPr>
            </w:pPr>
            <w:r>
              <w:rPr>
                <w:rFonts w:hint="eastAsia"/>
                <w:lang w:eastAsia="zh-CN"/>
              </w:rPr>
              <w:t>监测断面布设情况及监测因子见下表。</w:t>
            </w:r>
          </w:p>
          <w:p w14:paraId="109394D8">
            <w:pPr>
              <w:pStyle w:val="7"/>
              <w:bidi w:val="0"/>
              <w:rPr>
                <w:rFonts w:hint="eastAsia"/>
                <w:lang w:val="en-US" w:eastAsia="zh-CN"/>
              </w:rPr>
            </w:pPr>
            <w:r>
              <w:rPr>
                <w:rFonts w:hint="eastAsia"/>
                <w:lang w:val="en-US" w:eastAsia="zh-CN"/>
              </w:rPr>
              <w:t xml:space="preserve">  地表水环境质量现状监测点位基本情况表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038"/>
              <w:gridCol w:w="2693"/>
              <w:gridCol w:w="2283"/>
              <w:gridCol w:w="1673"/>
            </w:tblGrid>
            <w:tr w14:paraId="7AF2F4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9" w:type="dxa"/>
                  <w:vAlign w:val="center"/>
                </w:tcPr>
                <w:p w14:paraId="71CF53FD">
                  <w:pPr>
                    <w:pStyle w:val="179"/>
                    <w:widowControl w:val="0"/>
                    <w:rPr>
                      <w:rFonts w:cs="Times New Roman"/>
                      <w:sz w:val="22"/>
                    </w:rPr>
                  </w:pPr>
                  <w:r>
                    <w:rPr>
                      <w:rFonts w:cs="Times New Roman"/>
                      <w:sz w:val="22"/>
                    </w:rPr>
                    <w:t>编号</w:t>
                  </w:r>
                </w:p>
              </w:tc>
              <w:tc>
                <w:tcPr>
                  <w:tcW w:w="968" w:type="dxa"/>
                  <w:vAlign w:val="center"/>
                </w:tcPr>
                <w:p w14:paraId="6A48047F">
                  <w:pPr>
                    <w:pStyle w:val="179"/>
                    <w:widowControl w:val="0"/>
                    <w:rPr>
                      <w:rFonts w:cs="Times New Roman"/>
                      <w:sz w:val="22"/>
                    </w:rPr>
                  </w:pPr>
                  <w:r>
                    <w:rPr>
                      <w:rFonts w:cs="Times New Roman"/>
                      <w:sz w:val="22"/>
                    </w:rPr>
                    <w:t>河流</w:t>
                  </w:r>
                </w:p>
              </w:tc>
              <w:tc>
                <w:tcPr>
                  <w:tcW w:w="2509" w:type="dxa"/>
                  <w:vAlign w:val="center"/>
                </w:tcPr>
                <w:p w14:paraId="64E9CDAC">
                  <w:pPr>
                    <w:pStyle w:val="179"/>
                    <w:widowControl w:val="0"/>
                    <w:rPr>
                      <w:rFonts w:cs="Times New Roman"/>
                      <w:sz w:val="22"/>
                    </w:rPr>
                  </w:pPr>
                  <w:r>
                    <w:rPr>
                      <w:rFonts w:cs="Times New Roman"/>
                      <w:sz w:val="22"/>
                    </w:rPr>
                    <w:t>监测断面</w:t>
                  </w:r>
                </w:p>
              </w:tc>
              <w:tc>
                <w:tcPr>
                  <w:tcW w:w="2128" w:type="dxa"/>
                  <w:vAlign w:val="center"/>
                </w:tcPr>
                <w:p w14:paraId="3B50E1BC">
                  <w:pPr>
                    <w:pStyle w:val="179"/>
                    <w:widowControl w:val="0"/>
                    <w:rPr>
                      <w:rFonts w:cs="Times New Roman"/>
                      <w:sz w:val="22"/>
                    </w:rPr>
                  </w:pPr>
                  <w:r>
                    <w:rPr>
                      <w:rFonts w:cs="Times New Roman"/>
                      <w:sz w:val="22"/>
                    </w:rPr>
                    <w:t>监测项目</w:t>
                  </w:r>
                </w:p>
              </w:tc>
              <w:tc>
                <w:tcPr>
                  <w:tcW w:w="1559" w:type="dxa"/>
                  <w:vAlign w:val="center"/>
                </w:tcPr>
                <w:p w14:paraId="11647FDA">
                  <w:pPr>
                    <w:pStyle w:val="179"/>
                    <w:widowControl w:val="0"/>
                    <w:rPr>
                      <w:rFonts w:hint="eastAsia" w:eastAsia="宋体" w:cs="Times New Roman"/>
                      <w:sz w:val="22"/>
                      <w:lang w:eastAsia="zh-CN"/>
                    </w:rPr>
                  </w:pPr>
                  <w:r>
                    <w:rPr>
                      <w:rFonts w:cs="Times New Roman"/>
                      <w:sz w:val="22"/>
                    </w:rPr>
                    <w:t>监测</w:t>
                  </w:r>
                  <w:r>
                    <w:rPr>
                      <w:rFonts w:hint="eastAsia" w:cs="Times New Roman"/>
                      <w:sz w:val="22"/>
                      <w:lang w:val="en-US" w:eastAsia="zh-CN"/>
                    </w:rPr>
                    <w:t>频次</w:t>
                  </w:r>
                </w:p>
              </w:tc>
            </w:tr>
            <w:tr w14:paraId="1AC61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9" w:type="dxa"/>
                  <w:vAlign w:val="center"/>
                </w:tcPr>
                <w:p w14:paraId="5BF9B9D9">
                  <w:pPr>
                    <w:pStyle w:val="179"/>
                    <w:widowControl w:val="0"/>
                    <w:rPr>
                      <w:rFonts w:cs="Times New Roman"/>
                      <w:sz w:val="22"/>
                    </w:rPr>
                  </w:pPr>
                  <w:r>
                    <w:rPr>
                      <w:rFonts w:cs="Times New Roman"/>
                      <w:sz w:val="22"/>
                    </w:rPr>
                    <w:t>W1</w:t>
                  </w:r>
                </w:p>
              </w:tc>
              <w:tc>
                <w:tcPr>
                  <w:tcW w:w="968" w:type="dxa"/>
                  <w:vMerge w:val="restart"/>
                  <w:vAlign w:val="center"/>
                </w:tcPr>
                <w:p w14:paraId="62CEE1B9">
                  <w:pPr>
                    <w:pStyle w:val="179"/>
                    <w:widowControl w:val="0"/>
                    <w:rPr>
                      <w:rFonts w:hint="eastAsia" w:eastAsia="宋体" w:cs="Times New Roman"/>
                      <w:sz w:val="22"/>
                      <w:lang w:val="en-US" w:eastAsia="zh-CN"/>
                    </w:rPr>
                  </w:pPr>
                  <w:r>
                    <w:rPr>
                      <w:rFonts w:hint="eastAsia" w:cs="Times New Roman"/>
                      <w:sz w:val="22"/>
                      <w:lang w:val="en-US" w:eastAsia="zh-CN"/>
                    </w:rPr>
                    <w:t>天生河</w:t>
                  </w:r>
                </w:p>
              </w:tc>
              <w:tc>
                <w:tcPr>
                  <w:tcW w:w="2509" w:type="dxa"/>
                  <w:vAlign w:val="center"/>
                </w:tcPr>
                <w:p w14:paraId="1B16E1C1">
                  <w:pPr>
                    <w:pStyle w:val="179"/>
                    <w:widowControl w:val="0"/>
                    <w:rPr>
                      <w:rFonts w:cs="Times New Roman"/>
                      <w:sz w:val="22"/>
                    </w:rPr>
                  </w:pPr>
                  <w:r>
                    <w:rPr>
                      <w:rFonts w:hint="eastAsia" w:ascii="Times New Roman" w:hAnsi="Times New Roman" w:eastAsia="宋体" w:cs="Times New Roman"/>
                      <w:sz w:val="22"/>
                      <w:szCs w:val="22"/>
                      <w:highlight w:val="none"/>
                      <w:lang w:val="en-US" w:eastAsia="zh-CN"/>
                    </w:rPr>
                    <w:t>天生河段上游</w:t>
                  </w:r>
                  <w:r>
                    <w:rPr>
                      <w:rFonts w:hint="default" w:ascii="Times New Roman" w:hAnsi="Times New Roman" w:eastAsia="宋体" w:cs="Times New Roman"/>
                      <w:sz w:val="22"/>
                      <w:szCs w:val="22"/>
                      <w:highlight w:val="none"/>
                      <w:lang w:val="en-US" w:eastAsia="zh-CN"/>
                    </w:rPr>
                    <w:t>150m</w:t>
                  </w:r>
                  <w:r>
                    <w:rPr>
                      <w:rFonts w:hint="eastAsia" w:ascii="Times New Roman" w:hAnsi="Times New Roman" w:eastAsia="宋体" w:cs="Times New Roman"/>
                      <w:sz w:val="22"/>
                      <w:szCs w:val="22"/>
                      <w:highlight w:val="none"/>
                      <w:lang w:val="en-US" w:eastAsia="zh-CN"/>
                    </w:rPr>
                    <w:t>处</w:t>
                  </w:r>
                </w:p>
              </w:tc>
              <w:tc>
                <w:tcPr>
                  <w:tcW w:w="2128" w:type="dxa"/>
                  <w:vMerge w:val="restart"/>
                  <w:vAlign w:val="center"/>
                </w:tcPr>
                <w:p w14:paraId="6DFDD849">
                  <w:pPr>
                    <w:pStyle w:val="179"/>
                    <w:widowControl w:val="0"/>
                    <w:rPr>
                      <w:rFonts w:cs="Times New Roman"/>
                      <w:sz w:val="22"/>
                    </w:rPr>
                  </w:pPr>
                  <w:r>
                    <w:rPr>
                      <w:rFonts w:hint="eastAsia" w:cs="Times New Roman"/>
                      <w:sz w:val="22"/>
                    </w:rPr>
                    <w:t>水温、pH值、化学需氧量、五日生化需氧量、氨氮、总磷、石油类、溶解氧</w:t>
                  </w:r>
                </w:p>
              </w:tc>
              <w:tc>
                <w:tcPr>
                  <w:tcW w:w="1559" w:type="dxa"/>
                  <w:vMerge w:val="restart"/>
                  <w:vAlign w:val="center"/>
                </w:tcPr>
                <w:p w14:paraId="48631486">
                  <w:pPr>
                    <w:pStyle w:val="179"/>
                    <w:widowControl w:val="0"/>
                    <w:rPr>
                      <w:rFonts w:cs="Times New Roman"/>
                      <w:sz w:val="22"/>
                    </w:rPr>
                  </w:pPr>
                  <w:r>
                    <w:rPr>
                      <w:rFonts w:hint="eastAsia" w:cs="Times New Roman"/>
                      <w:sz w:val="22"/>
                    </w:rPr>
                    <w:t>连续监测3天，每天每个监测断面取一个混合水样</w:t>
                  </w:r>
                </w:p>
              </w:tc>
            </w:tr>
            <w:tr w14:paraId="179495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9" w:type="dxa"/>
                  <w:vAlign w:val="center"/>
                </w:tcPr>
                <w:p w14:paraId="0D89DA63">
                  <w:pPr>
                    <w:pStyle w:val="179"/>
                    <w:widowControl w:val="0"/>
                    <w:rPr>
                      <w:rFonts w:cs="Times New Roman"/>
                      <w:sz w:val="22"/>
                    </w:rPr>
                  </w:pPr>
                  <w:r>
                    <w:rPr>
                      <w:rFonts w:cs="Times New Roman"/>
                      <w:sz w:val="22"/>
                    </w:rPr>
                    <w:t>W2</w:t>
                  </w:r>
                </w:p>
              </w:tc>
              <w:tc>
                <w:tcPr>
                  <w:tcW w:w="968" w:type="dxa"/>
                  <w:vMerge w:val="continue"/>
                  <w:vAlign w:val="center"/>
                </w:tcPr>
                <w:p w14:paraId="30EAB168">
                  <w:pPr>
                    <w:pStyle w:val="179"/>
                    <w:widowControl w:val="0"/>
                    <w:rPr>
                      <w:rFonts w:cs="Times New Roman"/>
                      <w:sz w:val="22"/>
                    </w:rPr>
                  </w:pPr>
                </w:p>
              </w:tc>
              <w:tc>
                <w:tcPr>
                  <w:tcW w:w="2509" w:type="dxa"/>
                  <w:vAlign w:val="center"/>
                </w:tcPr>
                <w:p w14:paraId="2968943F">
                  <w:pPr>
                    <w:pStyle w:val="179"/>
                    <w:widowControl w:val="0"/>
                    <w:rPr>
                      <w:rFonts w:cs="Times New Roman"/>
                      <w:sz w:val="22"/>
                    </w:rPr>
                  </w:pPr>
                  <w:r>
                    <w:rPr>
                      <w:rFonts w:hint="eastAsia" w:ascii="Times New Roman" w:hAnsi="Times New Roman" w:eastAsia="宋体" w:cs="Times New Roman"/>
                      <w:sz w:val="22"/>
                      <w:szCs w:val="22"/>
                      <w:highlight w:val="none"/>
                      <w:lang w:val="en-US" w:eastAsia="zh-CN"/>
                    </w:rPr>
                    <w:t>天生河段下游</w:t>
                  </w:r>
                  <w:r>
                    <w:rPr>
                      <w:rFonts w:hint="default" w:ascii="Times New Roman" w:hAnsi="Times New Roman" w:eastAsia="宋体" w:cs="Times New Roman"/>
                      <w:sz w:val="22"/>
                      <w:szCs w:val="22"/>
                      <w:highlight w:val="none"/>
                      <w:lang w:val="en-US" w:eastAsia="zh-CN"/>
                    </w:rPr>
                    <w:t>500m</w:t>
                  </w:r>
                  <w:r>
                    <w:rPr>
                      <w:rFonts w:hint="eastAsia" w:ascii="Times New Roman" w:hAnsi="Times New Roman" w:eastAsia="宋体" w:cs="Times New Roman"/>
                      <w:sz w:val="22"/>
                      <w:szCs w:val="22"/>
                      <w:highlight w:val="none"/>
                      <w:lang w:val="en-US" w:eastAsia="zh-CN"/>
                    </w:rPr>
                    <w:t>处</w:t>
                  </w:r>
                </w:p>
              </w:tc>
              <w:tc>
                <w:tcPr>
                  <w:tcW w:w="2128" w:type="dxa"/>
                  <w:vMerge w:val="continue"/>
                  <w:vAlign w:val="center"/>
                </w:tcPr>
                <w:p w14:paraId="5BBEF923">
                  <w:pPr>
                    <w:pStyle w:val="179"/>
                    <w:widowControl w:val="0"/>
                    <w:rPr>
                      <w:rFonts w:cs="Times New Roman"/>
                      <w:sz w:val="22"/>
                    </w:rPr>
                  </w:pPr>
                </w:p>
              </w:tc>
              <w:tc>
                <w:tcPr>
                  <w:tcW w:w="1559" w:type="dxa"/>
                  <w:vMerge w:val="continue"/>
                  <w:vAlign w:val="center"/>
                </w:tcPr>
                <w:p w14:paraId="52A00E29">
                  <w:pPr>
                    <w:pStyle w:val="179"/>
                    <w:widowControl w:val="0"/>
                    <w:rPr>
                      <w:rFonts w:cs="Times New Roman"/>
                      <w:sz w:val="22"/>
                    </w:rPr>
                  </w:pPr>
                </w:p>
              </w:tc>
            </w:tr>
            <w:tr w14:paraId="2710A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9" w:type="dxa"/>
                  <w:vAlign w:val="center"/>
                </w:tcPr>
                <w:p w14:paraId="01530598">
                  <w:pPr>
                    <w:pStyle w:val="179"/>
                    <w:widowControl w:val="0"/>
                    <w:rPr>
                      <w:rFonts w:cs="Times New Roman"/>
                      <w:sz w:val="22"/>
                    </w:rPr>
                  </w:pPr>
                  <w:r>
                    <w:rPr>
                      <w:rFonts w:cs="Times New Roman"/>
                      <w:sz w:val="22"/>
                    </w:rPr>
                    <w:t>W3</w:t>
                  </w:r>
                </w:p>
              </w:tc>
              <w:tc>
                <w:tcPr>
                  <w:tcW w:w="968" w:type="dxa"/>
                  <w:vAlign w:val="center"/>
                </w:tcPr>
                <w:p w14:paraId="3AEDB3A2">
                  <w:pPr>
                    <w:pStyle w:val="179"/>
                    <w:widowControl w:val="0"/>
                    <w:rPr>
                      <w:rFonts w:hint="eastAsia" w:eastAsia="宋体" w:cs="Times New Roman"/>
                      <w:sz w:val="22"/>
                      <w:lang w:val="en-US" w:eastAsia="zh-CN"/>
                    </w:rPr>
                  </w:pPr>
                  <w:r>
                    <w:rPr>
                      <w:rFonts w:hint="eastAsia" w:cs="Times New Roman"/>
                      <w:sz w:val="22"/>
                      <w:lang w:val="en-US" w:eastAsia="zh-CN"/>
                    </w:rPr>
                    <w:t>黎家沟</w:t>
                  </w:r>
                </w:p>
              </w:tc>
              <w:tc>
                <w:tcPr>
                  <w:tcW w:w="2509" w:type="dxa"/>
                  <w:vAlign w:val="center"/>
                </w:tcPr>
                <w:p w14:paraId="37C08A75">
                  <w:pPr>
                    <w:pStyle w:val="179"/>
                    <w:widowControl w:val="0"/>
                    <w:rPr>
                      <w:rFonts w:cs="Times New Roman"/>
                      <w:sz w:val="22"/>
                    </w:rPr>
                  </w:pPr>
                  <w:r>
                    <w:rPr>
                      <w:rFonts w:hint="eastAsia" w:ascii="Times New Roman" w:hAnsi="Times New Roman" w:eastAsia="宋体" w:cs="Times New Roman"/>
                      <w:sz w:val="22"/>
                      <w:szCs w:val="22"/>
                      <w:highlight w:val="none"/>
                      <w:lang w:val="en-US" w:eastAsia="zh-CN"/>
                    </w:rPr>
                    <w:t>黎家沟段上游</w:t>
                  </w:r>
                  <w:r>
                    <w:rPr>
                      <w:rFonts w:hint="default" w:ascii="Times New Roman" w:hAnsi="Times New Roman" w:eastAsia="宋体" w:cs="Times New Roman"/>
                      <w:sz w:val="22"/>
                      <w:szCs w:val="22"/>
                      <w:highlight w:val="none"/>
                      <w:lang w:val="en-US" w:eastAsia="zh-CN"/>
                    </w:rPr>
                    <w:t>200m</w:t>
                  </w:r>
                  <w:r>
                    <w:rPr>
                      <w:rFonts w:hint="eastAsia" w:ascii="Times New Roman" w:hAnsi="Times New Roman" w:eastAsia="宋体" w:cs="Times New Roman"/>
                      <w:sz w:val="22"/>
                      <w:szCs w:val="22"/>
                      <w:highlight w:val="none"/>
                      <w:lang w:val="en-US" w:eastAsia="zh-CN"/>
                    </w:rPr>
                    <w:t>处</w:t>
                  </w:r>
                </w:p>
              </w:tc>
              <w:tc>
                <w:tcPr>
                  <w:tcW w:w="2128" w:type="dxa"/>
                  <w:vMerge w:val="continue"/>
                  <w:vAlign w:val="center"/>
                </w:tcPr>
                <w:p w14:paraId="70BB7DE1">
                  <w:pPr>
                    <w:pStyle w:val="179"/>
                    <w:widowControl w:val="0"/>
                    <w:rPr>
                      <w:rFonts w:cs="Times New Roman"/>
                      <w:sz w:val="22"/>
                    </w:rPr>
                  </w:pPr>
                </w:p>
              </w:tc>
              <w:tc>
                <w:tcPr>
                  <w:tcW w:w="1559" w:type="dxa"/>
                  <w:vMerge w:val="continue"/>
                  <w:vAlign w:val="center"/>
                </w:tcPr>
                <w:p w14:paraId="3D680CE9">
                  <w:pPr>
                    <w:pStyle w:val="179"/>
                    <w:widowControl w:val="0"/>
                    <w:rPr>
                      <w:rFonts w:cs="Times New Roman"/>
                      <w:sz w:val="22"/>
                    </w:rPr>
                  </w:pPr>
                </w:p>
              </w:tc>
            </w:tr>
          </w:tbl>
          <w:p w14:paraId="3EB165FA">
            <w:pPr>
              <w:pStyle w:val="6"/>
              <w:keepNext w:val="0"/>
              <w:keepLines w:val="0"/>
              <w:pageBreakBefore w:val="0"/>
              <w:kinsoku/>
              <w:wordWrap/>
              <w:overflowPunct/>
              <w:topLinePunct w:val="0"/>
              <w:autoSpaceDE/>
              <w:autoSpaceDN/>
              <w:bidi w:val="0"/>
              <w:adjustRightInd/>
              <w:snapToGrid/>
              <w:spacing w:line="460" w:lineRule="exact"/>
              <w:textAlignment w:val="auto"/>
              <w:rPr>
                <w:rFonts w:hint="default"/>
                <w:lang w:val="en-US" w:eastAsia="zh-CN"/>
              </w:rPr>
            </w:pPr>
            <w:r>
              <w:rPr>
                <w:rFonts w:hint="eastAsia"/>
                <w:lang w:val="en-US" w:eastAsia="zh-CN"/>
              </w:rPr>
              <w:t>（2）评价方法</w:t>
            </w:r>
          </w:p>
          <w:p w14:paraId="4B05F574">
            <w:pPr>
              <w:keepNext w:val="0"/>
              <w:keepLines w:val="0"/>
              <w:pageBreakBefore w:val="0"/>
              <w:kinsoku/>
              <w:wordWrap/>
              <w:overflowPunct/>
              <w:topLinePunct w:val="0"/>
              <w:autoSpaceDE/>
              <w:autoSpaceDN/>
              <w:bidi w:val="0"/>
              <w:adjustRightInd/>
              <w:snapToGrid/>
              <w:spacing w:line="460" w:lineRule="exact"/>
              <w:textAlignment w:val="auto"/>
            </w:pPr>
            <w:r>
              <w:t>地表水环境质量现状评价，采用单项污染指数法，评价模式如下：</w:t>
            </w:r>
          </w:p>
          <w:p w14:paraId="01EE013A">
            <w:pPr>
              <w:pStyle w:val="179"/>
              <w:keepNext w:val="0"/>
              <w:keepLines w:val="0"/>
              <w:pageBreakBefore w:val="0"/>
              <w:widowControl/>
              <w:kinsoku/>
              <w:wordWrap/>
              <w:overflowPunct/>
              <w:topLinePunct w:val="0"/>
              <w:autoSpaceDE/>
              <w:autoSpaceDN/>
              <w:bidi w:val="0"/>
              <w:adjustRightInd/>
              <w:snapToGrid/>
              <w:spacing w:line="240" w:lineRule="auto"/>
              <w:textAlignment w:val="auto"/>
              <w:rPr>
                <w:rFonts w:cs="Times New Roman"/>
              </w:rPr>
            </w:pPr>
            <w:r>
              <w:rPr>
                <w:rFonts w:cs="Times New Roman"/>
              </w:rPr>
              <w:drawing>
                <wp:inline distT="0" distB="0" distL="0" distR="0">
                  <wp:extent cx="1163320" cy="357505"/>
                  <wp:effectExtent l="0" t="0" r="1778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63320" cy="357505"/>
                          </a:xfrm>
                          <a:prstGeom prst="rect">
                            <a:avLst/>
                          </a:prstGeom>
                          <a:noFill/>
                          <a:ln>
                            <a:noFill/>
                          </a:ln>
                        </pic:spPr>
                      </pic:pic>
                    </a:graphicData>
                  </a:graphic>
                </wp:inline>
              </w:drawing>
            </w:r>
          </w:p>
          <w:p w14:paraId="0DE4C5C5">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式中：S</w:t>
            </w:r>
            <w:r>
              <w:rPr>
                <w:vertAlign w:val="subscript"/>
              </w:rPr>
              <w:t>i,j</w:t>
            </w:r>
            <w:r>
              <w:t>——评价因子i的水质指数，大于1表明该水质因子超标；</w:t>
            </w:r>
          </w:p>
          <w:p w14:paraId="574C756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C</w:t>
            </w:r>
            <w:r>
              <w:rPr>
                <w:vertAlign w:val="subscript"/>
              </w:rPr>
              <w:t>i,j</w:t>
            </w:r>
            <w:r>
              <w:t>——评价因子i在j点的实测统计代表值，mg/L；</w:t>
            </w:r>
          </w:p>
          <w:p w14:paraId="7A36DB52">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C</w:t>
            </w:r>
            <w:r>
              <w:rPr>
                <w:vertAlign w:val="subscript"/>
              </w:rPr>
              <w:t>si</w:t>
            </w:r>
            <w:r>
              <w:t>——评价因子i的水质评价标准限值，mg/L。</w:t>
            </w:r>
          </w:p>
          <w:p w14:paraId="587A2AB6">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pH：</w:t>
            </w:r>
          </w:p>
          <w:p w14:paraId="4A36E298">
            <w:pPr>
              <w:keepNext w:val="0"/>
              <w:keepLines w:val="0"/>
              <w:pageBreakBefore w:val="0"/>
              <w:tabs>
                <w:tab w:val="center" w:pos="3900"/>
              </w:tabs>
              <w:kinsoku/>
              <w:wordWrap/>
              <w:overflowPunct/>
              <w:topLinePunct w:val="0"/>
              <w:autoSpaceDE/>
              <w:autoSpaceDN/>
              <w:bidi w:val="0"/>
              <w:adjustRightInd/>
              <w:snapToGrid/>
              <w:spacing w:line="460" w:lineRule="exact"/>
              <w:ind w:firstLine="0" w:firstLineChars="0"/>
              <w:jc w:val="center"/>
              <w:textAlignment w:val="auto"/>
            </w:pPr>
            <w:r>
              <w:rPr>
                <w:i/>
                <w:iCs/>
              </w:rPr>
              <w:t>S</w:t>
            </w:r>
            <w:r>
              <w:rPr>
                <w:i/>
                <w:iCs/>
                <w:vertAlign w:val="subscript"/>
              </w:rPr>
              <w:t>pH,j</w:t>
            </w:r>
            <w:r>
              <w:t>＝（7.0－pH</w:t>
            </w:r>
            <w:r>
              <w:rPr>
                <w:vertAlign w:val="subscript"/>
              </w:rPr>
              <w:t>j</w:t>
            </w:r>
            <w:r>
              <w:t>）/（7.0－pH</w:t>
            </w:r>
            <w:r>
              <w:rPr>
                <w:vertAlign w:val="subscript"/>
              </w:rPr>
              <w:t>sd</w:t>
            </w:r>
            <w:r>
              <w:t>）pH</w:t>
            </w:r>
            <w:r>
              <w:rPr>
                <w:vertAlign w:val="subscript"/>
              </w:rPr>
              <w:t>j</w:t>
            </w:r>
            <w:r>
              <w:t>≤7.0</w:t>
            </w:r>
          </w:p>
          <w:p w14:paraId="1123AFF4">
            <w:pPr>
              <w:keepNext w:val="0"/>
              <w:keepLines w:val="0"/>
              <w:pageBreakBefore w:val="0"/>
              <w:tabs>
                <w:tab w:val="center" w:pos="3900"/>
              </w:tabs>
              <w:kinsoku/>
              <w:wordWrap/>
              <w:overflowPunct/>
              <w:topLinePunct w:val="0"/>
              <w:autoSpaceDE/>
              <w:autoSpaceDN/>
              <w:bidi w:val="0"/>
              <w:adjustRightInd/>
              <w:snapToGrid/>
              <w:spacing w:line="460" w:lineRule="exact"/>
              <w:ind w:firstLine="0" w:firstLineChars="0"/>
              <w:jc w:val="center"/>
              <w:textAlignment w:val="auto"/>
            </w:pPr>
            <w:r>
              <w:rPr>
                <w:i/>
                <w:iCs/>
              </w:rPr>
              <w:t>S</w:t>
            </w:r>
            <w:r>
              <w:rPr>
                <w:i/>
                <w:iCs/>
                <w:vertAlign w:val="subscript"/>
              </w:rPr>
              <w:t>pH,j</w:t>
            </w:r>
            <w:r>
              <w:t>＝（pH</w:t>
            </w:r>
            <w:r>
              <w:rPr>
                <w:vertAlign w:val="subscript"/>
              </w:rPr>
              <w:t>j</w:t>
            </w:r>
            <w:r>
              <w:t>－7.0）/（pH</w:t>
            </w:r>
            <w:r>
              <w:rPr>
                <w:vertAlign w:val="subscript"/>
              </w:rPr>
              <w:t>su</w:t>
            </w:r>
            <w:r>
              <w:t>－7.0）pH</w:t>
            </w:r>
            <w:r>
              <w:rPr>
                <w:vertAlign w:val="subscript"/>
              </w:rPr>
              <w:t>j</w:t>
            </w:r>
            <w:r>
              <w:t>＞7.0</w:t>
            </w:r>
          </w:p>
          <w:p w14:paraId="20580D93">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式中：S</w:t>
            </w:r>
            <w:r>
              <w:rPr>
                <w:vertAlign w:val="subscript"/>
              </w:rPr>
              <w:t>pH,j</w:t>
            </w:r>
            <w:r>
              <w:t>——pH的指数，大于1表明该水质因子超标；</w:t>
            </w:r>
          </w:p>
          <w:p w14:paraId="68F2EFED">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pH</w:t>
            </w:r>
            <w:r>
              <w:rPr>
                <w:vertAlign w:val="subscript"/>
              </w:rPr>
              <w:t>j</w:t>
            </w:r>
            <w:r>
              <w:t>——pH值实测统计代表值；</w:t>
            </w:r>
          </w:p>
          <w:p w14:paraId="4EDF81FF">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pH</w:t>
            </w:r>
            <w:r>
              <w:rPr>
                <w:vertAlign w:val="subscript"/>
              </w:rPr>
              <w:t>sd</w:t>
            </w:r>
            <w:r>
              <w:t>——评价标准中pH值的下限值；</w:t>
            </w:r>
          </w:p>
          <w:p w14:paraId="59111FE8">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pH</w:t>
            </w:r>
            <w:r>
              <w:rPr>
                <w:vertAlign w:val="subscript"/>
              </w:rPr>
              <w:t>s</w:t>
            </w:r>
            <w:r>
              <w:rPr>
                <w:rFonts w:hint="eastAsia"/>
                <w:vertAlign w:val="subscript"/>
                <w:lang w:val="en-US" w:eastAsia="zh-CN"/>
              </w:rPr>
              <w:t>u</w:t>
            </w:r>
            <w:r>
              <w:t>——评价标准中pH值的</w:t>
            </w:r>
            <w:r>
              <w:rPr>
                <w:rFonts w:hint="eastAsia"/>
                <w:lang w:val="en-US" w:eastAsia="zh-CN"/>
              </w:rPr>
              <w:t>上</w:t>
            </w:r>
            <w:r>
              <w:t>限值；</w:t>
            </w:r>
          </w:p>
          <w:p w14:paraId="683FA96F">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溶解氧：</w:t>
            </w:r>
          </w:p>
          <w:p w14:paraId="606C8D8A">
            <w:pPr>
              <w:pStyle w:val="179"/>
              <w:keepNext w:val="0"/>
              <w:keepLines w:val="0"/>
              <w:pageBreakBefore w:val="0"/>
              <w:widowControl/>
              <w:kinsoku/>
              <w:wordWrap/>
              <w:overflowPunct/>
              <w:topLinePunct w:val="0"/>
              <w:autoSpaceDE/>
              <w:autoSpaceDN/>
              <w:bidi w:val="0"/>
              <w:adjustRightInd/>
              <w:snapToGrid/>
              <w:spacing w:line="240" w:lineRule="auto"/>
              <w:textAlignment w:val="auto"/>
              <w:rPr>
                <w:rFonts w:cs="Times New Roman"/>
              </w:rPr>
            </w:pPr>
            <w:r>
              <w:rPr>
                <w:rFonts w:cs="Times New Roman"/>
              </w:rPr>
              <w:drawing>
                <wp:inline distT="0" distB="0" distL="0" distR="0">
                  <wp:extent cx="3146425" cy="1080135"/>
                  <wp:effectExtent l="0" t="0" r="825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46425" cy="1080135"/>
                          </a:xfrm>
                          <a:prstGeom prst="rect">
                            <a:avLst/>
                          </a:prstGeom>
                          <a:noFill/>
                          <a:ln>
                            <a:noFill/>
                          </a:ln>
                        </pic:spPr>
                      </pic:pic>
                    </a:graphicData>
                  </a:graphic>
                </wp:inline>
              </w:drawing>
            </w:r>
          </w:p>
          <w:p w14:paraId="2CF7245A">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式中：S</w:t>
            </w:r>
            <w:r>
              <w:rPr>
                <w:vertAlign w:val="subscript"/>
              </w:rPr>
              <w:t>DO,j</w:t>
            </w:r>
            <w:r>
              <w:softHyphen/>
            </w:r>
            <w:r>
              <w:t>——解氧的标准指数，大于1表明该水质因子超标；</w:t>
            </w:r>
          </w:p>
          <w:p w14:paraId="341D1FE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DO</w:t>
            </w:r>
            <w:r>
              <w:rPr>
                <w:vertAlign w:val="subscript"/>
              </w:rPr>
              <w:t>J</w:t>
            </w:r>
            <w:r>
              <w:softHyphen/>
            </w:r>
            <w:r>
              <w:t>——溶解氧在j点的实测统计代表值，mg/L；</w:t>
            </w:r>
          </w:p>
          <w:p w14:paraId="0B04DAED">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DO</w:t>
            </w:r>
            <w:r>
              <w:rPr>
                <w:vertAlign w:val="subscript"/>
              </w:rPr>
              <w:t>s</w:t>
            </w:r>
            <w:r>
              <w:softHyphen/>
            </w:r>
            <w:r>
              <w:t>——解氧的水质评价标准限值，mg/L；</w:t>
            </w:r>
          </w:p>
          <w:p w14:paraId="10BDD156">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DO</w:t>
            </w:r>
            <w:r>
              <w:rPr>
                <w:vertAlign w:val="subscript"/>
              </w:rPr>
              <w:t>f</w:t>
            </w:r>
            <w:r>
              <w:t>——饱和溶解氧浓度，mg/L，对于河流，DO</w:t>
            </w:r>
            <w:r>
              <w:rPr>
                <w:vertAlign w:val="subscript"/>
              </w:rPr>
              <w:t>f</w:t>
            </w:r>
            <w:r>
              <w:t>=468/(31.6+T)；</w:t>
            </w:r>
          </w:p>
          <w:p w14:paraId="4797F8B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S——实用盐度符引，量纲为1；</w:t>
            </w:r>
          </w:p>
          <w:p w14:paraId="1F66F41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
              <w:t>T——水温，℃。</w:t>
            </w:r>
          </w:p>
          <w:p w14:paraId="533BE5BC">
            <w:pPr>
              <w:pStyle w:val="6"/>
              <w:bidi w:val="0"/>
              <w:rPr>
                <w:rFonts w:hint="default"/>
                <w:lang w:val="en-US" w:eastAsia="zh-CN"/>
              </w:rPr>
            </w:pPr>
            <w:r>
              <w:rPr>
                <w:rFonts w:hint="eastAsia"/>
                <w:lang w:val="en-US" w:eastAsia="zh-CN"/>
              </w:rPr>
              <w:t>（3）监测结果及评价分析</w:t>
            </w:r>
          </w:p>
          <w:p w14:paraId="4BE566E3">
            <w:pPr>
              <w:pStyle w:val="6"/>
              <w:bidi w:val="0"/>
              <w:rPr>
                <w:rFonts w:hint="default"/>
                <w:lang w:val="en-US" w:eastAsia="zh-CN"/>
              </w:rPr>
            </w:pPr>
            <w:r>
              <w:rPr>
                <w:rFonts w:hint="eastAsia"/>
                <w:lang w:val="en-US" w:eastAsia="zh-CN"/>
              </w:rPr>
              <w:t>地表水监测结果见下表。</w:t>
            </w:r>
          </w:p>
          <w:p w14:paraId="1434941F">
            <w:pPr>
              <w:pStyle w:val="7"/>
              <w:bidi w:val="0"/>
              <w:rPr>
                <w:rFonts w:hint="eastAsia"/>
                <w:lang w:val="en-US" w:eastAsia="zh-CN"/>
              </w:rPr>
            </w:pPr>
            <w:r>
              <w:rPr>
                <w:rFonts w:hint="eastAsia"/>
                <w:lang w:val="en-US" w:eastAsia="zh-CN"/>
              </w:rPr>
              <w:t xml:space="preserve">  地表水环境质量现状监测及评价结果</w:t>
            </w:r>
          </w:p>
          <w:tbl>
            <w:tblPr>
              <w:tblStyle w:val="4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4"/>
              <w:gridCol w:w="536"/>
              <w:gridCol w:w="863"/>
              <w:gridCol w:w="765"/>
              <w:gridCol w:w="700"/>
              <w:gridCol w:w="775"/>
              <w:gridCol w:w="861"/>
              <w:gridCol w:w="1068"/>
              <w:gridCol w:w="921"/>
              <w:gridCol w:w="789"/>
              <w:gridCol w:w="743"/>
            </w:tblGrid>
            <w:tr w14:paraId="4A83B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08" w:type="dxa"/>
                  <w:vMerge w:val="restart"/>
                  <w:tcBorders>
                    <w:top w:val="single" w:color="000000" w:sz="4" w:space="0"/>
                    <w:bottom w:val="single" w:color="000000" w:sz="4" w:space="0"/>
                    <w:right w:val="single" w:color="000000" w:sz="4" w:space="0"/>
                  </w:tcBorders>
                  <w:shd w:val="clear" w:color="auto" w:fill="auto"/>
                  <w:vAlign w:val="center"/>
                </w:tcPr>
                <w:p w14:paraId="256077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河流</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7F9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断面</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CEC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指标</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6E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水温</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84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pH</w:t>
                  </w:r>
                  <w:r>
                    <w:rPr>
                      <w:rStyle w:val="180"/>
                      <w:sz w:val="22"/>
                      <w:szCs w:val="22"/>
                      <w:lang w:val="en-US" w:eastAsia="zh-CN" w:bidi="ar"/>
                      <w14:ligatures w14:val="standardContextual"/>
                    </w:rPr>
                    <w:t>值</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6F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溶解氧</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41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化学需氧量</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84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五日生化需氧量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4E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氨氮</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63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总磷</w:t>
                  </w:r>
                </w:p>
              </w:tc>
              <w:tc>
                <w:tcPr>
                  <w:tcW w:w="692" w:type="dxa"/>
                  <w:tcBorders>
                    <w:top w:val="single" w:color="000000" w:sz="4" w:space="0"/>
                    <w:left w:val="single" w:color="000000" w:sz="4" w:space="0"/>
                    <w:bottom w:val="single" w:color="000000" w:sz="4" w:space="0"/>
                  </w:tcBorders>
                  <w:shd w:val="clear" w:color="auto" w:fill="auto"/>
                  <w:vAlign w:val="center"/>
                </w:tcPr>
                <w:p w14:paraId="1442A2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石油类</w:t>
                  </w:r>
                </w:p>
              </w:tc>
            </w:tr>
            <w:tr w14:paraId="1DFA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3F9A59E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3063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0222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A0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B0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无量纲</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BC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mg/L</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2E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mg/L</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36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mg/L</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47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mg/L</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83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mg/L</w:t>
                  </w:r>
                </w:p>
              </w:tc>
              <w:tc>
                <w:tcPr>
                  <w:tcW w:w="692" w:type="dxa"/>
                  <w:tcBorders>
                    <w:top w:val="single" w:color="000000" w:sz="4" w:space="0"/>
                    <w:left w:val="single" w:color="000000" w:sz="4" w:space="0"/>
                    <w:bottom w:val="single" w:color="000000" w:sz="4" w:space="0"/>
                  </w:tcBorders>
                  <w:shd w:val="clear" w:color="auto" w:fill="auto"/>
                  <w:vAlign w:val="center"/>
                </w:tcPr>
                <w:p w14:paraId="0CD4F7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mg/L</w:t>
                  </w:r>
                </w:p>
              </w:tc>
            </w:tr>
            <w:tr w14:paraId="4CB53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6D83E50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4DA4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17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标准值</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3C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1D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58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5C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3D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4D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30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w:t>
                  </w:r>
                </w:p>
              </w:tc>
              <w:tc>
                <w:tcPr>
                  <w:tcW w:w="692" w:type="dxa"/>
                  <w:tcBorders>
                    <w:top w:val="single" w:color="000000" w:sz="4" w:space="0"/>
                    <w:left w:val="single" w:color="000000" w:sz="4" w:space="0"/>
                    <w:bottom w:val="single" w:color="000000" w:sz="4" w:space="0"/>
                  </w:tcBorders>
                  <w:shd w:val="clear" w:color="auto" w:fill="auto"/>
                  <w:vAlign w:val="center"/>
                </w:tcPr>
                <w:p w14:paraId="211397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0.05</w:t>
                  </w:r>
                </w:p>
              </w:tc>
            </w:tr>
            <w:tr w14:paraId="0BEB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08" w:type="dxa"/>
                  <w:vMerge w:val="restart"/>
                  <w:tcBorders>
                    <w:top w:val="single" w:color="000000" w:sz="4" w:space="0"/>
                    <w:bottom w:val="single" w:color="000000" w:sz="4" w:space="0"/>
                    <w:right w:val="single" w:color="000000" w:sz="4" w:space="0"/>
                  </w:tcBorders>
                  <w:shd w:val="clear" w:color="auto" w:fill="auto"/>
                  <w:vAlign w:val="center"/>
                </w:tcPr>
                <w:p w14:paraId="44DE57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天生河</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EBB2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W1</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AE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浓度</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4E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22.2~24.2</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4E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7.7~7.8</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46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8.4~8.8</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C2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15~17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F9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2.8~2.9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06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0.120~0.135</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72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0.10~0.12</w:t>
                  </w:r>
                </w:p>
              </w:tc>
              <w:tc>
                <w:tcPr>
                  <w:tcW w:w="692" w:type="dxa"/>
                  <w:tcBorders>
                    <w:top w:val="single" w:color="000000" w:sz="4" w:space="0"/>
                    <w:left w:val="single" w:color="000000" w:sz="4" w:space="0"/>
                    <w:bottom w:val="single" w:color="000000" w:sz="4" w:space="0"/>
                  </w:tcBorders>
                  <w:shd w:val="clear" w:color="auto" w:fill="auto"/>
                  <w:vAlign w:val="center"/>
                </w:tcPr>
                <w:p w14:paraId="3FF232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ND</w:t>
                  </w:r>
                </w:p>
              </w:tc>
            </w:tr>
            <w:tr w14:paraId="0F741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7DC53B7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23254">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4F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超标率</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8C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F9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2B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F7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2B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3D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BF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92" w:type="dxa"/>
                  <w:tcBorders>
                    <w:top w:val="single" w:color="000000" w:sz="4" w:space="0"/>
                    <w:left w:val="single" w:color="000000" w:sz="4" w:space="0"/>
                    <w:bottom w:val="single" w:color="000000" w:sz="4" w:space="0"/>
                  </w:tcBorders>
                  <w:shd w:val="clear" w:color="auto" w:fill="auto"/>
                  <w:vAlign w:val="center"/>
                </w:tcPr>
                <w:p w14:paraId="74EC46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7D857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5BC5389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D21B6">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7B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最大</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Si</w:t>
                  </w:r>
                  <w:r>
                    <w:rPr>
                      <w:rStyle w:val="180"/>
                      <w:sz w:val="22"/>
                      <w:szCs w:val="22"/>
                      <w:lang w:val="en-US" w:eastAsia="zh-CN" w:bidi="ar"/>
                      <w14:ligatures w14:val="standardContextual"/>
                    </w:rPr>
                    <w:t>值</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B2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494B">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6A7C">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A1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0.85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12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0.725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72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0.13</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BC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0.6</w:t>
                  </w:r>
                </w:p>
              </w:tc>
              <w:tc>
                <w:tcPr>
                  <w:tcW w:w="692" w:type="dxa"/>
                  <w:tcBorders>
                    <w:top w:val="single" w:color="000000" w:sz="4" w:space="0"/>
                    <w:left w:val="single" w:color="000000" w:sz="4" w:space="0"/>
                    <w:bottom w:val="single" w:color="000000" w:sz="4" w:space="0"/>
                  </w:tcBorders>
                  <w:shd w:val="clear" w:color="auto" w:fill="auto"/>
                  <w:vAlign w:val="center"/>
                </w:tcPr>
                <w:p w14:paraId="6935FA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19F1C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29A3C4D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99257">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FF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达标判断</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6C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EE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BE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34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3A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37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68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692" w:type="dxa"/>
                  <w:tcBorders>
                    <w:top w:val="single" w:color="000000" w:sz="4" w:space="0"/>
                    <w:left w:val="single" w:color="000000" w:sz="4" w:space="0"/>
                    <w:bottom w:val="single" w:color="000000" w:sz="4" w:space="0"/>
                  </w:tcBorders>
                  <w:shd w:val="clear" w:color="auto" w:fill="auto"/>
                  <w:vAlign w:val="center"/>
                </w:tcPr>
                <w:p w14:paraId="45CE5F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r>
            <w:tr w14:paraId="62E1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jc w:val="center"/>
              </w:trPr>
              <w:tc>
                <w:tcPr>
                  <w:tcW w:w="508" w:type="dxa"/>
                  <w:vMerge w:val="restart"/>
                  <w:tcBorders>
                    <w:top w:val="single" w:color="000000" w:sz="4" w:space="0"/>
                    <w:bottom w:val="single" w:color="000000" w:sz="4" w:space="0"/>
                    <w:right w:val="single" w:color="000000" w:sz="4" w:space="0"/>
                  </w:tcBorders>
                  <w:shd w:val="clear" w:color="auto" w:fill="auto"/>
                  <w:vAlign w:val="center"/>
                </w:tcPr>
                <w:p w14:paraId="14DD6E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天生河</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F70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W2</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45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浓度</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2F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22.5~24.8</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BD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7.7~8</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B1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8.4~8.8</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DE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16~18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EF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3.4~3.6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47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0.151~0.242</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99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0.14~0.16</w:t>
                  </w:r>
                </w:p>
              </w:tc>
              <w:tc>
                <w:tcPr>
                  <w:tcW w:w="692" w:type="dxa"/>
                  <w:tcBorders>
                    <w:top w:val="single" w:color="000000" w:sz="4" w:space="0"/>
                    <w:left w:val="single" w:color="000000" w:sz="4" w:space="0"/>
                    <w:bottom w:val="single" w:color="000000" w:sz="4" w:space="0"/>
                  </w:tcBorders>
                  <w:shd w:val="clear" w:color="auto" w:fill="auto"/>
                  <w:vAlign w:val="center"/>
                </w:tcPr>
                <w:p w14:paraId="6263D7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ND</w:t>
                  </w:r>
                </w:p>
              </w:tc>
            </w:tr>
            <w:tr w14:paraId="4320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5B92815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92FCF">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59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超标率</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6A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08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96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3B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D9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BF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F7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92" w:type="dxa"/>
                  <w:tcBorders>
                    <w:top w:val="single" w:color="000000" w:sz="4" w:space="0"/>
                    <w:left w:val="single" w:color="000000" w:sz="4" w:space="0"/>
                    <w:bottom w:val="single" w:color="000000" w:sz="4" w:space="0"/>
                  </w:tcBorders>
                  <w:shd w:val="clear" w:color="auto" w:fill="auto"/>
                  <w:vAlign w:val="center"/>
                </w:tcPr>
                <w:p w14:paraId="2CEFC1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1332B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354216C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E4A8F">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A9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最大</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Si</w:t>
                  </w:r>
                  <w:r>
                    <w:rPr>
                      <w:rStyle w:val="180"/>
                      <w:sz w:val="22"/>
                      <w:szCs w:val="22"/>
                      <w:lang w:val="en-US" w:eastAsia="zh-CN" w:bidi="ar"/>
                      <w14:ligatures w14:val="standardContextual"/>
                    </w:rPr>
                    <w:t>值</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98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0C3A">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A0F5">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A1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92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02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0.24</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F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0.8</w:t>
                  </w:r>
                </w:p>
              </w:tc>
              <w:tc>
                <w:tcPr>
                  <w:tcW w:w="692" w:type="dxa"/>
                  <w:tcBorders>
                    <w:top w:val="single" w:color="000000" w:sz="4" w:space="0"/>
                    <w:left w:val="single" w:color="000000" w:sz="4" w:space="0"/>
                    <w:bottom w:val="single" w:color="000000" w:sz="4" w:space="0"/>
                  </w:tcBorders>
                  <w:shd w:val="clear" w:color="auto" w:fill="auto"/>
                  <w:vAlign w:val="center"/>
                </w:tcPr>
                <w:p w14:paraId="6911F6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1842A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729E712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46368">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F4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达标判断</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35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00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A8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1F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FA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75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5C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692" w:type="dxa"/>
                  <w:tcBorders>
                    <w:top w:val="single" w:color="000000" w:sz="4" w:space="0"/>
                    <w:left w:val="single" w:color="000000" w:sz="4" w:space="0"/>
                    <w:bottom w:val="single" w:color="000000" w:sz="4" w:space="0"/>
                  </w:tcBorders>
                  <w:shd w:val="clear" w:color="auto" w:fill="auto"/>
                  <w:vAlign w:val="center"/>
                </w:tcPr>
                <w:p w14:paraId="224A89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r>
            <w:tr w14:paraId="2131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restart"/>
                  <w:tcBorders>
                    <w:top w:val="single" w:color="000000" w:sz="4" w:space="0"/>
                    <w:bottom w:val="single" w:color="000000" w:sz="4" w:space="0"/>
                    <w:right w:val="single" w:color="000000" w:sz="4" w:space="0"/>
                  </w:tcBorders>
                  <w:shd w:val="clear" w:color="auto" w:fill="auto"/>
                  <w:vAlign w:val="center"/>
                </w:tcPr>
                <w:p w14:paraId="18E112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黎家沟</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744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W3</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1C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浓度</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04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22.9~24.5</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D5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7.7~7.9</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1A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8.4~8.6</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DE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14~16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B1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2.6~2.7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20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0.077~0.154</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75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0.03~0.10</w:t>
                  </w:r>
                </w:p>
              </w:tc>
              <w:tc>
                <w:tcPr>
                  <w:tcW w:w="692" w:type="dxa"/>
                  <w:tcBorders>
                    <w:top w:val="single" w:color="000000" w:sz="4" w:space="0"/>
                    <w:left w:val="single" w:color="000000" w:sz="4" w:space="0"/>
                    <w:bottom w:val="single" w:color="000000" w:sz="4" w:space="0"/>
                  </w:tcBorders>
                  <w:shd w:val="clear" w:color="auto" w:fill="auto"/>
                  <w:vAlign w:val="center"/>
                </w:tcPr>
                <w:p w14:paraId="76D881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ND</w:t>
                  </w:r>
                </w:p>
              </w:tc>
            </w:tr>
            <w:tr w14:paraId="16BE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18077AB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E045E">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3E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超标率</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D0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E7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8B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C0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8F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7D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40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92" w:type="dxa"/>
                  <w:tcBorders>
                    <w:top w:val="single" w:color="000000" w:sz="4" w:space="0"/>
                    <w:left w:val="single" w:color="000000" w:sz="4" w:space="0"/>
                    <w:bottom w:val="single" w:color="000000" w:sz="4" w:space="0"/>
                  </w:tcBorders>
                  <w:shd w:val="clear" w:color="auto" w:fill="auto"/>
                  <w:vAlign w:val="center"/>
                </w:tcPr>
                <w:p w14:paraId="349A21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23B07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151750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5CCBD">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AB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最大</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Si</w:t>
                  </w:r>
                  <w:r>
                    <w:rPr>
                      <w:rStyle w:val="180"/>
                      <w:sz w:val="22"/>
                      <w:szCs w:val="22"/>
                      <w:lang w:val="en-US" w:eastAsia="zh-CN" w:bidi="ar"/>
                      <w14:ligatures w14:val="standardContextual"/>
                    </w:rPr>
                    <w:t>值</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15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0E01">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E394">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41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08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0.675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33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0.15</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DD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c>
                <w:tcPr>
                  <w:tcW w:w="692" w:type="dxa"/>
                  <w:tcBorders>
                    <w:top w:val="single" w:color="000000" w:sz="4" w:space="0"/>
                    <w:left w:val="single" w:color="000000" w:sz="4" w:space="0"/>
                    <w:bottom w:val="single" w:color="000000" w:sz="4" w:space="0"/>
                  </w:tcBorders>
                  <w:shd w:val="clear" w:color="auto" w:fill="auto"/>
                  <w:vAlign w:val="center"/>
                </w:tcPr>
                <w:p w14:paraId="10CDE6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38F4B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8" w:type="dxa"/>
                  <w:vMerge w:val="continue"/>
                  <w:tcBorders>
                    <w:top w:val="single" w:color="000000" w:sz="4" w:space="0"/>
                    <w:bottom w:val="single" w:color="000000" w:sz="4" w:space="0"/>
                    <w:right w:val="single" w:color="000000" w:sz="4" w:space="0"/>
                  </w:tcBorders>
                  <w:shd w:val="clear" w:color="auto" w:fill="auto"/>
                  <w:vAlign w:val="center"/>
                </w:tcPr>
                <w:p w14:paraId="27350AB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9FF33">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D0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达标判断</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30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78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55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A0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0B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00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21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c>
                <w:tcPr>
                  <w:tcW w:w="692" w:type="dxa"/>
                  <w:tcBorders>
                    <w:top w:val="single" w:color="000000" w:sz="4" w:space="0"/>
                    <w:left w:val="single" w:color="000000" w:sz="4" w:space="0"/>
                    <w:bottom w:val="single" w:color="000000" w:sz="4" w:space="0"/>
                  </w:tcBorders>
                  <w:shd w:val="clear" w:color="auto" w:fill="auto"/>
                  <w:vAlign w:val="center"/>
                </w:tcPr>
                <w:p w14:paraId="5E964A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达标</w:t>
                  </w:r>
                </w:p>
              </w:tc>
            </w:tr>
            <w:tr w14:paraId="63528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93" w:type="dxa"/>
                  <w:gridSpan w:val="11"/>
                  <w:tcBorders>
                    <w:top w:val="single" w:color="000000" w:sz="4" w:space="0"/>
                    <w:bottom w:val="single" w:color="000000" w:sz="4" w:space="0"/>
                  </w:tcBorders>
                  <w:shd w:val="clear" w:color="auto" w:fill="auto"/>
                  <w:vAlign w:val="center"/>
                </w:tcPr>
                <w:p w14:paraId="71456191">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备注：ND表示检测结果低于方法检出限或未检出。</w:t>
                  </w:r>
                </w:p>
              </w:tc>
            </w:tr>
          </w:tbl>
          <w:p w14:paraId="28B59158">
            <w:pPr>
              <w:pStyle w:val="6"/>
              <w:bidi w:val="0"/>
              <w:rPr>
                <w:rFonts w:hint="default"/>
                <w:lang w:val="en-US" w:eastAsia="zh-CN"/>
              </w:rPr>
            </w:pPr>
            <w:r>
              <w:rPr>
                <w:rFonts w:hint="eastAsia"/>
                <w:lang w:val="en-US" w:eastAsia="zh-CN"/>
              </w:rPr>
              <w:t>根据上表可知，天生河和黎家沟地表水各监测因子均满足《地表水环境质量标准》（GB3838-2002）</w:t>
            </w:r>
            <w:r>
              <w:rPr>
                <w:rFonts w:hint="default" w:ascii="Times New Roman" w:hAnsi="Times New Roman" w:cs="Times New Roman"/>
                <w:lang w:val="en-US" w:eastAsia="zh-CN"/>
              </w:rPr>
              <w:t>Ш</w:t>
            </w:r>
            <w:r>
              <w:rPr>
                <w:rFonts w:hint="eastAsia"/>
                <w:lang w:val="en-US" w:eastAsia="zh-CN"/>
              </w:rPr>
              <w:t>类水体要求，项目所在区域地表水环境质量良好。</w:t>
            </w:r>
          </w:p>
          <w:p w14:paraId="3122B0E5">
            <w:pPr>
              <w:pStyle w:val="4"/>
              <w:numPr>
                <w:ilvl w:val="2"/>
                <w:numId w:val="7"/>
              </w:numPr>
            </w:pPr>
            <w:r>
              <w:rPr>
                <w:rFonts w:hint="eastAsia"/>
                <w:lang w:eastAsia="zh-CN"/>
              </w:rPr>
              <w:t>声</w:t>
            </w:r>
            <w:r>
              <w:rPr>
                <w:rFonts w:hint="eastAsia"/>
              </w:rPr>
              <w:t>环境</w:t>
            </w:r>
            <w:r>
              <w:rPr>
                <w:rFonts w:hint="eastAsia"/>
                <w:lang w:eastAsia="zh-CN"/>
              </w:rPr>
              <w:t>质量现状</w:t>
            </w:r>
          </w:p>
          <w:p w14:paraId="1373FD6E">
            <w:pPr>
              <w:pStyle w:val="6"/>
              <w:rPr>
                <w:rFonts w:hint="eastAsia" w:eastAsia="宋体"/>
                <w:lang w:val="en-US" w:eastAsia="zh-CN"/>
              </w:rPr>
            </w:pPr>
            <w:r>
              <w:rPr>
                <w:rFonts w:hint="eastAsia" w:cs="Times New Roman"/>
                <w:lang w:val="en-US" w:eastAsia="zh-CN"/>
              </w:rPr>
              <w:t>本次委托</w:t>
            </w:r>
            <w:r>
              <w:rPr>
                <w:rFonts w:hint="eastAsia"/>
                <w:lang w:val="en-US" w:eastAsia="zh-CN"/>
              </w:rPr>
              <w:t>四川华皓检测技术有限公司于2025年7月26-27日对项目所在区域</w:t>
            </w:r>
            <w:r>
              <w:t>开展</w:t>
            </w:r>
            <w:r>
              <w:rPr>
                <w:rFonts w:hint="eastAsia"/>
                <w:lang w:val="en-US" w:eastAsia="zh-CN"/>
              </w:rPr>
              <w:t>环境噪声</w:t>
            </w:r>
            <w:r>
              <w:t>监测（</w:t>
            </w:r>
            <w:r>
              <w:rPr>
                <w:rFonts w:hint="eastAsia"/>
              </w:rPr>
              <w:t>HH25072601</w:t>
            </w:r>
            <w:r>
              <w:t>）</w:t>
            </w:r>
            <w:r>
              <w:rPr>
                <w:rFonts w:hint="eastAsia"/>
                <w:lang w:eastAsia="zh-CN"/>
              </w:rPr>
              <w:t>。</w:t>
            </w:r>
          </w:p>
          <w:p w14:paraId="381E3B3F">
            <w:pPr>
              <w:pStyle w:val="6"/>
              <w:bidi w:val="0"/>
              <w:rPr>
                <w:rFonts w:hint="eastAsia"/>
                <w:lang w:val="en-US" w:eastAsia="zh-CN"/>
              </w:rPr>
            </w:pPr>
            <w:r>
              <w:rPr>
                <w:rFonts w:hint="eastAsia"/>
                <w:lang w:val="en-US" w:eastAsia="zh-CN"/>
              </w:rPr>
              <w:t>（1）监测点位布置</w:t>
            </w:r>
          </w:p>
          <w:p w14:paraId="5887AE79">
            <w:pPr>
              <w:pStyle w:val="6"/>
              <w:bidi w:val="0"/>
              <w:rPr>
                <w:rFonts w:hint="eastAsia"/>
                <w:lang w:val="en-US" w:eastAsia="zh-CN"/>
              </w:rPr>
            </w:pPr>
            <w:r>
              <w:rPr>
                <w:rFonts w:hint="eastAsia"/>
                <w:lang w:eastAsia="zh-CN"/>
              </w:rPr>
              <w:t>监测</w:t>
            </w:r>
            <w:r>
              <w:rPr>
                <w:rFonts w:hint="eastAsia"/>
                <w:lang w:val="en-US" w:eastAsia="zh-CN"/>
              </w:rPr>
              <w:t>点位</w:t>
            </w:r>
            <w:r>
              <w:rPr>
                <w:rFonts w:hint="eastAsia"/>
                <w:lang w:eastAsia="zh-CN"/>
              </w:rPr>
              <w:t>布设情况及监测因子见下表。</w:t>
            </w:r>
          </w:p>
          <w:p w14:paraId="1F2C73D6">
            <w:pPr>
              <w:pStyle w:val="7"/>
              <w:bidi w:val="0"/>
              <w:rPr>
                <w:rFonts w:hint="eastAsia"/>
                <w:lang w:val="en-US" w:eastAsia="zh-CN"/>
              </w:rPr>
            </w:pPr>
            <w:r>
              <w:rPr>
                <w:rFonts w:hint="eastAsia"/>
                <w:lang w:val="en-US" w:eastAsia="zh-CN"/>
              </w:rPr>
              <w:t xml:space="preserve">  声环境质量现状监测点位基本情况表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925"/>
              <w:gridCol w:w="1451"/>
              <w:gridCol w:w="2316"/>
            </w:tblGrid>
            <w:tr w14:paraId="20CF1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0" w:type="pct"/>
                  <w:vAlign w:val="center"/>
                </w:tcPr>
                <w:p w14:paraId="6EF925DC">
                  <w:pPr>
                    <w:pStyle w:val="179"/>
                    <w:widowControl w:val="0"/>
                    <w:rPr>
                      <w:rFonts w:cs="Times New Roman"/>
                      <w:sz w:val="22"/>
                    </w:rPr>
                  </w:pPr>
                  <w:r>
                    <w:rPr>
                      <w:rFonts w:cs="Times New Roman"/>
                      <w:sz w:val="22"/>
                    </w:rPr>
                    <w:t>编号</w:t>
                  </w:r>
                </w:p>
              </w:tc>
              <w:tc>
                <w:tcPr>
                  <w:tcW w:w="2291" w:type="pct"/>
                  <w:vAlign w:val="center"/>
                </w:tcPr>
                <w:p w14:paraId="2FB4C15E">
                  <w:pPr>
                    <w:pStyle w:val="179"/>
                    <w:widowControl w:val="0"/>
                    <w:rPr>
                      <w:rFonts w:cs="Times New Roman"/>
                      <w:sz w:val="22"/>
                    </w:rPr>
                  </w:pPr>
                  <w:r>
                    <w:rPr>
                      <w:rFonts w:cs="Times New Roman"/>
                      <w:sz w:val="22"/>
                    </w:rPr>
                    <w:t>监测点位</w:t>
                  </w:r>
                </w:p>
              </w:tc>
              <w:tc>
                <w:tcPr>
                  <w:tcW w:w="847" w:type="pct"/>
                  <w:vAlign w:val="center"/>
                </w:tcPr>
                <w:p w14:paraId="11C460DD">
                  <w:pPr>
                    <w:pStyle w:val="179"/>
                    <w:widowControl w:val="0"/>
                    <w:rPr>
                      <w:rFonts w:cs="Times New Roman"/>
                      <w:sz w:val="22"/>
                    </w:rPr>
                  </w:pPr>
                  <w:r>
                    <w:rPr>
                      <w:rFonts w:cs="Times New Roman"/>
                      <w:sz w:val="22"/>
                    </w:rPr>
                    <w:t>监测项目</w:t>
                  </w:r>
                </w:p>
              </w:tc>
              <w:tc>
                <w:tcPr>
                  <w:tcW w:w="1352" w:type="pct"/>
                  <w:vAlign w:val="center"/>
                </w:tcPr>
                <w:p w14:paraId="7BC0CBA9">
                  <w:pPr>
                    <w:pStyle w:val="179"/>
                    <w:widowControl w:val="0"/>
                    <w:rPr>
                      <w:rFonts w:cs="Times New Roman"/>
                      <w:sz w:val="22"/>
                    </w:rPr>
                  </w:pPr>
                  <w:r>
                    <w:rPr>
                      <w:rFonts w:cs="Times New Roman"/>
                      <w:sz w:val="22"/>
                    </w:rPr>
                    <w:t>监测时间与频率</w:t>
                  </w:r>
                </w:p>
              </w:tc>
            </w:tr>
            <w:tr w14:paraId="3C153D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59539161">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sz w:val="22"/>
                      <w:szCs w:val="22"/>
                      <w:highlight w:val="none"/>
                      <w:vertAlign w:val="baseline"/>
                      <w:lang w:val="en-US" w:eastAsia="zh-CN"/>
                    </w:rPr>
                    <w:t>N1</w:t>
                  </w:r>
                </w:p>
              </w:tc>
              <w:tc>
                <w:tcPr>
                  <w:tcW w:w="3548" w:type="dxa"/>
                  <w:vAlign w:val="center"/>
                </w:tcPr>
                <w:p w14:paraId="4E45578D">
                  <w:pPr>
                    <w:spacing w:line="240" w:lineRule="auto"/>
                    <w:jc w:val="center"/>
                    <w:rPr>
                      <w:rFonts w:cs="Times New Roman"/>
                      <w:sz w:val="22"/>
                      <w:szCs w:val="22"/>
                    </w:rPr>
                  </w:pPr>
                  <w:r>
                    <w:rPr>
                      <w:rFonts w:hint="eastAsia" w:ascii="Times New Roman" w:hAnsi="Times New Roman" w:eastAsia="宋体" w:cs="Times New Roman"/>
                      <w:sz w:val="22"/>
                      <w:szCs w:val="22"/>
                      <w:highlight w:val="none"/>
                      <w:lang w:val="en-US" w:eastAsia="zh-CN"/>
                    </w:rPr>
                    <w:t>三合面</w:t>
                  </w:r>
                </w:p>
              </w:tc>
              <w:tc>
                <w:tcPr>
                  <w:tcW w:w="847" w:type="pct"/>
                  <w:vMerge w:val="restart"/>
                  <w:vAlign w:val="center"/>
                </w:tcPr>
                <w:p w14:paraId="6C57F4DB">
                  <w:pPr>
                    <w:pStyle w:val="179"/>
                    <w:widowControl w:val="0"/>
                    <w:rPr>
                      <w:rFonts w:cs="Times New Roman"/>
                      <w:sz w:val="22"/>
                    </w:rPr>
                  </w:pPr>
                  <w:r>
                    <w:rPr>
                      <w:rFonts w:cs="Times New Roman"/>
                      <w:sz w:val="22"/>
                    </w:rPr>
                    <w:t>连续等效A声级</w:t>
                  </w:r>
                </w:p>
              </w:tc>
              <w:tc>
                <w:tcPr>
                  <w:tcW w:w="1352" w:type="pct"/>
                  <w:vMerge w:val="restart"/>
                  <w:vAlign w:val="center"/>
                </w:tcPr>
                <w:p w14:paraId="529B0E51">
                  <w:pPr>
                    <w:pStyle w:val="179"/>
                    <w:widowControl w:val="0"/>
                    <w:rPr>
                      <w:rFonts w:cs="Times New Roman"/>
                      <w:sz w:val="22"/>
                    </w:rPr>
                  </w:pPr>
                  <w:r>
                    <w:rPr>
                      <w:rFonts w:cs="Times New Roman"/>
                      <w:sz w:val="22"/>
                    </w:rPr>
                    <w:t>连续监测2天，昼夜各监测一个时段</w:t>
                  </w:r>
                </w:p>
              </w:tc>
            </w:tr>
            <w:tr w14:paraId="30469B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3709F4A2">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kern w:val="2"/>
                      <w:sz w:val="22"/>
                      <w:szCs w:val="22"/>
                      <w:highlight w:val="none"/>
                      <w:vertAlign w:val="baseline"/>
                      <w:lang w:val="en-US" w:eastAsia="zh-CN" w:bidi="ar-SA"/>
                    </w:rPr>
                    <w:t>N2</w:t>
                  </w:r>
                </w:p>
              </w:tc>
              <w:tc>
                <w:tcPr>
                  <w:tcW w:w="3548" w:type="dxa"/>
                  <w:vAlign w:val="center"/>
                </w:tcPr>
                <w:p w14:paraId="03CC7D77">
                  <w:pPr>
                    <w:spacing w:line="240" w:lineRule="auto"/>
                    <w:jc w:val="center"/>
                    <w:rPr>
                      <w:rFonts w:cs="Times New Roman"/>
                      <w:sz w:val="22"/>
                      <w:szCs w:val="22"/>
                    </w:rPr>
                  </w:pPr>
                  <w:r>
                    <w:rPr>
                      <w:rFonts w:hint="eastAsia" w:ascii="Times New Roman" w:hAnsi="Times New Roman" w:eastAsia="宋体" w:cs="Times New Roman"/>
                      <w:sz w:val="22"/>
                      <w:szCs w:val="22"/>
                      <w:highlight w:val="none"/>
                      <w:lang w:val="en-US" w:eastAsia="zh-CN"/>
                    </w:rPr>
                    <w:t>龙王潭</w:t>
                  </w:r>
                </w:p>
              </w:tc>
              <w:tc>
                <w:tcPr>
                  <w:tcW w:w="847" w:type="pct"/>
                  <w:vMerge w:val="continue"/>
                  <w:vAlign w:val="center"/>
                </w:tcPr>
                <w:p w14:paraId="244556F5">
                  <w:pPr>
                    <w:pStyle w:val="179"/>
                    <w:widowControl w:val="0"/>
                    <w:rPr>
                      <w:rFonts w:cs="Times New Roman"/>
                      <w:sz w:val="22"/>
                    </w:rPr>
                  </w:pPr>
                </w:p>
              </w:tc>
              <w:tc>
                <w:tcPr>
                  <w:tcW w:w="1352" w:type="pct"/>
                  <w:vMerge w:val="continue"/>
                  <w:vAlign w:val="center"/>
                </w:tcPr>
                <w:p w14:paraId="6530B556">
                  <w:pPr>
                    <w:pStyle w:val="179"/>
                    <w:widowControl w:val="0"/>
                    <w:rPr>
                      <w:rFonts w:cs="Times New Roman"/>
                      <w:sz w:val="22"/>
                    </w:rPr>
                  </w:pPr>
                </w:p>
              </w:tc>
            </w:tr>
            <w:tr w14:paraId="73256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472C37A8">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kern w:val="2"/>
                      <w:sz w:val="22"/>
                      <w:szCs w:val="22"/>
                      <w:highlight w:val="none"/>
                      <w:vertAlign w:val="baseline"/>
                      <w:lang w:val="en-US" w:eastAsia="zh-CN" w:bidi="ar-SA"/>
                    </w:rPr>
                    <w:t>N3</w:t>
                  </w:r>
                </w:p>
              </w:tc>
              <w:tc>
                <w:tcPr>
                  <w:tcW w:w="3548" w:type="dxa"/>
                  <w:vAlign w:val="center"/>
                </w:tcPr>
                <w:p w14:paraId="2A8FADDE">
                  <w:pPr>
                    <w:spacing w:line="240" w:lineRule="auto"/>
                    <w:jc w:val="center"/>
                    <w:rPr>
                      <w:rFonts w:cs="Times New Roman"/>
                      <w:sz w:val="22"/>
                      <w:szCs w:val="22"/>
                    </w:rPr>
                  </w:pPr>
                  <w:r>
                    <w:rPr>
                      <w:rFonts w:hint="eastAsia" w:ascii="Times New Roman" w:hAnsi="Times New Roman" w:eastAsia="宋体" w:cs="Times New Roman"/>
                      <w:sz w:val="22"/>
                      <w:szCs w:val="22"/>
                      <w:highlight w:val="none"/>
                      <w:lang w:val="en-US" w:eastAsia="zh-CN"/>
                    </w:rPr>
                    <w:t>君田坝</w:t>
                  </w:r>
                </w:p>
              </w:tc>
              <w:tc>
                <w:tcPr>
                  <w:tcW w:w="847" w:type="pct"/>
                  <w:vMerge w:val="continue"/>
                  <w:vAlign w:val="center"/>
                </w:tcPr>
                <w:p w14:paraId="345DEFDE">
                  <w:pPr>
                    <w:pStyle w:val="179"/>
                    <w:widowControl w:val="0"/>
                    <w:rPr>
                      <w:rFonts w:cs="Times New Roman"/>
                      <w:sz w:val="22"/>
                    </w:rPr>
                  </w:pPr>
                </w:p>
              </w:tc>
              <w:tc>
                <w:tcPr>
                  <w:tcW w:w="1352" w:type="pct"/>
                  <w:vMerge w:val="continue"/>
                  <w:vAlign w:val="center"/>
                </w:tcPr>
                <w:p w14:paraId="7B143A66">
                  <w:pPr>
                    <w:pStyle w:val="179"/>
                    <w:widowControl w:val="0"/>
                    <w:rPr>
                      <w:rFonts w:cs="Times New Roman"/>
                      <w:sz w:val="22"/>
                    </w:rPr>
                  </w:pPr>
                </w:p>
              </w:tc>
            </w:tr>
            <w:tr w14:paraId="1104B6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23F7677C">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sz w:val="22"/>
                      <w:szCs w:val="22"/>
                      <w:highlight w:val="none"/>
                      <w:vertAlign w:val="baseline"/>
                      <w:lang w:val="en-US" w:eastAsia="zh-CN"/>
                    </w:rPr>
                    <w:t>N4</w:t>
                  </w:r>
                </w:p>
              </w:tc>
              <w:tc>
                <w:tcPr>
                  <w:tcW w:w="3548" w:type="dxa"/>
                  <w:vAlign w:val="center"/>
                </w:tcPr>
                <w:p w14:paraId="7B18E263">
                  <w:pPr>
                    <w:spacing w:line="240" w:lineRule="auto"/>
                    <w:jc w:val="center"/>
                    <w:rPr>
                      <w:rFonts w:cs="Times New Roman"/>
                      <w:sz w:val="22"/>
                      <w:szCs w:val="22"/>
                    </w:rPr>
                  </w:pPr>
                  <w:r>
                    <w:rPr>
                      <w:rFonts w:hint="eastAsia" w:ascii="Times New Roman" w:hAnsi="Times New Roman" w:eastAsia="宋体" w:cs="Times New Roman"/>
                      <w:sz w:val="22"/>
                      <w:szCs w:val="22"/>
                      <w:highlight w:val="none"/>
                      <w:lang w:val="en-US" w:eastAsia="zh-CN"/>
                    </w:rPr>
                    <w:t>石马边</w:t>
                  </w:r>
                </w:p>
              </w:tc>
              <w:tc>
                <w:tcPr>
                  <w:tcW w:w="847" w:type="pct"/>
                  <w:vMerge w:val="continue"/>
                  <w:vAlign w:val="center"/>
                </w:tcPr>
                <w:p w14:paraId="706B7C8B">
                  <w:pPr>
                    <w:pStyle w:val="179"/>
                    <w:widowControl w:val="0"/>
                    <w:rPr>
                      <w:rFonts w:cs="Times New Roman"/>
                      <w:sz w:val="22"/>
                    </w:rPr>
                  </w:pPr>
                </w:p>
              </w:tc>
              <w:tc>
                <w:tcPr>
                  <w:tcW w:w="1352" w:type="pct"/>
                  <w:vMerge w:val="continue"/>
                  <w:vAlign w:val="center"/>
                </w:tcPr>
                <w:p w14:paraId="52411E46">
                  <w:pPr>
                    <w:pStyle w:val="179"/>
                    <w:widowControl w:val="0"/>
                    <w:rPr>
                      <w:rFonts w:cs="Times New Roman"/>
                      <w:sz w:val="22"/>
                    </w:rPr>
                  </w:pPr>
                </w:p>
              </w:tc>
            </w:tr>
            <w:tr w14:paraId="3F21F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4B08A834">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kern w:val="2"/>
                      <w:sz w:val="22"/>
                      <w:szCs w:val="22"/>
                      <w:highlight w:val="none"/>
                      <w:vertAlign w:val="baseline"/>
                      <w:lang w:val="en-US" w:eastAsia="zh-CN" w:bidi="ar-SA"/>
                    </w:rPr>
                    <w:t>N5</w:t>
                  </w:r>
                </w:p>
              </w:tc>
              <w:tc>
                <w:tcPr>
                  <w:tcW w:w="3548" w:type="dxa"/>
                  <w:vAlign w:val="center"/>
                </w:tcPr>
                <w:p w14:paraId="5182021A">
                  <w:pPr>
                    <w:jc w:val="center"/>
                    <w:rPr>
                      <w:rFonts w:cs="Times New Roman"/>
                      <w:sz w:val="22"/>
                      <w:szCs w:val="22"/>
                    </w:rPr>
                  </w:pPr>
                  <w:r>
                    <w:rPr>
                      <w:rFonts w:hint="eastAsia" w:ascii="Times New Roman" w:hAnsi="Times New Roman" w:eastAsia="宋体" w:cs="Times New Roman"/>
                      <w:sz w:val="22"/>
                      <w:szCs w:val="22"/>
                      <w:highlight w:val="none"/>
                      <w:lang w:val="en-US" w:eastAsia="zh-CN"/>
                    </w:rPr>
                    <w:t>宣汉县天生中学</w:t>
                  </w:r>
                </w:p>
              </w:tc>
              <w:tc>
                <w:tcPr>
                  <w:tcW w:w="847" w:type="pct"/>
                  <w:vMerge w:val="continue"/>
                  <w:vAlign w:val="center"/>
                </w:tcPr>
                <w:p w14:paraId="0B7F2901">
                  <w:pPr>
                    <w:pStyle w:val="179"/>
                    <w:widowControl w:val="0"/>
                    <w:rPr>
                      <w:rFonts w:cs="Times New Roman"/>
                      <w:sz w:val="22"/>
                    </w:rPr>
                  </w:pPr>
                </w:p>
              </w:tc>
              <w:tc>
                <w:tcPr>
                  <w:tcW w:w="1352" w:type="pct"/>
                  <w:vMerge w:val="continue"/>
                  <w:vAlign w:val="center"/>
                </w:tcPr>
                <w:p w14:paraId="06F1A105">
                  <w:pPr>
                    <w:pStyle w:val="179"/>
                    <w:widowControl w:val="0"/>
                    <w:rPr>
                      <w:rFonts w:cs="Times New Roman"/>
                      <w:sz w:val="22"/>
                    </w:rPr>
                  </w:pPr>
                </w:p>
              </w:tc>
            </w:tr>
            <w:tr w14:paraId="309904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1C0A4281">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sz w:val="22"/>
                      <w:szCs w:val="22"/>
                      <w:highlight w:val="none"/>
                      <w:vertAlign w:val="baseline"/>
                      <w:lang w:val="en-US" w:eastAsia="zh-CN"/>
                    </w:rPr>
                    <w:t>N6</w:t>
                  </w:r>
                </w:p>
              </w:tc>
              <w:tc>
                <w:tcPr>
                  <w:tcW w:w="3548" w:type="dxa"/>
                  <w:vAlign w:val="center"/>
                </w:tcPr>
                <w:p w14:paraId="2060B0B6">
                  <w:pPr>
                    <w:spacing w:line="240" w:lineRule="auto"/>
                    <w:jc w:val="center"/>
                    <w:rPr>
                      <w:rFonts w:cs="Times New Roman"/>
                      <w:sz w:val="22"/>
                      <w:szCs w:val="22"/>
                    </w:rPr>
                  </w:pPr>
                  <w:r>
                    <w:rPr>
                      <w:rFonts w:hint="eastAsia" w:ascii="Times New Roman" w:hAnsi="Times New Roman" w:eastAsia="宋体" w:cs="Times New Roman"/>
                      <w:sz w:val="22"/>
                      <w:szCs w:val="22"/>
                      <w:highlight w:val="none"/>
                      <w:lang w:val="en-US" w:eastAsia="zh-CN"/>
                    </w:rPr>
                    <w:t>大磨蹄</w:t>
                  </w:r>
                </w:p>
              </w:tc>
              <w:tc>
                <w:tcPr>
                  <w:tcW w:w="847" w:type="pct"/>
                  <w:vMerge w:val="continue"/>
                  <w:vAlign w:val="center"/>
                </w:tcPr>
                <w:p w14:paraId="749DD78B">
                  <w:pPr>
                    <w:pStyle w:val="179"/>
                    <w:widowControl w:val="0"/>
                    <w:rPr>
                      <w:rFonts w:cs="Times New Roman"/>
                      <w:sz w:val="22"/>
                    </w:rPr>
                  </w:pPr>
                </w:p>
              </w:tc>
              <w:tc>
                <w:tcPr>
                  <w:tcW w:w="1352" w:type="pct"/>
                  <w:vMerge w:val="continue"/>
                  <w:vAlign w:val="center"/>
                </w:tcPr>
                <w:p w14:paraId="0A9C5A5E">
                  <w:pPr>
                    <w:pStyle w:val="179"/>
                    <w:widowControl w:val="0"/>
                    <w:rPr>
                      <w:rFonts w:cs="Times New Roman"/>
                      <w:sz w:val="22"/>
                    </w:rPr>
                  </w:pPr>
                </w:p>
              </w:tc>
            </w:tr>
            <w:tr w14:paraId="2B64A5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0" w:type="dxa"/>
                  <w:vAlign w:val="center"/>
                </w:tcPr>
                <w:p w14:paraId="2FCCFC96">
                  <w:pPr>
                    <w:numPr>
                      <w:ilvl w:val="0"/>
                      <w:numId w:val="0"/>
                    </w:numPr>
                    <w:spacing w:line="240" w:lineRule="auto"/>
                    <w:ind w:left="0" w:leftChars="0" w:firstLine="0" w:firstLineChars="0"/>
                    <w:jc w:val="center"/>
                    <w:rPr>
                      <w:rFonts w:cs="Times New Roman"/>
                      <w:sz w:val="22"/>
                      <w:szCs w:val="22"/>
                    </w:rPr>
                  </w:pPr>
                  <w:r>
                    <w:rPr>
                      <w:rFonts w:hint="eastAsia" w:ascii="Times New Roman" w:hAnsi="Times New Roman" w:eastAsia="宋体" w:cs="Times New Roman"/>
                      <w:sz w:val="22"/>
                      <w:szCs w:val="22"/>
                      <w:highlight w:val="none"/>
                      <w:vertAlign w:val="baseline"/>
                      <w:lang w:val="en-US" w:eastAsia="zh-CN"/>
                    </w:rPr>
                    <w:t>N7</w:t>
                  </w:r>
                </w:p>
              </w:tc>
              <w:tc>
                <w:tcPr>
                  <w:tcW w:w="3548" w:type="dxa"/>
                  <w:vAlign w:val="center"/>
                </w:tcPr>
                <w:p w14:paraId="383A9B62">
                  <w:pPr>
                    <w:spacing w:line="240" w:lineRule="auto"/>
                    <w:jc w:val="center"/>
                    <w:rPr>
                      <w:rFonts w:cs="Times New Roman"/>
                      <w:sz w:val="22"/>
                      <w:szCs w:val="22"/>
                    </w:rPr>
                  </w:pPr>
                  <w:r>
                    <w:rPr>
                      <w:rFonts w:hint="eastAsia" w:ascii="Times New Roman" w:hAnsi="Times New Roman" w:eastAsia="宋体" w:cs="Times New Roman"/>
                      <w:sz w:val="22"/>
                      <w:szCs w:val="22"/>
                      <w:highlight w:val="none"/>
                      <w:lang w:val="en-US" w:eastAsia="zh-CN"/>
                    </w:rPr>
                    <w:t>黎家沟段</w:t>
                  </w:r>
                </w:p>
              </w:tc>
              <w:tc>
                <w:tcPr>
                  <w:tcW w:w="847" w:type="pct"/>
                  <w:vMerge w:val="continue"/>
                  <w:vAlign w:val="center"/>
                </w:tcPr>
                <w:p w14:paraId="59B8E1BF">
                  <w:pPr>
                    <w:pStyle w:val="179"/>
                    <w:widowControl w:val="0"/>
                    <w:rPr>
                      <w:rFonts w:cs="Times New Roman"/>
                      <w:sz w:val="22"/>
                    </w:rPr>
                  </w:pPr>
                </w:p>
              </w:tc>
              <w:tc>
                <w:tcPr>
                  <w:tcW w:w="1352" w:type="pct"/>
                  <w:vMerge w:val="continue"/>
                  <w:vAlign w:val="center"/>
                </w:tcPr>
                <w:p w14:paraId="2C06413C">
                  <w:pPr>
                    <w:pStyle w:val="179"/>
                    <w:widowControl w:val="0"/>
                    <w:rPr>
                      <w:rFonts w:cs="Times New Roman"/>
                      <w:sz w:val="22"/>
                    </w:rPr>
                  </w:pPr>
                </w:p>
              </w:tc>
            </w:tr>
          </w:tbl>
          <w:p w14:paraId="3E91C254">
            <w:pPr>
              <w:pStyle w:val="6"/>
              <w:rPr>
                <w:rFonts w:hint="eastAsia" w:cs="Times New Roman"/>
                <w:lang w:val="en-US" w:eastAsia="zh-CN"/>
              </w:rPr>
            </w:pPr>
            <w:r>
              <w:rPr>
                <w:rFonts w:hint="eastAsia" w:cs="Times New Roman"/>
                <w:lang w:val="en-US" w:eastAsia="zh-CN"/>
              </w:rPr>
              <w:t>（2）监测结果</w:t>
            </w:r>
          </w:p>
          <w:p w14:paraId="0D47D356">
            <w:pPr>
              <w:pStyle w:val="6"/>
              <w:rPr>
                <w:rFonts w:hint="eastAsia" w:eastAsia="宋体" w:cs="Times New Roman"/>
                <w:lang w:val="en-US" w:eastAsia="zh-CN"/>
              </w:rPr>
            </w:pPr>
            <w:r>
              <w:t>各监测点位噪声监测及评价分析结果见</w:t>
            </w:r>
            <w:r>
              <w:rPr>
                <w:rFonts w:hint="eastAsia"/>
                <w:lang w:val="en-US" w:eastAsia="zh-CN"/>
              </w:rPr>
              <w:t>下</w:t>
            </w:r>
            <w:r>
              <w:t>表</w:t>
            </w:r>
            <w:r>
              <w:rPr>
                <w:rFonts w:hint="eastAsia"/>
                <w:lang w:eastAsia="zh-CN"/>
              </w:rPr>
              <w:t>。</w:t>
            </w:r>
          </w:p>
          <w:p w14:paraId="46676823">
            <w:pPr>
              <w:pStyle w:val="7"/>
              <w:bidi w:val="0"/>
              <w:rPr>
                <w:rFonts w:hint="eastAsia"/>
                <w:lang w:val="en-US" w:eastAsia="zh-CN"/>
              </w:rPr>
            </w:pPr>
            <w:r>
              <w:rPr>
                <w:rFonts w:hint="eastAsia"/>
                <w:lang w:val="en-US" w:eastAsia="zh-CN"/>
              </w:rPr>
              <w:t xml:space="preserve">  声环境质量现状监测结果一览表</w:t>
            </w:r>
          </w:p>
          <w:tbl>
            <w:tblPr>
              <w:tblStyle w:val="4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2"/>
              <w:gridCol w:w="1162"/>
              <w:gridCol w:w="1162"/>
              <w:gridCol w:w="2242"/>
              <w:gridCol w:w="1677"/>
              <w:gridCol w:w="1162"/>
            </w:tblGrid>
            <w:tr w14:paraId="17E56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tcBorders>
                    <w:top w:val="single" w:color="000000" w:sz="4" w:space="0"/>
                    <w:bottom w:val="single" w:color="000000" w:sz="4" w:space="0"/>
                    <w:right w:val="single" w:color="000000" w:sz="4" w:space="0"/>
                  </w:tcBorders>
                  <w:shd w:val="clear" w:color="auto" w:fill="auto"/>
                  <w:noWrap/>
                  <w:vAlign w:val="center"/>
                </w:tcPr>
                <w:p w14:paraId="066651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监测点位</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69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监测日期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DB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时间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3F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Lep监测结果dB(A)</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AB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评价标准</w:t>
                  </w:r>
                </w:p>
              </w:tc>
              <w:tc>
                <w:tcPr>
                  <w:tcW w:w="1084" w:type="dxa"/>
                  <w:tcBorders>
                    <w:top w:val="single" w:color="000000" w:sz="4" w:space="0"/>
                    <w:left w:val="single" w:color="000000" w:sz="4" w:space="0"/>
                    <w:bottom w:val="single" w:color="000000" w:sz="4" w:space="0"/>
                  </w:tcBorders>
                  <w:shd w:val="clear" w:color="auto" w:fill="auto"/>
                  <w:noWrap/>
                  <w:vAlign w:val="center"/>
                </w:tcPr>
                <w:p w14:paraId="16B784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评价结果</w:t>
                  </w:r>
                </w:p>
              </w:tc>
            </w:tr>
            <w:tr w14:paraId="41C4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noWrap/>
                  <w:vAlign w:val="center"/>
                </w:tcPr>
                <w:p w14:paraId="2F352B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N1</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CC4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10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EC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57</w:t>
                  </w:r>
                </w:p>
              </w:tc>
              <w:tc>
                <w:tcPr>
                  <w:tcW w:w="1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6DF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《声环境质量标准》（GB3096-2008）2类标准：昼间60dB，夜间50dB</w:t>
                  </w:r>
                </w:p>
              </w:tc>
              <w:tc>
                <w:tcPr>
                  <w:tcW w:w="1084" w:type="dxa"/>
                  <w:tcBorders>
                    <w:top w:val="single" w:color="000000" w:sz="4" w:space="0"/>
                    <w:left w:val="single" w:color="000000" w:sz="4" w:space="0"/>
                    <w:bottom w:val="single" w:color="000000" w:sz="4" w:space="0"/>
                  </w:tcBorders>
                  <w:shd w:val="clear" w:color="auto" w:fill="auto"/>
                  <w:noWrap/>
                  <w:vAlign w:val="center"/>
                </w:tcPr>
                <w:p w14:paraId="49B20C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6E361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180CC305">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FDC1">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E9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A7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CDBA6">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35B811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68589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786F3C1A">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8E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40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EB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58</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F920">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6DBD93E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017DC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0E13F3E9">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698D">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B37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E3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3AA97">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3CE089E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6A9F3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noWrap/>
                  <w:vAlign w:val="center"/>
                </w:tcPr>
                <w:p w14:paraId="18C4E3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N2</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F5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89F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287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58</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0F90A">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22B1BF9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05D54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57598965">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B7EF">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8FA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88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8553E">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3B4B0F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62F92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0DC50DA0">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54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C5F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0E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58DE7">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2C0344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7E324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548F8CA0">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638D">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2E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1D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45</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58588">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0217223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577A3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noWrap/>
                  <w:vAlign w:val="center"/>
                </w:tcPr>
                <w:p w14:paraId="763467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N3</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8F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67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C3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BF319">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65F7861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3A885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25BF2BA5">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64880">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353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65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45</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37C03">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447058F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72E9B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39FCCC41">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14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1E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AA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C8C15">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1FA1F5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03DC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533F03C9">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A830">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671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9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5D6C4">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39DAAE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58023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noWrap/>
                  <w:vAlign w:val="center"/>
                </w:tcPr>
                <w:p w14:paraId="69FCFB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N4</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F89E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7D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C0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CFCF9">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31B7E1D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61BC2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2E6925F5">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A427">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622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6D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0F654">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5C6764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72B4D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0F466B62">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C5A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7E2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68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33A00">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261A79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58555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64C7360F">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F096">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EE5B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2B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305E8">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0A305B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39FB0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noWrap/>
                  <w:vAlign w:val="center"/>
                </w:tcPr>
                <w:p w14:paraId="525A2EA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N5</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D0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BBF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A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B8280">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65D7AF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4795E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5A6599BD">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5ADB">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FE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72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48</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C40A6">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5E2C2E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4CFF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3BE8DC93">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3A0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C0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18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58</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24CE2">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208B21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459D4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noWrap/>
                  <w:vAlign w:val="center"/>
                </w:tcPr>
                <w:p w14:paraId="6A82B22F">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46D6">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9A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10C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48</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1DC91">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center"/>
                </w:tcPr>
                <w:p w14:paraId="74237B5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5AC7F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vAlign w:val="center"/>
                </w:tcPr>
                <w:p w14:paraId="4D05DB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N6</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30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355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BD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0ECE9">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22547053">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299E5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vAlign w:val="center"/>
                </w:tcPr>
                <w:p w14:paraId="03FF6B49">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10B3">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09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AE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1C2EC">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34EB33BE">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11E38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vAlign w:val="center"/>
                </w:tcPr>
                <w:p w14:paraId="73E485B0">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B96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3BF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DF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57</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992AA">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4D32D731">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315B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vAlign w:val="center"/>
                </w:tcPr>
                <w:p w14:paraId="7E1FA650">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BE0E">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EF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D61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F90B3">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200CAF4A">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125CE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restart"/>
                  <w:tcBorders>
                    <w:top w:val="single" w:color="000000" w:sz="4" w:space="0"/>
                    <w:bottom w:val="single" w:color="000000" w:sz="4" w:space="0"/>
                    <w:right w:val="single" w:color="000000" w:sz="4" w:space="0"/>
                  </w:tcBorders>
                  <w:shd w:val="clear" w:color="auto" w:fill="auto"/>
                  <w:vAlign w:val="center"/>
                </w:tcPr>
                <w:p w14:paraId="2CFC98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N7</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096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7月26日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F17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1A4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A0883">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1F00D637">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3640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vAlign w:val="center"/>
                </w:tcPr>
                <w:p w14:paraId="6E1BA7A0">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D215">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38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FC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45</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2AF2C">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51FC0476">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591C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vAlign w:val="center"/>
                </w:tcPr>
                <w:p w14:paraId="4E97F605">
                  <w:pPr>
                    <w:jc w:val="center"/>
                    <w:rPr>
                      <w:rFonts w:hint="default" w:ascii="Times New Roman" w:hAnsi="Times New Roman" w:eastAsia="宋体" w:cs="Times New Roman"/>
                      <w:i w:val="0"/>
                      <w:iCs w:val="0"/>
                      <w:color w:val="000000"/>
                      <w:sz w:val="22"/>
                      <w:szCs w:val="22"/>
                      <w:u w:val="none"/>
                    </w:rPr>
                  </w:pP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B0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7月27日</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389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昼间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4B1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4D80A">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60E2EA74">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143E8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084" w:type="dxa"/>
                  <w:vMerge w:val="continue"/>
                  <w:tcBorders>
                    <w:top w:val="single" w:color="000000" w:sz="4" w:space="0"/>
                    <w:bottom w:val="single" w:color="000000" w:sz="4" w:space="0"/>
                    <w:right w:val="single" w:color="000000" w:sz="4" w:space="0"/>
                  </w:tcBorders>
                  <w:shd w:val="clear" w:color="auto" w:fill="auto"/>
                  <w:vAlign w:val="center"/>
                </w:tcPr>
                <w:p w14:paraId="003F2F14">
                  <w:pPr>
                    <w:jc w:val="center"/>
                    <w:rPr>
                      <w:rFonts w:hint="default" w:ascii="Times New Roman" w:hAnsi="Times New Roman" w:eastAsia="宋体" w:cs="Times New Roman"/>
                      <w:i w:val="0"/>
                      <w:iCs w:val="0"/>
                      <w:color w:val="000000"/>
                      <w:sz w:val="22"/>
                      <w:szCs w:val="22"/>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BED9">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06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夜间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909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45</w:t>
                  </w:r>
                </w:p>
              </w:tc>
              <w:tc>
                <w:tcPr>
                  <w:tcW w:w="1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08F9F">
                  <w:pPr>
                    <w:jc w:val="center"/>
                    <w:rPr>
                      <w:rFonts w:hint="default" w:ascii="Times New Roman" w:hAnsi="Times New Roman" w:eastAsia="宋体" w:cs="Times New Roman"/>
                      <w:i w:val="0"/>
                      <w:iCs w:val="0"/>
                      <w:color w:val="000000"/>
                      <w:sz w:val="22"/>
                      <w:szCs w:val="22"/>
                      <w:u w:val="none"/>
                    </w:rPr>
                  </w:pPr>
                </w:p>
              </w:tc>
              <w:tc>
                <w:tcPr>
                  <w:tcW w:w="1084" w:type="dxa"/>
                  <w:tcBorders>
                    <w:top w:val="single" w:color="000000" w:sz="4" w:space="0"/>
                    <w:left w:val="single" w:color="000000" w:sz="4" w:space="0"/>
                    <w:bottom w:val="single" w:color="000000" w:sz="4" w:space="0"/>
                  </w:tcBorders>
                  <w:shd w:val="clear" w:color="auto" w:fill="auto"/>
                  <w:noWrap/>
                  <w:vAlign w:val="top"/>
                </w:tcPr>
                <w:p w14:paraId="532584A4">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bl>
          <w:p w14:paraId="6939245E">
            <w:pPr>
              <w:pStyle w:val="6"/>
              <w:rPr>
                <w:rFonts w:hint="default" w:cs="Times New Roman"/>
                <w:lang w:val="en-US" w:eastAsia="zh-CN"/>
              </w:rPr>
            </w:pPr>
            <w:r>
              <w:rPr>
                <w:rFonts w:hint="eastAsia" w:cs="Times New Roman"/>
                <w:lang w:val="en-US" w:eastAsia="zh-CN"/>
              </w:rPr>
              <w:t>根据上表可知，项目所在区域声环境监测点的现状监测结果均满足《声环境质量标准》（GB3096-2008）中2类标准的要求，项目周边声环境质量良好。</w:t>
            </w:r>
          </w:p>
          <w:p w14:paraId="651EA992">
            <w:pPr>
              <w:pStyle w:val="4"/>
              <w:numPr>
                <w:ilvl w:val="2"/>
                <w:numId w:val="7"/>
              </w:numPr>
            </w:pPr>
            <w:r>
              <w:rPr>
                <w:rFonts w:hint="eastAsia"/>
                <w:lang w:val="en-US" w:eastAsia="zh-CN"/>
              </w:rPr>
              <w:t>底泥</w:t>
            </w:r>
            <w:r>
              <w:rPr>
                <w:rFonts w:hint="eastAsia"/>
                <w:lang w:eastAsia="zh-CN"/>
              </w:rPr>
              <w:t>现状</w:t>
            </w:r>
            <w:r>
              <w:rPr>
                <w:rFonts w:hint="eastAsia"/>
                <w:lang w:val="en-US" w:eastAsia="zh-CN"/>
              </w:rPr>
              <w:t>监测</w:t>
            </w:r>
          </w:p>
          <w:p w14:paraId="28E80715">
            <w:pPr>
              <w:pStyle w:val="6"/>
              <w:rPr>
                <w:rFonts w:hint="default" w:cs="Times New Roman"/>
                <w:lang w:val="en-US" w:eastAsia="zh-CN"/>
              </w:rPr>
            </w:pPr>
            <w:r>
              <w:rPr>
                <w:rFonts w:hint="eastAsia" w:cs="Times New Roman"/>
                <w:lang w:val="en-US" w:eastAsia="zh-CN"/>
              </w:rPr>
              <w:t>本项目涉及6处河道疏浚区域，为了解项目所在河段底泥现状，本次在天生河段选取3处点位进行现状监测。本次委托</w:t>
            </w:r>
            <w:r>
              <w:rPr>
                <w:rFonts w:hint="eastAsia"/>
                <w:lang w:val="en-US" w:eastAsia="zh-CN"/>
              </w:rPr>
              <w:t>四川华皓检测技术有限公司于2025年7月26日对项目所在河段</w:t>
            </w:r>
            <w:r>
              <w:t>开展</w:t>
            </w:r>
            <w:r>
              <w:rPr>
                <w:rFonts w:hint="eastAsia"/>
                <w:lang w:val="en-US" w:eastAsia="zh-CN"/>
              </w:rPr>
              <w:t>底泥</w:t>
            </w:r>
            <w:r>
              <w:t>监测（</w:t>
            </w:r>
            <w:r>
              <w:rPr>
                <w:rFonts w:hint="eastAsia"/>
              </w:rPr>
              <w:t>HH25072601</w:t>
            </w:r>
            <w:r>
              <w:t>）</w:t>
            </w:r>
          </w:p>
          <w:p w14:paraId="67E79CA5">
            <w:pPr>
              <w:pStyle w:val="6"/>
              <w:rPr>
                <w:rFonts w:hint="default" w:cs="Times New Roman"/>
                <w:lang w:val="en-US" w:eastAsia="zh-CN"/>
              </w:rPr>
            </w:pPr>
            <w:r>
              <w:rPr>
                <w:rFonts w:hint="eastAsia" w:cs="Times New Roman"/>
                <w:lang w:val="en-US" w:eastAsia="zh-CN"/>
              </w:rPr>
              <w:t>（1）监测布点</w:t>
            </w:r>
          </w:p>
          <w:p w14:paraId="021D98E4">
            <w:pPr>
              <w:pStyle w:val="6"/>
              <w:bidi w:val="0"/>
              <w:rPr>
                <w:rFonts w:hint="eastAsia"/>
                <w:lang w:val="en-US" w:eastAsia="zh-CN"/>
              </w:rPr>
            </w:pPr>
            <w:r>
              <w:rPr>
                <w:rFonts w:hint="eastAsia" w:cs="Times New Roman"/>
                <w:lang w:val="en-US" w:eastAsia="zh-CN"/>
              </w:rPr>
              <w:t>底泥监测</w:t>
            </w:r>
            <w:r>
              <w:rPr>
                <w:rFonts w:hint="eastAsia"/>
                <w:lang w:val="en-US" w:eastAsia="zh-CN"/>
              </w:rPr>
              <w:t>点位</w:t>
            </w:r>
            <w:r>
              <w:rPr>
                <w:rFonts w:hint="eastAsia"/>
                <w:lang w:eastAsia="zh-CN"/>
              </w:rPr>
              <w:t>布设情况及监测因子见下表。</w:t>
            </w:r>
          </w:p>
          <w:p w14:paraId="0F77D84D">
            <w:pPr>
              <w:pStyle w:val="7"/>
              <w:bidi w:val="0"/>
              <w:rPr>
                <w:rFonts w:hint="eastAsia"/>
                <w:lang w:val="en-US" w:eastAsia="zh-CN"/>
              </w:rPr>
            </w:pPr>
            <w:r>
              <w:rPr>
                <w:rFonts w:hint="eastAsia"/>
                <w:lang w:val="en-US" w:eastAsia="zh-CN"/>
              </w:rPr>
              <w:t xml:space="preserve">  底泥监测点位基本情况表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753"/>
              <w:gridCol w:w="3271"/>
              <w:gridCol w:w="1779"/>
            </w:tblGrid>
            <w:tr w14:paraId="200F7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14:paraId="2FBEC3E6">
                  <w:pPr>
                    <w:pStyle w:val="179"/>
                    <w:widowControl w:val="0"/>
                    <w:rPr>
                      <w:rFonts w:cs="Times New Roman"/>
                      <w:color w:val="auto"/>
                      <w:sz w:val="22"/>
                    </w:rPr>
                  </w:pPr>
                  <w:r>
                    <w:rPr>
                      <w:rFonts w:cs="Times New Roman"/>
                      <w:color w:val="auto"/>
                      <w:sz w:val="22"/>
                    </w:rPr>
                    <w:t>编号</w:t>
                  </w:r>
                </w:p>
              </w:tc>
              <w:tc>
                <w:tcPr>
                  <w:tcW w:w="1606" w:type="pct"/>
                  <w:vAlign w:val="center"/>
                </w:tcPr>
                <w:p w14:paraId="11E2324F">
                  <w:pPr>
                    <w:pStyle w:val="179"/>
                    <w:widowControl w:val="0"/>
                    <w:rPr>
                      <w:rFonts w:cs="Times New Roman"/>
                      <w:color w:val="auto"/>
                      <w:sz w:val="22"/>
                    </w:rPr>
                  </w:pPr>
                  <w:r>
                    <w:rPr>
                      <w:rFonts w:cs="Times New Roman"/>
                      <w:color w:val="auto"/>
                      <w:sz w:val="22"/>
                    </w:rPr>
                    <w:t>监测点位</w:t>
                  </w:r>
                </w:p>
              </w:tc>
              <w:tc>
                <w:tcPr>
                  <w:tcW w:w="1908" w:type="pct"/>
                  <w:vAlign w:val="center"/>
                </w:tcPr>
                <w:p w14:paraId="069C4E4B">
                  <w:pPr>
                    <w:pStyle w:val="179"/>
                    <w:widowControl w:val="0"/>
                    <w:rPr>
                      <w:rFonts w:cs="Times New Roman"/>
                      <w:color w:val="auto"/>
                      <w:sz w:val="22"/>
                    </w:rPr>
                  </w:pPr>
                  <w:r>
                    <w:rPr>
                      <w:rFonts w:cs="Times New Roman"/>
                      <w:color w:val="auto"/>
                      <w:sz w:val="22"/>
                    </w:rPr>
                    <w:t>监测项目</w:t>
                  </w:r>
                </w:p>
              </w:tc>
              <w:tc>
                <w:tcPr>
                  <w:tcW w:w="1038" w:type="pct"/>
                  <w:vAlign w:val="center"/>
                </w:tcPr>
                <w:p w14:paraId="2F9E80ED">
                  <w:pPr>
                    <w:pStyle w:val="179"/>
                    <w:widowControl w:val="0"/>
                    <w:rPr>
                      <w:rFonts w:cs="Times New Roman"/>
                      <w:color w:val="auto"/>
                      <w:sz w:val="22"/>
                    </w:rPr>
                  </w:pPr>
                  <w:r>
                    <w:rPr>
                      <w:rFonts w:cs="Times New Roman"/>
                      <w:color w:val="auto"/>
                      <w:sz w:val="22"/>
                    </w:rPr>
                    <w:t>监测时间与频率</w:t>
                  </w:r>
                </w:p>
              </w:tc>
            </w:tr>
            <w:tr w14:paraId="579E4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14:paraId="1B2DBDE0">
                  <w:pPr>
                    <w:pStyle w:val="179"/>
                    <w:widowControl w:val="0"/>
                    <w:rPr>
                      <w:rFonts w:cs="Times New Roman"/>
                      <w:color w:val="auto"/>
                      <w:sz w:val="22"/>
                    </w:rPr>
                  </w:pPr>
                  <w:r>
                    <w:rPr>
                      <w:rFonts w:hint="eastAsia" w:cs="Times New Roman"/>
                      <w:color w:val="auto"/>
                      <w:sz w:val="22"/>
                      <w:lang w:val="en-US" w:eastAsia="zh-CN"/>
                    </w:rPr>
                    <w:t>S</w:t>
                  </w:r>
                  <w:r>
                    <w:rPr>
                      <w:rFonts w:cs="Times New Roman"/>
                      <w:color w:val="auto"/>
                      <w:sz w:val="22"/>
                    </w:rPr>
                    <w:t>1</w:t>
                  </w:r>
                </w:p>
              </w:tc>
              <w:tc>
                <w:tcPr>
                  <w:tcW w:w="1606" w:type="pct"/>
                  <w:vAlign w:val="center"/>
                </w:tcPr>
                <w:p w14:paraId="25F9B288">
                  <w:pPr>
                    <w:pStyle w:val="179"/>
                    <w:widowControl w:val="0"/>
                    <w:rPr>
                      <w:rFonts w:cs="Times New Roman"/>
                      <w:color w:val="auto"/>
                      <w:sz w:val="22"/>
                    </w:rPr>
                  </w:pPr>
                  <w:r>
                    <w:rPr>
                      <w:rFonts w:hint="eastAsia" w:ascii="Times New Roman" w:hAnsi="Times New Roman" w:eastAsia="宋体" w:cs="Times New Roman"/>
                      <w:color w:val="auto"/>
                      <w:sz w:val="22"/>
                      <w:szCs w:val="22"/>
                      <w:highlight w:val="none"/>
                      <w:lang w:val="en-US" w:eastAsia="zh-CN"/>
                    </w:rPr>
                    <w:t>河道疏浚第</w:t>
                  </w:r>
                  <w:r>
                    <w:rPr>
                      <w:rFonts w:hint="default" w:ascii="Times New Roman" w:hAnsi="Times New Roman" w:eastAsia="宋体" w:cs="Times New Roman"/>
                      <w:color w:val="auto"/>
                      <w:sz w:val="22"/>
                      <w:szCs w:val="22"/>
                      <w:highlight w:val="none"/>
                      <w:lang w:val="en-US" w:eastAsia="zh-CN"/>
                    </w:rPr>
                    <w:t>1</w:t>
                  </w:r>
                  <w:r>
                    <w:rPr>
                      <w:rFonts w:hint="eastAsia" w:ascii="Times New Roman" w:hAnsi="Times New Roman" w:eastAsia="宋体" w:cs="Times New Roman"/>
                      <w:color w:val="auto"/>
                      <w:sz w:val="22"/>
                      <w:szCs w:val="22"/>
                      <w:highlight w:val="none"/>
                      <w:lang w:val="en-US" w:eastAsia="zh-CN"/>
                    </w:rPr>
                    <w:t>处</w:t>
                  </w:r>
                </w:p>
              </w:tc>
              <w:tc>
                <w:tcPr>
                  <w:tcW w:w="1908" w:type="pct"/>
                  <w:vMerge w:val="restart"/>
                  <w:vAlign w:val="center"/>
                </w:tcPr>
                <w:p w14:paraId="739AB648">
                  <w:pPr>
                    <w:pStyle w:val="179"/>
                    <w:widowControl w:val="0"/>
                    <w:rPr>
                      <w:rFonts w:cs="Times New Roman"/>
                      <w:color w:val="auto"/>
                      <w:sz w:val="22"/>
                    </w:rPr>
                  </w:pPr>
                  <w:r>
                    <w:rPr>
                      <w:rFonts w:cs="Times New Roman"/>
                      <w:color w:val="auto"/>
                      <w:sz w:val="22"/>
                    </w:rPr>
                    <w:t>pH、镉、汞、铅、铬、砷、镍、锌、铜</w:t>
                  </w:r>
                </w:p>
              </w:tc>
              <w:tc>
                <w:tcPr>
                  <w:tcW w:w="1038" w:type="pct"/>
                  <w:vMerge w:val="restart"/>
                  <w:vAlign w:val="center"/>
                </w:tcPr>
                <w:p w14:paraId="63F96CA1">
                  <w:pPr>
                    <w:pStyle w:val="179"/>
                    <w:widowControl w:val="0"/>
                    <w:rPr>
                      <w:rFonts w:cs="Times New Roman"/>
                      <w:color w:val="auto"/>
                      <w:sz w:val="22"/>
                    </w:rPr>
                  </w:pPr>
                  <w:r>
                    <w:rPr>
                      <w:rFonts w:cs="Times New Roman"/>
                      <w:color w:val="auto"/>
                      <w:sz w:val="22"/>
                    </w:rPr>
                    <w:t>监测1天，每天监测1次</w:t>
                  </w:r>
                </w:p>
              </w:tc>
            </w:tr>
            <w:tr w14:paraId="26323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14:paraId="1F69FD9D">
                  <w:pPr>
                    <w:pStyle w:val="179"/>
                    <w:widowControl w:val="0"/>
                    <w:rPr>
                      <w:rFonts w:cs="Times New Roman"/>
                      <w:color w:val="auto"/>
                      <w:sz w:val="22"/>
                    </w:rPr>
                  </w:pPr>
                  <w:r>
                    <w:rPr>
                      <w:rFonts w:hint="eastAsia" w:cs="Times New Roman"/>
                      <w:color w:val="auto"/>
                      <w:sz w:val="22"/>
                      <w:lang w:val="en-US" w:eastAsia="zh-CN"/>
                    </w:rPr>
                    <w:t>S</w:t>
                  </w:r>
                  <w:r>
                    <w:rPr>
                      <w:rFonts w:cs="Times New Roman"/>
                      <w:color w:val="auto"/>
                      <w:sz w:val="22"/>
                    </w:rPr>
                    <w:t>2</w:t>
                  </w:r>
                </w:p>
              </w:tc>
              <w:tc>
                <w:tcPr>
                  <w:tcW w:w="1606" w:type="pct"/>
                  <w:vAlign w:val="center"/>
                </w:tcPr>
                <w:p w14:paraId="6FE9C413">
                  <w:pPr>
                    <w:pStyle w:val="179"/>
                    <w:widowControl w:val="0"/>
                    <w:rPr>
                      <w:rFonts w:cs="Times New Roman"/>
                      <w:color w:val="auto"/>
                      <w:sz w:val="22"/>
                    </w:rPr>
                  </w:pPr>
                  <w:r>
                    <w:rPr>
                      <w:rFonts w:hint="eastAsia" w:ascii="Times New Roman" w:hAnsi="Times New Roman" w:eastAsia="宋体" w:cs="Times New Roman"/>
                      <w:color w:val="auto"/>
                      <w:sz w:val="22"/>
                      <w:szCs w:val="22"/>
                      <w:highlight w:val="none"/>
                      <w:lang w:val="en-US" w:eastAsia="zh-CN"/>
                    </w:rPr>
                    <w:t>河道疏浚第</w:t>
                  </w:r>
                  <w:r>
                    <w:rPr>
                      <w:rFonts w:hint="default" w:ascii="Times New Roman" w:hAnsi="Times New Roman" w:eastAsia="宋体" w:cs="Times New Roman"/>
                      <w:color w:val="auto"/>
                      <w:sz w:val="22"/>
                      <w:szCs w:val="22"/>
                      <w:highlight w:val="none"/>
                      <w:lang w:val="en-US" w:eastAsia="zh-CN"/>
                    </w:rPr>
                    <w:t>3</w:t>
                  </w:r>
                  <w:r>
                    <w:rPr>
                      <w:rFonts w:hint="eastAsia" w:ascii="Times New Roman" w:hAnsi="Times New Roman" w:eastAsia="宋体" w:cs="Times New Roman"/>
                      <w:color w:val="auto"/>
                      <w:sz w:val="22"/>
                      <w:szCs w:val="22"/>
                      <w:highlight w:val="none"/>
                      <w:lang w:val="en-US" w:eastAsia="zh-CN"/>
                    </w:rPr>
                    <w:t>处</w:t>
                  </w:r>
                </w:p>
              </w:tc>
              <w:tc>
                <w:tcPr>
                  <w:tcW w:w="1908" w:type="pct"/>
                  <w:vMerge w:val="continue"/>
                  <w:vAlign w:val="center"/>
                </w:tcPr>
                <w:p w14:paraId="478597B1">
                  <w:pPr>
                    <w:pStyle w:val="179"/>
                    <w:widowControl w:val="0"/>
                    <w:rPr>
                      <w:rFonts w:cs="Times New Roman"/>
                      <w:color w:val="auto"/>
                      <w:sz w:val="22"/>
                    </w:rPr>
                  </w:pPr>
                </w:p>
              </w:tc>
              <w:tc>
                <w:tcPr>
                  <w:tcW w:w="1038" w:type="pct"/>
                  <w:vMerge w:val="continue"/>
                  <w:vAlign w:val="center"/>
                </w:tcPr>
                <w:p w14:paraId="15C76A79">
                  <w:pPr>
                    <w:pStyle w:val="179"/>
                    <w:widowControl w:val="0"/>
                    <w:rPr>
                      <w:rFonts w:cs="Times New Roman"/>
                      <w:color w:val="auto"/>
                      <w:sz w:val="22"/>
                    </w:rPr>
                  </w:pPr>
                </w:p>
              </w:tc>
            </w:tr>
            <w:tr w14:paraId="0318A5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14:paraId="00AB15A4">
                  <w:pPr>
                    <w:pStyle w:val="179"/>
                    <w:widowControl w:val="0"/>
                    <w:rPr>
                      <w:rFonts w:cs="Times New Roman"/>
                      <w:color w:val="auto"/>
                      <w:sz w:val="22"/>
                    </w:rPr>
                  </w:pPr>
                  <w:r>
                    <w:rPr>
                      <w:rFonts w:hint="eastAsia" w:cs="Times New Roman"/>
                      <w:color w:val="auto"/>
                      <w:sz w:val="22"/>
                      <w:lang w:val="en-US" w:eastAsia="zh-CN"/>
                    </w:rPr>
                    <w:t>S</w:t>
                  </w:r>
                  <w:r>
                    <w:rPr>
                      <w:rFonts w:cs="Times New Roman"/>
                      <w:color w:val="auto"/>
                      <w:sz w:val="22"/>
                    </w:rPr>
                    <w:t>3</w:t>
                  </w:r>
                </w:p>
              </w:tc>
              <w:tc>
                <w:tcPr>
                  <w:tcW w:w="1606" w:type="pct"/>
                  <w:vAlign w:val="center"/>
                </w:tcPr>
                <w:p w14:paraId="2E30614D">
                  <w:pPr>
                    <w:pStyle w:val="179"/>
                    <w:widowControl w:val="0"/>
                    <w:rPr>
                      <w:rFonts w:cs="Times New Roman"/>
                      <w:color w:val="auto"/>
                      <w:sz w:val="22"/>
                    </w:rPr>
                  </w:pPr>
                  <w:r>
                    <w:rPr>
                      <w:rFonts w:hint="eastAsia" w:ascii="Times New Roman" w:hAnsi="Times New Roman" w:eastAsia="宋体" w:cs="Times New Roman"/>
                      <w:color w:val="auto"/>
                      <w:sz w:val="22"/>
                      <w:szCs w:val="22"/>
                      <w:highlight w:val="none"/>
                      <w:lang w:val="en-US" w:eastAsia="zh-CN"/>
                    </w:rPr>
                    <w:t>河道疏浚第</w:t>
                  </w:r>
                  <w:r>
                    <w:rPr>
                      <w:rFonts w:hint="default" w:ascii="Times New Roman" w:hAnsi="Times New Roman" w:eastAsia="宋体" w:cs="Times New Roman"/>
                      <w:color w:val="auto"/>
                      <w:sz w:val="22"/>
                      <w:szCs w:val="22"/>
                      <w:highlight w:val="none"/>
                      <w:lang w:val="en-US" w:eastAsia="zh-CN"/>
                    </w:rPr>
                    <w:t>6</w:t>
                  </w:r>
                  <w:r>
                    <w:rPr>
                      <w:rFonts w:hint="eastAsia" w:ascii="Times New Roman" w:hAnsi="Times New Roman" w:eastAsia="宋体" w:cs="Times New Roman"/>
                      <w:color w:val="auto"/>
                      <w:sz w:val="22"/>
                      <w:szCs w:val="22"/>
                      <w:highlight w:val="none"/>
                      <w:lang w:val="en-US" w:eastAsia="zh-CN"/>
                    </w:rPr>
                    <w:t>处</w:t>
                  </w:r>
                </w:p>
              </w:tc>
              <w:tc>
                <w:tcPr>
                  <w:tcW w:w="1908" w:type="pct"/>
                  <w:vMerge w:val="continue"/>
                  <w:vAlign w:val="center"/>
                </w:tcPr>
                <w:p w14:paraId="57414622">
                  <w:pPr>
                    <w:pStyle w:val="179"/>
                    <w:widowControl w:val="0"/>
                    <w:rPr>
                      <w:rFonts w:cs="Times New Roman"/>
                      <w:color w:val="auto"/>
                      <w:sz w:val="22"/>
                    </w:rPr>
                  </w:pPr>
                </w:p>
              </w:tc>
              <w:tc>
                <w:tcPr>
                  <w:tcW w:w="1038" w:type="pct"/>
                  <w:vMerge w:val="continue"/>
                  <w:vAlign w:val="center"/>
                </w:tcPr>
                <w:p w14:paraId="076C3432">
                  <w:pPr>
                    <w:pStyle w:val="179"/>
                    <w:widowControl w:val="0"/>
                    <w:rPr>
                      <w:rFonts w:cs="Times New Roman"/>
                      <w:color w:val="auto"/>
                      <w:sz w:val="22"/>
                    </w:rPr>
                  </w:pPr>
                </w:p>
              </w:tc>
            </w:tr>
          </w:tbl>
          <w:p w14:paraId="4B678AD4">
            <w:pPr>
              <w:pStyle w:val="6"/>
              <w:rPr>
                <w:rFonts w:hint="default" w:cs="Times New Roman"/>
                <w:lang w:val="en-US" w:eastAsia="zh-CN"/>
              </w:rPr>
            </w:pPr>
            <w:r>
              <w:rPr>
                <w:rFonts w:hint="eastAsia" w:cs="Times New Roman"/>
                <w:lang w:val="en-US" w:eastAsia="zh-CN"/>
              </w:rPr>
              <w:t>（2）监测结果</w:t>
            </w:r>
          </w:p>
          <w:p w14:paraId="61A50E68">
            <w:pPr>
              <w:pStyle w:val="6"/>
              <w:bidi w:val="0"/>
              <w:rPr>
                <w:rFonts w:hint="eastAsia"/>
                <w:lang w:val="en-US" w:eastAsia="zh-CN"/>
              </w:rPr>
            </w:pPr>
            <w:r>
              <w:rPr>
                <w:rFonts w:hint="eastAsia" w:cs="Times New Roman"/>
                <w:lang w:val="en-US" w:eastAsia="zh-CN"/>
              </w:rPr>
              <w:t>底泥环境质量监测结果见下表</w:t>
            </w:r>
            <w:r>
              <w:rPr>
                <w:rFonts w:hint="eastAsia"/>
                <w:lang w:eastAsia="zh-CN"/>
              </w:rPr>
              <w:t>。</w:t>
            </w:r>
          </w:p>
          <w:p w14:paraId="4DF05E7C">
            <w:pPr>
              <w:pStyle w:val="7"/>
              <w:bidi w:val="0"/>
              <w:rPr>
                <w:rFonts w:hint="eastAsia"/>
                <w:lang w:val="en-US" w:eastAsia="zh-CN"/>
              </w:rPr>
            </w:pPr>
            <w:r>
              <w:rPr>
                <w:rFonts w:hint="eastAsia"/>
                <w:lang w:val="en-US" w:eastAsia="zh-CN"/>
              </w:rPr>
              <w:t xml:space="preserve">  底泥监测结果一览表</w:t>
            </w:r>
          </w:p>
          <w:tbl>
            <w:tblPr>
              <w:tblStyle w:val="4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2"/>
              <w:gridCol w:w="942"/>
              <w:gridCol w:w="1050"/>
              <w:gridCol w:w="965"/>
              <w:gridCol w:w="965"/>
              <w:gridCol w:w="965"/>
              <w:gridCol w:w="965"/>
              <w:gridCol w:w="965"/>
              <w:gridCol w:w="966"/>
            </w:tblGrid>
            <w:tr w14:paraId="5AE6A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vMerge w:val="restart"/>
                  <w:tcBorders>
                    <w:top w:val="single" w:color="000000" w:sz="4" w:space="0"/>
                    <w:bottom w:val="single" w:color="000000" w:sz="4" w:space="0"/>
                    <w:right w:val="single" w:color="000000" w:sz="4" w:space="0"/>
                  </w:tcBorders>
                  <w:shd w:val="clear" w:color="auto" w:fill="auto"/>
                  <w:vAlign w:val="center"/>
                </w:tcPr>
                <w:p w14:paraId="6E7B66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检测项目</w:t>
                  </w:r>
                </w:p>
              </w:tc>
              <w:tc>
                <w:tcPr>
                  <w:tcW w:w="9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45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单位</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E87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GB15618-2018风险筛选值</w:t>
                  </w: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86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河道疏浚第1处底泥S1</w:t>
                  </w: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1C6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河道疏浚第3处底泥S2</w:t>
                  </w:r>
                </w:p>
              </w:tc>
              <w:tc>
                <w:tcPr>
                  <w:tcW w:w="1961" w:type="dxa"/>
                  <w:gridSpan w:val="2"/>
                  <w:tcBorders>
                    <w:top w:val="single" w:color="000000" w:sz="4" w:space="0"/>
                    <w:left w:val="single" w:color="000000" w:sz="4" w:space="0"/>
                    <w:bottom w:val="single" w:color="000000" w:sz="4" w:space="0"/>
                  </w:tcBorders>
                  <w:shd w:val="clear" w:color="auto" w:fill="auto"/>
                  <w:vAlign w:val="center"/>
                </w:tcPr>
                <w:p w14:paraId="778638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河道疏浚第6处底泥S3</w:t>
                  </w:r>
                </w:p>
              </w:tc>
            </w:tr>
            <w:tr w14:paraId="5261F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vMerge w:val="continue"/>
                  <w:tcBorders>
                    <w:top w:val="single" w:color="000000" w:sz="4" w:space="0"/>
                    <w:bottom w:val="single" w:color="000000" w:sz="4" w:space="0"/>
                    <w:right w:val="single" w:color="000000" w:sz="4" w:space="0"/>
                  </w:tcBorders>
                  <w:shd w:val="clear" w:color="auto" w:fill="auto"/>
                  <w:vAlign w:val="center"/>
                </w:tcPr>
                <w:p w14:paraId="4BEC56F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2"/>
                      <w:szCs w:val="22"/>
                      <w:u w:val="none"/>
                    </w:rPr>
                  </w:pPr>
                </w:p>
              </w:tc>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AD7C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2"/>
                      <w:szCs w:val="22"/>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E346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3B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检测结果</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65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达标情况</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8E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检测结果</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24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达标情况</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BE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检测结果</w:t>
                  </w:r>
                </w:p>
              </w:tc>
              <w:tc>
                <w:tcPr>
                  <w:tcW w:w="981" w:type="dxa"/>
                  <w:tcBorders>
                    <w:top w:val="single" w:color="000000" w:sz="4" w:space="0"/>
                    <w:left w:val="single" w:color="000000" w:sz="4" w:space="0"/>
                    <w:bottom w:val="single" w:color="000000" w:sz="4" w:space="0"/>
                  </w:tcBorders>
                  <w:shd w:val="clear" w:color="auto" w:fill="auto"/>
                  <w:vAlign w:val="center"/>
                </w:tcPr>
                <w:p w14:paraId="1B535F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达标情况</w:t>
                  </w:r>
                </w:p>
              </w:tc>
            </w:tr>
            <w:tr w14:paraId="7782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0E0A7D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pH</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6B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无量纲</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D7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pH＞7.5</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C8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7.54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24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5F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7.56</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F1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DD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7.62</w:t>
                  </w:r>
                </w:p>
              </w:tc>
              <w:tc>
                <w:tcPr>
                  <w:tcW w:w="981" w:type="dxa"/>
                  <w:tcBorders>
                    <w:top w:val="single" w:color="000000" w:sz="4" w:space="0"/>
                    <w:left w:val="single" w:color="000000" w:sz="4" w:space="0"/>
                    <w:bottom w:val="single" w:color="000000" w:sz="4" w:space="0"/>
                  </w:tcBorders>
                  <w:shd w:val="clear" w:color="auto" w:fill="auto"/>
                  <w:noWrap/>
                  <w:vAlign w:val="center"/>
                </w:tcPr>
                <w:p w14:paraId="3750C28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r>
            <w:tr w14:paraId="23BFF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2A6692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镉</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C4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F9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0.6</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A9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0.48</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C7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C9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0.35</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05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A9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0.38</w:t>
                  </w:r>
                </w:p>
              </w:tc>
              <w:tc>
                <w:tcPr>
                  <w:tcW w:w="981" w:type="dxa"/>
                  <w:tcBorders>
                    <w:top w:val="single" w:color="000000" w:sz="4" w:space="0"/>
                    <w:left w:val="single" w:color="000000" w:sz="4" w:space="0"/>
                    <w:bottom w:val="single" w:color="000000" w:sz="4" w:space="0"/>
                  </w:tcBorders>
                  <w:shd w:val="clear" w:color="auto" w:fill="auto"/>
                  <w:vAlign w:val="center"/>
                </w:tcPr>
                <w:p w14:paraId="0EA433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14A63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2FA12B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砷</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87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18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25</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47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10.1</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AE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25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5.98</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F7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BA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8.06</w:t>
                  </w:r>
                </w:p>
              </w:tc>
              <w:tc>
                <w:tcPr>
                  <w:tcW w:w="981" w:type="dxa"/>
                  <w:tcBorders>
                    <w:top w:val="single" w:color="000000" w:sz="4" w:space="0"/>
                    <w:left w:val="single" w:color="000000" w:sz="4" w:space="0"/>
                    <w:bottom w:val="single" w:color="000000" w:sz="4" w:space="0"/>
                  </w:tcBorders>
                  <w:shd w:val="clear" w:color="auto" w:fill="auto"/>
                  <w:vAlign w:val="center"/>
                </w:tcPr>
                <w:p w14:paraId="0AB955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21886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657C62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汞</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E4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F9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A0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0.22</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53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3F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0.237</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CF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2A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w:t>
                  </w:r>
                </w:p>
              </w:tc>
              <w:tc>
                <w:tcPr>
                  <w:tcW w:w="981" w:type="dxa"/>
                  <w:tcBorders>
                    <w:top w:val="single" w:color="000000" w:sz="4" w:space="0"/>
                    <w:left w:val="single" w:color="000000" w:sz="4" w:space="0"/>
                    <w:bottom w:val="single" w:color="000000" w:sz="4" w:space="0"/>
                  </w:tcBorders>
                  <w:shd w:val="clear" w:color="auto" w:fill="auto"/>
                  <w:vAlign w:val="center"/>
                </w:tcPr>
                <w:p w14:paraId="05B77C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18D48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0C134E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铅</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B5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86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12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68</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1E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56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32</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78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93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31</w:t>
                  </w:r>
                </w:p>
              </w:tc>
              <w:tc>
                <w:tcPr>
                  <w:tcW w:w="981" w:type="dxa"/>
                  <w:tcBorders>
                    <w:top w:val="single" w:color="000000" w:sz="4" w:space="0"/>
                    <w:left w:val="single" w:color="000000" w:sz="4" w:space="0"/>
                    <w:bottom w:val="single" w:color="000000" w:sz="4" w:space="0"/>
                  </w:tcBorders>
                  <w:shd w:val="clear" w:color="auto" w:fill="auto"/>
                  <w:vAlign w:val="center"/>
                </w:tcPr>
                <w:p w14:paraId="3AA829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0CAC4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3C69BA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铜</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67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40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D8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28</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AB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FC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27</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3B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12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21</w:t>
                  </w:r>
                </w:p>
              </w:tc>
              <w:tc>
                <w:tcPr>
                  <w:tcW w:w="981" w:type="dxa"/>
                  <w:tcBorders>
                    <w:top w:val="single" w:color="000000" w:sz="4" w:space="0"/>
                    <w:left w:val="single" w:color="000000" w:sz="4" w:space="0"/>
                    <w:bottom w:val="single" w:color="000000" w:sz="4" w:space="0"/>
                  </w:tcBorders>
                  <w:shd w:val="clear" w:color="auto" w:fill="auto"/>
                  <w:vAlign w:val="center"/>
                </w:tcPr>
                <w:p w14:paraId="08A79E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30311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62D9A9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铬</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5B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71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250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AD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83</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7E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11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86</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D3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A5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c>
                <w:tcPr>
                  <w:tcW w:w="981" w:type="dxa"/>
                  <w:tcBorders>
                    <w:top w:val="single" w:color="000000" w:sz="4" w:space="0"/>
                    <w:left w:val="single" w:color="000000" w:sz="4" w:space="0"/>
                    <w:bottom w:val="single" w:color="000000" w:sz="4" w:space="0"/>
                  </w:tcBorders>
                  <w:shd w:val="clear" w:color="auto" w:fill="auto"/>
                  <w:vAlign w:val="center"/>
                </w:tcPr>
                <w:p w14:paraId="6FD747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08D8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3CE94D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锌</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9E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91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300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6E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89</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54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3E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77</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96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7E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77</w:t>
                  </w:r>
                </w:p>
              </w:tc>
              <w:tc>
                <w:tcPr>
                  <w:tcW w:w="981" w:type="dxa"/>
                  <w:tcBorders>
                    <w:top w:val="single" w:color="000000" w:sz="4" w:space="0"/>
                    <w:left w:val="single" w:color="000000" w:sz="4" w:space="0"/>
                    <w:bottom w:val="single" w:color="000000" w:sz="4" w:space="0"/>
                  </w:tcBorders>
                  <w:shd w:val="clear" w:color="auto" w:fill="auto"/>
                  <w:vAlign w:val="center"/>
                </w:tcPr>
                <w:p w14:paraId="60C48D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r w14:paraId="3DDEB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795" w:type="dxa"/>
                  <w:tcBorders>
                    <w:top w:val="single" w:color="000000" w:sz="4" w:space="0"/>
                    <w:bottom w:val="single" w:color="000000" w:sz="4" w:space="0"/>
                    <w:right w:val="single" w:color="000000" w:sz="4" w:space="0"/>
                  </w:tcBorders>
                  <w:shd w:val="clear" w:color="auto" w:fill="auto"/>
                  <w:vAlign w:val="center"/>
                </w:tcPr>
                <w:p w14:paraId="73EE49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镍</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35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mg/kg</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B8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190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FE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32</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E1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12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39</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67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07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35</w:t>
                  </w:r>
                </w:p>
              </w:tc>
              <w:tc>
                <w:tcPr>
                  <w:tcW w:w="981" w:type="dxa"/>
                  <w:tcBorders>
                    <w:top w:val="single" w:color="000000" w:sz="4" w:space="0"/>
                    <w:left w:val="single" w:color="000000" w:sz="4" w:space="0"/>
                    <w:bottom w:val="single" w:color="000000" w:sz="4" w:space="0"/>
                  </w:tcBorders>
                  <w:shd w:val="clear" w:color="auto" w:fill="auto"/>
                  <w:vAlign w:val="center"/>
                </w:tcPr>
                <w:p w14:paraId="62403D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达标</w:t>
                  </w:r>
                </w:p>
              </w:tc>
            </w:tr>
          </w:tbl>
          <w:p w14:paraId="628A714E">
            <w:pPr>
              <w:pStyle w:val="6"/>
              <w:ind w:firstLine="480" w:firstLineChars="200"/>
              <w:rPr>
                <w:vertAlign w:val="baseline"/>
              </w:rPr>
            </w:pPr>
            <w:r>
              <w:rPr>
                <w:rFonts w:hint="eastAsia" w:cs="Times New Roman"/>
                <w:lang w:val="en-US" w:eastAsia="zh-CN"/>
              </w:rPr>
              <w:t>由上表可知，项目河段各监测断面底泥满足《土壤环境质量农用地土壤污染风险管控标准（试行）》（GB15618-2018）风险筛选值要求。</w:t>
            </w:r>
          </w:p>
        </w:tc>
      </w:tr>
      <w:tr w14:paraId="170C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3754289E">
            <w:pPr>
              <w:rPr>
                <w:vertAlign w:val="baseline"/>
              </w:rPr>
            </w:pPr>
            <w:r>
              <w:rPr>
                <w:rFonts w:hint="eastAsia"/>
              </w:rPr>
              <w:t>与项目有关的原有环境污染和生态破坏问题</w:t>
            </w:r>
          </w:p>
        </w:tc>
        <w:tc>
          <w:tcPr>
            <w:tcW w:w="8782" w:type="dxa"/>
            <w:vAlign w:val="center"/>
          </w:tcPr>
          <w:p w14:paraId="420DD902">
            <w:pPr>
              <w:pStyle w:val="6"/>
              <w:ind w:firstLine="480" w:firstLineChars="200"/>
              <w:rPr>
                <w:vertAlign w:val="baseline"/>
              </w:rPr>
            </w:pPr>
            <w:r>
              <w:rPr>
                <w:rFonts w:hint="eastAsia"/>
              </w:rPr>
              <w:t>本项目为河道治理项目，</w:t>
            </w:r>
            <w:r>
              <w:rPr>
                <w:rFonts w:hint="eastAsia"/>
                <w:lang w:val="en-US" w:eastAsia="zh-CN"/>
              </w:rPr>
              <w:t>涉及</w:t>
            </w:r>
            <w:r>
              <w:rPr>
                <w:rFonts w:hint="eastAsia"/>
              </w:rPr>
              <w:t>水体为</w:t>
            </w:r>
            <w:r>
              <w:rPr>
                <w:rFonts w:hint="eastAsia"/>
                <w:lang w:val="en-US" w:eastAsia="zh-CN"/>
              </w:rPr>
              <w:t>天生河及其支流黎家沟</w:t>
            </w:r>
            <w:r>
              <w:rPr>
                <w:rFonts w:hint="eastAsia"/>
              </w:rPr>
              <w:t>，项目位于农村地区，周边不涉及工业污染源，地表水不存在重金属污染。通过现场踏勘，原有河道由于年久未经治理，河床泥沙堆积、河堤受洪水冲刷严重，影响河流行洪及河岸防制约着当地居民的经济发展。通过</w:t>
            </w:r>
            <w:r>
              <w:rPr>
                <w:rFonts w:hint="eastAsia"/>
                <w:lang w:val="en-US" w:eastAsia="zh-CN"/>
              </w:rPr>
              <w:t>本次防洪治理工程实施</w:t>
            </w:r>
            <w:r>
              <w:rPr>
                <w:rFonts w:hint="eastAsia"/>
              </w:rPr>
              <w:t>，</w:t>
            </w:r>
            <w:r>
              <w:rPr>
                <w:rFonts w:hint="eastAsia"/>
                <w:lang w:val="en-US" w:eastAsia="zh-CN"/>
              </w:rPr>
              <w:t>上述问题将得到有效缓解</w:t>
            </w:r>
            <w:r>
              <w:rPr>
                <w:rFonts w:hint="eastAsia"/>
              </w:rPr>
              <w:t>。在</w:t>
            </w:r>
            <w:r>
              <w:rPr>
                <w:rFonts w:hint="eastAsia"/>
                <w:lang w:val="en-US" w:eastAsia="zh-CN"/>
              </w:rPr>
              <w:t>疏浚</w:t>
            </w:r>
            <w:r>
              <w:rPr>
                <w:rFonts w:hint="eastAsia"/>
              </w:rPr>
              <w:t>工程及堤防工程建设完成后，本项目河段过水断面面积将得到增加，洪泛期间洪水水位随之下降，河岸防洪能力增强，堤防将保护两岸绿地、道路不受洪水冲击影响。</w:t>
            </w:r>
          </w:p>
        </w:tc>
      </w:tr>
      <w:tr w14:paraId="5AAD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4" w:space="0"/>
            </w:tcBorders>
            <w:vAlign w:val="center"/>
          </w:tcPr>
          <w:p w14:paraId="1418A4CD">
            <w:pPr>
              <w:rPr>
                <w:vertAlign w:val="baseline"/>
              </w:rPr>
            </w:pPr>
            <w:r>
              <w:rPr>
                <w:rFonts w:hint="eastAsia"/>
              </w:rPr>
              <w:t>生态环境保护目标</w:t>
            </w:r>
          </w:p>
        </w:tc>
        <w:tc>
          <w:tcPr>
            <w:tcW w:w="8782" w:type="dxa"/>
            <w:vAlign w:val="center"/>
          </w:tcPr>
          <w:p w14:paraId="7424D138">
            <w:pPr>
              <w:pStyle w:val="3"/>
              <w:numPr>
                <w:ilvl w:val="1"/>
                <w:numId w:val="7"/>
              </w:numPr>
              <w:rPr>
                <w:highlight w:val="none"/>
              </w:rPr>
            </w:pPr>
            <w:r>
              <w:rPr>
                <w:rFonts w:hint="eastAsia"/>
                <w:highlight w:val="none"/>
              </w:rPr>
              <w:t>生态环境保护目标</w:t>
            </w:r>
          </w:p>
          <w:p w14:paraId="5AE833D9">
            <w:pPr>
              <w:pStyle w:val="6"/>
              <w:bidi w:val="0"/>
              <w:rPr>
                <w:rFonts w:hint="eastAsia" w:ascii="Times New Roman" w:hAnsi="Times New Roman" w:eastAsia="宋体"/>
                <w:lang w:val="en-US" w:eastAsia="zh-CN"/>
              </w:rPr>
            </w:pPr>
            <w:r>
              <w:rPr>
                <w:rFonts w:hint="eastAsia" w:ascii="Times New Roman" w:hAnsi="Times New Roman" w:eastAsia="宋体"/>
                <w:lang w:val="en-US" w:eastAsia="zh-CN"/>
              </w:rPr>
              <w:t>本项目属生态类型，对环境的影响主要集中在施工期。其中施工废水、扬尘、施工噪声以及固体废物对周边环境产生短期影响，</w:t>
            </w:r>
            <w:r>
              <w:rPr>
                <w:rFonts w:hint="eastAsia"/>
                <w:lang w:val="en-US" w:eastAsia="zh-CN"/>
              </w:rPr>
              <w:t>根据</w:t>
            </w:r>
            <w:r>
              <w:rPr>
                <w:rFonts w:hint="eastAsia" w:ascii="Times New Roman" w:hAnsi="Times New Roman" w:eastAsia="宋体"/>
                <w:lang w:val="en-US" w:eastAsia="zh-CN"/>
              </w:rPr>
              <w:t>《建设项目环境影响报告表编制技术指南（生态影响类）（试行）》</w:t>
            </w:r>
            <w:r>
              <w:rPr>
                <w:rFonts w:hint="eastAsia"/>
                <w:lang w:val="en-US" w:eastAsia="zh-CN"/>
              </w:rPr>
              <w:t>，生态环境保护目标按照环境影响评价相关技术导则要求确定评价范围并识别环境保护目标。</w:t>
            </w:r>
          </w:p>
          <w:p w14:paraId="78C73265">
            <w:pPr>
              <w:pStyle w:val="4"/>
              <w:numPr>
                <w:ilvl w:val="2"/>
                <w:numId w:val="7"/>
              </w:numPr>
              <w:rPr>
                <w:rFonts w:hint="eastAsia"/>
                <w:lang w:val="en-US" w:eastAsia="zh-CN"/>
              </w:rPr>
            </w:pPr>
            <w:r>
              <w:rPr>
                <w:rFonts w:hint="eastAsia"/>
                <w:lang w:val="en-US" w:eastAsia="zh-CN"/>
              </w:rPr>
              <w:t>项目评价范围</w:t>
            </w:r>
          </w:p>
          <w:p w14:paraId="04339A5B">
            <w:pPr>
              <w:pStyle w:val="6"/>
              <w:bidi w:val="0"/>
              <w:rPr>
                <w:rFonts w:hint="default" w:ascii="Times New Roman" w:hAnsi="Times New Roman" w:eastAsia="宋体"/>
                <w:lang w:val="en-US" w:eastAsia="zh-CN"/>
              </w:rPr>
            </w:pPr>
            <w:r>
              <w:rPr>
                <w:rFonts w:hint="eastAsia" w:ascii="Times New Roman" w:hAnsi="Times New Roman" w:eastAsia="宋体"/>
                <w:lang w:val="en-US" w:eastAsia="zh-CN"/>
              </w:rPr>
              <w:t>各环境要素评价范围见下表</w:t>
            </w:r>
          </w:p>
          <w:p w14:paraId="3B0B22A1">
            <w:pPr>
              <w:pStyle w:val="7"/>
              <w:bidi w:val="0"/>
              <w:rPr>
                <w:rFonts w:hint="eastAsia"/>
                <w:lang w:val="en-US" w:eastAsia="zh-CN"/>
              </w:rPr>
            </w:pPr>
            <w:r>
              <w:rPr>
                <w:rFonts w:hint="eastAsia"/>
                <w:lang w:val="en-US" w:eastAsia="zh-CN"/>
              </w:rPr>
              <w:t xml:space="preserve">  评价范围一览表</w:t>
            </w:r>
          </w:p>
          <w:tbl>
            <w:tblPr>
              <w:tblStyle w:val="46"/>
              <w:tblW w:w="4993"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485"/>
            </w:tblGrid>
            <w:tr w14:paraId="200042D1">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Align w:val="center"/>
                </w:tcPr>
                <w:p w14:paraId="757B4CC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环境要素</w:t>
                  </w:r>
                </w:p>
              </w:tc>
              <w:tc>
                <w:tcPr>
                  <w:tcW w:w="6054" w:type="dxa"/>
                  <w:tcBorders>
                    <w:right w:val="nil"/>
                  </w:tcBorders>
                  <w:vAlign w:val="center"/>
                </w:tcPr>
                <w:p w14:paraId="0494A10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评价范围</w:t>
                  </w:r>
                </w:p>
              </w:tc>
            </w:tr>
            <w:tr w14:paraId="68AE32F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Align w:val="center"/>
                </w:tcPr>
                <w:p w14:paraId="6029EF6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生态环境</w:t>
                  </w:r>
                </w:p>
              </w:tc>
              <w:tc>
                <w:tcPr>
                  <w:tcW w:w="6054" w:type="dxa"/>
                  <w:tcBorders>
                    <w:right w:val="nil"/>
                  </w:tcBorders>
                  <w:vAlign w:val="center"/>
                </w:tcPr>
                <w:p w14:paraId="5ACE9DA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项目河道工程中心线两侧各300m范围</w:t>
                  </w:r>
                </w:p>
              </w:tc>
            </w:tr>
            <w:tr w14:paraId="71CC2F89">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Align w:val="center"/>
                </w:tcPr>
                <w:p w14:paraId="2DB1597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声环境</w:t>
                  </w:r>
                </w:p>
              </w:tc>
              <w:tc>
                <w:tcPr>
                  <w:tcW w:w="6054" w:type="dxa"/>
                  <w:tcBorders>
                    <w:right w:val="nil"/>
                  </w:tcBorders>
                  <w:vAlign w:val="center"/>
                </w:tcPr>
                <w:p w14:paraId="2380E47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default" w:ascii="Times New Roman" w:hAnsi="Times New Roman" w:eastAsia="宋体"/>
                      <w:sz w:val="22"/>
                      <w:szCs w:val="22"/>
                      <w:vertAlign w:val="baseline"/>
                      <w:lang w:val="en-US" w:eastAsia="zh-CN"/>
                    </w:rPr>
                    <w:t>工程河道两侧及施工场地周边200m范围</w:t>
                  </w:r>
                </w:p>
              </w:tc>
            </w:tr>
            <w:tr w14:paraId="17B2263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Align w:val="center"/>
                </w:tcPr>
                <w:p w14:paraId="0289F0F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环境空气</w:t>
                  </w:r>
                </w:p>
              </w:tc>
              <w:tc>
                <w:tcPr>
                  <w:tcW w:w="6054" w:type="dxa"/>
                  <w:tcBorders>
                    <w:right w:val="nil"/>
                  </w:tcBorders>
                  <w:vAlign w:val="center"/>
                </w:tcPr>
                <w:p w14:paraId="2AEE2C8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default" w:ascii="Times New Roman" w:hAnsi="Times New Roman" w:eastAsia="宋体"/>
                      <w:sz w:val="22"/>
                      <w:szCs w:val="22"/>
                      <w:vertAlign w:val="baseline"/>
                      <w:lang w:val="en-US" w:eastAsia="zh-CN"/>
                    </w:rPr>
                    <w:t>工程河道两侧及施工场地周边200m范围</w:t>
                  </w:r>
                </w:p>
              </w:tc>
            </w:tr>
            <w:tr w14:paraId="2845708E">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Align w:val="center"/>
                </w:tcPr>
                <w:p w14:paraId="44B64CF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地表水环境</w:t>
                  </w:r>
                </w:p>
              </w:tc>
              <w:tc>
                <w:tcPr>
                  <w:tcW w:w="6054" w:type="dxa"/>
                  <w:tcBorders>
                    <w:right w:val="nil"/>
                  </w:tcBorders>
                  <w:vAlign w:val="center"/>
                </w:tcPr>
                <w:p w14:paraId="4C7C53B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天生河、黎家沟</w:t>
                  </w:r>
                </w:p>
              </w:tc>
            </w:tr>
          </w:tbl>
          <w:p w14:paraId="7E699A65">
            <w:pPr>
              <w:pStyle w:val="4"/>
              <w:numPr>
                <w:ilvl w:val="2"/>
                <w:numId w:val="7"/>
              </w:numPr>
              <w:rPr>
                <w:rFonts w:hint="eastAsia"/>
                <w:lang w:val="en-US" w:eastAsia="zh-CN"/>
              </w:rPr>
            </w:pPr>
            <w:r>
              <w:rPr>
                <w:rFonts w:hint="eastAsia"/>
                <w:lang w:val="en-US" w:eastAsia="zh-CN"/>
              </w:rPr>
              <w:t>项目外环境情况</w:t>
            </w:r>
          </w:p>
          <w:p w14:paraId="06039588">
            <w:pPr>
              <w:pStyle w:val="6"/>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（1）沿线居民点、行政办公区域</w:t>
            </w:r>
          </w:p>
          <w:p w14:paraId="0CA7F26F">
            <w:pPr>
              <w:pStyle w:val="6"/>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项目沿线两岸主要涉及天生镇沿途居民及存在的少量农村散户居民等。</w:t>
            </w:r>
          </w:p>
          <w:p w14:paraId="1441EEEB">
            <w:pPr>
              <w:pStyle w:val="6"/>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（2）沿线地表水体</w:t>
            </w:r>
          </w:p>
          <w:p w14:paraId="74336B35">
            <w:pPr>
              <w:pStyle w:val="6"/>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本项目涉及</w:t>
            </w:r>
            <w:r>
              <w:rPr>
                <w:rFonts w:hint="eastAsia" w:ascii="Times New Roman" w:hAnsi="Times New Roman" w:eastAsia="宋体"/>
                <w:sz w:val="24"/>
                <w:szCs w:val="24"/>
                <w:vertAlign w:val="baseline"/>
                <w:lang w:val="en-US" w:eastAsia="zh-CN"/>
              </w:rPr>
              <w:t>天生河、黎家沟</w:t>
            </w:r>
            <w:r>
              <w:rPr>
                <w:rFonts w:hint="eastAsia" w:ascii="Times New Roman" w:hAnsi="Times New Roman" w:eastAsia="宋体"/>
                <w:sz w:val="24"/>
                <w:szCs w:val="24"/>
                <w:lang w:val="en-US" w:eastAsia="zh-CN"/>
              </w:rPr>
              <w:t>，属于</w:t>
            </w:r>
            <w:r>
              <w:rPr>
                <w:rFonts w:hint="eastAsia"/>
                <w:sz w:val="24"/>
                <w:szCs w:val="24"/>
                <w:lang w:val="en-US" w:eastAsia="zh-CN"/>
              </w:rPr>
              <w:t>Ⅲ类</w:t>
            </w:r>
            <w:r>
              <w:rPr>
                <w:rFonts w:hint="eastAsia" w:ascii="Times New Roman" w:hAnsi="Times New Roman" w:eastAsia="宋体"/>
                <w:sz w:val="24"/>
                <w:szCs w:val="24"/>
                <w:lang w:val="en-US" w:eastAsia="zh-CN"/>
              </w:rPr>
              <w:t>水体，水质目标为</w:t>
            </w:r>
            <w:r>
              <w:rPr>
                <w:rFonts w:hint="eastAsia"/>
                <w:sz w:val="24"/>
                <w:szCs w:val="24"/>
                <w:lang w:val="en-US" w:eastAsia="zh-CN"/>
              </w:rPr>
              <w:t>Ⅲ类</w:t>
            </w:r>
            <w:r>
              <w:rPr>
                <w:rFonts w:hint="eastAsia" w:ascii="Times New Roman" w:hAnsi="Times New Roman" w:eastAsia="宋体"/>
                <w:sz w:val="24"/>
                <w:szCs w:val="24"/>
                <w:lang w:val="en-US" w:eastAsia="zh-CN"/>
              </w:rPr>
              <w:t>地表水体。</w:t>
            </w:r>
          </w:p>
          <w:p w14:paraId="2C9289E1">
            <w:pPr>
              <w:pStyle w:val="4"/>
              <w:numPr>
                <w:ilvl w:val="2"/>
                <w:numId w:val="7"/>
              </w:numPr>
              <w:rPr>
                <w:rFonts w:hint="eastAsia"/>
                <w:lang w:val="en-US" w:eastAsia="zh-CN"/>
              </w:rPr>
            </w:pPr>
            <w:r>
              <w:rPr>
                <w:rFonts w:hint="eastAsia"/>
                <w:lang w:val="en-US" w:eastAsia="zh-CN"/>
              </w:rPr>
              <w:t>环境保护目标情况</w:t>
            </w:r>
          </w:p>
          <w:p w14:paraId="0C09B138">
            <w:pPr>
              <w:pStyle w:val="6"/>
              <w:bidi w:val="0"/>
              <w:rPr>
                <w:rFonts w:hint="default" w:ascii="Times New Roman" w:hAnsi="Times New Roman" w:eastAsia="宋体"/>
                <w:lang w:val="en-US" w:eastAsia="zh-CN"/>
              </w:rPr>
            </w:pPr>
            <w:r>
              <w:rPr>
                <w:rFonts w:hint="eastAsia" w:ascii="Times New Roman" w:hAnsi="Times New Roman" w:eastAsia="宋体"/>
                <w:lang w:val="en-US" w:eastAsia="zh-CN"/>
              </w:rPr>
              <w:t>（1）生态保护目标</w:t>
            </w:r>
          </w:p>
          <w:p w14:paraId="5536C1F5">
            <w:pPr>
              <w:pStyle w:val="6"/>
              <w:bidi w:val="0"/>
              <w:rPr>
                <w:rFonts w:hint="default" w:ascii="Times New Roman" w:hAnsi="Times New Roman" w:eastAsia="宋体"/>
                <w:lang w:val="en-US" w:eastAsia="zh-CN"/>
              </w:rPr>
            </w:pPr>
            <w:r>
              <w:rPr>
                <w:rFonts w:hint="eastAsia" w:ascii="Times New Roman" w:hAnsi="Times New Roman" w:eastAsia="宋体"/>
                <w:lang w:val="en-US" w:eastAsia="zh-CN"/>
              </w:rPr>
              <w:t>①陆生生态保护目标</w:t>
            </w:r>
          </w:p>
          <w:p w14:paraId="28850813">
            <w:pPr>
              <w:pStyle w:val="6"/>
              <w:bidi w:val="0"/>
              <w:rPr>
                <w:rFonts w:hint="eastAsia" w:ascii="Times New Roman" w:hAnsi="Times New Roman" w:eastAsia="宋体"/>
                <w:lang w:val="en-US" w:eastAsia="zh-CN"/>
              </w:rPr>
            </w:pPr>
            <w:r>
              <w:rPr>
                <w:rFonts w:hint="eastAsia" w:ascii="Times New Roman" w:hAnsi="Times New Roman" w:eastAsia="宋体"/>
                <w:lang w:val="en-US" w:eastAsia="zh-CN"/>
              </w:rPr>
              <w:t>本项目位于农村地区，河道治理工程沿线以乡镇居民、耕地为主，河段评价范围内未分布有国家及四川省重点保护野生动植物、《中国生物多样性红色名录》中列为极危、濒危和易危的物种、极小种群物种和古树名木等重要物种；不涉及国家公园、自然保护区、自然公园等自然保护地、世界自然遗产、生态保护红线等区域；未分布有重要物种的天然集中分布区、栖息地和迁徙鸟类的重要繁殖地、停歇地、越冬地以及野生动物迁徙通道等。</w:t>
            </w:r>
          </w:p>
          <w:p w14:paraId="35A859D3">
            <w:pPr>
              <w:pStyle w:val="6"/>
              <w:bidi w:val="0"/>
              <w:rPr>
                <w:rFonts w:hint="eastAsia" w:ascii="Times New Roman" w:hAnsi="Times New Roman" w:eastAsia="宋体"/>
                <w:lang w:val="en-US" w:eastAsia="zh-CN"/>
              </w:rPr>
            </w:pPr>
            <w:r>
              <w:rPr>
                <w:rFonts w:hint="eastAsia" w:ascii="Times New Roman" w:hAnsi="Times New Roman" w:eastAsia="宋体"/>
                <w:lang w:val="en-US" w:eastAsia="zh-CN"/>
              </w:rPr>
              <w:t>②水生生态保护目标</w:t>
            </w:r>
          </w:p>
          <w:p w14:paraId="6C1F03F5">
            <w:pPr>
              <w:pStyle w:val="6"/>
              <w:bidi w:val="0"/>
              <w:rPr>
                <w:rFonts w:hint="eastAsia" w:ascii="Times New Roman" w:hAnsi="Times New Roman" w:eastAsia="宋体"/>
                <w:lang w:val="en-US" w:eastAsia="zh-CN"/>
              </w:rPr>
            </w:pPr>
            <w:r>
              <w:rPr>
                <w:rFonts w:hint="eastAsia" w:ascii="Times New Roman" w:hAnsi="Times New Roman" w:eastAsia="宋体"/>
                <w:lang w:val="en-US" w:eastAsia="zh-CN"/>
              </w:rPr>
              <w:t>项目涉及的天生河及其支流黎家沟水体中以当地常见藻类、浮游生物、当地常见鱼类（草鱼、鲫鱼、鲢等）、两栖生物等为主</w:t>
            </w:r>
            <w:r>
              <w:rPr>
                <w:rFonts w:hint="eastAsia"/>
                <w:lang w:val="en-US" w:eastAsia="zh-CN"/>
              </w:rPr>
              <w:t>。根据建设单位提供的资料，《宣汉县水产局关于“宣汉县新宁河天生镇段、长滩河马渡关镇（庆云）段防洪治理工程建设”对水生生态影响的情况说明》，</w:t>
            </w:r>
            <w:r>
              <w:rPr>
                <w:rFonts w:hint="eastAsia" w:ascii="Times New Roman" w:hAnsi="Times New Roman" w:eastAsia="宋体"/>
                <w:lang w:val="en-US" w:eastAsia="zh-CN"/>
              </w:rPr>
              <w:t>项目治理河段内无国家及省级重点保护鱼类</w:t>
            </w:r>
            <w:r>
              <w:rPr>
                <w:rFonts w:hint="eastAsia"/>
                <w:lang w:val="en-US" w:eastAsia="zh-CN"/>
              </w:rPr>
              <w:t>，但分布有鱼类产卵场和索饵场</w:t>
            </w:r>
            <w:r>
              <w:rPr>
                <w:rFonts w:hint="eastAsia" w:ascii="Times New Roman" w:hAnsi="Times New Roman" w:eastAsia="宋体"/>
                <w:lang w:val="en-US" w:eastAsia="zh-CN"/>
              </w:rPr>
              <w:t>。</w:t>
            </w:r>
          </w:p>
          <w:p w14:paraId="5590EB23">
            <w:pPr>
              <w:pStyle w:val="6"/>
              <w:rPr>
                <w:rFonts w:hint="eastAsia"/>
                <w:lang w:val="en-US" w:eastAsia="zh-CN"/>
              </w:rPr>
            </w:pPr>
            <w:r>
              <w:rPr>
                <w:rFonts w:hint="eastAsia"/>
                <w:lang w:val="en-US" w:eastAsia="zh-CN"/>
              </w:rPr>
              <w:t>根据中华人民共和国生态环境部部长信箱于2018年2月8日关于“重要水生生物”该如何界定的回复；“一是国家和地方重点保护的水生生物；二是列入国际、国家、地方物种红色名录的水生生物；三是区域流域特有水生生物；四是重要经济水生生物；五是具有典型洄游或迁移洄游的水生生物”。</w:t>
            </w:r>
          </w:p>
          <w:p w14:paraId="63C948D2">
            <w:pPr>
              <w:pStyle w:val="6"/>
              <w:bidi w:val="0"/>
              <w:rPr>
                <w:rFonts w:hint="default" w:ascii="Times New Roman" w:hAnsi="Times New Roman" w:eastAsia="宋体"/>
                <w:lang w:val="en-US" w:eastAsia="zh-CN"/>
              </w:rPr>
            </w:pPr>
            <w:r>
              <w:rPr>
                <w:rFonts w:hint="eastAsia"/>
                <w:lang w:val="en-US" w:eastAsia="zh-CN"/>
              </w:rPr>
              <w:t>本项目所在河段存在的鲫鱼、鲤鱼、草鱼、泥鳅等常见水生动物不属于国家和地方重点保护的水生生物；也未因濒危状态而列入国际、国家、地方物种红色名录；不属于区域流域特有的水生生物，也不属于具有特殊重要性和经济保护价值的生物；不具有特殊的典型洄游或迁移习性。因此，本项目不涉及国家和四川省明文规定的重要水生生物。本项目</w:t>
            </w:r>
            <w:r>
              <w:rPr>
                <w:rFonts w:hint="eastAsia" w:ascii="Times New Roman" w:hAnsi="Times New Roman" w:eastAsia="宋体"/>
                <w:lang w:val="en-US" w:eastAsia="zh-CN"/>
              </w:rPr>
              <w:t>治理河段分布当地常见鱼类的产卵场和索饵场，不属于重要水生生物的产卵场、索饵场、越冬场和洄游通道。</w:t>
            </w:r>
          </w:p>
          <w:p w14:paraId="41F224CA">
            <w:pPr>
              <w:pStyle w:val="6"/>
              <w:bidi w:val="0"/>
              <w:rPr>
                <w:rFonts w:hint="default" w:ascii="Times New Roman" w:hAnsi="Times New Roman" w:eastAsia="宋体"/>
                <w:lang w:val="en-US" w:eastAsia="zh-CN"/>
              </w:rPr>
            </w:pPr>
            <w:r>
              <w:rPr>
                <w:rFonts w:hint="eastAsia" w:ascii="Times New Roman" w:hAnsi="Times New Roman" w:eastAsia="宋体"/>
                <w:lang w:val="en-US" w:eastAsia="zh-CN"/>
              </w:rPr>
              <w:t>（2）水环境保护目标</w:t>
            </w:r>
          </w:p>
          <w:p w14:paraId="70A12429">
            <w:pPr>
              <w:pStyle w:val="6"/>
              <w:bidi w:val="0"/>
              <w:rPr>
                <w:rFonts w:hint="default" w:ascii="Times New Roman" w:hAnsi="Times New Roman" w:eastAsia="宋体"/>
                <w:lang w:val="en-US" w:eastAsia="zh-CN"/>
              </w:rPr>
            </w:pPr>
            <w:r>
              <w:rPr>
                <w:rFonts w:hint="eastAsia" w:ascii="Times New Roman" w:hAnsi="Times New Roman" w:eastAsia="宋体"/>
                <w:lang w:val="en-US" w:eastAsia="zh-CN"/>
              </w:rPr>
              <w:t>本项目涉及天生河及其支流黎家沟，河段内无国家及省级重点保护鱼类，主要分布当地常见鱼类（草鱼、鲫鱼、鲢等），分布有常见鱼类产卵场和索饵场。根据宣汉县饮用水水源地保护区范围核查，本项目不涉及饮用水水源保护区和饮用水取水口。本项目不涉及涉水的自然保护区、风景名胜区，不涉及重要湿地、重点保护与珍稀水生生物的栖息地及重要水生生物的自然产卵场及索饵场、越冬场和洄游通道，不涉及天然渔场等渔业水体以及水产种质资源保护区。</w:t>
            </w:r>
          </w:p>
          <w:p w14:paraId="61940145">
            <w:pPr>
              <w:pStyle w:val="7"/>
              <w:bidi w:val="0"/>
              <w:rPr>
                <w:rFonts w:hint="eastAsia"/>
                <w:lang w:val="en-US" w:eastAsia="zh-CN"/>
              </w:rPr>
            </w:pPr>
            <w:r>
              <w:rPr>
                <w:rFonts w:hint="eastAsia"/>
                <w:lang w:val="en-US" w:eastAsia="zh-CN"/>
              </w:rPr>
              <w:t xml:space="preserve">  地表水环境保护目标</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965"/>
              <w:gridCol w:w="1023"/>
              <w:gridCol w:w="2869"/>
              <w:gridCol w:w="1244"/>
              <w:gridCol w:w="1585"/>
            </w:tblGrid>
            <w:tr w14:paraId="0D7FD5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0" w:type="dxa"/>
                  <w:vAlign w:val="center"/>
                </w:tcPr>
                <w:p w14:paraId="2B6DAE3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序号</w:t>
                  </w:r>
                </w:p>
              </w:tc>
              <w:tc>
                <w:tcPr>
                  <w:tcW w:w="900" w:type="dxa"/>
                  <w:vAlign w:val="center"/>
                </w:tcPr>
                <w:p w14:paraId="76295CC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方位</w:t>
                  </w:r>
                </w:p>
              </w:tc>
              <w:tc>
                <w:tcPr>
                  <w:tcW w:w="954" w:type="dxa"/>
                  <w:shd w:val="clear" w:color="auto" w:fill="auto"/>
                  <w:vAlign w:val="center"/>
                </w:tcPr>
                <w:p w14:paraId="251EB92C">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2"/>
                      <w:szCs w:val="22"/>
                      <w:vertAlign w:val="baseline"/>
                      <w:lang w:val="en-US" w:eastAsia="zh-CN" w:bidi="ar-SA"/>
                      <w14:ligatures w14:val="standardContextual"/>
                    </w:rPr>
                  </w:pPr>
                  <w:r>
                    <w:rPr>
                      <w:rFonts w:hint="eastAsia" w:ascii="Times New Roman" w:hAnsi="Times New Roman" w:eastAsia="宋体"/>
                      <w:sz w:val="22"/>
                      <w:szCs w:val="22"/>
                      <w:vertAlign w:val="baseline"/>
                      <w:lang w:val="en-US" w:eastAsia="zh-CN"/>
                    </w:rPr>
                    <w:t>地表水</w:t>
                  </w:r>
                </w:p>
              </w:tc>
              <w:tc>
                <w:tcPr>
                  <w:tcW w:w="2673" w:type="dxa"/>
                  <w:shd w:val="clear" w:color="auto" w:fill="auto"/>
                  <w:vAlign w:val="center"/>
                </w:tcPr>
                <w:p w14:paraId="5839F44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2"/>
                      <w:szCs w:val="22"/>
                      <w:vertAlign w:val="baseline"/>
                      <w:lang w:val="en-US" w:eastAsia="zh-CN" w:bidi="ar-SA"/>
                      <w14:ligatures w14:val="standardContextual"/>
                    </w:rPr>
                  </w:pPr>
                  <w:r>
                    <w:rPr>
                      <w:rFonts w:hint="eastAsia" w:ascii="Times New Roman" w:hAnsi="Times New Roman" w:eastAsia="宋体"/>
                      <w:sz w:val="22"/>
                      <w:szCs w:val="22"/>
                      <w:vertAlign w:val="baseline"/>
                      <w:lang w:val="en-US" w:eastAsia="zh-CN"/>
                    </w:rPr>
                    <w:t>与项目位置关系</w:t>
                  </w:r>
                </w:p>
              </w:tc>
              <w:tc>
                <w:tcPr>
                  <w:tcW w:w="1159" w:type="dxa"/>
                  <w:vAlign w:val="center"/>
                </w:tcPr>
                <w:p w14:paraId="615D94F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水体功能</w:t>
                  </w:r>
                </w:p>
              </w:tc>
              <w:tc>
                <w:tcPr>
                  <w:tcW w:w="1477" w:type="dxa"/>
                  <w:vAlign w:val="center"/>
                </w:tcPr>
                <w:p w14:paraId="5B0B9E4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水体功能区划</w:t>
                  </w:r>
                </w:p>
              </w:tc>
            </w:tr>
            <w:tr w14:paraId="63947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0" w:type="dxa"/>
                  <w:vAlign w:val="center"/>
                </w:tcPr>
                <w:p w14:paraId="0DF6604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1</w:t>
                  </w:r>
                </w:p>
              </w:tc>
              <w:tc>
                <w:tcPr>
                  <w:tcW w:w="900" w:type="dxa"/>
                  <w:vAlign w:val="center"/>
                </w:tcPr>
                <w:p w14:paraId="65D856D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北</w:t>
                  </w:r>
                  <w:r>
                    <w:rPr>
                      <w:rFonts w:hint="default" w:ascii="Arial" w:hAnsi="Arial" w:eastAsia="宋体" w:cs="Arial"/>
                      <w:sz w:val="22"/>
                      <w:szCs w:val="22"/>
                      <w:vertAlign w:val="baseline"/>
                      <w:lang w:val="en-US" w:eastAsia="zh-CN"/>
                    </w:rPr>
                    <w:t>→</w:t>
                  </w:r>
                  <w:r>
                    <w:rPr>
                      <w:rFonts w:hint="eastAsia" w:ascii="Times New Roman" w:hAnsi="Times New Roman" w:eastAsia="宋体"/>
                      <w:sz w:val="22"/>
                      <w:szCs w:val="22"/>
                      <w:vertAlign w:val="baseline"/>
                      <w:lang w:val="en-US" w:eastAsia="zh-CN"/>
                    </w:rPr>
                    <w:t>南</w:t>
                  </w:r>
                </w:p>
              </w:tc>
              <w:tc>
                <w:tcPr>
                  <w:tcW w:w="954" w:type="dxa"/>
                  <w:shd w:val="clear" w:color="auto" w:fill="auto"/>
                  <w:vAlign w:val="center"/>
                </w:tcPr>
                <w:p w14:paraId="0CFB4C7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2"/>
                      <w:szCs w:val="22"/>
                      <w:vertAlign w:val="baseline"/>
                      <w:lang w:val="en-US" w:eastAsia="zh-CN" w:bidi="ar-SA"/>
                      <w14:ligatures w14:val="standardContextual"/>
                    </w:rPr>
                  </w:pPr>
                  <w:r>
                    <w:rPr>
                      <w:rFonts w:hint="eastAsia" w:ascii="Times New Roman" w:hAnsi="Times New Roman" w:eastAsia="宋体"/>
                      <w:sz w:val="22"/>
                      <w:szCs w:val="22"/>
                      <w:vertAlign w:val="baseline"/>
                      <w:lang w:val="en-US" w:eastAsia="zh-CN"/>
                    </w:rPr>
                    <w:t>天生河</w:t>
                  </w:r>
                </w:p>
              </w:tc>
              <w:tc>
                <w:tcPr>
                  <w:tcW w:w="2673" w:type="dxa"/>
                  <w:shd w:val="clear" w:color="auto" w:fill="auto"/>
                  <w:vAlign w:val="center"/>
                </w:tcPr>
                <w:p w14:paraId="3627EF1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2"/>
                      <w:szCs w:val="22"/>
                      <w:vertAlign w:val="baseline"/>
                      <w:lang w:val="en-US" w:eastAsia="zh-CN" w:bidi="ar-SA"/>
                      <w14:ligatures w14:val="standardContextual"/>
                    </w:rPr>
                  </w:pPr>
                  <w:r>
                    <w:rPr>
                      <w:rFonts w:hint="eastAsia" w:ascii="Times New Roman" w:hAnsi="Times New Roman" w:eastAsia="宋体" w:cstheme="minorBidi"/>
                      <w:kern w:val="2"/>
                      <w:sz w:val="22"/>
                      <w:szCs w:val="22"/>
                      <w:vertAlign w:val="baseline"/>
                      <w:lang w:val="en-US" w:eastAsia="zh-CN" w:bidi="ar-SA"/>
                      <w14:ligatures w14:val="standardContextual"/>
                    </w:rPr>
                    <w:t>天生河治理段主要分布于青地湾人行桥上游约110m处~石马扁大桥上游约150m处</w:t>
                  </w:r>
                </w:p>
              </w:tc>
              <w:tc>
                <w:tcPr>
                  <w:tcW w:w="1159" w:type="dxa"/>
                  <w:vAlign w:val="center"/>
                </w:tcPr>
                <w:p w14:paraId="58C2959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农业用水</w:t>
                  </w:r>
                </w:p>
              </w:tc>
              <w:tc>
                <w:tcPr>
                  <w:tcW w:w="1477" w:type="dxa"/>
                  <w:vAlign w:val="center"/>
                </w:tcPr>
                <w:p w14:paraId="2C8768DA">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Ш</w:t>
                  </w:r>
                  <w:r>
                    <w:rPr>
                      <w:rFonts w:hint="eastAsia" w:ascii="Times New Roman" w:hAnsi="Times New Roman" w:eastAsia="宋体"/>
                      <w:sz w:val="22"/>
                      <w:szCs w:val="22"/>
                      <w:vertAlign w:val="baseline"/>
                      <w:lang w:val="en-US" w:eastAsia="zh-CN"/>
                    </w:rPr>
                    <w:t>类</w:t>
                  </w:r>
                </w:p>
              </w:tc>
            </w:tr>
            <w:tr w14:paraId="3E6A30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0" w:type="dxa"/>
                  <w:vAlign w:val="center"/>
                </w:tcPr>
                <w:p w14:paraId="66A34CC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2</w:t>
                  </w:r>
                </w:p>
              </w:tc>
              <w:tc>
                <w:tcPr>
                  <w:tcW w:w="900" w:type="dxa"/>
                  <w:vAlign w:val="center"/>
                </w:tcPr>
                <w:p w14:paraId="0AB9748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东</w:t>
                  </w:r>
                  <w:r>
                    <w:rPr>
                      <w:rFonts w:hint="default" w:ascii="Arial" w:hAnsi="Arial" w:eastAsia="宋体" w:cs="Arial"/>
                      <w:sz w:val="22"/>
                      <w:szCs w:val="22"/>
                      <w:vertAlign w:val="baseline"/>
                      <w:lang w:val="en-US" w:eastAsia="zh-CN"/>
                    </w:rPr>
                    <w:t>→</w:t>
                  </w:r>
                  <w:r>
                    <w:rPr>
                      <w:rFonts w:hint="eastAsia" w:ascii="Arial" w:hAnsi="Arial" w:eastAsia="宋体" w:cs="Arial"/>
                      <w:sz w:val="22"/>
                      <w:szCs w:val="22"/>
                      <w:vertAlign w:val="baseline"/>
                      <w:lang w:val="en-US" w:eastAsia="zh-CN"/>
                    </w:rPr>
                    <w:t>西</w:t>
                  </w:r>
                </w:p>
              </w:tc>
              <w:tc>
                <w:tcPr>
                  <w:tcW w:w="954" w:type="dxa"/>
                  <w:shd w:val="clear" w:color="auto" w:fill="auto"/>
                  <w:vAlign w:val="center"/>
                </w:tcPr>
                <w:p w14:paraId="6D13C9C5">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2"/>
                      <w:szCs w:val="22"/>
                      <w:vertAlign w:val="baseline"/>
                      <w:lang w:val="en-US" w:eastAsia="zh-CN" w:bidi="ar-SA"/>
                      <w14:ligatures w14:val="standardContextual"/>
                    </w:rPr>
                  </w:pPr>
                  <w:r>
                    <w:rPr>
                      <w:rFonts w:hint="eastAsia" w:ascii="Times New Roman" w:hAnsi="Times New Roman" w:eastAsia="宋体"/>
                      <w:sz w:val="22"/>
                      <w:szCs w:val="22"/>
                      <w:vertAlign w:val="baseline"/>
                      <w:lang w:val="en-US" w:eastAsia="zh-CN"/>
                    </w:rPr>
                    <w:t>黎家沟</w:t>
                  </w:r>
                </w:p>
              </w:tc>
              <w:tc>
                <w:tcPr>
                  <w:tcW w:w="2673" w:type="dxa"/>
                  <w:shd w:val="clear" w:color="auto" w:fill="auto"/>
                  <w:vAlign w:val="center"/>
                </w:tcPr>
                <w:p w14:paraId="06D9EFF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2"/>
                      <w:szCs w:val="22"/>
                      <w:vertAlign w:val="baseline"/>
                      <w:lang w:val="en-US" w:eastAsia="zh-CN" w:bidi="ar-SA"/>
                      <w14:ligatures w14:val="standardContextual"/>
                    </w:rPr>
                  </w:pPr>
                  <w:r>
                    <w:rPr>
                      <w:rFonts w:hint="eastAsia" w:ascii="Times New Roman" w:hAnsi="Times New Roman" w:eastAsia="宋体" w:cstheme="minorBidi"/>
                      <w:kern w:val="2"/>
                      <w:sz w:val="22"/>
                      <w:szCs w:val="22"/>
                      <w:vertAlign w:val="baseline"/>
                      <w:lang w:val="en-US" w:eastAsia="zh-CN" w:bidi="ar-SA"/>
                      <w14:ligatures w14:val="standardContextual"/>
                    </w:rPr>
                    <w:t>黎家沟治理段位于河道右岸</w:t>
                  </w:r>
                </w:p>
              </w:tc>
              <w:tc>
                <w:tcPr>
                  <w:tcW w:w="1159" w:type="dxa"/>
                  <w:vAlign w:val="center"/>
                </w:tcPr>
                <w:p w14:paraId="3244B0E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w:t>
                  </w:r>
                </w:p>
              </w:tc>
              <w:tc>
                <w:tcPr>
                  <w:tcW w:w="1477" w:type="dxa"/>
                  <w:vAlign w:val="center"/>
                </w:tcPr>
                <w:p w14:paraId="493D6127">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2"/>
                      <w:szCs w:val="22"/>
                      <w:vertAlign w:val="baseline"/>
                      <w:lang w:val="en-US" w:eastAsia="zh-CN"/>
                    </w:rPr>
                  </w:pPr>
                  <w:r>
                    <w:rPr>
                      <w:rFonts w:hint="eastAsia" w:ascii="Times New Roman" w:hAnsi="Times New Roman" w:eastAsia="宋体"/>
                      <w:sz w:val="22"/>
                      <w:szCs w:val="22"/>
                      <w:vertAlign w:val="baseline"/>
                      <w:lang w:val="en-US" w:eastAsia="zh-CN"/>
                    </w:rPr>
                    <w:t>/</w:t>
                  </w:r>
                </w:p>
              </w:tc>
            </w:tr>
          </w:tbl>
          <w:p w14:paraId="23369C6C">
            <w:pPr>
              <w:pStyle w:val="6"/>
              <w:bidi w:val="0"/>
              <w:rPr>
                <w:rFonts w:hint="default" w:ascii="Times New Roman" w:hAnsi="Times New Roman" w:eastAsia="宋体"/>
                <w:lang w:val="en-US" w:eastAsia="zh-CN"/>
              </w:rPr>
            </w:pPr>
            <w:r>
              <w:rPr>
                <w:rFonts w:hint="eastAsia" w:ascii="Times New Roman" w:hAnsi="Times New Roman" w:eastAsia="宋体"/>
                <w:lang w:val="en-US" w:eastAsia="zh-CN"/>
              </w:rPr>
              <w:t>（3）大气、声环境保护目标</w:t>
            </w:r>
          </w:p>
          <w:p w14:paraId="255F953E">
            <w:pPr>
              <w:pStyle w:val="6"/>
              <w:bidi w:val="0"/>
              <w:rPr>
                <w:rFonts w:hint="eastAsia" w:ascii="Times New Roman" w:hAnsi="Times New Roman" w:eastAsia="宋体"/>
                <w:lang w:val="en-US" w:eastAsia="zh-CN"/>
              </w:rPr>
            </w:pPr>
            <w:r>
              <w:rPr>
                <w:rFonts w:hint="eastAsia" w:ascii="Times New Roman" w:hAnsi="Times New Roman" w:eastAsia="宋体"/>
                <w:lang w:val="en-US" w:eastAsia="zh-CN"/>
              </w:rPr>
              <w:t>根据现场调查，天生河段周边主要分布天生镇镇区和周边农户等居民，黎家沟段及其施工场地周边200m范围内无声环境、大气环境保护目标。本项目天生河段及其施工场地周边声环境、大气环境保护目标见下表。</w:t>
            </w:r>
          </w:p>
          <w:p w14:paraId="44BDA73B">
            <w:pPr>
              <w:pStyle w:val="6"/>
              <w:ind w:firstLine="480" w:firstLineChars="200"/>
              <w:rPr>
                <w:vertAlign w:val="baseline"/>
              </w:rPr>
            </w:pPr>
          </w:p>
        </w:tc>
      </w:tr>
    </w:tbl>
    <w:p w14:paraId="0CBC1A48">
      <w:pPr>
        <w:jc w:val="center"/>
      </w:pPr>
    </w:p>
    <w:p w14:paraId="0B541EB7">
      <w:pPr>
        <w:rPr>
          <w:rFonts w:hint="eastAsia"/>
        </w:rPr>
      </w:pPr>
    </w:p>
    <w:p w14:paraId="5302EF95"/>
    <w:p w14:paraId="50332D14"/>
    <w:p w14:paraId="39D6F1C2"/>
    <w:p w14:paraId="3146C317">
      <w:pPr>
        <w:ind w:firstLine="480"/>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35E1DE78">
      <w:pPr>
        <w:pStyle w:val="7"/>
        <w:bidi w:val="0"/>
        <w:rPr>
          <w:rFonts w:hint="eastAsia"/>
          <w:lang w:val="en-US" w:eastAsia="zh-CN"/>
        </w:rPr>
      </w:pPr>
      <w:r>
        <w:rPr>
          <w:rFonts w:hint="eastAsia"/>
          <w:lang w:val="en-US" w:eastAsia="zh-CN"/>
        </w:rPr>
        <w:t xml:space="preserve">  大气、声环境保护目标</w:t>
      </w:r>
    </w:p>
    <w:tbl>
      <w:tblPr>
        <w:tblStyle w:val="4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5"/>
        <w:gridCol w:w="1677"/>
        <w:gridCol w:w="885"/>
        <w:gridCol w:w="1020"/>
        <w:gridCol w:w="1125"/>
        <w:gridCol w:w="1605"/>
        <w:gridCol w:w="842"/>
        <w:gridCol w:w="1220"/>
        <w:gridCol w:w="960"/>
        <w:gridCol w:w="2871"/>
        <w:gridCol w:w="899"/>
        <w:gridCol w:w="877"/>
      </w:tblGrid>
      <w:tr w14:paraId="32A0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vMerge w:val="restart"/>
            <w:tcBorders>
              <w:top w:val="single" w:color="000000" w:sz="4" w:space="0"/>
              <w:bottom w:val="single" w:color="000000" w:sz="4" w:space="0"/>
              <w:right w:val="single" w:color="000000" w:sz="4" w:space="0"/>
            </w:tcBorders>
            <w:shd w:val="clear" w:color="auto" w:fill="auto"/>
            <w:vAlign w:val="center"/>
          </w:tcPr>
          <w:p w14:paraId="2F4ACD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序号</w:t>
            </w:r>
          </w:p>
        </w:tc>
        <w:tc>
          <w:tcPr>
            <w:tcW w:w="1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D7D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保护目标名称</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85A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坐标（相对坐标）</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CDB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保护对象</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A22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保护内容</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17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方位</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963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相对位置（m)</w:t>
            </w:r>
          </w:p>
        </w:tc>
        <w:tc>
          <w:tcPr>
            <w:tcW w:w="28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3A42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涉及的施工工程</w:t>
            </w:r>
          </w:p>
        </w:tc>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990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大气功能区划</w:t>
            </w:r>
          </w:p>
        </w:tc>
        <w:tc>
          <w:tcPr>
            <w:tcW w:w="877" w:type="dxa"/>
            <w:vMerge w:val="restart"/>
            <w:tcBorders>
              <w:top w:val="single" w:color="000000" w:sz="4" w:space="0"/>
              <w:left w:val="single" w:color="000000" w:sz="4" w:space="0"/>
              <w:bottom w:val="single" w:color="000000" w:sz="4" w:space="0"/>
            </w:tcBorders>
            <w:shd w:val="clear" w:color="auto" w:fill="auto"/>
            <w:vAlign w:val="center"/>
          </w:tcPr>
          <w:p w14:paraId="048E3F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声功能区划</w:t>
            </w:r>
          </w:p>
        </w:tc>
      </w:tr>
      <w:tr w14:paraId="439B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vMerge w:val="continue"/>
            <w:tcBorders>
              <w:top w:val="single" w:color="000000" w:sz="4" w:space="0"/>
              <w:bottom w:val="single" w:color="000000" w:sz="4" w:space="0"/>
              <w:right w:val="single" w:color="000000" w:sz="4" w:space="0"/>
            </w:tcBorders>
            <w:shd w:val="clear" w:color="auto" w:fill="auto"/>
            <w:vAlign w:val="center"/>
          </w:tcPr>
          <w:p w14:paraId="6D8288A6">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8B93">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D1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X</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E4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Y</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F9B64">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ABBD7">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B9D1B">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BD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与工程区最近距离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56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与工程区高差</w:t>
            </w:r>
          </w:p>
        </w:tc>
        <w:tc>
          <w:tcPr>
            <w:tcW w:w="2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73DE5">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12452">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vAlign w:val="center"/>
          </w:tcPr>
          <w:p w14:paraId="19EE3DBD">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692E1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14CB8B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C8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1#三合面</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161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8C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21C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F7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散户居民约20户45人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E3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E</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2D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ED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40A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1#临时施工道路</w:t>
            </w:r>
          </w:p>
        </w:tc>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D3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二类</w:t>
            </w:r>
          </w:p>
        </w:tc>
        <w:tc>
          <w:tcPr>
            <w:tcW w:w="877" w:type="dxa"/>
            <w:vMerge w:val="restart"/>
            <w:tcBorders>
              <w:top w:val="single" w:color="000000" w:sz="4" w:space="0"/>
              <w:left w:val="single" w:color="000000" w:sz="4" w:space="0"/>
              <w:bottom w:val="single" w:color="000000" w:sz="4" w:space="0"/>
            </w:tcBorders>
            <w:shd w:val="clear" w:color="auto" w:fill="auto"/>
            <w:noWrap/>
            <w:vAlign w:val="center"/>
          </w:tcPr>
          <w:p w14:paraId="6EA718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2类</w:t>
            </w:r>
          </w:p>
        </w:tc>
      </w:tr>
      <w:tr w14:paraId="27CD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0C0889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83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2#新家子</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D8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138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0F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-496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9A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3D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散户居民约27户58人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693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E</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E4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84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E8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1#临时施工道路、2#临时施工道路、1#</w:t>
            </w:r>
            <w:r>
              <w:rPr>
                <w:rFonts w:hint="default" w:ascii="Times New Roman" w:hAnsi="Times New Roman" w:cs="Times New Roman"/>
                <w:i w:val="0"/>
                <w:iCs w:val="0"/>
                <w:color w:val="000000"/>
                <w:kern w:val="0"/>
                <w:sz w:val="22"/>
                <w:szCs w:val="22"/>
                <w:u w:val="none"/>
                <w:lang w:val="en-US" w:eastAsia="zh-CN" w:bidi="ar"/>
                <w14:ligatures w14:val="standardContextual"/>
              </w:rPr>
              <w:t>施工</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工区、1#临时堆料场</w:t>
            </w:r>
            <w:r>
              <w:rPr>
                <w:rFonts w:hint="default" w:ascii="Times New Roman" w:hAnsi="Times New Roman" w:cs="Times New Roman"/>
                <w:i w:val="0"/>
                <w:iCs w:val="0"/>
                <w:color w:val="000000"/>
                <w:kern w:val="0"/>
                <w:sz w:val="22"/>
                <w:szCs w:val="22"/>
                <w:u w:val="none"/>
                <w:lang w:val="en-US" w:eastAsia="zh-CN" w:bidi="ar"/>
                <w14:ligatures w14:val="standardContextual"/>
              </w:rPr>
              <w:t>、2#临时堆料场</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1364">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2ADDD23E">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55EC4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7BAFD2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2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3#龙王谭</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B8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1E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-480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2FF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A7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散户居民约11户28人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BD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BA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1E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0FE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1#临时施工道路、2#临时施工道路、1#</w:t>
            </w:r>
            <w:r>
              <w:rPr>
                <w:rFonts w:hint="default" w:ascii="Times New Roman" w:hAnsi="Times New Roman" w:cs="Times New Roman"/>
                <w:i w:val="0"/>
                <w:iCs w:val="0"/>
                <w:color w:val="000000"/>
                <w:kern w:val="0"/>
                <w:sz w:val="22"/>
                <w:szCs w:val="22"/>
                <w:u w:val="none"/>
                <w:lang w:val="en-US" w:eastAsia="zh-CN" w:bidi="ar"/>
                <w14:ligatures w14:val="standardContextual"/>
              </w:rPr>
              <w:t>施工</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工区、1#临时堆料场</w:t>
            </w:r>
            <w:r>
              <w:rPr>
                <w:rFonts w:hint="default" w:ascii="Times New Roman" w:hAnsi="Times New Roman" w:cs="Times New Roman"/>
                <w:i w:val="0"/>
                <w:iCs w:val="0"/>
                <w:color w:val="000000"/>
                <w:kern w:val="0"/>
                <w:sz w:val="22"/>
                <w:szCs w:val="22"/>
                <w:u w:val="none"/>
                <w:lang w:val="en-US" w:eastAsia="zh-CN" w:bidi="ar"/>
                <w14:ligatures w14:val="standardContextual"/>
              </w:rPr>
              <w:t>、2#临时堆料场</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AC41">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66272AC9">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2BD8C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1E52AF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10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4#石岭子</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DB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ED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-967</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9D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4C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散户居民约6户16人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23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S</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9E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E7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CB7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3#临时施工道路、4#临时施工道路</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63A1">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78842037">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3B5AE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65AC29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3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5#君田坝</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0F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-412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3F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-904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FE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24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散户居民约16户36人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02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S</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7C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8F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DC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5#临时施工道路、</w:t>
            </w:r>
            <w:r>
              <w:rPr>
                <w:rFonts w:hint="eastAsia" w:cs="Times New Roman"/>
                <w:i w:val="0"/>
                <w:iCs w:val="0"/>
                <w:color w:val="000000"/>
                <w:kern w:val="0"/>
                <w:sz w:val="22"/>
                <w:szCs w:val="22"/>
                <w:u w:val="none"/>
                <w:lang w:val="en-US" w:eastAsia="zh-CN" w:bidi="ar"/>
                <w14:ligatures w14:val="standardContextual"/>
              </w:rPr>
              <w:t>2</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r>
              <w:rPr>
                <w:rFonts w:hint="default" w:ascii="Times New Roman" w:hAnsi="Times New Roman" w:cs="Times New Roman"/>
                <w:i w:val="0"/>
                <w:iCs w:val="0"/>
                <w:color w:val="000000"/>
                <w:kern w:val="0"/>
                <w:sz w:val="22"/>
                <w:szCs w:val="22"/>
                <w:u w:val="none"/>
                <w:lang w:val="en-US" w:eastAsia="zh-CN" w:bidi="ar"/>
                <w14:ligatures w14:val="standardContextual"/>
              </w:rPr>
              <w:t>施工</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工区、2#临时堆料场</w:t>
            </w:r>
            <w:r>
              <w:rPr>
                <w:rFonts w:hint="eastAsia" w:ascii="Times New Roman" w:hAnsi="Times New Roman" w:cs="Times New Roman"/>
                <w:i w:val="0"/>
                <w:iCs w:val="0"/>
                <w:color w:val="000000"/>
                <w:kern w:val="0"/>
                <w:sz w:val="22"/>
                <w:szCs w:val="22"/>
                <w:u w:val="none"/>
                <w:lang w:val="en-US" w:eastAsia="zh-CN" w:bidi="ar"/>
                <w14:ligatures w14:val="standardContextual"/>
              </w:rPr>
              <w:t>、3#临时堆料场</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0E3A">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31EAE349">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15A9B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2729E2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F3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6#石马边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50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8A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-666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0C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AF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散户居民约24户68人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6F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D0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87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EFF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5#临时施工道路</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5F9A1">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2F5DF625">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3FF8E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541C7E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3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7#老房子</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54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65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-1065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56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7A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镇区居民约28户82人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5F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77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9C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40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5#临时施工道路</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F333">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3895DBD5">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0929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20AE2B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B3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8#左岸天生场镇</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AA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-542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B7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-1946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1B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65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镇区居民约44户132人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13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E</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82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6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C2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7#临时施工道路</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7CF2">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4CB8D396">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7B007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51F463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6F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9#右岸天生场镇（含学校）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4C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-973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4A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-1778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67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居民、学校</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E49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天生镇镇区居民约320人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F0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1E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88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D2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7#临时施工道路</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CE63">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5CFDC5D4">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2C169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805" w:type="dxa"/>
            <w:tcBorders>
              <w:top w:val="single" w:color="000000" w:sz="4" w:space="0"/>
              <w:bottom w:val="single" w:color="000000" w:sz="4" w:space="0"/>
              <w:right w:val="single" w:color="000000" w:sz="4" w:space="0"/>
            </w:tcBorders>
            <w:shd w:val="clear" w:color="auto" w:fill="auto"/>
            <w:noWrap/>
            <w:vAlign w:val="center"/>
          </w:tcPr>
          <w:p w14:paraId="155A96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22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10#大磨蹄</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1D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-1321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17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-2286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2C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居民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B2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天生镇镇区居民约150人</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CE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A4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D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p>
        </w:tc>
        <w:tc>
          <w:tcPr>
            <w:tcW w:w="2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D93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8#临时施工道路</w:t>
            </w: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AC6A0">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tcBorders>
            <w:shd w:val="clear" w:color="auto" w:fill="auto"/>
            <w:noWrap/>
            <w:vAlign w:val="center"/>
          </w:tcPr>
          <w:p w14:paraId="7A2DD18B">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2"/>
                <w:szCs w:val="22"/>
                <w:u w:val="none"/>
              </w:rPr>
            </w:pPr>
          </w:p>
        </w:tc>
      </w:tr>
      <w:tr w14:paraId="64C23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14786" w:type="dxa"/>
            <w:gridSpan w:val="12"/>
            <w:tcBorders>
              <w:top w:val="single" w:color="000000" w:sz="4" w:space="0"/>
              <w:bottom w:val="single" w:color="000000" w:sz="4" w:space="0"/>
            </w:tcBorders>
            <w:shd w:val="clear" w:color="auto" w:fill="auto"/>
            <w:noWrap/>
            <w:vAlign w:val="center"/>
          </w:tcPr>
          <w:p w14:paraId="1AC87A5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注：坐标原点（0</w:t>
            </w:r>
            <w:r>
              <w:rPr>
                <w:rFonts w:hint="default" w:ascii="Times New Roman" w:hAnsi="Times New Roman" w:cs="Times New Roman"/>
                <w:i w:val="0"/>
                <w:iCs w:val="0"/>
                <w:color w:val="000000"/>
                <w:kern w:val="0"/>
                <w:sz w:val="22"/>
                <w:szCs w:val="22"/>
                <w:u w:val="none"/>
                <w:lang w:val="en-US" w:eastAsia="zh-CN" w:bidi="ar"/>
                <w14:ligatures w14:val="standardContextual"/>
              </w:rPr>
              <w:t>，</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0）为天生河段工程起点位置，经纬度为107°45′26.276″，31°16′22.728″，高程386m。</w:t>
            </w:r>
          </w:p>
        </w:tc>
      </w:tr>
    </w:tbl>
    <w:p w14:paraId="158A164A"/>
    <w:p w14:paraId="05EEB839">
      <w:p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46"/>
        <w:tblW w:w="95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2"/>
        <w:gridCol w:w="8871"/>
      </w:tblGrid>
      <w:tr w14:paraId="72402B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12" w:type="dxa"/>
            <w:vAlign w:val="center"/>
          </w:tcPr>
          <w:p w14:paraId="3E83F761">
            <w:bookmarkStart w:id="57" w:name="_Toc466"/>
            <w:r>
              <w:rPr>
                <w:rFonts w:hint="eastAsia"/>
              </w:rPr>
              <w:t>评价标准</w:t>
            </w:r>
          </w:p>
        </w:tc>
        <w:tc>
          <w:tcPr>
            <w:tcW w:w="8871" w:type="dxa"/>
            <w:vAlign w:val="center"/>
          </w:tcPr>
          <w:p w14:paraId="2E0CB6DC">
            <w:pPr>
              <w:pStyle w:val="3"/>
              <w:numPr>
                <w:ilvl w:val="1"/>
                <w:numId w:val="7"/>
              </w:numPr>
            </w:pPr>
            <w:r>
              <w:rPr>
                <w:rFonts w:hint="eastAsia"/>
              </w:rPr>
              <w:t>环境质量标准</w:t>
            </w:r>
          </w:p>
          <w:p w14:paraId="5D49D452">
            <w:pPr>
              <w:pStyle w:val="4"/>
              <w:numPr>
                <w:ilvl w:val="2"/>
                <w:numId w:val="7"/>
              </w:numPr>
            </w:pPr>
            <w:r>
              <w:rPr>
                <w:rFonts w:hint="eastAsia"/>
              </w:rPr>
              <w:t>环境空气</w:t>
            </w:r>
          </w:p>
          <w:p w14:paraId="1C601B2B">
            <w:pPr>
              <w:pStyle w:val="6"/>
            </w:pPr>
            <w:r>
              <w:rPr>
                <w:rFonts w:hint="eastAsia"/>
                <w:lang w:eastAsia="zh-CN"/>
              </w:rPr>
              <w:t>本</w:t>
            </w:r>
            <w:r>
              <w:rPr>
                <w:rFonts w:hint="eastAsia"/>
              </w:rPr>
              <w:t>项目所在区域为环境空气质量二类功能区</w:t>
            </w:r>
            <w:r>
              <w:rPr>
                <w:rFonts w:hint="eastAsia"/>
                <w:lang w:eastAsia="zh-CN"/>
              </w:rPr>
              <w:t>，</w:t>
            </w:r>
            <w:r>
              <w:rPr>
                <w:rFonts w:hint="eastAsia"/>
              </w:rPr>
              <w:t>执行《环境空气质量标准》（GB</w:t>
            </w:r>
            <w:r>
              <w:rPr>
                <w:rFonts w:hint="eastAsia"/>
                <w:lang w:val="en-US" w:eastAsia="zh-CN"/>
              </w:rPr>
              <w:t xml:space="preserve"> </w:t>
            </w:r>
            <w:r>
              <w:rPr>
                <w:rFonts w:hint="eastAsia"/>
              </w:rPr>
              <w:t>3095-2012）二级标准</w:t>
            </w:r>
            <w:r>
              <w:rPr>
                <w:rFonts w:hint="eastAsia"/>
                <w:lang w:eastAsia="zh-CN"/>
              </w:rPr>
              <w:t>，</w:t>
            </w:r>
            <w:r>
              <w:rPr>
                <w:rFonts w:hint="eastAsia"/>
              </w:rPr>
              <w:t>具体见下表。</w:t>
            </w:r>
          </w:p>
          <w:p w14:paraId="3F0E4C03">
            <w:pPr>
              <w:pStyle w:val="7"/>
              <w:bidi w:val="0"/>
            </w:pPr>
            <w:r>
              <w:rPr>
                <w:rFonts w:hint="eastAsia"/>
              </w:rPr>
              <w:t xml:space="preserve">环境空气质量标准 </w:t>
            </w:r>
            <w:r>
              <w:rPr>
                <w:rFonts w:hint="eastAsia"/>
                <w:lang w:val="en-US" w:eastAsia="zh-CN"/>
              </w:rPr>
              <w:t xml:space="preserve">    </w:t>
            </w:r>
            <w:r>
              <w:rPr>
                <w:rFonts w:hint="eastAsia"/>
              </w:rPr>
              <w:t>单位：</w:t>
            </w:r>
            <w:r>
              <w:t>μ</w:t>
            </w:r>
            <w:r>
              <w:rPr>
                <w:rFonts w:hint="eastAsia"/>
              </w:rPr>
              <w:t>g/m</w:t>
            </w:r>
            <w:r>
              <w:rPr>
                <w:rFonts w:hint="eastAsia"/>
                <w:vertAlign w:val="superscript"/>
              </w:rPr>
              <w:t>3</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167"/>
              <w:gridCol w:w="2046"/>
              <w:gridCol w:w="2918"/>
            </w:tblGrid>
            <w:tr w14:paraId="40BAB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80" w:type="pct"/>
                  <w:vAlign w:val="center"/>
                </w:tcPr>
                <w:p w14:paraId="7A4C8716">
                  <w:pPr>
                    <w:pStyle w:val="98"/>
                  </w:pPr>
                  <w:r>
                    <w:t>污染物名称</w:t>
                  </w:r>
                </w:p>
              </w:tc>
              <w:tc>
                <w:tcPr>
                  <w:tcW w:w="1251" w:type="pct"/>
                  <w:vAlign w:val="center"/>
                </w:tcPr>
                <w:p w14:paraId="3C7715C0">
                  <w:pPr>
                    <w:pStyle w:val="98"/>
                  </w:pPr>
                  <w:r>
                    <w:t>取值时间</w:t>
                  </w:r>
                </w:p>
              </w:tc>
              <w:tc>
                <w:tcPr>
                  <w:tcW w:w="1182" w:type="pct"/>
                  <w:vAlign w:val="center"/>
                </w:tcPr>
                <w:p w14:paraId="38748B4D">
                  <w:pPr>
                    <w:pStyle w:val="98"/>
                  </w:pPr>
                  <w:r>
                    <w:t>浓度限值</w:t>
                  </w:r>
                </w:p>
              </w:tc>
              <w:tc>
                <w:tcPr>
                  <w:tcW w:w="1685" w:type="pct"/>
                  <w:vAlign w:val="center"/>
                </w:tcPr>
                <w:p w14:paraId="568D795B">
                  <w:pPr>
                    <w:pStyle w:val="98"/>
                  </w:pPr>
                  <w:r>
                    <w:rPr>
                      <w:rFonts w:hint="eastAsia"/>
                    </w:rPr>
                    <w:t>备注</w:t>
                  </w:r>
                </w:p>
              </w:tc>
            </w:tr>
            <w:tr w14:paraId="669B20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restart"/>
                  <w:vAlign w:val="center"/>
                </w:tcPr>
                <w:p w14:paraId="394F660B">
                  <w:pPr>
                    <w:pStyle w:val="98"/>
                  </w:pPr>
                  <w:r>
                    <w:t>SO</w:t>
                  </w:r>
                  <w:r>
                    <w:rPr>
                      <w:vertAlign w:val="subscript"/>
                    </w:rPr>
                    <w:t>2</w:t>
                  </w:r>
                </w:p>
              </w:tc>
              <w:tc>
                <w:tcPr>
                  <w:tcW w:w="1251" w:type="pct"/>
                  <w:vAlign w:val="center"/>
                </w:tcPr>
                <w:p w14:paraId="00D4B1E0">
                  <w:pPr>
                    <w:pStyle w:val="98"/>
                  </w:pPr>
                  <w:r>
                    <w:rPr>
                      <w:rFonts w:hint="eastAsia"/>
                    </w:rPr>
                    <w:t>年平均</w:t>
                  </w:r>
                </w:p>
              </w:tc>
              <w:tc>
                <w:tcPr>
                  <w:tcW w:w="1182" w:type="pct"/>
                  <w:vAlign w:val="center"/>
                </w:tcPr>
                <w:p w14:paraId="16D45BFF">
                  <w:pPr>
                    <w:pStyle w:val="98"/>
                  </w:pPr>
                  <w:r>
                    <w:rPr>
                      <w:rFonts w:hint="eastAsia"/>
                    </w:rPr>
                    <w:t>60</w:t>
                  </w:r>
                </w:p>
              </w:tc>
              <w:tc>
                <w:tcPr>
                  <w:tcW w:w="1685" w:type="pct"/>
                  <w:vMerge w:val="restart"/>
                  <w:vAlign w:val="center"/>
                </w:tcPr>
                <w:p w14:paraId="5D3DB7CA">
                  <w:pPr>
                    <w:pStyle w:val="98"/>
                  </w:pPr>
                  <w:r>
                    <w:rPr>
                      <w:rFonts w:hint="eastAsia"/>
                    </w:rPr>
                    <w:t>《环境空气质量标准》（GB</w:t>
                  </w:r>
                  <w:r>
                    <w:rPr>
                      <w:rFonts w:hint="eastAsia"/>
                      <w:lang w:val="en-US" w:eastAsia="zh-CN"/>
                    </w:rPr>
                    <w:t xml:space="preserve"> </w:t>
                  </w:r>
                  <w:r>
                    <w:rPr>
                      <w:rFonts w:hint="eastAsia"/>
                    </w:rPr>
                    <w:t>3095-2012）</w:t>
                  </w:r>
                </w:p>
              </w:tc>
            </w:tr>
            <w:tr w14:paraId="311545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752172E2">
                  <w:pPr>
                    <w:pStyle w:val="98"/>
                  </w:pPr>
                </w:p>
              </w:tc>
              <w:tc>
                <w:tcPr>
                  <w:tcW w:w="1251" w:type="pct"/>
                  <w:vAlign w:val="center"/>
                </w:tcPr>
                <w:p w14:paraId="27750054">
                  <w:pPr>
                    <w:pStyle w:val="98"/>
                  </w:pPr>
                  <w:r>
                    <w:rPr>
                      <w:rFonts w:hint="eastAsia"/>
                    </w:rPr>
                    <w:t>2</w:t>
                  </w:r>
                  <w:r>
                    <w:t>4</w:t>
                  </w:r>
                  <w:r>
                    <w:rPr>
                      <w:rFonts w:hint="eastAsia"/>
                    </w:rPr>
                    <w:t>小时</w:t>
                  </w:r>
                  <w:r>
                    <w:t>平均</w:t>
                  </w:r>
                </w:p>
              </w:tc>
              <w:tc>
                <w:tcPr>
                  <w:tcW w:w="1182" w:type="pct"/>
                  <w:vAlign w:val="center"/>
                </w:tcPr>
                <w:p w14:paraId="499C14CC">
                  <w:pPr>
                    <w:pStyle w:val="98"/>
                  </w:pPr>
                  <w:r>
                    <w:rPr>
                      <w:rFonts w:hint="eastAsia"/>
                    </w:rPr>
                    <w:t>150</w:t>
                  </w:r>
                </w:p>
              </w:tc>
              <w:tc>
                <w:tcPr>
                  <w:tcW w:w="1685" w:type="pct"/>
                  <w:vMerge w:val="continue"/>
                  <w:vAlign w:val="center"/>
                </w:tcPr>
                <w:p w14:paraId="3F487891">
                  <w:pPr>
                    <w:pStyle w:val="98"/>
                  </w:pPr>
                </w:p>
              </w:tc>
            </w:tr>
            <w:tr w14:paraId="51D91C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670E110B">
                  <w:pPr>
                    <w:pStyle w:val="98"/>
                  </w:pPr>
                </w:p>
              </w:tc>
              <w:tc>
                <w:tcPr>
                  <w:tcW w:w="1251" w:type="pct"/>
                  <w:vAlign w:val="center"/>
                </w:tcPr>
                <w:p w14:paraId="526562DB">
                  <w:pPr>
                    <w:pStyle w:val="98"/>
                  </w:pPr>
                  <w:r>
                    <w:t>1小时平均</w:t>
                  </w:r>
                </w:p>
              </w:tc>
              <w:tc>
                <w:tcPr>
                  <w:tcW w:w="1182" w:type="pct"/>
                  <w:vAlign w:val="center"/>
                </w:tcPr>
                <w:p w14:paraId="018F8109">
                  <w:pPr>
                    <w:pStyle w:val="98"/>
                  </w:pPr>
                  <w:r>
                    <w:rPr>
                      <w:rFonts w:hint="eastAsia"/>
                    </w:rPr>
                    <w:t>500</w:t>
                  </w:r>
                </w:p>
              </w:tc>
              <w:tc>
                <w:tcPr>
                  <w:tcW w:w="1685" w:type="pct"/>
                  <w:vMerge w:val="continue"/>
                  <w:vAlign w:val="center"/>
                </w:tcPr>
                <w:p w14:paraId="364AC6BD">
                  <w:pPr>
                    <w:pStyle w:val="98"/>
                  </w:pPr>
                </w:p>
              </w:tc>
            </w:tr>
            <w:tr w14:paraId="17942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restart"/>
                  <w:vAlign w:val="center"/>
                </w:tcPr>
                <w:p w14:paraId="45D4D9BC">
                  <w:pPr>
                    <w:pStyle w:val="98"/>
                  </w:pPr>
                  <w:r>
                    <w:t>NO</w:t>
                  </w:r>
                  <w:r>
                    <w:rPr>
                      <w:vertAlign w:val="subscript"/>
                    </w:rPr>
                    <w:t>2</w:t>
                  </w:r>
                </w:p>
              </w:tc>
              <w:tc>
                <w:tcPr>
                  <w:tcW w:w="1251" w:type="pct"/>
                  <w:vAlign w:val="center"/>
                </w:tcPr>
                <w:p w14:paraId="34658626">
                  <w:pPr>
                    <w:pStyle w:val="98"/>
                  </w:pPr>
                  <w:r>
                    <w:rPr>
                      <w:rFonts w:hint="eastAsia"/>
                    </w:rPr>
                    <w:t>年平均</w:t>
                  </w:r>
                </w:p>
              </w:tc>
              <w:tc>
                <w:tcPr>
                  <w:tcW w:w="1182" w:type="pct"/>
                  <w:vAlign w:val="center"/>
                </w:tcPr>
                <w:p w14:paraId="223DCC38">
                  <w:pPr>
                    <w:pStyle w:val="98"/>
                  </w:pPr>
                  <w:r>
                    <w:rPr>
                      <w:rFonts w:hint="eastAsia"/>
                    </w:rPr>
                    <w:t>40</w:t>
                  </w:r>
                </w:p>
              </w:tc>
              <w:tc>
                <w:tcPr>
                  <w:tcW w:w="1685" w:type="pct"/>
                  <w:vMerge w:val="continue"/>
                  <w:vAlign w:val="center"/>
                </w:tcPr>
                <w:p w14:paraId="6F6FEBE4">
                  <w:pPr>
                    <w:pStyle w:val="98"/>
                  </w:pPr>
                </w:p>
              </w:tc>
            </w:tr>
            <w:tr w14:paraId="022F1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62AB1E86">
                  <w:pPr>
                    <w:pStyle w:val="98"/>
                  </w:pPr>
                </w:p>
              </w:tc>
              <w:tc>
                <w:tcPr>
                  <w:tcW w:w="1251" w:type="pct"/>
                  <w:vAlign w:val="center"/>
                </w:tcPr>
                <w:p w14:paraId="560302E8">
                  <w:pPr>
                    <w:pStyle w:val="98"/>
                  </w:pPr>
                  <w:r>
                    <w:rPr>
                      <w:rFonts w:hint="eastAsia"/>
                    </w:rPr>
                    <w:t>2</w:t>
                  </w:r>
                  <w:r>
                    <w:t>4</w:t>
                  </w:r>
                  <w:r>
                    <w:rPr>
                      <w:rFonts w:hint="eastAsia"/>
                    </w:rPr>
                    <w:t>小时</w:t>
                  </w:r>
                  <w:r>
                    <w:t>平均</w:t>
                  </w:r>
                </w:p>
              </w:tc>
              <w:tc>
                <w:tcPr>
                  <w:tcW w:w="1182" w:type="pct"/>
                  <w:vAlign w:val="center"/>
                </w:tcPr>
                <w:p w14:paraId="008BA61C">
                  <w:pPr>
                    <w:pStyle w:val="98"/>
                  </w:pPr>
                  <w:r>
                    <w:rPr>
                      <w:rFonts w:hint="eastAsia"/>
                    </w:rPr>
                    <w:t>80</w:t>
                  </w:r>
                </w:p>
              </w:tc>
              <w:tc>
                <w:tcPr>
                  <w:tcW w:w="1685" w:type="pct"/>
                  <w:vMerge w:val="continue"/>
                  <w:vAlign w:val="center"/>
                </w:tcPr>
                <w:p w14:paraId="54BFD14D">
                  <w:pPr>
                    <w:pStyle w:val="98"/>
                  </w:pPr>
                </w:p>
              </w:tc>
            </w:tr>
            <w:tr w14:paraId="6484D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05D9EF94">
                  <w:pPr>
                    <w:pStyle w:val="98"/>
                  </w:pPr>
                </w:p>
              </w:tc>
              <w:tc>
                <w:tcPr>
                  <w:tcW w:w="1251" w:type="pct"/>
                  <w:vAlign w:val="center"/>
                </w:tcPr>
                <w:p w14:paraId="64996843">
                  <w:pPr>
                    <w:pStyle w:val="98"/>
                  </w:pPr>
                  <w:r>
                    <w:t>1小时平均</w:t>
                  </w:r>
                </w:p>
              </w:tc>
              <w:tc>
                <w:tcPr>
                  <w:tcW w:w="1182" w:type="pct"/>
                  <w:vAlign w:val="center"/>
                </w:tcPr>
                <w:p w14:paraId="2DE241F4">
                  <w:pPr>
                    <w:pStyle w:val="98"/>
                  </w:pPr>
                  <w:r>
                    <w:rPr>
                      <w:rFonts w:hint="eastAsia"/>
                    </w:rPr>
                    <w:t>200</w:t>
                  </w:r>
                </w:p>
              </w:tc>
              <w:tc>
                <w:tcPr>
                  <w:tcW w:w="1685" w:type="pct"/>
                  <w:vMerge w:val="continue"/>
                  <w:vAlign w:val="center"/>
                </w:tcPr>
                <w:p w14:paraId="4D081D77">
                  <w:pPr>
                    <w:pStyle w:val="98"/>
                  </w:pPr>
                </w:p>
              </w:tc>
            </w:tr>
            <w:tr w14:paraId="1A4EC8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restart"/>
                  <w:vAlign w:val="center"/>
                </w:tcPr>
                <w:p w14:paraId="38C7822B">
                  <w:pPr>
                    <w:pStyle w:val="98"/>
                  </w:pPr>
                  <w:r>
                    <w:t>PM</w:t>
                  </w:r>
                  <w:r>
                    <w:rPr>
                      <w:vertAlign w:val="subscript"/>
                    </w:rPr>
                    <w:t>10</w:t>
                  </w:r>
                </w:p>
              </w:tc>
              <w:tc>
                <w:tcPr>
                  <w:tcW w:w="1251" w:type="pct"/>
                  <w:vAlign w:val="center"/>
                </w:tcPr>
                <w:p w14:paraId="2D5422C4">
                  <w:pPr>
                    <w:pStyle w:val="98"/>
                  </w:pPr>
                  <w:r>
                    <w:rPr>
                      <w:rFonts w:hint="eastAsia"/>
                    </w:rPr>
                    <w:t>年平均</w:t>
                  </w:r>
                </w:p>
              </w:tc>
              <w:tc>
                <w:tcPr>
                  <w:tcW w:w="1182" w:type="pct"/>
                  <w:vAlign w:val="center"/>
                </w:tcPr>
                <w:p w14:paraId="1563F33E">
                  <w:pPr>
                    <w:pStyle w:val="98"/>
                  </w:pPr>
                  <w:r>
                    <w:rPr>
                      <w:rFonts w:hint="eastAsia"/>
                    </w:rPr>
                    <w:t>70</w:t>
                  </w:r>
                </w:p>
              </w:tc>
              <w:tc>
                <w:tcPr>
                  <w:tcW w:w="1685" w:type="pct"/>
                  <w:vMerge w:val="continue"/>
                  <w:vAlign w:val="center"/>
                </w:tcPr>
                <w:p w14:paraId="030AFDFF">
                  <w:pPr>
                    <w:pStyle w:val="98"/>
                  </w:pPr>
                </w:p>
              </w:tc>
            </w:tr>
            <w:tr w14:paraId="1B2A8D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224471C2">
                  <w:pPr>
                    <w:pStyle w:val="98"/>
                  </w:pPr>
                </w:p>
              </w:tc>
              <w:tc>
                <w:tcPr>
                  <w:tcW w:w="1251" w:type="pct"/>
                  <w:vAlign w:val="center"/>
                </w:tcPr>
                <w:p w14:paraId="0C6CDA87">
                  <w:pPr>
                    <w:pStyle w:val="98"/>
                  </w:pPr>
                  <w:r>
                    <w:rPr>
                      <w:rFonts w:hint="eastAsia"/>
                    </w:rPr>
                    <w:t>2</w:t>
                  </w:r>
                  <w:r>
                    <w:t>4</w:t>
                  </w:r>
                  <w:r>
                    <w:rPr>
                      <w:rFonts w:hint="eastAsia"/>
                    </w:rPr>
                    <w:t>小时</w:t>
                  </w:r>
                  <w:r>
                    <w:t>平均</w:t>
                  </w:r>
                </w:p>
              </w:tc>
              <w:tc>
                <w:tcPr>
                  <w:tcW w:w="1182" w:type="pct"/>
                  <w:vAlign w:val="center"/>
                </w:tcPr>
                <w:p w14:paraId="591C282D">
                  <w:pPr>
                    <w:pStyle w:val="98"/>
                  </w:pPr>
                  <w:r>
                    <w:rPr>
                      <w:rFonts w:hint="eastAsia"/>
                    </w:rPr>
                    <w:t>150</w:t>
                  </w:r>
                </w:p>
              </w:tc>
              <w:tc>
                <w:tcPr>
                  <w:tcW w:w="1685" w:type="pct"/>
                  <w:vMerge w:val="continue"/>
                  <w:vAlign w:val="center"/>
                </w:tcPr>
                <w:p w14:paraId="278B7F56">
                  <w:pPr>
                    <w:pStyle w:val="98"/>
                  </w:pPr>
                </w:p>
              </w:tc>
            </w:tr>
            <w:tr w14:paraId="44FE1C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restart"/>
                  <w:vAlign w:val="center"/>
                </w:tcPr>
                <w:p w14:paraId="0955798F">
                  <w:pPr>
                    <w:pStyle w:val="98"/>
                  </w:pPr>
                  <w:r>
                    <w:t>PM</w:t>
                  </w:r>
                  <w:r>
                    <w:rPr>
                      <w:rFonts w:hint="eastAsia"/>
                      <w:vertAlign w:val="subscript"/>
                    </w:rPr>
                    <w:t>2.5</w:t>
                  </w:r>
                </w:p>
              </w:tc>
              <w:tc>
                <w:tcPr>
                  <w:tcW w:w="1251" w:type="pct"/>
                  <w:vAlign w:val="center"/>
                </w:tcPr>
                <w:p w14:paraId="522DDF81">
                  <w:pPr>
                    <w:pStyle w:val="98"/>
                  </w:pPr>
                  <w:r>
                    <w:rPr>
                      <w:rFonts w:hint="eastAsia"/>
                    </w:rPr>
                    <w:t>年平均</w:t>
                  </w:r>
                </w:p>
              </w:tc>
              <w:tc>
                <w:tcPr>
                  <w:tcW w:w="1182" w:type="pct"/>
                  <w:vAlign w:val="center"/>
                </w:tcPr>
                <w:p w14:paraId="101339A3">
                  <w:pPr>
                    <w:pStyle w:val="98"/>
                  </w:pPr>
                  <w:r>
                    <w:rPr>
                      <w:rFonts w:hint="eastAsia"/>
                    </w:rPr>
                    <w:t>35</w:t>
                  </w:r>
                </w:p>
              </w:tc>
              <w:tc>
                <w:tcPr>
                  <w:tcW w:w="1685" w:type="pct"/>
                  <w:vMerge w:val="continue"/>
                  <w:vAlign w:val="center"/>
                </w:tcPr>
                <w:p w14:paraId="03131D84">
                  <w:pPr>
                    <w:pStyle w:val="98"/>
                  </w:pPr>
                </w:p>
              </w:tc>
            </w:tr>
            <w:tr w14:paraId="5CFF9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50A41BF1">
                  <w:pPr>
                    <w:pStyle w:val="98"/>
                  </w:pPr>
                </w:p>
              </w:tc>
              <w:tc>
                <w:tcPr>
                  <w:tcW w:w="1251" w:type="pct"/>
                  <w:vAlign w:val="center"/>
                </w:tcPr>
                <w:p w14:paraId="42AAADC7">
                  <w:pPr>
                    <w:pStyle w:val="98"/>
                  </w:pPr>
                  <w:r>
                    <w:rPr>
                      <w:rFonts w:hint="eastAsia"/>
                    </w:rPr>
                    <w:t>2</w:t>
                  </w:r>
                  <w:r>
                    <w:t>4</w:t>
                  </w:r>
                  <w:r>
                    <w:rPr>
                      <w:rFonts w:hint="eastAsia"/>
                    </w:rPr>
                    <w:t>小时</w:t>
                  </w:r>
                  <w:r>
                    <w:t>平均</w:t>
                  </w:r>
                </w:p>
              </w:tc>
              <w:tc>
                <w:tcPr>
                  <w:tcW w:w="1182" w:type="pct"/>
                  <w:vAlign w:val="center"/>
                </w:tcPr>
                <w:p w14:paraId="74B5C015">
                  <w:pPr>
                    <w:pStyle w:val="98"/>
                  </w:pPr>
                  <w:r>
                    <w:rPr>
                      <w:rFonts w:hint="eastAsia"/>
                    </w:rPr>
                    <w:t>75</w:t>
                  </w:r>
                </w:p>
              </w:tc>
              <w:tc>
                <w:tcPr>
                  <w:tcW w:w="1685" w:type="pct"/>
                  <w:vMerge w:val="continue"/>
                  <w:vAlign w:val="center"/>
                </w:tcPr>
                <w:p w14:paraId="7E3F5765">
                  <w:pPr>
                    <w:pStyle w:val="98"/>
                  </w:pPr>
                </w:p>
              </w:tc>
            </w:tr>
            <w:tr w14:paraId="474BDE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restart"/>
                  <w:vAlign w:val="center"/>
                </w:tcPr>
                <w:p w14:paraId="0A976735">
                  <w:pPr>
                    <w:pStyle w:val="98"/>
                  </w:pPr>
                  <w:r>
                    <w:rPr>
                      <w:rFonts w:hint="eastAsia"/>
                    </w:rPr>
                    <w:t>CO</w:t>
                  </w:r>
                </w:p>
              </w:tc>
              <w:tc>
                <w:tcPr>
                  <w:tcW w:w="1251" w:type="pct"/>
                  <w:vAlign w:val="center"/>
                </w:tcPr>
                <w:p w14:paraId="58EFA36C">
                  <w:pPr>
                    <w:pStyle w:val="98"/>
                  </w:pPr>
                  <w:r>
                    <w:t>1小时平均</w:t>
                  </w:r>
                </w:p>
              </w:tc>
              <w:tc>
                <w:tcPr>
                  <w:tcW w:w="1182" w:type="pct"/>
                  <w:vAlign w:val="center"/>
                </w:tcPr>
                <w:p w14:paraId="723B1B1E">
                  <w:pPr>
                    <w:pStyle w:val="98"/>
                  </w:pPr>
                  <w:r>
                    <w:rPr>
                      <w:rFonts w:hint="eastAsia"/>
                    </w:rPr>
                    <w:t>10</w:t>
                  </w:r>
                  <w:r>
                    <w:t xml:space="preserve"> mg/m</w:t>
                  </w:r>
                  <w:r>
                    <w:rPr>
                      <w:vertAlign w:val="superscript"/>
                    </w:rPr>
                    <w:t>3</w:t>
                  </w:r>
                </w:p>
              </w:tc>
              <w:tc>
                <w:tcPr>
                  <w:tcW w:w="1685" w:type="pct"/>
                  <w:vMerge w:val="continue"/>
                  <w:vAlign w:val="center"/>
                </w:tcPr>
                <w:p w14:paraId="55FD1117">
                  <w:pPr>
                    <w:pStyle w:val="98"/>
                  </w:pPr>
                </w:p>
              </w:tc>
            </w:tr>
            <w:tr w14:paraId="224CB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1DCA0ED0">
                  <w:pPr>
                    <w:pStyle w:val="98"/>
                  </w:pPr>
                </w:p>
              </w:tc>
              <w:tc>
                <w:tcPr>
                  <w:tcW w:w="1251" w:type="pct"/>
                  <w:vAlign w:val="center"/>
                </w:tcPr>
                <w:p w14:paraId="5677217B">
                  <w:pPr>
                    <w:pStyle w:val="98"/>
                  </w:pPr>
                  <w:r>
                    <w:rPr>
                      <w:rFonts w:hint="eastAsia"/>
                    </w:rPr>
                    <w:t>2</w:t>
                  </w:r>
                  <w:r>
                    <w:t>4</w:t>
                  </w:r>
                  <w:r>
                    <w:rPr>
                      <w:rFonts w:hint="eastAsia"/>
                    </w:rPr>
                    <w:t>小时</w:t>
                  </w:r>
                  <w:r>
                    <w:t>平均</w:t>
                  </w:r>
                </w:p>
              </w:tc>
              <w:tc>
                <w:tcPr>
                  <w:tcW w:w="1182" w:type="pct"/>
                  <w:vAlign w:val="center"/>
                </w:tcPr>
                <w:p w14:paraId="5F9F7BF0">
                  <w:pPr>
                    <w:pStyle w:val="98"/>
                  </w:pPr>
                  <w:r>
                    <w:rPr>
                      <w:rFonts w:hint="eastAsia"/>
                    </w:rPr>
                    <w:t>4</w:t>
                  </w:r>
                  <w:r>
                    <w:t xml:space="preserve"> mg/m</w:t>
                  </w:r>
                  <w:r>
                    <w:rPr>
                      <w:vertAlign w:val="superscript"/>
                    </w:rPr>
                    <w:t>3</w:t>
                  </w:r>
                </w:p>
              </w:tc>
              <w:tc>
                <w:tcPr>
                  <w:tcW w:w="1685" w:type="pct"/>
                  <w:vMerge w:val="continue"/>
                  <w:vAlign w:val="center"/>
                </w:tcPr>
                <w:p w14:paraId="4B8AD257">
                  <w:pPr>
                    <w:pStyle w:val="98"/>
                  </w:pPr>
                </w:p>
              </w:tc>
            </w:tr>
            <w:tr w14:paraId="1EBF81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restart"/>
                  <w:vAlign w:val="center"/>
                </w:tcPr>
                <w:p w14:paraId="611582FE">
                  <w:pPr>
                    <w:pStyle w:val="98"/>
                  </w:pPr>
                  <w:r>
                    <w:rPr>
                      <w:rFonts w:hint="eastAsia"/>
                    </w:rPr>
                    <w:t>O</w:t>
                  </w:r>
                  <w:r>
                    <w:rPr>
                      <w:rFonts w:hint="eastAsia"/>
                      <w:vertAlign w:val="subscript"/>
                    </w:rPr>
                    <w:t>3</w:t>
                  </w:r>
                </w:p>
              </w:tc>
              <w:tc>
                <w:tcPr>
                  <w:tcW w:w="1251" w:type="pct"/>
                  <w:vAlign w:val="center"/>
                </w:tcPr>
                <w:p w14:paraId="2245DC0E">
                  <w:pPr>
                    <w:pStyle w:val="98"/>
                  </w:pPr>
                  <w:r>
                    <w:t>1小时平均</w:t>
                  </w:r>
                </w:p>
              </w:tc>
              <w:tc>
                <w:tcPr>
                  <w:tcW w:w="1182" w:type="pct"/>
                  <w:vAlign w:val="center"/>
                </w:tcPr>
                <w:p w14:paraId="2876C25D">
                  <w:pPr>
                    <w:pStyle w:val="98"/>
                  </w:pPr>
                  <w:r>
                    <w:rPr>
                      <w:rFonts w:hint="eastAsia"/>
                    </w:rPr>
                    <w:t>200</w:t>
                  </w:r>
                </w:p>
              </w:tc>
              <w:tc>
                <w:tcPr>
                  <w:tcW w:w="1685" w:type="pct"/>
                  <w:vMerge w:val="continue"/>
                  <w:vAlign w:val="center"/>
                </w:tcPr>
                <w:p w14:paraId="5B28A1D6">
                  <w:pPr>
                    <w:pStyle w:val="98"/>
                  </w:pPr>
                </w:p>
              </w:tc>
            </w:tr>
            <w:tr w14:paraId="21DE21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vMerge w:val="continue"/>
                  <w:vAlign w:val="center"/>
                </w:tcPr>
                <w:p w14:paraId="07C46D29">
                  <w:pPr>
                    <w:pStyle w:val="98"/>
                  </w:pPr>
                </w:p>
              </w:tc>
              <w:tc>
                <w:tcPr>
                  <w:tcW w:w="1251" w:type="pct"/>
                  <w:vAlign w:val="center"/>
                </w:tcPr>
                <w:p w14:paraId="412D133E">
                  <w:pPr>
                    <w:pStyle w:val="98"/>
                  </w:pPr>
                  <w:r>
                    <w:rPr>
                      <w:rFonts w:hint="eastAsia"/>
                    </w:rPr>
                    <w:t>日最大8小时平均</w:t>
                  </w:r>
                </w:p>
              </w:tc>
              <w:tc>
                <w:tcPr>
                  <w:tcW w:w="1182" w:type="pct"/>
                  <w:vAlign w:val="center"/>
                </w:tcPr>
                <w:p w14:paraId="329A742F">
                  <w:pPr>
                    <w:pStyle w:val="98"/>
                  </w:pPr>
                  <w:r>
                    <w:rPr>
                      <w:rFonts w:hint="eastAsia"/>
                    </w:rPr>
                    <w:t>160</w:t>
                  </w:r>
                </w:p>
              </w:tc>
              <w:tc>
                <w:tcPr>
                  <w:tcW w:w="1685" w:type="pct"/>
                  <w:vMerge w:val="continue"/>
                  <w:vAlign w:val="center"/>
                </w:tcPr>
                <w:p w14:paraId="352BF041">
                  <w:pPr>
                    <w:pStyle w:val="98"/>
                  </w:pPr>
                </w:p>
              </w:tc>
            </w:tr>
          </w:tbl>
          <w:p w14:paraId="277541C3">
            <w:pPr>
              <w:pStyle w:val="4"/>
              <w:numPr>
                <w:ilvl w:val="2"/>
                <w:numId w:val="7"/>
              </w:numPr>
            </w:pPr>
            <w:r>
              <w:rPr>
                <w:rFonts w:hint="eastAsia"/>
              </w:rPr>
              <w:t>地表水环境</w:t>
            </w:r>
          </w:p>
          <w:p w14:paraId="63BB7E50">
            <w:pPr>
              <w:pStyle w:val="6"/>
            </w:pPr>
            <w:r>
              <w:rPr>
                <w:rFonts w:hint="eastAsia"/>
                <w:lang w:eastAsia="zh-CN"/>
              </w:rPr>
              <w:t>本项目涉及</w:t>
            </w:r>
            <w:r>
              <w:rPr>
                <w:rFonts w:hint="eastAsia"/>
                <w:lang w:val="en-US" w:eastAsia="zh-CN"/>
              </w:rPr>
              <w:t>天生河及其支流黎家沟属于Ⅲ类水域，</w:t>
            </w:r>
            <w:r>
              <w:rPr>
                <w:rFonts w:hint="eastAsia"/>
              </w:rPr>
              <w:t>执行《地表水环境质量标准》（GB</w:t>
            </w:r>
            <w:r>
              <w:rPr>
                <w:rFonts w:hint="eastAsia"/>
                <w:lang w:val="en-US" w:eastAsia="zh-CN"/>
              </w:rPr>
              <w:t xml:space="preserve"> </w:t>
            </w:r>
            <w:r>
              <w:rPr>
                <w:rFonts w:hint="eastAsia"/>
              </w:rPr>
              <w:t>3838-2002）类标准</w:t>
            </w:r>
            <w:r>
              <w:rPr>
                <w:rFonts w:hint="eastAsia"/>
                <w:lang w:eastAsia="zh-CN"/>
              </w:rPr>
              <w:t>，</w:t>
            </w:r>
            <w:r>
              <w:rPr>
                <w:rFonts w:hint="eastAsia"/>
                <w:lang w:val="en-US" w:eastAsia="zh-CN"/>
              </w:rPr>
              <w:t>具体见下表</w:t>
            </w:r>
            <w:r>
              <w:rPr>
                <w:rFonts w:hint="eastAsia"/>
              </w:rPr>
              <w:t>。</w:t>
            </w:r>
          </w:p>
          <w:p w14:paraId="1730C0EA">
            <w:pPr>
              <w:pStyle w:val="7"/>
              <w:bidi w:val="0"/>
            </w:pPr>
            <w:r>
              <w:rPr>
                <w:rFonts w:hint="eastAsia"/>
              </w:rPr>
              <w:t xml:space="preserve">地表水质量标准限值  </w:t>
            </w:r>
            <w:r>
              <w:rPr>
                <w:rFonts w:hint="eastAsia"/>
                <w:lang w:val="en-US" w:eastAsia="zh-CN"/>
              </w:rPr>
              <w:t xml:space="preserve">  </w:t>
            </w:r>
            <w:r>
              <w:rPr>
                <w:rFonts w:hint="eastAsia"/>
              </w:rPr>
              <w:t>单位：mg/L，pH无量纲</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2537"/>
              <w:gridCol w:w="4746"/>
            </w:tblGrid>
            <w:tr w14:paraId="4B6840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793" w:type="pct"/>
                  <w:vAlign w:val="center"/>
                </w:tcPr>
                <w:p w14:paraId="1E53520D">
                  <w:pPr>
                    <w:pStyle w:val="98"/>
                  </w:pPr>
                  <w:r>
                    <w:t>序号</w:t>
                  </w:r>
                </w:p>
              </w:tc>
              <w:tc>
                <w:tcPr>
                  <w:tcW w:w="1466" w:type="pct"/>
                  <w:vAlign w:val="center"/>
                </w:tcPr>
                <w:p w14:paraId="4D5103C8">
                  <w:pPr>
                    <w:pStyle w:val="98"/>
                  </w:pPr>
                  <w:r>
                    <w:t>项目</w:t>
                  </w:r>
                </w:p>
              </w:tc>
              <w:tc>
                <w:tcPr>
                  <w:tcW w:w="2741" w:type="pct"/>
                  <w:vAlign w:val="center"/>
                </w:tcPr>
                <w:p w14:paraId="5522575F">
                  <w:pPr>
                    <w:pStyle w:val="98"/>
                  </w:pPr>
                  <w:r>
                    <w:rPr>
                      <w:rFonts w:hint="eastAsia"/>
                      <w:lang w:eastAsia="zh-CN"/>
                    </w:rPr>
                    <w:t>Ⅲ</w:t>
                  </w:r>
                  <w:r>
                    <w:t>类水域标准</w:t>
                  </w:r>
                </w:p>
              </w:tc>
            </w:tr>
            <w:tr w14:paraId="0A9B99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54A800E5">
                  <w:pPr>
                    <w:pStyle w:val="98"/>
                  </w:pPr>
                  <w:r>
                    <w:t>1</w:t>
                  </w:r>
                </w:p>
              </w:tc>
              <w:tc>
                <w:tcPr>
                  <w:tcW w:w="1466" w:type="pct"/>
                  <w:vAlign w:val="center"/>
                </w:tcPr>
                <w:p w14:paraId="1ECB17B2">
                  <w:pPr>
                    <w:pStyle w:val="98"/>
                  </w:pPr>
                  <w:r>
                    <w:t>pH</w:t>
                  </w:r>
                </w:p>
              </w:tc>
              <w:tc>
                <w:tcPr>
                  <w:tcW w:w="2741" w:type="pct"/>
                  <w:vAlign w:val="center"/>
                </w:tcPr>
                <w:p w14:paraId="1AD6C6E6">
                  <w:pPr>
                    <w:pStyle w:val="98"/>
                  </w:pPr>
                  <w:r>
                    <w:t>6~9</w:t>
                  </w:r>
                </w:p>
              </w:tc>
            </w:tr>
            <w:tr w14:paraId="4AF8BD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6E67B9C7">
                  <w:pPr>
                    <w:pStyle w:val="98"/>
                  </w:pPr>
                  <w:r>
                    <w:t>2</w:t>
                  </w:r>
                </w:p>
              </w:tc>
              <w:tc>
                <w:tcPr>
                  <w:tcW w:w="1466" w:type="pct"/>
                  <w:vAlign w:val="center"/>
                </w:tcPr>
                <w:p w14:paraId="29F42275">
                  <w:pPr>
                    <w:pStyle w:val="98"/>
                  </w:pPr>
                  <w:r>
                    <w:rPr>
                      <w:rFonts w:hint="eastAsia"/>
                    </w:rPr>
                    <w:t>水温</w:t>
                  </w:r>
                </w:p>
              </w:tc>
              <w:tc>
                <w:tcPr>
                  <w:tcW w:w="2741" w:type="pct"/>
                  <w:vAlign w:val="center"/>
                </w:tcPr>
                <w:p w14:paraId="2C15ECE9">
                  <w:pPr>
                    <w:pStyle w:val="98"/>
                  </w:pPr>
                  <w:r>
                    <w:rPr>
                      <w:rFonts w:hint="eastAsia"/>
                    </w:rPr>
                    <w:t>周平均最大温升≤1，周平均最大温降≤2</w:t>
                  </w:r>
                </w:p>
              </w:tc>
            </w:tr>
            <w:tr w14:paraId="13793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2798DF41">
                  <w:pPr>
                    <w:pStyle w:val="98"/>
                  </w:pPr>
                  <w:r>
                    <w:t>3</w:t>
                  </w:r>
                </w:p>
              </w:tc>
              <w:tc>
                <w:tcPr>
                  <w:tcW w:w="1466" w:type="pct"/>
                  <w:vAlign w:val="center"/>
                </w:tcPr>
                <w:p w14:paraId="5C78A227">
                  <w:pPr>
                    <w:pStyle w:val="98"/>
                  </w:pPr>
                  <w:r>
                    <w:t>COD</w:t>
                  </w:r>
                </w:p>
              </w:tc>
              <w:tc>
                <w:tcPr>
                  <w:tcW w:w="2741" w:type="pct"/>
                  <w:vAlign w:val="center"/>
                </w:tcPr>
                <w:p w14:paraId="7C5025F5">
                  <w:pPr>
                    <w:pStyle w:val="98"/>
                  </w:pPr>
                  <w:r>
                    <w:t>20</w:t>
                  </w:r>
                </w:p>
              </w:tc>
            </w:tr>
            <w:tr w14:paraId="44564A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5DE481BE">
                  <w:pPr>
                    <w:pStyle w:val="98"/>
                  </w:pPr>
                  <w:r>
                    <w:t>4</w:t>
                  </w:r>
                </w:p>
              </w:tc>
              <w:tc>
                <w:tcPr>
                  <w:tcW w:w="1466" w:type="pct"/>
                  <w:vAlign w:val="center"/>
                </w:tcPr>
                <w:p w14:paraId="1EB739EF">
                  <w:pPr>
                    <w:pStyle w:val="98"/>
                  </w:pPr>
                  <w:r>
                    <w:t>BOD</w:t>
                  </w:r>
                  <w:r>
                    <w:rPr>
                      <w:vertAlign w:val="subscript"/>
                    </w:rPr>
                    <w:t>5</w:t>
                  </w:r>
                </w:p>
              </w:tc>
              <w:tc>
                <w:tcPr>
                  <w:tcW w:w="2741" w:type="pct"/>
                  <w:vAlign w:val="center"/>
                </w:tcPr>
                <w:p w14:paraId="783BD560">
                  <w:pPr>
                    <w:pStyle w:val="98"/>
                  </w:pPr>
                  <w:r>
                    <w:t>4</w:t>
                  </w:r>
                </w:p>
              </w:tc>
            </w:tr>
            <w:tr w14:paraId="60BC3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20C6CC8D">
                  <w:pPr>
                    <w:pStyle w:val="98"/>
                  </w:pPr>
                  <w:r>
                    <w:t>5</w:t>
                  </w:r>
                </w:p>
              </w:tc>
              <w:tc>
                <w:tcPr>
                  <w:tcW w:w="1466" w:type="pct"/>
                  <w:vAlign w:val="center"/>
                </w:tcPr>
                <w:p w14:paraId="52FF6EAC">
                  <w:pPr>
                    <w:pStyle w:val="98"/>
                  </w:pPr>
                  <w:r>
                    <w:t>氨氮</w:t>
                  </w:r>
                </w:p>
              </w:tc>
              <w:tc>
                <w:tcPr>
                  <w:tcW w:w="2741" w:type="pct"/>
                  <w:vAlign w:val="center"/>
                </w:tcPr>
                <w:p w14:paraId="10076D43">
                  <w:pPr>
                    <w:pStyle w:val="98"/>
                  </w:pPr>
                  <w:r>
                    <w:t>1.0</w:t>
                  </w:r>
                </w:p>
              </w:tc>
            </w:tr>
            <w:tr w14:paraId="0FCF1F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1918A62D">
                  <w:pPr>
                    <w:pStyle w:val="98"/>
                  </w:pPr>
                  <w:r>
                    <w:t>6</w:t>
                  </w:r>
                </w:p>
              </w:tc>
              <w:tc>
                <w:tcPr>
                  <w:tcW w:w="1466" w:type="pct"/>
                  <w:vAlign w:val="center"/>
                </w:tcPr>
                <w:p w14:paraId="3E9C94B7">
                  <w:pPr>
                    <w:pStyle w:val="98"/>
                  </w:pPr>
                  <w:r>
                    <w:t>总氮</w:t>
                  </w:r>
                </w:p>
              </w:tc>
              <w:tc>
                <w:tcPr>
                  <w:tcW w:w="2741" w:type="pct"/>
                  <w:vAlign w:val="center"/>
                </w:tcPr>
                <w:p w14:paraId="0BA265BF">
                  <w:pPr>
                    <w:pStyle w:val="98"/>
                  </w:pPr>
                  <w:r>
                    <w:t>1.0</w:t>
                  </w:r>
                </w:p>
              </w:tc>
            </w:tr>
            <w:tr w14:paraId="1708DF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006CC471">
                  <w:pPr>
                    <w:pStyle w:val="98"/>
                  </w:pPr>
                  <w:r>
                    <w:t>7</w:t>
                  </w:r>
                </w:p>
              </w:tc>
              <w:tc>
                <w:tcPr>
                  <w:tcW w:w="1466" w:type="pct"/>
                  <w:vAlign w:val="center"/>
                </w:tcPr>
                <w:p w14:paraId="1E86859B">
                  <w:pPr>
                    <w:pStyle w:val="98"/>
                  </w:pPr>
                  <w:r>
                    <w:t>总磷</w:t>
                  </w:r>
                </w:p>
              </w:tc>
              <w:tc>
                <w:tcPr>
                  <w:tcW w:w="2741" w:type="pct"/>
                  <w:vAlign w:val="center"/>
                </w:tcPr>
                <w:p w14:paraId="32E574EC">
                  <w:pPr>
                    <w:pStyle w:val="98"/>
                  </w:pPr>
                  <w:r>
                    <w:t>0.2</w:t>
                  </w:r>
                </w:p>
              </w:tc>
            </w:tr>
            <w:tr w14:paraId="5341A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93" w:type="pct"/>
                  <w:vAlign w:val="center"/>
                </w:tcPr>
                <w:p w14:paraId="7412035D">
                  <w:pPr>
                    <w:pStyle w:val="98"/>
                  </w:pPr>
                  <w:r>
                    <w:rPr>
                      <w:rFonts w:hint="eastAsia"/>
                    </w:rPr>
                    <w:t>8</w:t>
                  </w:r>
                </w:p>
              </w:tc>
              <w:tc>
                <w:tcPr>
                  <w:tcW w:w="1466" w:type="pct"/>
                  <w:vAlign w:val="center"/>
                </w:tcPr>
                <w:p w14:paraId="190C8A8A">
                  <w:pPr>
                    <w:pStyle w:val="98"/>
                  </w:pPr>
                  <w:r>
                    <w:t>石油类</w:t>
                  </w:r>
                </w:p>
              </w:tc>
              <w:tc>
                <w:tcPr>
                  <w:tcW w:w="2741" w:type="pct"/>
                  <w:vAlign w:val="center"/>
                </w:tcPr>
                <w:p w14:paraId="4E8ACDDA">
                  <w:pPr>
                    <w:pStyle w:val="98"/>
                  </w:pPr>
                  <w:r>
                    <w:t>0.05</w:t>
                  </w:r>
                </w:p>
              </w:tc>
            </w:tr>
          </w:tbl>
          <w:p w14:paraId="72140535">
            <w:pPr>
              <w:pStyle w:val="4"/>
              <w:numPr>
                <w:ilvl w:val="2"/>
                <w:numId w:val="7"/>
              </w:numPr>
            </w:pPr>
            <w:r>
              <w:rPr>
                <w:rFonts w:hint="eastAsia"/>
              </w:rPr>
              <w:t>声环境</w:t>
            </w:r>
          </w:p>
          <w:p w14:paraId="04C15B31">
            <w:pPr>
              <w:pStyle w:val="6"/>
              <w:rPr>
                <w:rFonts w:hint="eastAsia"/>
                <w:sz w:val="24"/>
                <w:lang w:val="en-US" w:eastAsia="zh-CN"/>
              </w:rPr>
            </w:pPr>
            <w:r>
              <w:rPr>
                <w:rFonts w:hint="eastAsia"/>
                <w:sz w:val="24"/>
                <w:lang w:val="en-US" w:eastAsia="zh-CN"/>
              </w:rPr>
              <w:t>本项目属于2类声环境功能区，</w:t>
            </w:r>
            <w:r>
              <w:rPr>
                <w:sz w:val="24"/>
              </w:rPr>
              <w:t>执行《声环境质量标准》（GB</w:t>
            </w:r>
            <w:r>
              <w:rPr>
                <w:rFonts w:hint="eastAsia"/>
                <w:sz w:val="24"/>
                <w:lang w:val="en-US" w:eastAsia="zh-CN"/>
              </w:rPr>
              <w:t xml:space="preserve"> </w:t>
            </w:r>
            <w:r>
              <w:rPr>
                <w:sz w:val="24"/>
              </w:rPr>
              <w:t>3096-2008）的</w:t>
            </w:r>
            <w:r>
              <w:rPr>
                <w:rFonts w:hint="eastAsia"/>
                <w:sz w:val="24"/>
                <w:lang w:val="en-US" w:eastAsia="zh-CN"/>
              </w:rPr>
              <w:t>2</w:t>
            </w:r>
            <w:r>
              <w:rPr>
                <w:sz w:val="24"/>
              </w:rPr>
              <w:t>类标准，</w:t>
            </w:r>
            <w:r>
              <w:rPr>
                <w:rFonts w:hint="eastAsia"/>
                <w:sz w:val="24"/>
                <w:lang w:val="en-US" w:eastAsia="zh-CN"/>
              </w:rPr>
              <w:t>具体见下表。</w:t>
            </w:r>
          </w:p>
          <w:p w14:paraId="4044BCE6">
            <w:pPr>
              <w:pStyle w:val="7"/>
              <w:bidi w:val="0"/>
              <w:rPr>
                <w:rFonts w:hint="eastAsia"/>
                <w:lang w:val="en-US" w:eastAsia="zh-CN"/>
              </w:rPr>
            </w:pPr>
            <w:r>
              <w:rPr>
                <w:rFonts w:hint="eastAsia"/>
                <w:lang w:val="en-US" w:eastAsia="zh-CN"/>
              </w:rPr>
              <w:t>声环境质量标准    单位：dB（A）</w:t>
            </w:r>
          </w:p>
          <w:tbl>
            <w:tblPr>
              <w:tblStyle w:val="45"/>
              <w:tblW w:w="5000"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3321"/>
              <w:gridCol w:w="2692"/>
            </w:tblGrid>
            <w:tr w14:paraId="5129607B">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6" w:type="pct"/>
                  <w:tcBorders>
                    <w:tl2br w:val="nil"/>
                    <w:tr2bl w:val="nil"/>
                  </w:tcBorders>
                  <w:noWrap w:val="0"/>
                  <w:tcMar>
                    <w:top w:w="28" w:type="dxa"/>
                    <w:left w:w="28" w:type="dxa"/>
                    <w:bottom w:w="28" w:type="dxa"/>
                    <w:right w:w="28" w:type="dxa"/>
                  </w:tcMar>
                  <w:vAlign w:val="center"/>
                </w:tcPr>
                <w:p w14:paraId="56ACB753">
                  <w:pPr>
                    <w:widowControl/>
                    <w:adjustRightInd w:val="0"/>
                    <w:snapToGrid w:val="0"/>
                    <w:spacing w:line="320" w:lineRule="atLeast"/>
                    <w:jc w:val="center"/>
                    <w:rPr>
                      <w:rFonts w:hint="eastAsia"/>
                      <w:bCs/>
                      <w:sz w:val="22"/>
                      <w:szCs w:val="22"/>
                      <w:lang w:eastAsia="zh-CN"/>
                    </w:rPr>
                  </w:pPr>
                  <w:r>
                    <w:rPr>
                      <w:rFonts w:hint="eastAsia"/>
                      <w:bCs/>
                      <w:sz w:val="22"/>
                      <w:szCs w:val="22"/>
                      <w:lang w:val="en-US" w:eastAsia="zh-CN"/>
                    </w:rPr>
                    <w:t>功能区</w:t>
                  </w:r>
                </w:p>
              </w:tc>
              <w:tc>
                <w:tcPr>
                  <w:tcW w:w="1918" w:type="pct"/>
                  <w:tcBorders>
                    <w:tl2br w:val="nil"/>
                    <w:tr2bl w:val="nil"/>
                  </w:tcBorders>
                  <w:noWrap w:val="0"/>
                  <w:tcMar>
                    <w:top w:w="28" w:type="dxa"/>
                    <w:left w:w="28" w:type="dxa"/>
                    <w:bottom w:w="28" w:type="dxa"/>
                    <w:right w:w="28" w:type="dxa"/>
                  </w:tcMar>
                  <w:vAlign w:val="center"/>
                </w:tcPr>
                <w:p w14:paraId="5E62B266">
                  <w:pPr>
                    <w:widowControl/>
                    <w:adjustRightInd w:val="0"/>
                    <w:snapToGrid w:val="0"/>
                    <w:spacing w:line="320" w:lineRule="atLeast"/>
                    <w:jc w:val="center"/>
                    <w:rPr>
                      <w:bCs/>
                      <w:sz w:val="22"/>
                      <w:szCs w:val="22"/>
                    </w:rPr>
                  </w:pPr>
                  <w:r>
                    <w:rPr>
                      <w:bCs/>
                      <w:sz w:val="22"/>
                      <w:szCs w:val="22"/>
                    </w:rPr>
                    <w:t>昼间</w:t>
                  </w:r>
                </w:p>
              </w:tc>
              <w:tc>
                <w:tcPr>
                  <w:tcW w:w="1555" w:type="pct"/>
                  <w:tcBorders>
                    <w:tl2br w:val="nil"/>
                    <w:tr2bl w:val="nil"/>
                  </w:tcBorders>
                  <w:noWrap w:val="0"/>
                  <w:tcMar>
                    <w:top w:w="28" w:type="dxa"/>
                    <w:left w:w="28" w:type="dxa"/>
                    <w:bottom w:w="28" w:type="dxa"/>
                    <w:right w:w="28" w:type="dxa"/>
                  </w:tcMar>
                  <w:vAlign w:val="center"/>
                </w:tcPr>
                <w:p w14:paraId="548BB6B2">
                  <w:pPr>
                    <w:widowControl/>
                    <w:adjustRightInd w:val="0"/>
                    <w:snapToGrid w:val="0"/>
                    <w:spacing w:line="320" w:lineRule="atLeast"/>
                    <w:jc w:val="center"/>
                    <w:rPr>
                      <w:bCs/>
                      <w:sz w:val="22"/>
                      <w:szCs w:val="22"/>
                    </w:rPr>
                  </w:pPr>
                  <w:r>
                    <w:rPr>
                      <w:bCs/>
                      <w:sz w:val="22"/>
                      <w:szCs w:val="22"/>
                    </w:rPr>
                    <w:t>夜间</w:t>
                  </w:r>
                </w:p>
              </w:tc>
            </w:tr>
            <w:tr w14:paraId="00DCACE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526" w:type="pct"/>
                  <w:tcBorders>
                    <w:tl2br w:val="nil"/>
                    <w:tr2bl w:val="nil"/>
                  </w:tcBorders>
                  <w:noWrap w:val="0"/>
                  <w:tcMar>
                    <w:top w:w="28" w:type="dxa"/>
                    <w:left w:w="28" w:type="dxa"/>
                    <w:bottom w:w="28" w:type="dxa"/>
                    <w:right w:w="28" w:type="dxa"/>
                  </w:tcMar>
                  <w:vAlign w:val="center"/>
                </w:tcPr>
                <w:p w14:paraId="308AA637">
                  <w:pPr>
                    <w:widowControl/>
                    <w:adjustRightInd w:val="0"/>
                    <w:snapToGrid w:val="0"/>
                    <w:spacing w:line="320" w:lineRule="atLeast"/>
                    <w:jc w:val="center"/>
                    <w:rPr>
                      <w:bCs/>
                      <w:sz w:val="22"/>
                      <w:szCs w:val="22"/>
                    </w:rPr>
                  </w:pPr>
                  <w:r>
                    <w:rPr>
                      <w:rFonts w:hint="eastAsia"/>
                      <w:bCs/>
                      <w:sz w:val="22"/>
                      <w:szCs w:val="22"/>
                      <w:lang w:val="en-US" w:eastAsia="zh-CN"/>
                    </w:rPr>
                    <w:t>2</w:t>
                  </w:r>
                  <w:r>
                    <w:rPr>
                      <w:bCs/>
                      <w:sz w:val="22"/>
                      <w:szCs w:val="22"/>
                    </w:rPr>
                    <w:t>类</w:t>
                  </w:r>
                </w:p>
              </w:tc>
              <w:tc>
                <w:tcPr>
                  <w:tcW w:w="1918" w:type="pct"/>
                  <w:tcBorders>
                    <w:tl2br w:val="nil"/>
                    <w:tr2bl w:val="nil"/>
                  </w:tcBorders>
                  <w:noWrap w:val="0"/>
                  <w:tcMar>
                    <w:top w:w="28" w:type="dxa"/>
                    <w:left w:w="28" w:type="dxa"/>
                    <w:bottom w:w="28" w:type="dxa"/>
                    <w:right w:w="28" w:type="dxa"/>
                  </w:tcMar>
                  <w:vAlign w:val="center"/>
                </w:tcPr>
                <w:p w14:paraId="27204240">
                  <w:pPr>
                    <w:widowControl/>
                    <w:adjustRightInd w:val="0"/>
                    <w:snapToGrid w:val="0"/>
                    <w:spacing w:line="320" w:lineRule="atLeast"/>
                    <w:jc w:val="center"/>
                    <w:rPr>
                      <w:bCs/>
                      <w:sz w:val="22"/>
                      <w:szCs w:val="22"/>
                    </w:rPr>
                  </w:pPr>
                  <w:r>
                    <w:rPr>
                      <w:bCs/>
                      <w:sz w:val="22"/>
                      <w:szCs w:val="22"/>
                    </w:rPr>
                    <w:t>60</w:t>
                  </w:r>
                </w:p>
              </w:tc>
              <w:tc>
                <w:tcPr>
                  <w:tcW w:w="1555" w:type="pct"/>
                  <w:tcBorders>
                    <w:tl2br w:val="nil"/>
                    <w:tr2bl w:val="nil"/>
                  </w:tcBorders>
                  <w:noWrap w:val="0"/>
                  <w:tcMar>
                    <w:top w:w="28" w:type="dxa"/>
                    <w:left w:w="28" w:type="dxa"/>
                    <w:bottom w:w="28" w:type="dxa"/>
                    <w:right w:w="28" w:type="dxa"/>
                  </w:tcMar>
                  <w:vAlign w:val="center"/>
                </w:tcPr>
                <w:p w14:paraId="3D6D837B">
                  <w:pPr>
                    <w:widowControl/>
                    <w:adjustRightInd w:val="0"/>
                    <w:snapToGrid w:val="0"/>
                    <w:spacing w:line="320" w:lineRule="atLeast"/>
                    <w:jc w:val="center"/>
                    <w:rPr>
                      <w:bCs/>
                      <w:sz w:val="22"/>
                      <w:szCs w:val="22"/>
                    </w:rPr>
                  </w:pPr>
                  <w:r>
                    <w:rPr>
                      <w:bCs/>
                      <w:sz w:val="22"/>
                      <w:szCs w:val="22"/>
                    </w:rPr>
                    <w:t>50</w:t>
                  </w:r>
                </w:p>
              </w:tc>
            </w:tr>
          </w:tbl>
          <w:p w14:paraId="458EC099">
            <w:pPr>
              <w:pStyle w:val="4"/>
              <w:numPr>
                <w:ilvl w:val="2"/>
                <w:numId w:val="7"/>
              </w:numPr>
            </w:pPr>
            <w:r>
              <w:rPr>
                <w:rFonts w:hint="eastAsia"/>
                <w:lang w:val="en-US" w:eastAsia="zh-CN"/>
              </w:rPr>
              <w:t>底泥</w:t>
            </w:r>
          </w:p>
          <w:p w14:paraId="1B98221C">
            <w:pPr>
              <w:pStyle w:val="6"/>
              <w:rPr>
                <w:rFonts w:hint="eastAsia" w:ascii="Times New Roman" w:hAnsi="Times New Roman" w:eastAsia="宋体"/>
                <w:sz w:val="24"/>
                <w:lang w:val="en-US" w:eastAsia="zh-CN"/>
              </w:rPr>
            </w:pPr>
            <w:r>
              <w:rPr>
                <w:rFonts w:hint="eastAsia" w:ascii="Times New Roman" w:hAnsi="Times New Roman" w:eastAsia="宋体"/>
                <w:sz w:val="24"/>
                <w:lang w:val="en-US" w:eastAsia="zh-CN"/>
              </w:rPr>
              <w:t>底泥执行《土壤环境质量农用地土壤污染风险管控标准（试行）》（GB15618-2018）的风险管控标准中“其他”筛选值，详见下表。</w:t>
            </w:r>
          </w:p>
          <w:p w14:paraId="39E53818">
            <w:pPr>
              <w:pStyle w:val="7"/>
              <w:bidi w:val="0"/>
              <w:rPr>
                <w:rFonts w:hint="eastAsia" w:ascii="Times New Roman" w:hAnsi="Times New Roman" w:eastAsia="宋体"/>
                <w:lang w:val="en-US" w:eastAsia="zh-CN"/>
              </w:rPr>
            </w:pPr>
            <w:r>
              <w:rPr>
                <w:rFonts w:hint="eastAsia" w:ascii="Times New Roman" w:hAnsi="Times New Roman" w:eastAsia="宋体"/>
                <w:lang w:val="en-US" w:eastAsia="zh-CN"/>
              </w:rPr>
              <w:t>土壤环境质量标准    单位：mg/kg，pH无量纲</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04"/>
              <w:gridCol w:w="1162"/>
              <w:gridCol w:w="1268"/>
              <w:gridCol w:w="1661"/>
              <w:gridCol w:w="1695"/>
              <w:gridCol w:w="1295"/>
            </w:tblGrid>
            <w:tr w14:paraId="15C1A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3343D3D5">
                  <w:pPr>
                    <w:adjustRightInd/>
                    <w:snapToGrid/>
                    <w:spacing w:line="240" w:lineRule="auto"/>
                    <w:ind w:firstLine="0" w:firstLineChars="0"/>
                    <w:jc w:val="center"/>
                    <w:rPr>
                      <w:bCs/>
                      <w:color w:val="auto"/>
                      <w:kern w:val="0"/>
                      <w:sz w:val="22"/>
                      <w:szCs w:val="22"/>
                    </w:rPr>
                  </w:pPr>
                  <w:r>
                    <w:rPr>
                      <w:bCs/>
                      <w:color w:val="auto"/>
                      <w:kern w:val="0"/>
                      <w:sz w:val="22"/>
                      <w:szCs w:val="22"/>
                    </w:rPr>
                    <w:t>序号</w:t>
                  </w:r>
                </w:p>
              </w:tc>
              <w:tc>
                <w:tcPr>
                  <w:tcW w:w="1978" w:type="dxa"/>
                  <w:gridSpan w:val="2"/>
                  <w:vMerge w:val="restart"/>
                  <w:vAlign w:val="center"/>
                </w:tcPr>
                <w:p w14:paraId="4C2267A6">
                  <w:pPr>
                    <w:adjustRightInd/>
                    <w:snapToGrid/>
                    <w:spacing w:line="240" w:lineRule="auto"/>
                    <w:ind w:firstLine="0" w:firstLineChars="0"/>
                    <w:jc w:val="center"/>
                    <w:rPr>
                      <w:bCs/>
                      <w:color w:val="auto"/>
                      <w:kern w:val="0"/>
                      <w:sz w:val="22"/>
                      <w:szCs w:val="22"/>
                    </w:rPr>
                  </w:pPr>
                  <w:r>
                    <w:rPr>
                      <w:bCs/>
                      <w:color w:val="auto"/>
                      <w:kern w:val="0"/>
                      <w:sz w:val="22"/>
                      <w:szCs w:val="22"/>
                    </w:rPr>
                    <w:t>项目</w:t>
                  </w:r>
                </w:p>
              </w:tc>
              <w:tc>
                <w:tcPr>
                  <w:tcW w:w="5955" w:type="dxa"/>
                  <w:gridSpan w:val="4"/>
                  <w:vAlign w:val="center"/>
                </w:tcPr>
                <w:p w14:paraId="5EEF19E7">
                  <w:pPr>
                    <w:spacing w:line="240" w:lineRule="auto"/>
                    <w:ind w:firstLine="0" w:firstLineChars="0"/>
                    <w:jc w:val="center"/>
                    <w:rPr>
                      <w:bCs/>
                      <w:color w:val="auto"/>
                      <w:kern w:val="0"/>
                      <w:sz w:val="22"/>
                      <w:szCs w:val="22"/>
                    </w:rPr>
                  </w:pPr>
                  <w:r>
                    <w:rPr>
                      <w:bCs/>
                      <w:color w:val="auto"/>
                      <w:kern w:val="0"/>
                      <w:sz w:val="22"/>
                      <w:szCs w:val="22"/>
                    </w:rPr>
                    <w:t>风险筛选值</w:t>
                  </w:r>
                </w:p>
              </w:tc>
            </w:tr>
            <w:tr w14:paraId="0B8303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continue"/>
                  <w:vAlign w:val="center"/>
                </w:tcPr>
                <w:p w14:paraId="405DFC53">
                  <w:pPr>
                    <w:adjustRightInd/>
                    <w:snapToGrid/>
                    <w:spacing w:line="240" w:lineRule="auto"/>
                    <w:ind w:firstLine="0" w:firstLineChars="0"/>
                    <w:jc w:val="center"/>
                    <w:rPr>
                      <w:bCs/>
                      <w:color w:val="auto"/>
                      <w:kern w:val="0"/>
                      <w:sz w:val="22"/>
                      <w:szCs w:val="22"/>
                    </w:rPr>
                  </w:pPr>
                </w:p>
              </w:tc>
              <w:tc>
                <w:tcPr>
                  <w:tcW w:w="1978" w:type="dxa"/>
                  <w:gridSpan w:val="2"/>
                  <w:vMerge w:val="continue"/>
                  <w:vAlign w:val="center"/>
                </w:tcPr>
                <w:p w14:paraId="70A5DEE8">
                  <w:pPr>
                    <w:adjustRightInd/>
                    <w:snapToGrid/>
                    <w:spacing w:line="240" w:lineRule="auto"/>
                    <w:ind w:firstLine="0" w:firstLineChars="0"/>
                    <w:jc w:val="center"/>
                    <w:rPr>
                      <w:bCs/>
                      <w:color w:val="auto"/>
                      <w:kern w:val="0"/>
                      <w:sz w:val="22"/>
                      <w:szCs w:val="22"/>
                    </w:rPr>
                  </w:pPr>
                </w:p>
              </w:tc>
              <w:tc>
                <w:tcPr>
                  <w:tcW w:w="1276" w:type="dxa"/>
                  <w:vAlign w:val="center"/>
                </w:tcPr>
                <w:p w14:paraId="2665538F">
                  <w:pPr>
                    <w:adjustRightInd/>
                    <w:snapToGrid/>
                    <w:spacing w:line="240" w:lineRule="auto"/>
                    <w:ind w:firstLine="0" w:firstLineChars="0"/>
                    <w:jc w:val="center"/>
                    <w:rPr>
                      <w:bCs/>
                      <w:color w:val="auto"/>
                      <w:kern w:val="0"/>
                      <w:sz w:val="22"/>
                      <w:szCs w:val="22"/>
                    </w:rPr>
                  </w:pPr>
                  <w:r>
                    <w:rPr>
                      <w:bCs/>
                      <w:color w:val="auto"/>
                      <w:kern w:val="0"/>
                      <w:sz w:val="22"/>
                      <w:szCs w:val="22"/>
                    </w:rPr>
                    <w:t>pH≤5.5</w:t>
                  </w:r>
                </w:p>
              </w:tc>
              <w:tc>
                <w:tcPr>
                  <w:tcW w:w="1671" w:type="dxa"/>
                  <w:vAlign w:val="center"/>
                </w:tcPr>
                <w:p w14:paraId="1843505F">
                  <w:pPr>
                    <w:adjustRightInd/>
                    <w:snapToGrid/>
                    <w:spacing w:line="240" w:lineRule="auto"/>
                    <w:ind w:firstLine="0" w:firstLineChars="0"/>
                    <w:jc w:val="center"/>
                    <w:rPr>
                      <w:bCs/>
                      <w:color w:val="auto"/>
                      <w:kern w:val="0"/>
                      <w:sz w:val="22"/>
                      <w:szCs w:val="22"/>
                    </w:rPr>
                  </w:pPr>
                  <w:r>
                    <w:rPr>
                      <w:bCs/>
                      <w:color w:val="auto"/>
                      <w:kern w:val="0"/>
                      <w:sz w:val="22"/>
                      <w:szCs w:val="22"/>
                    </w:rPr>
                    <w:t>5.5＜pH≤6.5</w:t>
                  </w:r>
                </w:p>
              </w:tc>
              <w:tc>
                <w:tcPr>
                  <w:tcW w:w="1705" w:type="dxa"/>
                  <w:vAlign w:val="center"/>
                </w:tcPr>
                <w:p w14:paraId="696F018F">
                  <w:pPr>
                    <w:adjustRightInd/>
                    <w:snapToGrid/>
                    <w:spacing w:line="240" w:lineRule="auto"/>
                    <w:ind w:firstLine="0" w:firstLineChars="0"/>
                    <w:jc w:val="center"/>
                    <w:rPr>
                      <w:bCs/>
                      <w:color w:val="auto"/>
                      <w:kern w:val="0"/>
                      <w:sz w:val="22"/>
                      <w:szCs w:val="22"/>
                    </w:rPr>
                  </w:pPr>
                  <w:r>
                    <w:rPr>
                      <w:bCs/>
                      <w:color w:val="auto"/>
                      <w:kern w:val="0"/>
                      <w:sz w:val="22"/>
                      <w:szCs w:val="22"/>
                    </w:rPr>
                    <w:t>6.5＜pH≤7.5</w:t>
                  </w:r>
                </w:p>
              </w:tc>
              <w:tc>
                <w:tcPr>
                  <w:tcW w:w="1303" w:type="dxa"/>
                  <w:vAlign w:val="center"/>
                </w:tcPr>
                <w:p w14:paraId="629BBBDD">
                  <w:pPr>
                    <w:spacing w:line="240" w:lineRule="auto"/>
                    <w:ind w:firstLine="0" w:firstLineChars="0"/>
                    <w:jc w:val="center"/>
                    <w:rPr>
                      <w:bCs/>
                      <w:color w:val="auto"/>
                      <w:kern w:val="0"/>
                      <w:sz w:val="22"/>
                      <w:szCs w:val="22"/>
                    </w:rPr>
                  </w:pPr>
                  <w:r>
                    <w:rPr>
                      <w:bCs/>
                      <w:color w:val="auto"/>
                      <w:kern w:val="0"/>
                      <w:sz w:val="22"/>
                      <w:szCs w:val="22"/>
                    </w:rPr>
                    <w:t>pH＞7.5</w:t>
                  </w:r>
                </w:p>
              </w:tc>
            </w:tr>
            <w:tr w14:paraId="0895BD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3C1F77CD">
                  <w:pPr>
                    <w:adjustRightInd/>
                    <w:snapToGrid/>
                    <w:spacing w:line="240" w:lineRule="auto"/>
                    <w:ind w:firstLine="0" w:firstLineChars="0"/>
                    <w:jc w:val="center"/>
                    <w:rPr>
                      <w:bCs/>
                      <w:color w:val="auto"/>
                      <w:kern w:val="0"/>
                      <w:sz w:val="22"/>
                      <w:szCs w:val="22"/>
                    </w:rPr>
                  </w:pPr>
                  <w:r>
                    <w:rPr>
                      <w:bCs/>
                      <w:color w:val="auto"/>
                      <w:kern w:val="0"/>
                      <w:sz w:val="22"/>
                      <w:szCs w:val="22"/>
                    </w:rPr>
                    <w:t>1</w:t>
                  </w:r>
                </w:p>
              </w:tc>
              <w:tc>
                <w:tcPr>
                  <w:tcW w:w="809" w:type="dxa"/>
                  <w:vMerge w:val="restart"/>
                  <w:vAlign w:val="center"/>
                </w:tcPr>
                <w:p w14:paraId="1E43C200">
                  <w:pPr>
                    <w:adjustRightInd/>
                    <w:snapToGrid/>
                    <w:spacing w:line="240" w:lineRule="auto"/>
                    <w:ind w:firstLine="0" w:firstLineChars="0"/>
                    <w:jc w:val="center"/>
                    <w:rPr>
                      <w:bCs/>
                      <w:color w:val="auto"/>
                      <w:kern w:val="0"/>
                      <w:sz w:val="22"/>
                      <w:szCs w:val="22"/>
                    </w:rPr>
                  </w:pPr>
                  <w:r>
                    <w:rPr>
                      <w:bCs/>
                      <w:color w:val="auto"/>
                      <w:kern w:val="0"/>
                      <w:sz w:val="22"/>
                      <w:szCs w:val="22"/>
                    </w:rPr>
                    <w:t>镉</w:t>
                  </w:r>
                </w:p>
              </w:tc>
              <w:tc>
                <w:tcPr>
                  <w:tcW w:w="1169" w:type="dxa"/>
                  <w:vAlign w:val="center"/>
                </w:tcPr>
                <w:p w14:paraId="28763B44">
                  <w:pPr>
                    <w:adjustRightInd/>
                    <w:snapToGrid/>
                    <w:spacing w:line="240" w:lineRule="auto"/>
                    <w:ind w:firstLine="0" w:firstLineChars="0"/>
                    <w:jc w:val="center"/>
                    <w:rPr>
                      <w:bCs/>
                      <w:color w:val="auto"/>
                      <w:kern w:val="0"/>
                      <w:sz w:val="22"/>
                      <w:szCs w:val="22"/>
                    </w:rPr>
                  </w:pPr>
                  <w:r>
                    <w:rPr>
                      <w:bCs/>
                      <w:color w:val="auto"/>
                      <w:kern w:val="0"/>
                      <w:sz w:val="22"/>
                      <w:szCs w:val="22"/>
                    </w:rPr>
                    <w:t>水田</w:t>
                  </w:r>
                </w:p>
              </w:tc>
              <w:tc>
                <w:tcPr>
                  <w:tcW w:w="1276" w:type="dxa"/>
                  <w:vAlign w:val="center"/>
                </w:tcPr>
                <w:p w14:paraId="5ACC5B32">
                  <w:pPr>
                    <w:adjustRightInd/>
                    <w:snapToGrid/>
                    <w:spacing w:line="240" w:lineRule="auto"/>
                    <w:ind w:firstLine="0" w:firstLineChars="0"/>
                    <w:jc w:val="center"/>
                    <w:rPr>
                      <w:bCs/>
                      <w:color w:val="auto"/>
                      <w:kern w:val="0"/>
                      <w:sz w:val="22"/>
                      <w:szCs w:val="22"/>
                    </w:rPr>
                  </w:pPr>
                  <w:r>
                    <w:rPr>
                      <w:bCs/>
                      <w:color w:val="auto"/>
                      <w:kern w:val="0"/>
                      <w:sz w:val="22"/>
                      <w:szCs w:val="22"/>
                    </w:rPr>
                    <w:t>0.3</w:t>
                  </w:r>
                </w:p>
              </w:tc>
              <w:tc>
                <w:tcPr>
                  <w:tcW w:w="1671" w:type="dxa"/>
                  <w:vAlign w:val="center"/>
                </w:tcPr>
                <w:p w14:paraId="6CD36F8B">
                  <w:pPr>
                    <w:adjustRightInd/>
                    <w:snapToGrid/>
                    <w:spacing w:line="240" w:lineRule="auto"/>
                    <w:ind w:firstLine="0" w:firstLineChars="0"/>
                    <w:jc w:val="center"/>
                    <w:rPr>
                      <w:bCs/>
                      <w:color w:val="auto"/>
                      <w:kern w:val="0"/>
                      <w:sz w:val="22"/>
                      <w:szCs w:val="22"/>
                    </w:rPr>
                  </w:pPr>
                  <w:r>
                    <w:rPr>
                      <w:bCs/>
                      <w:color w:val="auto"/>
                      <w:kern w:val="0"/>
                      <w:sz w:val="22"/>
                      <w:szCs w:val="22"/>
                    </w:rPr>
                    <w:t>0.4</w:t>
                  </w:r>
                </w:p>
              </w:tc>
              <w:tc>
                <w:tcPr>
                  <w:tcW w:w="1705" w:type="dxa"/>
                  <w:vAlign w:val="center"/>
                </w:tcPr>
                <w:p w14:paraId="066B144C">
                  <w:pPr>
                    <w:adjustRightInd/>
                    <w:snapToGrid/>
                    <w:spacing w:line="240" w:lineRule="auto"/>
                    <w:ind w:firstLine="0" w:firstLineChars="0"/>
                    <w:jc w:val="center"/>
                    <w:rPr>
                      <w:bCs/>
                      <w:color w:val="auto"/>
                      <w:kern w:val="0"/>
                      <w:sz w:val="22"/>
                      <w:szCs w:val="22"/>
                    </w:rPr>
                  </w:pPr>
                  <w:r>
                    <w:rPr>
                      <w:bCs/>
                      <w:color w:val="auto"/>
                      <w:kern w:val="0"/>
                      <w:sz w:val="22"/>
                      <w:szCs w:val="22"/>
                    </w:rPr>
                    <w:t>0.6</w:t>
                  </w:r>
                </w:p>
              </w:tc>
              <w:tc>
                <w:tcPr>
                  <w:tcW w:w="1303" w:type="dxa"/>
                  <w:vAlign w:val="center"/>
                </w:tcPr>
                <w:p w14:paraId="54F65132">
                  <w:pPr>
                    <w:spacing w:line="240" w:lineRule="auto"/>
                    <w:ind w:firstLine="0" w:firstLineChars="0"/>
                    <w:jc w:val="center"/>
                    <w:rPr>
                      <w:bCs/>
                      <w:color w:val="auto"/>
                      <w:kern w:val="0"/>
                      <w:sz w:val="22"/>
                      <w:szCs w:val="22"/>
                    </w:rPr>
                  </w:pPr>
                  <w:r>
                    <w:rPr>
                      <w:bCs/>
                      <w:color w:val="auto"/>
                      <w:kern w:val="0"/>
                      <w:sz w:val="22"/>
                      <w:szCs w:val="22"/>
                    </w:rPr>
                    <w:t>0.8</w:t>
                  </w:r>
                </w:p>
              </w:tc>
            </w:tr>
            <w:tr w14:paraId="139A6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775" w:type="dxa"/>
                  <w:vMerge w:val="continue"/>
                  <w:vAlign w:val="center"/>
                </w:tcPr>
                <w:p w14:paraId="739CB594">
                  <w:pPr>
                    <w:adjustRightInd/>
                    <w:snapToGrid/>
                    <w:spacing w:line="240" w:lineRule="auto"/>
                    <w:ind w:firstLine="0" w:firstLineChars="0"/>
                    <w:jc w:val="center"/>
                    <w:rPr>
                      <w:bCs/>
                      <w:color w:val="auto"/>
                      <w:kern w:val="0"/>
                      <w:sz w:val="22"/>
                      <w:szCs w:val="22"/>
                    </w:rPr>
                  </w:pPr>
                </w:p>
              </w:tc>
              <w:tc>
                <w:tcPr>
                  <w:tcW w:w="809" w:type="dxa"/>
                  <w:vMerge w:val="continue"/>
                  <w:vAlign w:val="center"/>
                </w:tcPr>
                <w:p w14:paraId="5DEED843">
                  <w:pPr>
                    <w:adjustRightInd/>
                    <w:snapToGrid/>
                    <w:spacing w:line="240" w:lineRule="auto"/>
                    <w:ind w:firstLine="0" w:firstLineChars="0"/>
                    <w:jc w:val="center"/>
                    <w:rPr>
                      <w:bCs/>
                      <w:color w:val="auto"/>
                      <w:kern w:val="0"/>
                      <w:sz w:val="22"/>
                      <w:szCs w:val="22"/>
                    </w:rPr>
                  </w:pPr>
                </w:p>
              </w:tc>
              <w:tc>
                <w:tcPr>
                  <w:tcW w:w="1169" w:type="dxa"/>
                  <w:vAlign w:val="center"/>
                </w:tcPr>
                <w:p w14:paraId="2EEB78F4">
                  <w:pPr>
                    <w:adjustRightInd/>
                    <w:snapToGrid/>
                    <w:spacing w:line="240" w:lineRule="auto"/>
                    <w:ind w:firstLine="0" w:firstLineChars="0"/>
                    <w:jc w:val="center"/>
                    <w:rPr>
                      <w:bCs/>
                      <w:color w:val="auto"/>
                      <w:kern w:val="0"/>
                      <w:sz w:val="22"/>
                      <w:szCs w:val="22"/>
                    </w:rPr>
                  </w:pPr>
                  <w:r>
                    <w:rPr>
                      <w:bCs/>
                      <w:color w:val="auto"/>
                      <w:kern w:val="0"/>
                      <w:sz w:val="22"/>
                      <w:szCs w:val="22"/>
                    </w:rPr>
                    <w:t>其他</w:t>
                  </w:r>
                </w:p>
              </w:tc>
              <w:tc>
                <w:tcPr>
                  <w:tcW w:w="1276" w:type="dxa"/>
                  <w:vAlign w:val="center"/>
                </w:tcPr>
                <w:p w14:paraId="1A8BF0B9">
                  <w:pPr>
                    <w:adjustRightInd/>
                    <w:snapToGrid/>
                    <w:spacing w:line="240" w:lineRule="auto"/>
                    <w:ind w:firstLine="0" w:firstLineChars="0"/>
                    <w:jc w:val="center"/>
                    <w:rPr>
                      <w:bCs/>
                      <w:color w:val="auto"/>
                      <w:kern w:val="0"/>
                      <w:sz w:val="22"/>
                      <w:szCs w:val="22"/>
                    </w:rPr>
                  </w:pPr>
                  <w:r>
                    <w:rPr>
                      <w:bCs/>
                      <w:color w:val="auto"/>
                      <w:kern w:val="0"/>
                      <w:sz w:val="22"/>
                      <w:szCs w:val="22"/>
                    </w:rPr>
                    <w:t>0.3</w:t>
                  </w:r>
                </w:p>
              </w:tc>
              <w:tc>
                <w:tcPr>
                  <w:tcW w:w="1671" w:type="dxa"/>
                  <w:vAlign w:val="center"/>
                </w:tcPr>
                <w:p w14:paraId="059EB902">
                  <w:pPr>
                    <w:adjustRightInd/>
                    <w:snapToGrid/>
                    <w:spacing w:line="240" w:lineRule="auto"/>
                    <w:ind w:firstLine="0" w:firstLineChars="0"/>
                    <w:jc w:val="center"/>
                    <w:rPr>
                      <w:bCs/>
                      <w:color w:val="auto"/>
                      <w:kern w:val="0"/>
                      <w:sz w:val="22"/>
                      <w:szCs w:val="22"/>
                    </w:rPr>
                  </w:pPr>
                  <w:r>
                    <w:rPr>
                      <w:bCs/>
                      <w:color w:val="auto"/>
                      <w:kern w:val="0"/>
                      <w:sz w:val="22"/>
                      <w:szCs w:val="22"/>
                    </w:rPr>
                    <w:t>0.3</w:t>
                  </w:r>
                </w:p>
              </w:tc>
              <w:tc>
                <w:tcPr>
                  <w:tcW w:w="1705" w:type="dxa"/>
                  <w:vAlign w:val="center"/>
                </w:tcPr>
                <w:p w14:paraId="352C465D">
                  <w:pPr>
                    <w:adjustRightInd/>
                    <w:snapToGrid/>
                    <w:spacing w:line="240" w:lineRule="auto"/>
                    <w:ind w:firstLine="0" w:firstLineChars="0"/>
                    <w:jc w:val="center"/>
                    <w:rPr>
                      <w:bCs/>
                      <w:color w:val="auto"/>
                      <w:kern w:val="0"/>
                      <w:sz w:val="22"/>
                      <w:szCs w:val="22"/>
                    </w:rPr>
                  </w:pPr>
                  <w:r>
                    <w:rPr>
                      <w:bCs/>
                      <w:color w:val="auto"/>
                      <w:kern w:val="0"/>
                      <w:sz w:val="22"/>
                      <w:szCs w:val="22"/>
                    </w:rPr>
                    <w:t>0.3</w:t>
                  </w:r>
                </w:p>
              </w:tc>
              <w:tc>
                <w:tcPr>
                  <w:tcW w:w="1303" w:type="dxa"/>
                  <w:vAlign w:val="center"/>
                </w:tcPr>
                <w:p w14:paraId="7E941FF1">
                  <w:pPr>
                    <w:adjustRightInd/>
                    <w:snapToGrid/>
                    <w:spacing w:line="240" w:lineRule="auto"/>
                    <w:ind w:firstLine="0" w:firstLineChars="0"/>
                    <w:jc w:val="center"/>
                    <w:rPr>
                      <w:bCs/>
                      <w:color w:val="auto"/>
                      <w:kern w:val="0"/>
                      <w:sz w:val="22"/>
                      <w:szCs w:val="22"/>
                    </w:rPr>
                  </w:pPr>
                  <w:r>
                    <w:rPr>
                      <w:bCs/>
                      <w:color w:val="auto"/>
                      <w:kern w:val="0"/>
                      <w:sz w:val="22"/>
                      <w:szCs w:val="22"/>
                    </w:rPr>
                    <w:t>0.6</w:t>
                  </w:r>
                </w:p>
              </w:tc>
            </w:tr>
            <w:tr w14:paraId="7A7CBB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26BAA433">
                  <w:pPr>
                    <w:adjustRightInd/>
                    <w:snapToGrid/>
                    <w:spacing w:line="240" w:lineRule="auto"/>
                    <w:ind w:firstLine="0" w:firstLineChars="0"/>
                    <w:jc w:val="center"/>
                    <w:rPr>
                      <w:bCs/>
                      <w:color w:val="auto"/>
                      <w:kern w:val="0"/>
                      <w:sz w:val="22"/>
                      <w:szCs w:val="22"/>
                    </w:rPr>
                  </w:pPr>
                  <w:r>
                    <w:rPr>
                      <w:bCs/>
                      <w:color w:val="auto"/>
                      <w:kern w:val="0"/>
                      <w:sz w:val="22"/>
                      <w:szCs w:val="22"/>
                    </w:rPr>
                    <w:t>2</w:t>
                  </w:r>
                </w:p>
              </w:tc>
              <w:tc>
                <w:tcPr>
                  <w:tcW w:w="809" w:type="dxa"/>
                  <w:vMerge w:val="restart"/>
                  <w:vAlign w:val="center"/>
                </w:tcPr>
                <w:p w14:paraId="613A1164">
                  <w:pPr>
                    <w:adjustRightInd/>
                    <w:snapToGrid/>
                    <w:spacing w:line="240" w:lineRule="auto"/>
                    <w:ind w:firstLine="0" w:firstLineChars="0"/>
                    <w:jc w:val="center"/>
                    <w:rPr>
                      <w:bCs/>
                      <w:color w:val="auto"/>
                      <w:kern w:val="0"/>
                      <w:sz w:val="22"/>
                      <w:szCs w:val="22"/>
                    </w:rPr>
                  </w:pPr>
                  <w:r>
                    <w:rPr>
                      <w:bCs/>
                      <w:color w:val="auto"/>
                      <w:kern w:val="0"/>
                      <w:sz w:val="22"/>
                      <w:szCs w:val="22"/>
                    </w:rPr>
                    <w:t>汞</w:t>
                  </w:r>
                </w:p>
              </w:tc>
              <w:tc>
                <w:tcPr>
                  <w:tcW w:w="1169" w:type="dxa"/>
                  <w:vAlign w:val="center"/>
                </w:tcPr>
                <w:p w14:paraId="0BBA1381">
                  <w:pPr>
                    <w:adjustRightInd/>
                    <w:snapToGrid/>
                    <w:spacing w:line="240" w:lineRule="auto"/>
                    <w:ind w:firstLine="0" w:firstLineChars="0"/>
                    <w:jc w:val="center"/>
                    <w:rPr>
                      <w:bCs/>
                      <w:color w:val="auto"/>
                      <w:kern w:val="0"/>
                      <w:sz w:val="22"/>
                      <w:szCs w:val="22"/>
                    </w:rPr>
                  </w:pPr>
                  <w:r>
                    <w:rPr>
                      <w:bCs/>
                      <w:color w:val="auto"/>
                      <w:kern w:val="0"/>
                      <w:sz w:val="22"/>
                      <w:szCs w:val="22"/>
                    </w:rPr>
                    <w:t>水田</w:t>
                  </w:r>
                </w:p>
              </w:tc>
              <w:tc>
                <w:tcPr>
                  <w:tcW w:w="1276" w:type="dxa"/>
                  <w:vAlign w:val="center"/>
                </w:tcPr>
                <w:p w14:paraId="7C8AFE19">
                  <w:pPr>
                    <w:adjustRightInd/>
                    <w:snapToGrid/>
                    <w:spacing w:line="240" w:lineRule="auto"/>
                    <w:ind w:firstLine="0" w:firstLineChars="0"/>
                    <w:jc w:val="center"/>
                    <w:rPr>
                      <w:bCs/>
                      <w:color w:val="auto"/>
                      <w:kern w:val="0"/>
                      <w:sz w:val="22"/>
                      <w:szCs w:val="22"/>
                    </w:rPr>
                  </w:pPr>
                  <w:r>
                    <w:rPr>
                      <w:bCs/>
                      <w:color w:val="auto"/>
                      <w:kern w:val="0"/>
                      <w:sz w:val="22"/>
                      <w:szCs w:val="22"/>
                    </w:rPr>
                    <w:t>0.5</w:t>
                  </w:r>
                </w:p>
              </w:tc>
              <w:tc>
                <w:tcPr>
                  <w:tcW w:w="1671" w:type="dxa"/>
                  <w:vAlign w:val="center"/>
                </w:tcPr>
                <w:p w14:paraId="7B42F4CC">
                  <w:pPr>
                    <w:adjustRightInd/>
                    <w:snapToGrid/>
                    <w:spacing w:line="240" w:lineRule="auto"/>
                    <w:ind w:firstLine="0" w:firstLineChars="0"/>
                    <w:jc w:val="center"/>
                    <w:rPr>
                      <w:bCs/>
                      <w:color w:val="auto"/>
                      <w:kern w:val="0"/>
                      <w:sz w:val="22"/>
                      <w:szCs w:val="22"/>
                    </w:rPr>
                  </w:pPr>
                  <w:r>
                    <w:rPr>
                      <w:bCs/>
                      <w:color w:val="auto"/>
                      <w:kern w:val="0"/>
                      <w:sz w:val="22"/>
                      <w:szCs w:val="22"/>
                    </w:rPr>
                    <w:t>0.5</w:t>
                  </w:r>
                </w:p>
              </w:tc>
              <w:tc>
                <w:tcPr>
                  <w:tcW w:w="1705" w:type="dxa"/>
                  <w:vAlign w:val="center"/>
                </w:tcPr>
                <w:p w14:paraId="52B62FB8">
                  <w:pPr>
                    <w:adjustRightInd/>
                    <w:snapToGrid/>
                    <w:spacing w:line="240" w:lineRule="auto"/>
                    <w:ind w:firstLine="0" w:firstLineChars="0"/>
                    <w:jc w:val="center"/>
                    <w:rPr>
                      <w:bCs/>
                      <w:color w:val="auto"/>
                      <w:kern w:val="0"/>
                      <w:sz w:val="22"/>
                      <w:szCs w:val="22"/>
                    </w:rPr>
                  </w:pPr>
                  <w:r>
                    <w:rPr>
                      <w:bCs/>
                      <w:color w:val="auto"/>
                      <w:kern w:val="0"/>
                      <w:sz w:val="22"/>
                      <w:szCs w:val="22"/>
                    </w:rPr>
                    <w:t>0.6</w:t>
                  </w:r>
                </w:p>
              </w:tc>
              <w:tc>
                <w:tcPr>
                  <w:tcW w:w="1303" w:type="dxa"/>
                  <w:vAlign w:val="center"/>
                </w:tcPr>
                <w:p w14:paraId="32517831">
                  <w:pPr>
                    <w:adjustRightInd/>
                    <w:snapToGrid/>
                    <w:spacing w:line="240" w:lineRule="auto"/>
                    <w:ind w:firstLine="0" w:firstLineChars="0"/>
                    <w:jc w:val="center"/>
                    <w:rPr>
                      <w:bCs/>
                      <w:color w:val="auto"/>
                      <w:kern w:val="0"/>
                      <w:sz w:val="22"/>
                      <w:szCs w:val="22"/>
                    </w:rPr>
                  </w:pPr>
                  <w:r>
                    <w:rPr>
                      <w:bCs/>
                      <w:color w:val="auto"/>
                      <w:kern w:val="0"/>
                      <w:sz w:val="22"/>
                      <w:szCs w:val="22"/>
                    </w:rPr>
                    <w:t>1.0</w:t>
                  </w:r>
                </w:p>
              </w:tc>
            </w:tr>
            <w:tr w14:paraId="53B77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continue"/>
                  <w:vAlign w:val="center"/>
                </w:tcPr>
                <w:p w14:paraId="1E25A336">
                  <w:pPr>
                    <w:adjustRightInd/>
                    <w:snapToGrid/>
                    <w:spacing w:line="240" w:lineRule="auto"/>
                    <w:ind w:firstLine="0" w:firstLineChars="0"/>
                    <w:jc w:val="center"/>
                    <w:rPr>
                      <w:bCs/>
                      <w:color w:val="auto"/>
                      <w:kern w:val="0"/>
                      <w:sz w:val="22"/>
                      <w:szCs w:val="22"/>
                    </w:rPr>
                  </w:pPr>
                </w:p>
              </w:tc>
              <w:tc>
                <w:tcPr>
                  <w:tcW w:w="809" w:type="dxa"/>
                  <w:vMerge w:val="continue"/>
                  <w:vAlign w:val="center"/>
                </w:tcPr>
                <w:p w14:paraId="24F31DD2">
                  <w:pPr>
                    <w:adjustRightInd/>
                    <w:snapToGrid/>
                    <w:spacing w:line="240" w:lineRule="auto"/>
                    <w:ind w:firstLine="0" w:firstLineChars="0"/>
                    <w:jc w:val="center"/>
                    <w:rPr>
                      <w:bCs/>
                      <w:color w:val="auto"/>
                      <w:kern w:val="0"/>
                      <w:sz w:val="22"/>
                      <w:szCs w:val="22"/>
                    </w:rPr>
                  </w:pPr>
                </w:p>
              </w:tc>
              <w:tc>
                <w:tcPr>
                  <w:tcW w:w="1169" w:type="dxa"/>
                  <w:vAlign w:val="center"/>
                </w:tcPr>
                <w:p w14:paraId="1DCBB48B">
                  <w:pPr>
                    <w:adjustRightInd/>
                    <w:snapToGrid/>
                    <w:spacing w:line="240" w:lineRule="auto"/>
                    <w:ind w:firstLine="0" w:firstLineChars="0"/>
                    <w:jc w:val="center"/>
                    <w:rPr>
                      <w:bCs/>
                      <w:color w:val="auto"/>
                      <w:kern w:val="0"/>
                      <w:sz w:val="22"/>
                      <w:szCs w:val="22"/>
                    </w:rPr>
                  </w:pPr>
                  <w:r>
                    <w:rPr>
                      <w:bCs/>
                      <w:color w:val="auto"/>
                      <w:kern w:val="0"/>
                      <w:sz w:val="22"/>
                      <w:szCs w:val="22"/>
                    </w:rPr>
                    <w:t>其他</w:t>
                  </w:r>
                </w:p>
              </w:tc>
              <w:tc>
                <w:tcPr>
                  <w:tcW w:w="1276" w:type="dxa"/>
                  <w:vAlign w:val="center"/>
                </w:tcPr>
                <w:p w14:paraId="2AD9F544">
                  <w:pPr>
                    <w:adjustRightInd/>
                    <w:snapToGrid/>
                    <w:spacing w:line="240" w:lineRule="auto"/>
                    <w:ind w:firstLine="0" w:firstLineChars="0"/>
                    <w:jc w:val="center"/>
                    <w:rPr>
                      <w:bCs/>
                      <w:color w:val="auto"/>
                      <w:kern w:val="0"/>
                      <w:sz w:val="22"/>
                      <w:szCs w:val="22"/>
                    </w:rPr>
                  </w:pPr>
                  <w:r>
                    <w:rPr>
                      <w:bCs/>
                      <w:color w:val="auto"/>
                      <w:kern w:val="0"/>
                      <w:sz w:val="22"/>
                      <w:szCs w:val="22"/>
                    </w:rPr>
                    <w:t>1.3</w:t>
                  </w:r>
                </w:p>
              </w:tc>
              <w:tc>
                <w:tcPr>
                  <w:tcW w:w="1671" w:type="dxa"/>
                  <w:vAlign w:val="center"/>
                </w:tcPr>
                <w:p w14:paraId="06A2F119">
                  <w:pPr>
                    <w:adjustRightInd/>
                    <w:snapToGrid/>
                    <w:spacing w:line="240" w:lineRule="auto"/>
                    <w:ind w:firstLine="0" w:firstLineChars="0"/>
                    <w:jc w:val="center"/>
                    <w:rPr>
                      <w:bCs/>
                      <w:color w:val="auto"/>
                      <w:kern w:val="0"/>
                      <w:sz w:val="22"/>
                      <w:szCs w:val="22"/>
                    </w:rPr>
                  </w:pPr>
                  <w:r>
                    <w:rPr>
                      <w:bCs/>
                      <w:color w:val="auto"/>
                      <w:kern w:val="0"/>
                      <w:sz w:val="22"/>
                      <w:szCs w:val="22"/>
                    </w:rPr>
                    <w:t>1.8</w:t>
                  </w:r>
                </w:p>
              </w:tc>
              <w:tc>
                <w:tcPr>
                  <w:tcW w:w="1705" w:type="dxa"/>
                  <w:vAlign w:val="center"/>
                </w:tcPr>
                <w:p w14:paraId="3407F2D2">
                  <w:pPr>
                    <w:adjustRightInd/>
                    <w:snapToGrid/>
                    <w:spacing w:line="240" w:lineRule="auto"/>
                    <w:ind w:firstLine="0" w:firstLineChars="0"/>
                    <w:jc w:val="center"/>
                    <w:rPr>
                      <w:bCs/>
                      <w:color w:val="auto"/>
                      <w:kern w:val="0"/>
                      <w:sz w:val="22"/>
                      <w:szCs w:val="22"/>
                    </w:rPr>
                  </w:pPr>
                  <w:r>
                    <w:rPr>
                      <w:bCs/>
                      <w:color w:val="auto"/>
                      <w:kern w:val="0"/>
                      <w:sz w:val="22"/>
                      <w:szCs w:val="22"/>
                    </w:rPr>
                    <w:t>2.4</w:t>
                  </w:r>
                </w:p>
              </w:tc>
              <w:tc>
                <w:tcPr>
                  <w:tcW w:w="1303" w:type="dxa"/>
                  <w:vAlign w:val="center"/>
                </w:tcPr>
                <w:p w14:paraId="2FFB389C">
                  <w:pPr>
                    <w:adjustRightInd/>
                    <w:snapToGrid/>
                    <w:spacing w:line="240" w:lineRule="auto"/>
                    <w:ind w:firstLine="0" w:firstLineChars="0"/>
                    <w:jc w:val="center"/>
                    <w:rPr>
                      <w:bCs/>
                      <w:color w:val="auto"/>
                      <w:kern w:val="0"/>
                      <w:sz w:val="22"/>
                      <w:szCs w:val="22"/>
                    </w:rPr>
                  </w:pPr>
                  <w:r>
                    <w:rPr>
                      <w:bCs/>
                      <w:color w:val="auto"/>
                      <w:kern w:val="0"/>
                      <w:sz w:val="22"/>
                      <w:szCs w:val="22"/>
                    </w:rPr>
                    <w:t>3.4</w:t>
                  </w:r>
                </w:p>
              </w:tc>
            </w:tr>
            <w:tr w14:paraId="39519E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402CAEEC">
                  <w:pPr>
                    <w:adjustRightInd/>
                    <w:snapToGrid/>
                    <w:spacing w:line="240" w:lineRule="auto"/>
                    <w:ind w:firstLine="0" w:firstLineChars="0"/>
                    <w:jc w:val="center"/>
                    <w:rPr>
                      <w:bCs/>
                      <w:color w:val="auto"/>
                      <w:kern w:val="0"/>
                      <w:sz w:val="22"/>
                      <w:szCs w:val="22"/>
                    </w:rPr>
                  </w:pPr>
                  <w:r>
                    <w:rPr>
                      <w:bCs/>
                      <w:color w:val="auto"/>
                      <w:kern w:val="0"/>
                      <w:sz w:val="22"/>
                      <w:szCs w:val="22"/>
                    </w:rPr>
                    <w:t>3</w:t>
                  </w:r>
                </w:p>
              </w:tc>
              <w:tc>
                <w:tcPr>
                  <w:tcW w:w="809" w:type="dxa"/>
                  <w:vMerge w:val="restart"/>
                  <w:vAlign w:val="center"/>
                </w:tcPr>
                <w:p w14:paraId="0D3F76B8">
                  <w:pPr>
                    <w:adjustRightInd/>
                    <w:snapToGrid/>
                    <w:spacing w:line="240" w:lineRule="auto"/>
                    <w:ind w:firstLine="0" w:firstLineChars="0"/>
                    <w:jc w:val="center"/>
                    <w:rPr>
                      <w:bCs/>
                      <w:color w:val="auto"/>
                      <w:kern w:val="0"/>
                      <w:sz w:val="22"/>
                      <w:szCs w:val="22"/>
                    </w:rPr>
                  </w:pPr>
                  <w:r>
                    <w:rPr>
                      <w:bCs/>
                      <w:color w:val="auto"/>
                      <w:kern w:val="0"/>
                      <w:sz w:val="22"/>
                      <w:szCs w:val="22"/>
                    </w:rPr>
                    <w:t>砷</w:t>
                  </w:r>
                </w:p>
              </w:tc>
              <w:tc>
                <w:tcPr>
                  <w:tcW w:w="1169" w:type="dxa"/>
                  <w:vAlign w:val="center"/>
                </w:tcPr>
                <w:p w14:paraId="56BA224C">
                  <w:pPr>
                    <w:adjustRightInd/>
                    <w:snapToGrid/>
                    <w:spacing w:line="240" w:lineRule="auto"/>
                    <w:ind w:firstLine="0" w:firstLineChars="0"/>
                    <w:jc w:val="center"/>
                    <w:rPr>
                      <w:bCs/>
                      <w:color w:val="auto"/>
                      <w:kern w:val="0"/>
                      <w:sz w:val="22"/>
                      <w:szCs w:val="22"/>
                    </w:rPr>
                  </w:pPr>
                  <w:r>
                    <w:rPr>
                      <w:bCs/>
                      <w:color w:val="auto"/>
                      <w:kern w:val="0"/>
                      <w:sz w:val="22"/>
                      <w:szCs w:val="22"/>
                    </w:rPr>
                    <w:t>水田</w:t>
                  </w:r>
                </w:p>
              </w:tc>
              <w:tc>
                <w:tcPr>
                  <w:tcW w:w="1276" w:type="dxa"/>
                  <w:vAlign w:val="center"/>
                </w:tcPr>
                <w:p w14:paraId="3DC292F4">
                  <w:pPr>
                    <w:adjustRightInd/>
                    <w:snapToGrid/>
                    <w:spacing w:line="240" w:lineRule="auto"/>
                    <w:ind w:firstLine="0" w:firstLineChars="0"/>
                    <w:jc w:val="center"/>
                    <w:rPr>
                      <w:bCs/>
                      <w:color w:val="auto"/>
                      <w:kern w:val="0"/>
                      <w:sz w:val="22"/>
                      <w:szCs w:val="22"/>
                    </w:rPr>
                  </w:pPr>
                  <w:r>
                    <w:rPr>
                      <w:bCs/>
                      <w:color w:val="auto"/>
                      <w:kern w:val="0"/>
                      <w:sz w:val="22"/>
                      <w:szCs w:val="22"/>
                    </w:rPr>
                    <w:t>30</w:t>
                  </w:r>
                </w:p>
              </w:tc>
              <w:tc>
                <w:tcPr>
                  <w:tcW w:w="1671" w:type="dxa"/>
                  <w:vAlign w:val="center"/>
                </w:tcPr>
                <w:p w14:paraId="6C8C7035">
                  <w:pPr>
                    <w:adjustRightInd/>
                    <w:snapToGrid/>
                    <w:spacing w:line="240" w:lineRule="auto"/>
                    <w:ind w:firstLine="0" w:firstLineChars="0"/>
                    <w:jc w:val="center"/>
                    <w:rPr>
                      <w:bCs/>
                      <w:color w:val="auto"/>
                      <w:kern w:val="0"/>
                      <w:sz w:val="22"/>
                      <w:szCs w:val="22"/>
                    </w:rPr>
                  </w:pPr>
                  <w:r>
                    <w:rPr>
                      <w:bCs/>
                      <w:color w:val="auto"/>
                      <w:kern w:val="0"/>
                      <w:sz w:val="22"/>
                      <w:szCs w:val="22"/>
                    </w:rPr>
                    <w:t>30</w:t>
                  </w:r>
                </w:p>
              </w:tc>
              <w:tc>
                <w:tcPr>
                  <w:tcW w:w="1705" w:type="dxa"/>
                  <w:vAlign w:val="center"/>
                </w:tcPr>
                <w:p w14:paraId="62B98BBA">
                  <w:pPr>
                    <w:adjustRightInd/>
                    <w:snapToGrid/>
                    <w:spacing w:line="240" w:lineRule="auto"/>
                    <w:ind w:firstLine="0" w:firstLineChars="0"/>
                    <w:jc w:val="center"/>
                    <w:rPr>
                      <w:bCs/>
                      <w:color w:val="auto"/>
                      <w:kern w:val="0"/>
                      <w:sz w:val="22"/>
                      <w:szCs w:val="22"/>
                    </w:rPr>
                  </w:pPr>
                  <w:r>
                    <w:rPr>
                      <w:bCs/>
                      <w:color w:val="auto"/>
                      <w:kern w:val="0"/>
                      <w:sz w:val="22"/>
                      <w:szCs w:val="22"/>
                    </w:rPr>
                    <w:t>25</w:t>
                  </w:r>
                </w:p>
              </w:tc>
              <w:tc>
                <w:tcPr>
                  <w:tcW w:w="1303" w:type="dxa"/>
                  <w:vAlign w:val="center"/>
                </w:tcPr>
                <w:p w14:paraId="03323CC2">
                  <w:pPr>
                    <w:adjustRightInd/>
                    <w:snapToGrid/>
                    <w:spacing w:line="240" w:lineRule="auto"/>
                    <w:ind w:firstLine="0" w:firstLineChars="0"/>
                    <w:jc w:val="center"/>
                    <w:rPr>
                      <w:bCs/>
                      <w:color w:val="auto"/>
                      <w:kern w:val="0"/>
                      <w:sz w:val="22"/>
                      <w:szCs w:val="22"/>
                    </w:rPr>
                  </w:pPr>
                  <w:r>
                    <w:rPr>
                      <w:bCs/>
                      <w:color w:val="auto"/>
                      <w:kern w:val="0"/>
                      <w:sz w:val="22"/>
                      <w:szCs w:val="22"/>
                    </w:rPr>
                    <w:t>20</w:t>
                  </w:r>
                </w:p>
              </w:tc>
            </w:tr>
            <w:tr w14:paraId="6513F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775" w:type="dxa"/>
                  <w:vMerge w:val="continue"/>
                  <w:vAlign w:val="center"/>
                </w:tcPr>
                <w:p w14:paraId="0B3359FB">
                  <w:pPr>
                    <w:adjustRightInd/>
                    <w:snapToGrid/>
                    <w:spacing w:line="240" w:lineRule="auto"/>
                    <w:ind w:firstLine="0" w:firstLineChars="0"/>
                    <w:jc w:val="center"/>
                    <w:rPr>
                      <w:bCs/>
                      <w:color w:val="auto"/>
                      <w:kern w:val="0"/>
                      <w:sz w:val="22"/>
                      <w:szCs w:val="22"/>
                    </w:rPr>
                  </w:pPr>
                </w:p>
              </w:tc>
              <w:tc>
                <w:tcPr>
                  <w:tcW w:w="809" w:type="dxa"/>
                  <w:vMerge w:val="continue"/>
                  <w:vAlign w:val="center"/>
                </w:tcPr>
                <w:p w14:paraId="4C0FA06A">
                  <w:pPr>
                    <w:adjustRightInd/>
                    <w:snapToGrid/>
                    <w:spacing w:line="240" w:lineRule="auto"/>
                    <w:ind w:firstLine="0" w:firstLineChars="0"/>
                    <w:jc w:val="center"/>
                    <w:rPr>
                      <w:bCs/>
                      <w:color w:val="auto"/>
                      <w:kern w:val="0"/>
                      <w:sz w:val="22"/>
                      <w:szCs w:val="22"/>
                    </w:rPr>
                  </w:pPr>
                </w:p>
              </w:tc>
              <w:tc>
                <w:tcPr>
                  <w:tcW w:w="1169" w:type="dxa"/>
                  <w:vAlign w:val="center"/>
                </w:tcPr>
                <w:p w14:paraId="0E89DF1F">
                  <w:pPr>
                    <w:adjustRightInd/>
                    <w:snapToGrid/>
                    <w:spacing w:line="240" w:lineRule="auto"/>
                    <w:ind w:firstLine="0" w:firstLineChars="0"/>
                    <w:jc w:val="center"/>
                    <w:rPr>
                      <w:bCs/>
                      <w:color w:val="auto"/>
                      <w:kern w:val="0"/>
                      <w:sz w:val="22"/>
                      <w:szCs w:val="22"/>
                    </w:rPr>
                  </w:pPr>
                  <w:r>
                    <w:rPr>
                      <w:bCs/>
                      <w:color w:val="auto"/>
                      <w:kern w:val="0"/>
                      <w:sz w:val="22"/>
                      <w:szCs w:val="22"/>
                    </w:rPr>
                    <w:t>其他</w:t>
                  </w:r>
                </w:p>
              </w:tc>
              <w:tc>
                <w:tcPr>
                  <w:tcW w:w="1276" w:type="dxa"/>
                  <w:vAlign w:val="center"/>
                </w:tcPr>
                <w:p w14:paraId="5A416F38">
                  <w:pPr>
                    <w:adjustRightInd/>
                    <w:snapToGrid/>
                    <w:spacing w:line="240" w:lineRule="auto"/>
                    <w:ind w:firstLine="0" w:firstLineChars="0"/>
                    <w:jc w:val="center"/>
                    <w:rPr>
                      <w:bCs/>
                      <w:color w:val="auto"/>
                      <w:kern w:val="0"/>
                      <w:sz w:val="22"/>
                      <w:szCs w:val="22"/>
                    </w:rPr>
                  </w:pPr>
                  <w:r>
                    <w:rPr>
                      <w:bCs/>
                      <w:color w:val="auto"/>
                      <w:kern w:val="0"/>
                      <w:sz w:val="22"/>
                      <w:szCs w:val="22"/>
                    </w:rPr>
                    <w:t>40</w:t>
                  </w:r>
                </w:p>
              </w:tc>
              <w:tc>
                <w:tcPr>
                  <w:tcW w:w="1671" w:type="dxa"/>
                  <w:vAlign w:val="center"/>
                </w:tcPr>
                <w:p w14:paraId="1B5491B6">
                  <w:pPr>
                    <w:adjustRightInd/>
                    <w:snapToGrid/>
                    <w:spacing w:line="240" w:lineRule="auto"/>
                    <w:ind w:firstLine="0" w:firstLineChars="0"/>
                    <w:jc w:val="center"/>
                    <w:rPr>
                      <w:bCs/>
                      <w:color w:val="auto"/>
                      <w:kern w:val="0"/>
                      <w:sz w:val="22"/>
                      <w:szCs w:val="22"/>
                    </w:rPr>
                  </w:pPr>
                  <w:r>
                    <w:rPr>
                      <w:bCs/>
                      <w:color w:val="auto"/>
                      <w:kern w:val="0"/>
                      <w:sz w:val="22"/>
                      <w:szCs w:val="22"/>
                    </w:rPr>
                    <w:t>40</w:t>
                  </w:r>
                </w:p>
              </w:tc>
              <w:tc>
                <w:tcPr>
                  <w:tcW w:w="1705" w:type="dxa"/>
                  <w:vAlign w:val="center"/>
                </w:tcPr>
                <w:p w14:paraId="1666A8D8">
                  <w:pPr>
                    <w:adjustRightInd/>
                    <w:snapToGrid/>
                    <w:spacing w:line="240" w:lineRule="auto"/>
                    <w:ind w:firstLine="0" w:firstLineChars="0"/>
                    <w:jc w:val="center"/>
                    <w:rPr>
                      <w:bCs/>
                      <w:color w:val="auto"/>
                      <w:kern w:val="0"/>
                      <w:sz w:val="22"/>
                      <w:szCs w:val="22"/>
                    </w:rPr>
                  </w:pPr>
                  <w:r>
                    <w:rPr>
                      <w:bCs/>
                      <w:color w:val="auto"/>
                      <w:kern w:val="0"/>
                      <w:sz w:val="22"/>
                      <w:szCs w:val="22"/>
                    </w:rPr>
                    <w:t>30</w:t>
                  </w:r>
                </w:p>
              </w:tc>
              <w:tc>
                <w:tcPr>
                  <w:tcW w:w="1303" w:type="dxa"/>
                  <w:vAlign w:val="center"/>
                </w:tcPr>
                <w:p w14:paraId="7B682302">
                  <w:pPr>
                    <w:adjustRightInd/>
                    <w:snapToGrid/>
                    <w:spacing w:line="240" w:lineRule="auto"/>
                    <w:ind w:firstLine="0" w:firstLineChars="0"/>
                    <w:jc w:val="center"/>
                    <w:rPr>
                      <w:bCs/>
                      <w:color w:val="auto"/>
                      <w:kern w:val="0"/>
                      <w:sz w:val="22"/>
                      <w:szCs w:val="22"/>
                    </w:rPr>
                  </w:pPr>
                  <w:r>
                    <w:rPr>
                      <w:bCs/>
                      <w:color w:val="auto"/>
                      <w:kern w:val="0"/>
                      <w:sz w:val="22"/>
                      <w:szCs w:val="22"/>
                    </w:rPr>
                    <w:t>25</w:t>
                  </w:r>
                </w:p>
              </w:tc>
            </w:tr>
            <w:tr w14:paraId="723402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4A8EA2BA">
                  <w:pPr>
                    <w:adjustRightInd/>
                    <w:snapToGrid/>
                    <w:spacing w:line="240" w:lineRule="auto"/>
                    <w:ind w:firstLine="0" w:firstLineChars="0"/>
                    <w:jc w:val="center"/>
                    <w:rPr>
                      <w:bCs/>
                      <w:color w:val="auto"/>
                      <w:kern w:val="0"/>
                      <w:sz w:val="22"/>
                      <w:szCs w:val="22"/>
                    </w:rPr>
                  </w:pPr>
                  <w:r>
                    <w:rPr>
                      <w:bCs/>
                      <w:color w:val="auto"/>
                      <w:kern w:val="0"/>
                      <w:sz w:val="22"/>
                      <w:szCs w:val="22"/>
                    </w:rPr>
                    <w:t>4</w:t>
                  </w:r>
                </w:p>
              </w:tc>
              <w:tc>
                <w:tcPr>
                  <w:tcW w:w="809" w:type="dxa"/>
                  <w:vMerge w:val="restart"/>
                  <w:vAlign w:val="center"/>
                </w:tcPr>
                <w:p w14:paraId="5D0595BB">
                  <w:pPr>
                    <w:adjustRightInd/>
                    <w:snapToGrid/>
                    <w:spacing w:line="240" w:lineRule="auto"/>
                    <w:ind w:firstLine="0" w:firstLineChars="0"/>
                    <w:jc w:val="center"/>
                    <w:rPr>
                      <w:bCs/>
                      <w:color w:val="auto"/>
                      <w:kern w:val="0"/>
                      <w:sz w:val="22"/>
                      <w:szCs w:val="22"/>
                    </w:rPr>
                  </w:pPr>
                  <w:r>
                    <w:rPr>
                      <w:bCs/>
                      <w:color w:val="auto"/>
                      <w:kern w:val="0"/>
                      <w:sz w:val="22"/>
                      <w:szCs w:val="22"/>
                    </w:rPr>
                    <w:t>铅</w:t>
                  </w:r>
                </w:p>
              </w:tc>
              <w:tc>
                <w:tcPr>
                  <w:tcW w:w="1169" w:type="dxa"/>
                  <w:vAlign w:val="center"/>
                </w:tcPr>
                <w:p w14:paraId="3A4E10CF">
                  <w:pPr>
                    <w:adjustRightInd/>
                    <w:snapToGrid/>
                    <w:spacing w:line="240" w:lineRule="auto"/>
                    <w:ind w:firstLine="0" w:firstLineChars="0"/>
                    <w:jc w:val="center"/>
                    <w:rPr>
                      <w:bCs/>
                      <w:color w:val="auto"/>
                      <w:kern w:val="0"/>
                      <w:sz w:val="22"/>
                      <w:szCs w:val="22"/>
                    </w:rPr>
                  </w:pPr>
                  <w:r>
                    <w:rPr>
                      <w:bCs/>
                      <w:color w:val="auto"/>
                      <w:kern w:val="0"/>
                      <w:sz w:val="22"/>
                      <w:szCs w:val="22"/>
                    </w:rPr>
                    <w:t>水田</w:t>
                  </w:r>
                </w:p>
              </w:tc>
              <w:tc>
                <w:tcPr>
                  <w:tcW w:w="1276" w:type="dxa"/>
                  <w:vAlign w:val="center"/>
                </w:tcPr>
                <w:p w14:paraId="5FE7A1ED">
                  <w:pPr>
                    <w:adjustRightInd/>
                    <w:snapToGrid/>
                    <w:spacing w:line="240" w:lineRule="auto"/>
                    <w:ind w:firstLine="0" w:firstLineChars="0"/>
                    <w:jc w:val="center"/>
                    <w:rPr>
                      <w:bCs/>
                      <w:color w:val="auto"/>
                      <w:kern w:val="0"/>
                      <w:sz w:val="22"/>
                      <w:szCs w:val="22"/>
                    </w:rPr>
                  </w:pPr>
                  <w:r>
                    <w:rPr>
                      <w:bCs/>
                      <w:color w:val="auto"/>
                      <w:kern w:val="0"/>
                      <w:sz w:val="22"/>
                      <w:szCs w:val="22"/>
                    </w:rPr>
                    <w:t>80</w:t>
                  </w:r>
                </w:p>
              </w:tc>
              <w:tc>
                <w:tcPr>
                  <w:tcW w:w="1671" w:type="dxa"/>
                  <w:vAlign w:val="center"/>
                </w:tcPr>
                <w:p w14:paraId="543BDAF0">
                  <w:pPr>
                    <w:adjustRightInd/>
                    <w:snapToGrid/>
                    <w:spacing w:line="240" w:lineRule="auto"/>
                    <w:ind w:firstLine="0" w:firstLineChars="0"/>
                    <w:jc w:val="center"/>
                    <w:rPr>
                      <w:bCs/>
                      <w:color w:val="auto"/>
                      <w:kern w:val="0"/>
                      <w:sz w:val="22"/>
                      <w:szCs w:val="22"/>
                    </w:rPr>
                  </w:pPr>
                  <w:r>
                    <w:rPr>
                      <w:bCs/>
                      <w:color w:val="auto"/>
                      <w:kern w:val="0"/>
                      <w:sz w:val="22"/>
                      <w:szCs w:val="22"/>
                    </w:rPr>
                    <w:t>100</w:t>
                  </w:r>
                </w:p>
              </w:tc>
              <w:tc>
                <w:tcPr>
                  <w:tcW w:w="1705" w:type="dxa"/>
                  <w:vAlign w:val="center"/>
                </w:tcPr>
                <w:p w14:paraId="174AFADD">
                  <w:pPr>
                    <w:adjustRightInd/>
                    <w:snapToGrid/>
                    <w:spacing w:line="240" w:lineRule="auto"/>
                    <w:ind w:firstLine="0" w:firstLineChars="0"/>
                    <w:jc w:val="center"/>
                    <w:rPr>
                      <w:bCs/>
                      <w:color w:val="auto"/>
                      <w:kern w:val="0"/>
                      <w:sz w:val="22"/>
                      <w:szCs w:val="22"/>
                    </w:rPr>
                  </w:pPr>
                  <w:r>
                    <w:rPr>
                      <w:bCs/>
                      <w:color w:val="auto"/>
                      <w:kern w:val="0"/>
                      <w:sz w:val="22"/>
                      <w:szCs w:val="22"/>
                    </w:rPr>
                    <w:t>140</w:t>
                  </w:r>
                </w:p>
              </w:tc>
              <w:tc>
                <w:tcPr>
                  <w:tcW w:w="1303" w:type="dxa"/>
                  <w:vAlign w:val="center"/>
                </w:tcPr>
                <w:p w14:paraId="3286A350">
                  <w:pPr>
                    <w:adjustRightInd/>
                    <w:snapToGrid/>
                    <w:spacing w:line="240" w:lineRule="auto"/>
                    <w:ind w:firstLine="0" w:firstLineChars="0"/>
                    <w:jc w:val="center"/>
                    <w:rPr>
                      <w:bCs/>
                      <w:color w:val="auto"/>
                      <w:kern w:val="0"/>
                      <w:sz w:val="22"/>
                      <w:szCs w:val="22"/>
                    </w:rPr>
                  </w:pPr>
                  <w:r>
                    <w:rPr>
                      <w:bCs/>
                      <w:color w:val="auto"/>
                      <w:kern w:val="0"/>
                      <w:sz w:val="22"/>
                      <w:szCs w:val="22"/>
                    </w:rPr>
                    <w:t>240</w:t>
                  </w:r>
                </w:p>
              </w:tc>
            </w:tr>
            <w:tr w14:paraId="35A708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continue"/>
                  <w:vAlign w:val="center"/>
                </w:tcPr>
                <w:p w14:paraId="50489CA2">
                  <w:pPr>
                    <w:adjustRightInd/>
                    <w:snapToGrid/>
                    <w:spacing w:line="240" w:lineRule="auto"/>
                    <w:ind w:firstLine="0" w:firstLineChars="0"/>
                    <w:jc w:val="center"/>
                    <w:rPr>
                      <w:bCs/>
                      <w:color w:val="auto"/>
                      <w:kern w:val="0"/>
                      <w:sz w:val="22"/>
                      <w:szCs w:val="22"/>
                    </w:rPr>
                  </w:pPr>
                </w:p>
              </w:tc>
              <w:tc>
                <w:tcPr>
                  <w:tcW w:w="809" w:type="dxa"/>
                  <w:vMerge w:val="continue"/>
                  <w:vAlign w:val="center"/>
                </w:tcPr>
                <w:p w14:paraId="0CADE545">
                  <w:pPr>
                    <w:adjustRightInd/>
                    <w:snapToGrid/>
                    <w:spacing w:line="240" w:lineRule="auto"/>
                    <w:ind w:firstLine="0" w:firstLineChars="0"/>
                    <w:jc w:val="center"/>
                    <w:rPr>
                      <w:bCs/>
                      <w:color w:val="auto"/>
                      <w:kern w:val="0"/>
                      <w:sz w:val="22"/>
                      <w:szCs w:val="22"/>
                    </w:rPr>
                  </w:pPr>
                </w:p>
              </w:tc>
              <w:tc>
                <w:tcPr>
                  <w:tcW w:w="1169" w:type="dxa"/>
                  <w:vAlign w:val="center"/>
                </w:tcPr>
                <w:p w14:paraId="0641498F">
                  <w:pPr>
                    <w:adjustRightInd/>
                    <w:snapToGrid/>
                    <w:spacing w:line="240" w:lineRule="auto"/>
                    <w:ind w:firstLine="0" w:firstLineChars="0"/>
                    <w:jc w:val="center"/>
                    <w:rPr>
                      <w:bCs/>
                      <w:color w:val="auto"/>
                      <w:kern w:val="0"/>
                      <w:sz w:val="22"/>
                      <w:szCs w:val="22"/>
                    </w:rPr>
                  </w:pPr>
                  <w:r>
                    <w:rPr>
                      <w:bCs/>
                      <w:color w:val="auto"/>
                      <w:kern w:val="0"/>
                      <w:sz w:val="22"/>
                      <w:szCs w:val="22"/>
                    </w:rPr>
                    <w:t>其他</w:t>
                  </w:r>
                </w:p>
              </w:tc>
              <w:tc>
                <w:tcPr>
                  <w:tcW w:w="1276" w:type="dxa"/>
                  <w:vAlign w:val="center"/>
                </w:tcPr>
                <w:p w14:paraId="11AF9CFD">
                  <w:pPr>
                    <w:adjustRightInd/>
                    <w:snapToGrid/>
                    <w:spacing w:line="240" w:lineRule="auto"/>
                    <w:ind w:firstLine="0" w:firstLineChars="0"/>
                    <w:jc w:val="center"/>
                    <w:rPr>
                      <w:bCs/>
                      <w:color w:val="auto"/>
                      <w:kern w:val="0"/>
                      <w:sz w:val="22"/>
                      <w:szCs w:val="22"/>
                    </w:rPr>
                  </w:pPr>
                  <w:r>
                    <w:rPr>
                      <w:bCs/>
                      <w:color w:val="auto"/>
                      <w:kern w:val="0"/>
                      <w:sz w:val="22"/>
                      <w:szCs w:val="22"/>
                    </w:rPr>
                    <w:t>70</w:t>
                  </w:r>
                </w:p>
              </w:tc>
              <w:tc>
                <w:tcPr>
                  <w:tcW w:w="1671" w:type="dxa"/>
                  <w:vAlign w:val="center"/>
                </w:tcPr>
                <w:p w14:paraId="19264591">
                  <w:pPr>
                    <w:adjustRightInd/>
                    <w:snapToGrid/>
                    <w:spacing w:line="240" w:lineRule="auto"/>
                    <w:ind w:firstLine="0" w:firstLineChars="0"/>
                    <w:jc w:val="center"/>
                    <w:rPr>
                      <w:bCs/>
                      <w:color w:val="auto"/>
                      <w:kern w:val="0"/>
                      <w:sz w:val="22"/>
                      <w:szCs w:val="22"/>
                    </w:rPr>
                  </w:pPr>
                  <w:r>
                    <w:rPr>
                      <w:bCs/>
                      <w:color w:val="auto"/>
                      <w:kern w:val="0"/>
                      <w:sz w:val="22"/>
                      <w:szCs w:val="22"/>
                    </w:rPr>
                    <w:t>90</w:t>
                  </w:r>
                </w:p>
              </w:tc>
              <w:tc>
                <w:tcPr>
                  <w:tcW w:w="1705" w:type="dxa"/>
                  <w:vAlign w:val="center"/>
                </w:tcPr>
                <w:p w14:paraId="6C47933B">
                  <w:pPr>
                    <w:adjustRightInd/>
                    <w:snapToGrid/>
                    <w:spacing w:line="240" w:lineRule="auto"/>
                    <w:ind w:firstLine="0" w:firstLineChars="0"/>
                    <w:jc w:val="center"/>
                    <w:rPr>
                      <w:bCs/>
                      <w:color w:val="auto"/>
                      <w:kern w:val="0"/>
                      <w:sz w:val="22"/>
                      <w:szCs w:val="22"/>
                    </w:rPr>
                  </w:pPr>
                  <w:r>
                    <w:rPr>
                      <w:bCs/>
                      <w:color w:val="auto"/>
                      <w:kern w:val="0"/>
                      <w:sz w:val="22"/>
                      <w:szCs w:val="22"/>
                    </w:rPr>
                    <w:t>120</w:t>
                  </w:r>
                </w:p>
              </w:tc>
              <w:tc>
                <w:tcPr>
                  <w:tcW w:w="1303" w:type="dxa"/>
                  <w:vAlign w:val="center"/>
                </w:tcPr>
                <w:p w14:paraId="10E82A2F">
                  <w:pPr>
                    <w:adjustRightInd/>
                    <w:snapToGrid/>
                    <w:spacing w:line="240" w:lineRule="auto"/>
                    <w:ind w:firstLine="0" w:firstLineChars="0"/>
                    <w:jc w:val="center"/>
                    <w:rPr>
                      <w:bCs/>
                      <w:color w:val="auto"/>
                      <w:kern w:val="0"/>
                      <w:sz w:val="22"/>
                      <w:szCs w:val="22"/>
                    </w:rPr>
                  </w:pPr>
                  <w:r>
                    <w:rPr>
                      <w:bCs/>
                      <w:color w:val="auto"/>
                      <w:kern w:val="0"/>
                      <w:sz w:val="22"/>
                      <w:szCs w:val="22"/>
                    </w:rPr>
                    <w:t>170</w:t>
                  </w:r>
                </w:p>
              </w:tc>
            </w:tr>
            <w:tr w14:paraId="3E4B70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63F7E571">
                  <w:pPr>
                    <w:adjustRightInd/>
                    <w:snapToGrid/>
                    <w:spacing w:line="240" w:lineRule="auto"/>
                    <w:ind w:firstLine="0" w:firstLineChars="0"/>
                    <w:jc w:val="center"/>
                    <w:rPr>
                      <w:bCs/>
                      <w:color w:val="auto"/>
                      <w:kern w:val="0"/>
                      <w:sz w:val="22"/>
                      <w:szCs w:val="22"/>
                    </w:rPr>
                  </w:pPr>
                  <w:r>
                    <w:rPr>
                      <w:bCs/>
                      <w:color w:val="auto"/>
                      <w:kern w:val="0"/>
                      <w:sz w:val="22"/>
                      <w:szCs w:val="22"/>
                    </w:rPr>
                    <w:t>5</w:t>
                  </w:r>
                </w:p>
              </w:tc>
              <w:tc>
                <w:tcPr>
                  <w:tcW w:w="809" w:type="dxa"/>
                  <w:vMerge w:val="restart"/>
                  <w:vAlign w:val="center"/>
                </w:tcPr>
                <w:p w14:paraId="382A1936">
                  <w:pPr>
                    <w:adjustRightInd/>
                    <w:snapToGrid/>
                    <w:spacing w:line="240" w:lineRule="auto"/>
                    <w:ind w:firstLine="0" w:firstLineChars="0"/>
                    <w:jc w:val="center"/>
                    <w:rPr>
                      <w:bCs/>
                      <w:color w:val="auto"/>
                      <w:kern w:val="0"/>
                      <w:sz w:val="22"/>
                      <w:szCs w:val="22"/>
                    </w:rPr>
                  </w:pPr>
                  <w:r>
                    <w:rPr>
                      <w:bCs/>
                      <w:color w:val="auto"/>
                      <w:kern w:val="0"/>
                      <w:sz w:val="22"/>
                      <w:szCs w:val="22"/>
                    </w:rPr>
                    <w:t>铬</w:t>
                  </w:r>
                </w:p>
              </w:tc>
              <w:tc>
                <w:tcPr>
                  <w:tcW w:w="1169" w:type="dxa"/>
                  <w:vAlign w:val="center"/>
                </w:tcPr>
                <w:p w14:paraId="4215FB71">
                  <w:pPr>
                    <w:adjustRightInd/>
                    <w:snapToGrid/>
                    <w:spacing w:line="240" w:lineRule="auto"/>
                    <w:ind w:firstLine="0" w:firstLineChars="0"/>
                    <w:jc w:val="center"/>
                    <w:rPr>
                      <w:bCs/>
                      <w:color w:val="auto"/>
                      <w:kern w:val="0"/>
                      <w:sz w:val="22"/>
                      <w:szCs w:val="22"/>
                    </w:rPr>
                  </w:pPr>
                  <w:r>
                    <w:rPr>
                      <w:bCs/>
                      <w:color w:val="auto"/>
                      <w:kern w:val="0"/>
                      <w:sz w:val="22"/>
                      <w:szCs w:val="22"/>
                    </w:rPr>
                    <w:t>水田</w:t>
                  </w:r>
                </w:p>
              </w:tc>
              <w:tc>
                <w:tcPr>
                  <w:tcW w:w="1276" w:type="dxa"/>
                  <w:vAlign w:val="center"/>
                </w:tcPr>
                <w:p w14:paraId="605BFB2F">
                  <w:pPr>
                    <w:adjustRightInd/>
                    <w:snapToGrid/>
                    <w:spacing w:line="240" w:lineRule="auto"/>
                    <w:ind w:firstLine="0" w:firstLineChars="0"/>
                    <w:jc w:val="center"/>
                    <w:rPr>
                      <w:bCs/>
                      <w:color w:val="auto"/>
                      <w:kern w:val="0"/>
                      <w:sz w:val="22"/>
                      <w:szCs w:val="22"/>
                    </w:rPr>
                  </w:pPr>
                  <w:r>
                    <w:rPr>
                      <w:bCs/>
                      <w:color w:val="auto"/>
                      <w:kern w:val="0"/>
                      <w:sz w:val="22"/>
                      <w:szCs w:val="22"/>
                    </w:rPr>
                    <w:t>250</w:t>
                  </w:r>
                </w:p>
              </w:tc>
              <w:tc>
                <w:tcPr>
                  <w:tcW w:w="1671" w:type="dxa"/>
                  <w:vAlign w:val="center"/>
                </w:tcPr>
                <w:p w14:paraId="43C031CF">
                  <w:pPr>
                    <w:adjustRightInd/>
                    <w:snapToGrid/>
                    <w:spacing w:line="240" w:lineRule="auto"/>
                    <w:ind w:firstLine="0" w:firstLineChars="0"/>
                    <w:jc w:val="center"/>
                    <w:rPr>
                      <w:bCs/>
                      <w:color w:val="auto"/>
                      <w:kern w:val="0"/>
                      <w:sz w:val="22"/>
                      <w:szCs w:val="22"/>
                    </w:rPr>
                  </w:pPr>
                  <w:r>
                    <w:rPr>
                      <w:bCs/>
                      <w:color w:val="auto"/>
                      <w:kern w:val="0"/>
                      <w:sz w:val="22"/>
                      <w:szCs w:val="22"/>
                    </w:rPr>
                    <w:t>250</w:t>
                  </w:r>
                </w:p>
              </w:tc>
              <w:tc>
                <w:tcPr>
                  <w:tcW w:w="1705" w:type="dxa"/>
                  <w:vAlign w:val="center"/>
                </w:tcPr>
                <w:p w14:paraId="3F43B614">
                  <w:pPr>
                    <w:adjustRightInd/>
                    <w:snapToGrid/>
                    <w:spacing w:line="240" w:lineRule="auto"/>
                    <w:ind w:firstLine="0" w:firstLineChars="0"/>
                    <w:jc w:val="center"/>
                    <w:rPr>
                      <w:bCs/>
                      <w:color w:val="auto"/>
                      <w:kern w:val="0"/>
                      <w:sz w:val="22"/>
                      <w:szCs w:val="22"/>
                    </w:rPr>
                  </w:pPr>
                  <w:r>
                    <w:rPr>
                      <w:bCs/>
                      <w:color w:val="auto"/>
                      <w:kern w:val="0"/>
                      <w:sz w:val="22"/>
                      <w:szCs w:val="22"/>
                    </w:rPr>
                    <w:t>300</w:t>
                  </w:r>
                </w:p>
              </w:tc>
              <w:tc>
                <w:tcPr>
                  <w:tcW w:w="1303" w:type="dxa"/>
                  <w:vAlign w:val="center"/>
                </w:tcPr>
                <w:p w14:paraId="23ACFBFA">
                  <w:pPr>
                    <w:adjustRightInd/>
                    <w:snapToGrid/>
                    <w:spacing w:line="240" w:lineRule="auto"/>
                    <w:ind w:firstLine="0" w:firstLineChars="0"/>
                    <w:jc w:val="center"/>
                    <w:rPr>
                      <w:bCs/>
                      <w:color w:val="auto"/>
                      <w:kern w:val="0"/>
                      <w:sz w:val="22"/>
                      <w:szCs w:val="22"/>
                    </w:rPr>
                  </w:pPr>
                  <w:r>
                    <w:rPr>
                      <w:bCs/>
                      <w:color w:val="auto"/>
                      <w:kern w:val="0"/>
                      <w:sz w:val="22"/>
                      <w:szCs w:val="22"/>
                    </w:rPr>
                    <w:t>350</w:t>
                  </w:r>
                </w:p>
              </w:tc>
            </w:tr>
            <w:tr w14:paraId="2ED65A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775" w:type="dxa"/>
                  <w:vMerge w:val="continue"/>
                  <w:vAlign w:val="center"/>
                </w:tcPr>
                <w:p w14:paraId="6F1762F7">
                  <w:pPr>
                    <w:adjustRightInd/>
                    <w:snapToGrid/>
                    <w:spacing w:line="240" w:lineRule="auto"/>
                    <w:ind w:firstLine="0" w:firstLineChars="0"/>
                    <w:jc w:val="center"/>
                    <w:rPr>
                      <w:bCs/>
                      <w:color w:val="auto"/>
                      <w:kern w:val="0"/>
                      <w:sz w:val="22"/>
                      <w:szCs w:val="22"/>
                    </w:rPr>
                  </w:pPr>
                </w:p>
              </w:tc>
              <w:tc>
                <w:tcPr>
                  <w:tcW w:w="809" w:type="dxa"/>
                  <w:vMerge w:val="continue"/>
                  <w:vAlign w:val="center"/>
                </w:tcPr>
                <w:p w14:paraId="6F3C844E">
                  <w:pPr>
                    <w:adjustRightInd/>
                    <w:snapToGrid/>
                    <w:spacing w:line="240" w:lineRule="auto"/>
                    <w:ind w:firstLine="0" w:firstLineChars="0"/>
                    <w:jc w:val="center"/>
                    <w:rPr>
                      <w:bCs/>
                      <w:color w:val="auto"/>
                      <w:kern w:val="0"/>
                      <w:sz w:val="22"/>
                      <w:szCs w:val="22"/>
                    </w:rPr>
                  </w:pPr>
                </w:p>
              </w:tc>
              <w:tc>
                <w:tcPr>
                  <w:tcW w:w="1169" w:type="dxa"/>
                  <w:vAlign w:val="center"/>
                </w:tcPr>
                <w:p w14:paraId="7FAC97CC">
                  <w:pPr>
                    <w:adjustRightInd/>
                    <w:snapToGrid/>
                    <w:spacing w:line="240" w:lineRule="auto"/>
                    <w:ind w:firstLine="0" w:firstLineChars="0"/>
                    <w:jc w:val="center"/>
                    <w:rPr>
                      <w:bCs/>
                      <w:color w:val="auto"/>
                      <w:kern w:val="0"/>
                      <w:sz w:val="22"/>
                      <w:szCs w:val="22"/>
                    </w:rPr>
                  </w:pPr>
                  <w:r>
                    <w:rPr>
                      <w:bCs/>
                      <w:color w:val="auto"/>
                      <w:kern w:val="0"/>
                      <w:sz w:val="22"/>
                      <w:szCs w:val="22"/>
                    </w:rPr>
                    <w:t>其他</w:t>
                  </w:r>
                </w:p>
              </w:tc>
              <w:tc>
                <w:tcPr>
                  <w:tcW w:w="1276" w:type="dxa"/>
                  <w:vAlign w:val="center"/>
                </w:tcPr>
                <w:p w14:paraId="1B4869DE">
                  <w:pPr>
                    <w:adjustRightInd/>
                    <w:snapToGrid/>
                    <w:spacing w:line="240" w:lineRule="auto"/>
                    <w:ind w:firstLine="0" w:firstLineChars="0"/>
                    <w:jc w:val="center"/>
                    <w:rPr>
                      <w:bCs/>
                      <w:color w:val="auto"/>
                      <w:kern w:val="0"/>
                      <w:sz w:val="22"/>
                      <w:szCs w:val="22"/>
                    </w:rPr>
                  </w:pPr>
                  <w:r>
                    <w:rPr>
                      <w:bCs/>
                      <w:color w:val="auto"/>
                      <w:kern w:val="0"/>
                      <w:sz w:val="22"/>
                      <w:szCs w:val="22"/>
                    </w:rPr>
                    <w:t>150</w:t>
                  </w:r>
                </w:p>
              </w:tc>
              <w:tc>
                <w:tcPr>
                  <w:tcW w:w="1671" w:type="dxa"/>
                  <w:vAlign w:val="center"/>
                </w:tcPr>
                <w:p w14:paraId="44122DC2">
                  <w:pPr>
                    <w:adjustRightInd/>
                    <w:snapToGrid/>
                    <w:spacing w:line="240" w:lineRule="auto"/>
                    <w:ind w:firstLine="0" w:firstLineChars="0"/>
                    <w:jc w:val="center"/>
                    <w:rPr>
                      <w:bCs/>
                      <w:color w:val="auto"/>
                      <w:kern w:val="0"/>
                      <w:sz w:val="22"/>
                      <w:szCs w:val="22"/>
                    </w:rPr>
                  </w:pPr>
                  <w:r>
                    <w:rPr>
                      <w:bCs/>
                      <w:color w:val="auto"/>
                      <w:kern w:val="0"/>
                      <w:sz w:val="22"/>
                      <w:szCs w:val="22"/>
                    </w:rPr>
                    <w:t>150</w:t>
                  </w:r>
                </w:p>
              </w:tc>
              <w:tc>
                <w:tcPr>
                  <w:tcW w:w="1705" w:type="dxa"/>
                  <w:vAlign w:val="center"/>
                </w:tcPr>
                <w:p w14:paraId="08724997">
                  <w:pPr>
                    <w:adjustRightInd/>
                    <w:snapToGrid/>
                    <w:spacing w:line="240" w:lineRule="auto"/>
                    <w:ind w:firstLine="0" w:firstLineChars="0"/>
                    <w:jc w:val="center"/>
                    <w:rPr>
                      <w:bCs/>
                      <w:color w:val="auto"/>
                      <w:kern w:val="0"/>
                      <w:sz w:val="22"/>
                      <w:szCs w:val="22"/>
                    </w:rPr>
                  </w:pPr>
                  <w:r>
                    <w:rPr>
                      <w:bCs/>
                      <w:color w:val="auto"/>
                      <w:kern w:val="0"/>
                      <w:sz w:val="22"/>
                      <w:szCs w:val="22"/>
                    </w:rPr>
                    <w:t>200</w:t>
                  </w:r>
                </w:p>
              </w:tc>
              <w:tc>
                <w:tcPr>
                  <w:tcW w:w="1303" w:type="dxa"/>
                  <w:vAlign w:val="center"/>
                </w:tcPr>
                <w:p w14:paraId="237DDEBA">
                  <w:pPr>
                    <w:adjustRightInd/>
                    <w:snapToGrid/>
                    <w:spacing w:line="240" w:lineRule="auto"/>
                    <w:ind w:firstLine="0" w:firstLineChars="0"/>
                    <w:jc w:val="center"/>
                    <w:rPr>
                      <w:bCs/>
                      <w:color w:val="auto"/>
                      <w:kern w:val="0"/>
                      <w:sz w:val="22"/>
                      <w:szCs w:val="22"/>
                    </w:rPr>
                  </w:pPr>
                  <w:r>
                    <w:rPr>
                      <w:bCs/>
                      <w:color w:val="auto"/>
                      <w:kern w:val="0"/>
                      <w:sz w:val="22"/>
                      <w:szCs w:val="22"/>
                    </w:rPr>
                    <w:t>250</w:t>
                  </w:r>
                </w:p>
              </w:tc>
            </w:tr>
            <w:tr w14:paraId="14D46D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restart"/>
                  <w:vAlign w:val="center"/>
                </w:tcPr>
                <w:p w14:paraId="7050B9BD">
                  <w:pPr>
                    <w:adjustRightInd/>
                    <w:snapToGrid/>
                    <w:spacing w:line="240" w:lineRule="auto"/>
                    <w:ind w:firstLine="0" w:firstLineChars="0"/>
                    <w:jc w:val="center"/>
                    <w:rPr>
                      <w:bCs/>
                      <w:color w:val="auto"/>
                      <w:kern w:val="0"/>
                      <w:sz w:val="22"/>
                      <w:szCs w:val="22"/>
                    </w:rPr>
                  </w:pPr>
                  <w:r>
                    <w:rPr>
                      <w:bCs/>
                      <w:color w:val="auto"/>
                      <w:kern w:val="0"/>
                      <w:sz w:val="22"/>
                      <w:szCs w:val="22"/>
                    </w:rPr>
                    <w:t>6</w:t>
                  </w:r>
                </w:p>
              </w:tc>
              <w:tc>
                <w:tcPr>
                  <w:tcW w:w="809" w:type="dxa"/>
                  <w:vMerge w:val="restart"/>
                  <w:vAlign w:val="center"/>
                </w:tcPr>
                <w:p w14:paraId="63F270DC">
                  <w:pPr>
                    <w:adjustRightInd/>
                    <w:snapToGrid/>
                    <w:spacing w:line="240" w:lineRule="auto"/>
                    <w:ind w:firstLine="0" w:firstLineChars="0"/>
                    <w:jc w:val="center"/>
                    <w:rPr>
                      <w:bCs/>
                      <w:color w:val="auto"/>
                      <w:kern w:val="0"/>
                      <w:sz w:val="22"/>
                      <w:szCs w:val="22"/>
                    </w:rPr>
                  </w:pPr>
                  <w:r>
                    <w:rPr>
                      <w:bCs/>
                      <w:color w:val="auto"/>
                      <w:kern w:val="0"/>
                      <w:sz w:val="22"/>
                      <w:szCs w:val="22"/>
                    </w:rPr>
                    <w:t>铜</w:t>
                  </w:r>
                </w:p>
              </w:tc>
              <w:tc>
                <w:tcPr>
                  <w:tcW w:w="1169" w:type="dxa"/>
                  <w:vAlign w:val="center"/>
                </w:tcPr>
                <w:p w14:paraId="66E082A8">
                  <w:pPr>
                    <w:adjustRightInd/>
                    <w:snapToGrid/>
                    <w:spacing w:line="240" w:lineRule="auto"/>
                    <w:ind w:firstLine="0" w:firstLineChars="0"/>
                    <w:jc w:val="center"/>
                    <w:rPr>
                      <w:bCs/>
                      <w:color w:val="auto"/>
                      <w:kern w:val="0"/>
                      <w:sz w:val="22"/>
                      <w:szCs w:val="22"/>
                    </w:rPr>
                  </w:pPr>
                  <w:r>
                    <w:rPr>
                      <w:bCs/>
                      <w:color w:val="auto"/>
                      <w:kern w:val="0"/>
                      <w:sz w:val="22"/>
                      <w:szCs w:val="22"/>
                    </w:rPr>
                    <w:t>水田</w:t>
                  </w:r>
                </w:p>
              </w:tc>
              <w:tc>
                <w:tcPr>
                  <w:tcW w:w="1276" w:type="dxa"/>
                  <w:vAlign w:val="center"/>
                </w:tcPr>
                <w:p w14:paraId="4E0165F6">
                  <w:pPr>
                    <w:adjustRightInd/>
                    <w:snapToGrid/>
                    <w:spacing w:line="240" w:lineRule="auto"/>
                    <w:ind w:firstLine="0" w:firstLineChars="0"/>
                    <w:jc w:val="center"/>
                    <w:rPr>
                      <w:bCs/>
                      <w:color w:val="auto"/>
                      <w:kern w:val="0"/>
                      <w:sz w:val="22"/>
                      <w:szCs w:val="22"/>
                    </w:rPr>
                  </w:pPr>
                  <w:r>
                    <w:rPr>
                      <w:bCs/>
                      <w:color w:val="auto"/>
                      <w:kern w:val="0"/>
                      <w:sz w:val="22"/>
                      <w:szCs w:val="22"/>
                    </w:rPr>
                    <w:t>150</w:t>
                  </w:r>
                </w:p>
              </w:tc>
              <w:tc>
                <w:tcPr>
                  <w:tcW w:w="1671" w:type="dxa"/>
                  <w:vAlign w:val="center"/>
                </w:tcPr>
                <w:p w14:paraId="26B15CAB">
                  <w:pPr>
                    <w:adjustRightInd/>
                    <w:snapToGrid/>
                    <w:spacing w:line="240" w:lineRule="auto"/>
                    <w:ind w:firstLine="0" w:firstLineChars="0"/>
                    <w:jc w:val="center"/>
                    <w:rPr>
                      <w:bCs/>
                      <w:color w:val="auto"/>
                      <w:kern w:val="0"/>
                      <w:sz w:val="22"/>
                      <w:szCs w:val="22"/>
                    </w:rPr>
                  </w:pPr>
                  <w:r>
                    <w:rPr>
                      <w:bCs/>
                      <w:color w:val="auto"/>
                      <w:kern w:val="0"/>
                      <w:sz w:val="22"/>
                      <w:szCs w:val="22"/>
                    </w:rPr>
                    <w:t>150</w:t>
                  </w:r>
                </w:p>
              </w:tc>
              <w:tc>
                <w:tcPr>
                  <w:tcW w:w="1705" w:type="dxa"/>
                  <w:vAlign w:val="center"/>
                </w:tcPr>
                <w:p w14:paraId="7D3CDED7">
                  <w:pPr>
                    <w:adjustRightInd/>
                    <w:snapToGrid/>
                    <w:spacing w:line="240" w:lineRule="auto"/>
                    <w:ind w:firstLine="0" w:firstLineChars="0"/>
                    <w:jc w:val="center"/>
                    <w:rPr>
                      <w:bCs/>
                      <w:color w:val="auto"/>
                      <w:kern w:val="0"/>
                      <w:sz w:val="22"/>
                      <w:szCs w:val="22"/>
                    </w:rPr>
                  </w:pPr>
                  <w:r>
                    <w:rPr>
                      <w:bCs/>
                      <w:color w:val="auto"/>
                      <w:kern w:val="0"/>
                      <w:sz w:val="22"/>
                      <w:szCs w:val="22"/>
                    </w:rPr>
                    <w:t>200</w:t>
                  </w:r>
                </w:p>
              </w:tc>
              <w:tc>
                <w:tcPr>
                  <w:tcW w:w="1303" w:type="dxa"/>
                  <w:vAlign w:val="center"/>
                </w:tcPr>
                <w:p w14:paraId="233DCC54">
                  <w:pPr>
                    <w:adjustRightInd/>
                    <w:snapToGrid/>
                    <w:spacing w:line="240" w:lineRule="auto"/>
                    <w:ind w:firstLine="0" w:firstLineChars="0"/>
                    <w:jc w:val="center"/>
                    <w:rPr>
                      <w:bCs/>
                      <w:color w:val="auto"/>
                      <w:kern w:val="0"/>
                      <w:sz w:val="22"/>
                      <w:szCs w:val="22"/>
                    </w:rPr>
                  </w:pPr>
                  <w:r>
                    <w:rPr>
                      <w:bCs/>
                      <w:color w:val="auto"/>
                      <w:kern w:val="0"/>
                      <w:sz w:val="22"/>
                      <w:szCs w:val="22"/>
                    </w:rPr>
                    <w:t>200</w:t>
                  </w:r>
                </w:p>
              </w:tc>
            </w:tr>
            <w:tr w14:paraId="7C914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Merge w:val="continue"/>
                  <w:vAlign w:val="center"/>
                </w:tcPr>
                <w:p w14:paraId="34790604">
                  <w:pPr>
                    <w:adjustRightInd/>
                    <w:snapToGrid/>
                    <w:spacing w:line="240" w:lineRule="auto"/>
                    <w:ind w:firstLine="0" w:firstLineChars="0"/>
                    <w:jc w:val="center"/>
                    <w:rPr>
                      <w:bCs/>
                      <w:color w:val="auto"/>
                      <w:kern w:val="0"/>
                      <w:sz w:val="22"/>
                      <w:szCs w:val="22"/>
                    </w:rPr>
                  </w:pPr>
                </w:p>
              </w:tc>
              <w:tc>
                <w:tcPr>
                  <w:tcW w:w="809" w:type="dxa"/>
                  <w:vMerge w:val="continue"/>
                  <w:vAlign w:val="center"/>
                </w:tcPr>
                <w:p w14:paraId="21E8845F">
                  <w:pPr>
                    <w:adjustRightInd/>
                    <w:snapToGrid/>
                    <w:spacing w:line="240" w:lineRule="auto"/>
                    <w:ind w:firstLine="0" w:firstLineChars="0"/>
                    <w:jc w:val="center"/>
                    <w:rPr>
                      <w:bCs/>
                      <w:color w:val="auto"/>
                      <w:kern w:val="0"/>
                      <w:sz w:val="22"/>
                      <w:szCs w:val="22"/>
                    </w:rPr>
                  </w:pPr>
                </w:p>
              </w:tc>
              <w:tc>
                <w:tcPr>
                  <w:tcW w:w="1169" w:type="dxa"/>
                  <w:vAlign w:val="center"/>
                </w:tcPr>
                <w:p w14:paraId="702AFDD6">
                  <w:pPr>
                    <w:adjustRightInd/>
                    <w:snapToGrid/>
                    <w:spacing w:line="240" w:lineRule="auto"/>
                    <w:ind w:firstLine="0" w:firstLineChars="0"/>
                    <w:jc w:val="center"/>
                    <w:rPr>
                      <w:bCs/>
                      <w:color w:val="auto"/>
                      <w:kern w:val="0"/>
                      <w:sz w:val="22"/>
                      <w:szCs w:val="22"/>
                    </w:rPr>
                  </w:pPr>
                  <w:r>
                    <w:rPr>
                      <w:bCs/>
                      <w:color w:val="auto"/>
                      <w:kern w:val="0"/>
                      <w:sz w:val="22"/>
                      <w:szCs w:val="22"/>
                    </w:rPr>
                    <w:t>其他</w:t>
                  </w:r>
                </w:p>
              </w:tc>
              <w:tc>
                <w:tcPr>
                  <w:tcW w:w="1276" w:type="dxa"/>
                  <w:vAlign w:val="center"/>
                </w:tcPr>
                <w:p w14:paraId="3C58E5F7">
                  <w:pPr>
                    <w:adjustRightInd/>
                    <w:snapToGrid/>
                    <w:spacing w:line="240" w:lineRule="auto"/>
                    <w:ind w:firstLine="0" w:firstLineChars="0"/>
                    <w:jc w:val="center"/>
                    <w:rPr>
                      <w:bCs/>
                      <w:color w:val="auto"/>
                      <w:kern w:val="0"/>
                      <w:sz w:val="22"/>
                      <w:szCs w:val="22"/>
                    </w:rPr>
                  </w:pPr>
                  <w:r>
                    <w:rPr>
                      <w:bCs/>
                      <w:color w:val="auto"/>
                      <w:kern w:val="0"/>
                      <w:sz w:val="22"/>
                      <w:szCs w:val="22"/>
                    </w:rPr>
                    <w:t>50</w:t>
                  </w:r>
                </w:p>
              </w:tc>
              <w:tc>
                <w:tcPr>
                  <w:tcW w:w="1671" w:type="dxa"/>
                  <w:vAlign w:val="center"/>
                </w:tcPr>
                <w:p w14:paraId="397B0BDF">
                  <w:pPr>
                    <w:adjustRightInd/>
                    <w:snapToGrid/>
                    <w:spacing w:line="240" w:lineRule="auto"/>
                    <w:ind w:firstLine="0" w:firstLineChars="0"/>
                    <w:jc w:val="center"/>
                    <w:rPr>
                      <w:bCs/>
                      <w:color w:val="auto"/>
                      <w:kern w:val="0"/>
                      <w:sz w:val="22"/>
                      <w:szCs w:val="22"/>
                    </w:rPr>
                  </w:pPr>
                  <w:r>
                    <w:rPr>
                      <w:bCs/>
                      <w:color w:val="auto"/>
                      <w:kern w:val="0"/>
                      <w:sz w:val="22"/>
                      <w:szCs w:val="22"/>
                    </w:rPr>
                    <w:t>50</w:t>
                  </w:r>
                </w:p>
              </w:tc>
              <w:tc>
                <w:tcPr>
                  <w:tcW w:w="1705" w:type="dxa"/>
                  <w:vAlign w:val="center"/>
                </w:tcPr>
                <w:p w14:paraId="40834D5E">
                  <w:pPr>
                    <w:adjustRightInd/>
                    <w:snapToGrid/>
                    <w:spacing w:line="240" w:lineRule="auto"/>
                    <w:ind w:firstLine="0" w:firstLineChars="0"/>
                    <w:jc w:val="center"/>
                    <w:rPr>
                      <w:bCs/>
                      <w:color w:val="auto"/>
                      <w:kern w:val="0"/>
                      <w:sz w:val="22"/>
                      <w:szCs w:val="22"/>
                    </w:rPr>
                  </w:pPr>
                  <w:r>
                    <w:rPr>
                      <w:bCs/>
                      <w:color w:val="auto"/>
                      <w:kern w:val="0"/>
                      <w:sz w:val="22"/>
                      <w:szCs w:val="22"/>
                    </w:rPr>
                    <w:t>100</w:t>
                  </w:r>
                </w:p>
              </w:tc>
              <w:tc>
                <w:tcPr>
                  <w:tcW w:w="1303" w:type="dxa"/>
                  <w:vAlign w:val="center"/>
                </w:tcPr>
                <w:p w14:paraId="083BE372">
                  <w:pPr>
                    <w:adjustRightInd/>
                    <w:snapToGrid/>
                    <w:spacing w:line="240" w:lineRule="auto"/>
                    <w:ind w:firstLine="0" w:firstLineChars="0"/>
                    <w:jc w:val="center"/>
                    <w:rPr>
                      <w:bCs/>
                      <w:color w:val="auto"/>
                      <w:kern w:val="0"/>
                      <w:sz w:val="22"/>
                      <w:szCs w:val="22"/>
                    </w:rPr>
                  </w:pPr>
                  <w:r>
                    <w:rPr>
                      <w:bCs/>
                      <w:color w:val="auto"/>
                      <w:kern w:val="0"/>
                      <w:sz w:val="22"/>
                      <w:szCs w:val="22"/>
                    </w:rPr>
                    <w:t>100</w:t>
                  </w:r>
                </w:p>
              </w:tc>
            </w:tr>
            <w:tr w14:paraId="0F6F70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dxa"/>
                  <w:vAlign w:val="center"/>
                </w:tcPr>
                <w:p w14:paraId="6D49A89B">
                  <w:pPr>
                    <w:adjustRightInd/>
                    <w:snapToGrid/>
                    <w:spacing w:line="240" w:lineRule="auto"/>
                    <w:ind w:firstLine="0" w:firstLineChars="0"/>
                    <w:jc w:val="center"/>
                    <w:rPr>
                      <w:bCs/>
                      <w:color w:val="auto"/>
                      <w:kern w:val="0"/>
                      <w:sz w:val="22"/>
                      <w:szCs w:val="22"/>
                    </w:rPr>
                  </w:pPr>
                  <w:r>
                    <w:rPr>
                      <w:bCs/>
                      <w:color w:val="auto"/>
                      <w:kern w:val="0"/>
                      <w:sz w:val="22"/>
                      <w:szCs w:val="22"/>
                    </w:rPr>
                    <w:t>7</w:t>
                  </w:r>
                </w:p>
              </w:tc>
              <w:tc>
                <w:tcPr>
                  <w:tcW w:w="1978" w:type="dxa"/>
                  <w:gridSpan w:val="2"/>
                  <w:vAlign w:val="center"/>
                </w:tcPr>
                <w:p w14:paraId="3DD6419D">
                  <w:pPr>
                    <w:adjustRightInd/>
                    <w:snapToGrid/>
                    <w:spacing w:line="240" w:lineRule="auto"/>
                    <w:ind w:firstLine="0" w:firstLineChars="0"/>
                    <w:jc w:val="center"/>
                    <w:rPr>
                      <w:bCs/>
                      <w:color w:val="auto"/>
                      <w:kern w:val="0"/>
                      <w:sz w:val="22"/>
                      <w:szCs w:val="22"/>
                    </w:rPr>
                  </w:pPr>
                  <w:r>
                    <w:rPr>
                      <w:bCs/>
                      <w:color w:val="auto"/>
                      <w:kern w:val="0"/>
                      <w:sz w:val="22"/>
                      <w:szCs w:val="22"/>
                    </w:rPr>
                    <w:t>镍</w:t>
                  </w:r>
                </w:p>
              </w:tc>
              <w:tc>
                <w:tcPr>
                  <w:tcW w:w="1276" w:type="dxa"/>
                  <w:vAlign w:val="center"/>
                </w:tcPr>
                <w:p w14:paraId="5F9FEEE3">
                  <w:pPr>
                    <w:adjustRightInd/>
                    <w:snapToGrid/>
                    <w:spacing w:line="240" w:lineRule="auto"/>
                    <w:ind w:firstLine="0" w:firstLineChars="0"/>
                    <w:jc w:val="center"/>
                    <w:rPr>
                      <w:bCs/>
                      <w:color w:val="auto"/>
                      <w:kern w:val="0"/>
                      <w:sz w:val="22"/>
                      <w:szCs w:val="22"/>
                    </w:rPr>
                  </w:pPr>
                  <w:r>
                    <w:rPr>
                      <w:bCs/>
                      <w:color w:val="auto"/>
                      <w:kern w:val="0"/>
                      <w:sz w:val="22"/>
                      <w:szCs w:val="22"/>
                    </w:rPr>
                    <w:t>60</w:t>
                  </w:r>
                </w:p>
              </w:tc>
              <w:tc>
                <w:tcPr>
                  <w:tcW w:w="1671" w:type="dxa"/>
                  <w:vAlign w:val="center"/>
                </w:tcPr>
                <w:p w14:paraId="159C65EA">
                  <w:pPr>
                    <w:adjustRightInd/>
                    <w:snapToGrid/>
                    <w:spacing w:line="240" w:lineRule="auto"/>
                    <w:ind w:firstLine="0" w:firstLineChars="0"/>
                    <w:jc w:val="center"/>
                    <w:rPr>
                      <w:bCs/>
                      <w:color w:val="auto"/>
                      <w:kern w:val="0"/>
                      <w:sz w:val="22"/>
                      <w:szCs w:val="22"/>
                    </w:rPr>
                  </w:pPr>
                  <w:r>
                    <w:rPr>
                      <w:bCs/>
                      <w:color w:val="auto"/>
                      <w:kern w:val="0"/>
                      <w:sz w:val="22"/>
                      <w:szCs w:val="22"/>
                    </w:rPr>
                    <w:t>70</w:t>
                  </w:r>
                </w:p>
              </w:tc>
              <w:tc>
                <w:tcPr>
                  <w:tcW w:w="1705" w:type="dxa"/>
                  <w:vAlign w:val="center"/>
                </w:tcPr>
                <w:p w14:paraId="2BFE879E">
                  <w:pPr>
                    <w:adjustRightInd/>
                    <w:snapToGrid/>
                    <w:spacing w:line="240" w:lineRule="auto"/>
                    <w:ind w:firstLine="0" w:firstLineChars="0"/>
                    <w:jc w:val="center"/>
                    <w:rPr>
                      <w:bCs/>
                      <w:color w:val="auto"/>
                      <w:kern w:val="0"/>
                      <w:sz w:val="22"/>
                      <w:szCs w:val="22"/>
                    </w:rPr>
                  </w:pPr>
                  <w:r>
                    <w:rPr>
                      <w:bCs/>
                      <w:color w:val="auto"/>
                      <w:kern w:val="0"/>
                      <w:sz w:val="22"/>
                      <w:szCs w:val="22"/>
                    </w:rPr>
                    <w:t>100</w:t>
                  </w:r>
                </w:p>
              </w:tc>
              <w:tc>
                <w:tcPr>
                  <w:tcW w:w="1303" w:type="dxa"/>
                  <w:vAlign w:val="center"/>
                </w:tcPr>
                <w:p w14:paraId="5EA5886C">
                  <w:pPr>
                    <w:adjustRightInd/>
                    <w:snapToGrid/>
                    <w:spacing w:line="240" w:lineRule="auto"/>
                    <w:ind w:firstLine="0" w:firstLineChars="0"/>
                    <w:jc w:val="center"/>
                    <w:rPr>
                      <w:bCs/>
                      <w:color w:val="auto"/>
                      <w:kern w:val="0"/>
                      <w:sz w:val="22"/>
                      <w:szCs w:val="22"/>
                    </w:rPr>
                  </w:pPr>
                  <w:r>
                    <w:rPr>
                      <w:bCs/>
                      <w:color w:val="auto"/>
                      <w:kern w:val="0"/>
                      <w:sz w:val="22"/>
                      <w:szCs w:val="22"/>
                    </w:rPr>
                    <w:t>190</w:t>
                  </w:r>
                </w:p>
              </w:tc>
            </w:tr>
            <w:tr w14:paraId="6A3A9D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775" w:type="dxa"/>
                  <w:vAlign w:val="center"/>
                </w:tcPr>
                <w:p w14:paraId="41463817">
                  <w:pPr>
                    <w:adjustRightInd/>
                    <w:snapToGrid/>
                    <w:spacing w:line="240" w:lineRule="auto"/>
                    <w:ind w:firstLine="0" w:firstLineChars="0"/>
                    <w:jc w:val="center"/>
                    <w:rPr>
                      <w:bCs/>
                      <w:color w:val="auto"/>
                      <w:kern w:val="0"/>
                      <w:sz w:val="22"/>
                      <w:szCs w:val="22"/>
                    </w:rPr>
                  </w:pPr>
                  <w:r>
                    <w:rPr>
                      <w:bCs/>
                      <w:color w:val="auto"/>
                      <w:kern w:val="0"/>
                      <w:sz w:val="22"/>
                      <w:szCs w:val="22"/>
                    </w:rPr>
                    <w:t>8</w:t>
                  </w:r>
                </w:p>
              </w:tc>
              <w:tc>
                <w:tcPr>
                  <w:tcW w:w="1978" w:type="dxa"/>
                  <w:gridSpan w:val="2"/>
                  <w:vAlign w:val="center"/>
                </w:tcPr>
                <w:p w14:paraId="3DE2B43B">
                  <w:pPr>
                    <w:adjustRightInd/>
                    <w:snapToGrid/>
                    <w:spacing w:line="240" w:lineRule="auto"/>
                    <w:ind w:firstLine="0" w:firstLineChars="0"/>
                    <w:jc w:val="center"/>
                    <w:rPr>
                      <w:bCs/>
                      <w:color w:val="auto"/>
                      <w:kern w:val="0"/>
                      <w:sz w:val="22"/>
                      <w:szCs w:val="22"/>
                    </w:rPr>
                  </w:pPr>
                  <w:r>
                    <w:rPr>
                      <w:bCs/>
                      <w:color w:val="auto"/>
                      <w:kern w:val="0"/>
                      <w:sz w:val="22"/>
                      <w:szCs w:val="22"/>
                    </w:rPr>
                    <w:t>锌</w:t>
                  </w:r>
                </w:p>
              </w:tc>
              <w:tc>
                <w:tcPr>
                  <w:tcW w:w="1276" w:type="dxa"/>
                  <w:vAlign w:val="center"/>
                </w:tcPr>
                <w:p w14:paraId="3D290829">
                  <w:pPr>
                    <w:adjustRightInd/>
                    <w:snapToGrid/>
                    <w:spacing w:line="240" w:lineRule="auto"/>
                    <w:ind w:firstLine="0" w:firstLineChars="0"/>
                    <w:jc w:val="center"/>
                    <w:rPr>
                      <w:bCs/>
                      <w:color w:val="auto"/>
                      <w:kern w:val="0"/>
                      <w:sz w:val="22"/>
                      <w:szCs w:val="22"/>
                    </w:rPr>
                  </w:pPr>
                  <w:r>
                    <w:rPr>
                      <w:bCs/>
                      <w:color w:val="auto"/>
                      <w:kern w:val="0"/>
                      <w:sz w:val="22"/>
                      <w:szCs w:val="22"/>
                    </w:rPr>
                    <w:t>200</w:t>
                  </w:r>
                </w:p>
              </w:tc>
              <w:tc>
                <w:tcPr>
                  <w:tcW w:w="1671" w:type="dxa"/>
                  <w:vAlign w:val="center"/>
                </w:tcPr>
                <w:p w14:paraId="6A2AE6BB">
                  <w:pPr>
                    <w:adjustRightInd/>
                    <w:snapToGrid/>
                    <w:spacing w:line="240" w:lineRule="auto"/>
                    <w:ind w:firstLine="0" w:firstLineChars="0"/>
                    <w:jc w:val="center"/>
                    <w:rPr>
                      <w:bCs/>
                      <w:color w:val="auto"/>
                      <w:kern w:val="0"/>
                      <w:sz w:val="22"/>
                      <w:szCs w:val="22"/>
                    </w:rPr>
                  </w:pPr>
                  <w:r>
                    <w:rPr>
                      <w:bCs/>
                      <w:color w:val="auto"/>
                      <w:kern w:val="0"/>
                      <w:sz w:val="22"/>
                      <w:szCs w:val="22"/>
                    </w:rPr>
                    <w:t>200</w:t>
                  </w:r>
                </w:p>
              </w:tc>
              <w:tc>
                <w:tcPr>
                  <w:tcW w:w="1705" w:type="dxa"/>
                  <w:vAlign w:val="center"/>
                </w:tcPr>
                <w:p w14:paraId="0AE28BF9">
                  <w:pPr>
                    <w:adjustRightInd/>
                    <w:snapToGrid/>
                    <w:spacing w:line="240" w:lineRule="auto"/>
                    <w:ind w:firstLine="0" w:firstLineChars="0"/>
                    <w:jc w:val="center"/>
                    <w:rPr>
                      <w:bCs/>
                      <w:color w:val="auto"/>
                      <w:kern w:val="0"/>
                      <w:sz w:val="22"/>
                      <w:szCs w:val="22"/>
                    </w:rPr>
                  </w:pPr>
                  <w:r>
                    <w:rPr>
                      <w:bCs/>
                      <w:color w:val="auto"/>
                      <w:kern w:val="0"/>
                      <w:sz w:val="22"/>
                      <w:szCs w:val="22"/>
                    </w:rPr>
                    <w:t>250</w:t>
                  </w:r>
                </w:p>
              </w:tc>
              <w:tc>
                <w:tcPr>
                  <w:tcW w:w="1303" w:type="dxa"/>
                  <w:vAlign w:val="center"/>
                </w:tcPr>
                <w:p w14:paraId="3020827C">
                  <w:pPr>
                    <w:adjustRightInd/>
                    <w:snapToGrid/>
                    <w:spacing w:line="240" w:lineRule="auto"/>
                    <w:ind w:firstLine="0" w:firstLineChars="0"/>
                    <w:jc w:val="center"/>
                    <w:rPr>
                      <w:bCs/>
                      <w:color w:val="auto"/>
                      <w:kern w:val="0"/>
                      <w:sz w:val="22"/>
                      <w:szCs w:val="22"/>
                    </w:rPr>
                  </w:pPr>
                  <w:r>
                    <w:rPr>
                      <w:bCs/>
                      <w:color w:val="auto"/>
                      <w:kern w:val="0"/>
                      <w:sz w:val="22"/>
                      <w:szCs w:val="22"/>
                    </w:rPr>
                    <w:t>300</w:t>
                  </w:r>
                </w:p>
              </w:tc>
            </w:tr>
          </w:tbl>
          <w:p w14:paraId="7FB72818">
            <w:pPr>
              <w:pStyle w:val="3"/>
              <w:numPr>
                <w:ilvl w:val="1"/>
                <w:numId w:val="7"/>
              </w:numPr>
            </w:pPr>
            <w:r>
              <w:rPr>
                <w:rFonts w:hint="eastAsia"/>
              </w:rPr>
              <w:t>污染物排放控制标准</w:t>
            </w:r>
          </w:p>
          <w:p w14:paraId="51827FC6">
            <w:pPr>
              <w:pStyle w:val="4"/>
              <w:numPr>
                <w:ilvl w:val="2"/>
                <w:numId w:val="7"/>
              </w:numPr>
            </w:pPr>
            <w:r>
              <w:rPr>
                <w:rFonts w:hint="eastAsia"/>
              </w:rPr>
              <w:t>大气</w:t>
            </w:r>
          </w:p>
          <w:p w14:paraId="75EC2A78">
            <w:pPr>
              <w:pStyle w:val="6"/>
              <w:rPr>
                <w:rFonts w:hint="eastAsia"/>
                <w:sz w:val="24"/>
                <w:lang w:val="en-US" w:eastAsia="zh-CN"/>
              </w:rPr>
            </w:pPr>
            <w:r>
              <w:rPr>
                <w:rFonts w:hint="eastAsia"/>
                <w:sz w:val="24"/>
                <w:lang w:val="en-US" w:eastAsia="zh-CN"/>
              </w:rPr>
              <w:t>本项目</w:t>
            </w:r>
            <w:r>
              <w:rPr>
                <w:sz w:val="24"/>
              </w:rPr>
              <w:t>施工期大气污染物执行《大气污染物综合排放标准》（GB</w:t>
            </w:r>
            <w:r>
              <w:rPr>
                <w:rFonts w:hint="eastAsia"/>
                <w:sz w:val="24"/>
                <w:lang w:val="en-US" w:eastAsia="zh-CN"/>
              </w:rPr>
              <w:t xml:space="preserve"> </w:t>
            </w:r>
            <w:r>
              <w:rPr>
                <w:sz w:val="24"/>
              </w:rPr>
              <w:t>16297</w:t>
            </w:r>
            <w:r>
              <w:rPr>
                <w:rFonts w:hint="eastAsia"/>
                <w:sz w:val="24"/>
                <w:lang w:val="en-US" w:eastAsia="zh-CN"/>
              </w:rPr>
              <w:t>-</w:t>
            </w:r>
            <w:r>
              <w:rPr>
                <w:sz w:val="24"/>
              </w:rPr>
              <w:t>1996）</w:t>
            </w:r>
            <w:r>
              <w:rPr>
                <w:rFonts w:hint="default"/>
                <w:sz w:val="24"/>
              </w:rPr>
              <w:t>表2</w:t>
            </w:r>
            <w:r>
              <w:rPr>
                <w:sz w:val="24"/>
              </w:rPr>
              <w:t>无组织排放标准，</w:t>
            </w:r>
            <w:r>
              <w:rPr>
                <w:rFonts w:hint="eastAsia"/>
                <w:sz w:val="24"/>
              </w:rPr>
              <w:t>运营期无废气</w:t>
            </w:r>
            <w:r>
              <w:rPr>
                <w:rFonts w:hint="eastAsia"/>
                <w:sz w:val="24"/>
                <w:lang w:val="en-US" w:eastAsia="zh-CN"/>
              </w:rPr>
              <w:t>产生</w:t>
            </w:r>
            <w:r>
              <w:rPr>
                <w:rFonts w:hint="eastAsia"/>
                <w:sz w:val="24"/>
                <w:lang w:eastAsia="zh-CN"/>
              </w:rPr>
              <w:t>，</w:t>
            </w:r>
            <w:r>
              <w:rPr>
                <w:rFonts w:hint="eastAsia"/>
                <w:sz w:val="24"/>
                <w:lang w:val="en-US" w:eastAsia="zh-CN"/>
              </w:rPr>
              <w:t>具体见下表。</w:t>
            </w:r>
          </w:p>
          <w:p w14:paraId="4AB4564D">
            <w:pPr>
              <w:pStyle w:val="7"/>
              <w:bidi w:val="0"/>
              <w:rPr>
                <w:rFonts w:hint="default"/>
                <w:lang w:val="en-US" w:eastAsia="zh-CN"/>
              </w:rPr>
            </w:pPr>
            <w:r>
              <w:rPr>
                <w:rFonts w:hint="eastAsia"/>
                <w:lang w:val="en-US" w:eastAsia="zh-CN"/>
              </w:rPr>
              <w:t>大气污染物综合排放标准</w:t>
            </w:r>
          </w:p>
          <w:tbl>
            <w:tblPr>
              <w:tblStyle w:val="4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3578"/>
              <w:gridCol w:w="3245"/>
            </w:tblGrid>
            <w:tr w14:paraId="62C05B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7" w:type="pct"/>
                  <w:vMerge w:val="restart"/>
                  <w:tcBorders>
                    <w:tl2br w:val="nil"/>
                    <w:tr2bl w:val="nil"/>
                  </w:tcBorders>
                  <w:noWrap w:val="0"/>
                  <w:vAlign w:val="center"/>
                </w:tcPr>
                <w:p w14:paraId="373C1739">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污染物</w:t>
                  </w:r>
                </w:p>
              </w:tc>
              <w:tc>
                <w:tcPr>
                  <w:tcW w:w="3942" w:type="pct"/>
                  <w:gridSpan w:val="2"/>
                  <w:tcBorders>
                    <w:tl2br w:val="nil"/>
                    <w:tr2bl w:val="nil"/>
                  </w:tcBorders>
                  <w:noWrap w:val="0"/>
                  <w:vAlign w:val="center"/>
                </w:tcPr>
                <w:p w14:paraId="5E4E62BE">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无组织监控</w:t>
                  </w:r>
                </w:p>
              </w:tc>
            </w:tr>
            <w:tr w14:paraId="143D65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7" w:type="pct"/>
                  <w:vMerge w:val="continue"/>
                  <w:tcBorders>
                    <w:tl2br w:val="nil"/>
                    <w:tr2bl w:val="nil"/>
                  </w:tcBorders>
                  <w:noWrap w:val="0"/>
                  <w:vAlign w:val="center"/>
                </w:tcPr>
                <w:p w14:paraId="1CD41E87">
                  <w:pPr>
                    <w:widowControl/>
                    <w:adjustRightInd w:val="0"/>
                    <w:snapToGrid w:val="0"/>
                    <w:spacing w:line="320" w:lineRule="atLeast"/>
                    <w:jc w:val="center"/>
                    <w:rPr>
                      <w:rFonts w:hint="eastAsia" w:ascii="Times New Roman" w:hAnsi="Times New Roman" w:eastAsia="宋体"/>
                      <w:bCs/>
                      <w:sz w:val="22"/>
                      <w:szCs w:val="22"/>
                      <w:lang w:val="en-US" w:eastAsia="zh-CN"/>
                    </w:rPr>
                  </w:pPr>
                </w:p>
              </w:tc>
              <w:tc>
                <w:tcPr>
                  <w:tcW w:w="2067" w:type="pct"/>
                  <w:tcBorders>
                    <w:tl2br w:val="nil"/>
                    <w:tr2bl w:val="nil"/>
                  </w:tcBorders>
                  <w:noWrap w:val="0"/>
                  <w:vAlign w:val="center"/>
                </w:tcPr>
                <w:p w14:paraId="51CFD661">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监控点</w:t>
                  </w:r>
                </w:p>
              </w:tc>
              <w:tc>
                <w:tcPr>
                  <w:tcW w:w="1875" w:type="pct"/>
                  <w:tcBorders>
                    <w:tl2br w:val="nil"/>
                    <w:tr2bl w:val="nil"/>
                  </w:tcBorders>
                  <w:noWrap w:val="0"/>
                  <w:vAlign w:val="center"/>
                </w:tcPr>
                <w:p w14:paraId="517388DA">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浓度（mg/m</w:t>
                  </w:r>
                  <w:r>
                    <w:rPr>
                      <w:rFonts w:hint="eastAsia" w:ascii="Times New Roman" w:hAnsi="Times New Roman" w:eastAsia="宋体"/>
                      <w:bCs/>
                      <w:sz w:val="22"/>
                      <w:szCs w:val="22"/>
                      <w:vertAlign w:val="superscript"/>
                      <w:lang w:val="en-US" w:eastAsia="zh-CN"/>
                    </w:rPr>
                    <w:t>3</w:t>
                  </w:r>
                  <w:r>
                    <w:rPr>
                      <w:rFonts w:hint="eastAsia" w:ascii="Times New Roman" w:hAnsi="Times New Roman" w:eastAsia="宋体"/>
                      <w:bCs/>
                      <w:sz w:val="22"/>
                      <w:szCs w:val="22"/>
                      <w:lang w:val="en-US" w:eastAsia="zh-CN"/>
                    </w:rPr>
                    <w:t>）</w:t>
                  </w:r>
                </w:p>
              </w:tc>
            </w:tr>
            <w:tr w14:paraId="1FAF1F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7" w:type="pct"/>
                  <w:tcBorders>
                    <w:tl2br w:val="nil"/>
                    <w:tr2bl w:val="nil"/>
                  </w:tcBorders>
                  <w:noWrap w:val="0"/>
                  <w:vAlign w:val="center"/>
                </w:tcPr>
                <w:p w14:paraId="0C7C6A7F">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颗粒物</w:t>
                  </w:r>
                </w:p>
              </w:tc>
              <w:tc>
                <w:tcPr>
                  <w:tcW w:w="2067" w:type="pct"/>
                  <w:tcBorders>
                    <w:tl2br w:val="nil"/>
                    <w:tr2bl w:val="nil"/>
                  </w:tcBorders>
                  <w:noWrap w:val="0"/>
                  <w:vAlign w:val="center"/>
                </w:tcPr>
                <w:p w14:paraId="6DB2FDBD">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周界外浓度最高点</w:t>
                  </w:r>
                </w:p>
              </w:tc>
              <w:tc>
                <w:tcPr>
                  <w:tcW w:w="1875" w:type="pct"/>
                  <w:tcBorders>
                    <w:tl2br w:val="nil"/>
                    <w:tr2bl w:val="nil"/>
                  </w:tcBorders>
                  <w:noWrap w:val="0"/>
                  <w:vAlign w:val="center"/>
                </w:tcPr>
                <w:p w14:paraId="6289DB0F">
                  <w:pPr>
                    <w:widowControl/>
                    <w:adjustRightInd w:val="0"/>
                    <w:snapToGrid w:val="0"/>
                    <w:spacing w:line="320" w:lineRule="atLeast"/>
                    <w:jc w:val="center"/>
                    <w:rPr>
                      <w:rFonts w:hint="eastAsia" w:ascii="Times New Roman" w:hAnsi="Times New Roman" w:eastAsia="宋体"/>
                      <w:bCs/>
                      <w:sz w:val="22"/>
                      <w:szCs w:val="22"/>
                      <w:lang w:val="en-US" w:eastAsia="zh-CN"/>
                    </w:rPr>
                  </w:pPr>
                  <w:r>
                    <w:rPr>
                      <w:rFonts w:hint="eastAsia" w:ascii="Times New Roman" w:hAnsi="Times New Roman" w:eastAsia="宋体"/>
                      <w:bCs/>
                      <w:sz w:val="22"/>
                      <w:szCs w:val="22"/>
                      <w:lang w:val="en-US" w:eastAsia="zh-CN"/>
                    </w:rPr>
                    <w:t>1.0</w:t>
                  </w:r>
                </w:p>
              </w:tc>
            </w:tr>
          </w:tbl>
          <w:p w14:paraId="2CD07A04">
            <w:pPr>
              <w:pStyle w:val="4"/>
              <w:numPr>
                <w:ilvl w:val="2"/>
                <w:numId w:val="7"/>
              </w:numPr>
            </w:pPr>
            <w:r>
              <w:rPr>
                <w:rFonts w:hint="eastAsia"/>
              </w:rPr>
              <w:t>废</w:t>
            </w:r>
            <w:r>
              <w:t>水</w:t>
            </w:r>
          </w:p>
          <w:p w14:paraId="476ED544">
            <w:pPr>
              <w:pStyle w:val="6"/>
            </w:pPr>
            <w:r>
              <w:rPr>
                <w:rFonts w:hint="eastAsia"/>
                <w:sz w:val="24"/>
                <w:lang w:val="en-US" w:eastAsia="zh-CN"/>
              </w:rPr>
              <w:t>本项目施工废水经沉淀、隔油处理后全部回用，不外排；施工场地内不设置办公生活设施，采用租赁当地民房，生活污水依托居民房旱厕收集后用于周边农田和林草地施肥，不外排。</w:t>
            </w:r>
            <w:r>
              <w:rPr>
                <w:sz w:val="24"/>
              </w:rPr>
              <w:t>运营期无废水产生</w:t>
            </w:r>
            <w:r>
              <w:rPr>
                <w:rFonts w:hint="eastAsia"/>
              </w:rPr>
              <w:t>。</w:t>
            </w:r>
          </w:p>
          <w:p w14:paraId="01EC9DD8">
            <w:pPr>
              <w:pStyle w:val="4"/>
              <w:numPr>
                <w:ilvl w:val="2"/>
                <w:numId w:val="7"/>
              </w:numPr>
            </w:pPr>
            <w:r>
              <w:rPr>
                <w:rFonts w:hint="eastAsia"/>
              </w:rPr>
              <w:t>噪声</w:t>
            </w:r>
          </w:p>
          <w:p w14:paraId="55678086">
            <w:pPr>
              <w:pStyle w:val="6"/>
              <w:rPr>
                <w:rFonts w:hint="default"/>
                <w:lang w:val="en-US" w:eastAsia="zh-CN"/>
              </w:rPr>
            </w:pPr>
            <w:r>
              <w:rPr>
                <w:rFonts w:hint="eastAsia"/>
                <w:lang w:val="en-US" w:eastAsia="zh-CN"/>
              </w:rPr>
              <w:t>本项目施工期噪声执行《建筑施工场界环境噪声排放标准》（GB 12523-2011），具体见下表。</w:t>
            </w:r>
          </w:p>
          <w:p w14:paraId="1B2E0598">
            <w:pPr>
              <w:pStyle w:val="7"/>
              <w:bidi w:val="0"/>
              <w:rPr>
                <w:rFonts w:hint="eastAsia"/>
                <w:lang w:val="en-US" w:eastAsia="zh-CN"/>
              </w:rPr>
            </w:pPr>
            <w:r>
              <w:rPr>
                <w:rFonts w:hint="eastAsia"/>
                <w:lang w:val="en-US" w:eastAsia="zh-CN"/>
              </w:rPr>
              <w:t>建筑施工场界环境噪声排放标准</w:t>
            </w:r>
          </w:p>
          <w:tbl>
            <w:tblPr>
              <w:tblStyle w:val="4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0"/>
              <w:gridCol w:w="4575"/>
            </w:tblGrid>
            <w:tr w14:paraId="726694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57" w:type="pct"/>
                  <w:tcBorders>
                    <w:tl2br w:val="nil"/>
                    <w:tr2bl w:val="nil"/>
                  </w:tcBorders>
                  <w:noWrap w:val="0"/>
                  <w:vAlign w:val="center"/>
                </w:tcPr>
                <w:p w14:paraId="5727CBB7">
                  <w:pPr>
                    <w:widowControl/>
                    <w:adjustRightInd w:val="0"/>
                    <w:snapToGrid w:val="0"/>
                    <w:spacing w:line="320" w:lineRule="atLeast"/>
                    <w:jc w:val="center"/>
                    <w:rPr>
                      <w:bCs/>
                      <w:sz w:val="22"/>
                      <w:szCs w:val="22"/>
                    </w:rPr>
                  </w:pPr>
                  <w:r>
                    <w:rPr>
                      <w:bCs/>
                      <w:sz w:val="22"/>
                      <w:szCs w:val="22"/>
                    </w:rPr>
                    <w:t>昼间</w:t>
                  </w:r>
                </w:p>
              </w:tc>
              <w:tc>
                <w:tcPr>
                  <w:tcW w:w="2642" w:type="pct"/>
                  <w:tcBorders>
                    <w:tl2br w:val="nil"/>
                    <w:tr2bl w:val="nil"/>
                  </w:tcBorders>
                  <w:noWrap w:val="0"/>
                  <w:vAlign w:val="center"/>
                </w:tcPr>
                <w:p w14:paraId="690C399E">
                  <w:pPr>
                    <w:widowControl/>
                    <w:adjustRightInd w:val="0"/>
                    <w:snapToGrid w:val="0"/>
                    <w:spacing w:line="320" w:lineRule="atLeast"/>
                    <w:jc w:val="center"/>
                    <w:rPr>
                      <w:bCs/>
                      <w:sz w:val="22"/>
                      <w:szCs w:val="22"/>
                    </w:rPr>
                  </w:pPr>
                  <w:r>
                    <w:rPr>
                      <w:bCs/>
                      <w:sz w:val="22"/>
                      <w:szCs w:val="22"/>
                    </w:rPr>
                    <w:t>夜间</w:t>
                  </w:r>
                </w:p>
              </w:tc>
            </w:tr>
            <w:tr w14:paraId="1FE4CD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57" w:type="pct"/>
                  <w:tcBorders>
                    <w:tl2br w:val="nil"/>
                    <w:tr2bl w:val="nil"/>
                  </w:tcBorders>
                  <w:noWrap w:val="0"/>
                  <w:vAlign w:val="center"/>
                </w:tcPr>
                <w:p w14:paraId="2C0E6D05">
                  <w:pPr>
                    <w:widowControl/>
                    <w:adjustRightInd w:val="0"/>
                    <w:snapToGrid w:val="0"/>
                    <w:spacing w:line="320" w:lineRule="atLeast"/>
                    <w:jc w:val="center"/>
                    <w:rPr>
                      <w:bCs/>
                      <w:sz w:val="22"/>
                      <w:szCs w:val="22"/>
                    </w:rPr>
                  </w:pPr>
                  <w:r>
                    <w:rPr>
                      <w:bCs/>
                      <w:sz w:val="22"/>
                      <w:szCs w:val="22"/>
                    </w:rPr>
                    <w:t>70</w:t>
                  </w:r>
                </w:p>
              </w:tc>
              <w:tc>
                <w:tcPr>
                  <w:tcW w:w="2642" w:type="pct"/>
                  <w:tcBorders>
                    <w:tl2br w:val="nil"/>
                    <w:tr2bl w:val="nil"/>
                  </w:tcBorders>
                  <w:noWrap w:val="0"/>
                  <w:vAlign w:val="center"/>
                </w:tcPr>
                <w:p w14:paraId="0A4F7DF6">
                  <w:pPr>
                    <w:widowControl/>
                    <w:adjustRightInd w:val="0"/>
                    <w:snapToGrid w:val="0"/>
                    <w:spacing w:line="320" w:lineRule="atLeast"/>
                    <w:jc w:val="center"/>
                    <w:rPr>
                      <w:bCs/>
                      <w:sz w:val="22"/>
                      <w:szCs w:val="22"/>
                    </w:rPr>
                  </w:pPr>
                  <w:r>
                    <w:rPr>
                      <w:bCs/>
                      <w:sz w:val="22"/>
                      <w:szCs w:val="22"/>
                    </w:rPr>
                    <w:t>55</w:t>
                  </w:r>
                </w:p>
              </w:tc>
            </w:tr>
          </w:tbl>
          <w:p w14:paraId="72D8EDBA">
            <w:pPr>
              <w:pStyle w:val="4"/>
              <w:numPr>
                <w:ilvl w:val="2"/>
                <w:numId w:val="7"/>
              </w:numPr>
            </w:pPr>
            <w:r>
              <w:t>固体废物</w:t>
            </w:r>
          </w:p>
          <w:p w14:paraId="7F37D297">
            <w:pPr>
              <w:pStyle w:val="6"/>
            </w:pPr>
            <w:r>
              <w:rPr>
                <w:rFonts w:hint="eastAsia"/>
                <w:lang w:val="en-US" w:eastAsia="zh-CN"/>
              </w:rPr>
              <w:t>本项目</w:t>
            </w:r>
            <w:r>
              <w:rPr>
                <w:rFonts w:hint="eastAsia"/>
                <w:lang w:eastAsia="zh-CN"/>
              </w:rPr>
              <w:t>施工期</w:t>
            </w:r>
            <w:r>
              <w:rPr>
                <w:rFonts w:hint="eastAsia"/>
              </w:rPr>
              <w:t>一般工业固体废物贮存过程应满足相应防渗漏、防雨淋、防扬尘等环境保护要求。</w:t>
            </w:r>
          </w:p>
        </w:tc>
      </w:tr>
      <w:tr w14:paraId="457C07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12" w:type="dxa"/>
            <w:vAlign w:val="center"/>
          </w:tcPr>
          <w:p w14:paraId="3AAADAE1">
            <w:r>
              <w:rPr>
                <w:rFonts w:hint="eastAsia"/>
              </w:rPr>
              <w:t>其他</w:t>
            </w:r>
          </w:p>
        </w:tc>
        <w:tc>
          <w:tcPr>
            <w:tcW w:w="8871" w:type="dxa"/>
            <w:vAlign w:val="center"/>
          </w:tcPr>
          <w:p w14:paraId="3A0D619F">
            <w:pPr>
              <w:pStyle w:val="6"/>
              <w:ind w:left="0" w:leftChars="0" w:firstLine="0" w:firstLineChars="0"/>
              <w:jc w:val="both"/>
              <w:rPr>
                <w:rFonts w:hint="eastAsia"/>
                <w:lang w:eastAsia="zh-CN"/>
              </w:rPr>
            </w:pPr>
          </w:p>
          <w:p w14:paraId="10F8A000">
            <w:pPr>
              <w:pStyle w:val="6"/>
              <w:ind w:left="0" w:leftChars="0" w:firstLine="0" w:firstLineChars="0"/>
              <w:jc w:val="both"/>
              <w:rPr>
                <w:rFonts w:hint="eastAsia"/>
                <w:lang w:eastAsia="zh-CN"/>
              </w:rPr>
            </w:pPr>
            <w:r>
              <w:rPr>
                <w:rFonts w:hint="eastAsia"/>
                <w:lang w:eastAsia="zh-CN"/>
              </w:rPr>
              <w:t>本项目为</w:t>
            </w:r>
            <w:r>
              <w:rPr>
                <w:rFonts w:hint="eastAsia"/>
                <w:lang w:val="en-US" w:eastAsia="zh-CN"/>
              </w:rPr>
              <w:t>防洪治理</w:t>
            </w:r>
            <w:r>
              <w:rPr>
                <w:rFonts w:hint="eastAsia"/>
                <w:lang w:eastAsia="zh-CN"/>
              </w:rPr>
              <w:t>项目，运营期无“三废”排放，不涉及总量控制指标。</w:t>
            </w:r>
          </w:p>
          <w:p w14:paraId="609EFCBF">
            <w:pPr>
              <w:pStyle w:val="6"/>
              <w:ind w:left="0" w:leftChars="0" w:firstLine="0" w:firstLineChars="0"/>
              <w:jc w:val="both"/>
              <w:rPr>
                <w:rFonts w:hint="eastAsia"/>
                <w:lang w:eastAsia="zh-CN"/>
              </w:rPr>
            </w:pPr>
          </w:p>
        </w:tc>
      </w:tr>
    </w:tbl>
    <w:p w14:paraId="7B4EAF22">
      <w:pPr>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26" w:charSpace="0"/>
        </w:sectPr>
      </w:pPr>
    </w:p>
    <w:p w14:paraId="08E52B15">
      <w:pPr>
        <w:pStyle w:val="2"/>
        <w:numPr>
          <w:ilvl w:val="0"/>
          <w:numId w:val="7"/>
        </w:numPr>
        <w:spacing w:after="156"/>
      </w:pPr>
      <w:r>
        <w:rPr>
          <w:rFonts w:hint="eastAsia"/>
        </w:rPr>
        <w:t>生态环境影响分析</w:t>
      </w:r>
      <w:bookmarkEnd w:id="57"/>
    </w:p>
    <w:tbl>
      <w:tblPr>
        <w:tblStyle w:val="46"/>
        <w:tblW w:w="96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2"/>
        <w:gridCol w:w="8926"/>
      </w:tblGrid>
      <w:tr w14:paraId="6B6D46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1" w:hRule="atLeast"/>
        </w:trPr>
        <w:tc>
          <w:tcPr>
            <w:tcW w:w="702" w:type="dxa"/>
            <w:vAlign w:val="center"/>
          </w:tcPr>
          <w:p w14:paraId="5AB28178">
            <w:r>
              <w:rPr>
                <w:rFonts w:hint="eastAsia"/>
              </w:rPr>
              <w:t>施工期生态环境影响分析</w:t>
            </w:r>
          </w:p>
        </w:tc>
        <w:tc>
          <w:tcPr>
            <w:tcW w:w="8926" w:type="dxa"/>
            <w:vAlign w:val="center"/>
          </w:tcPr>
          <w:p w14:paraId="0D1DC551">
            <w:pPr>
              <w:pStyle w:val="3"/>
              <w:bidi w:val="0"/>
            </w:pPr>
            <w:bookmarkStart w:id="58" w:name="_Toc192256218"/>
            <w:bookmarkStart w:id="59" w:name="_Toc193096223"/>
            <w:bookmarkStart w:id="60" w:name="_Toc24303"/>
            <w:bookmarkStart w:id="61" w:name="_Toc168671457"/>
            <w:r>
              <w:rPr>
                <w:rFonts w:hint="eastAsia"/>
              </w:rPr>
              <w:t>施工期生态环境影响分析</w:t>
            </w:r>
            <w:bookmarkEnd w:id="58"/>
            <w:bookmarkEnd w:id="59"/>
            <w:bookmarkEnd w:id="60"/>
            <w:bookmarkEnd w:id="61"/>
          </w:p>
          <w:p w14:paraId="56E5FC9D">
            <w:pPr>
              <w:pStyle w:val="4"/>
              <w:numPr>
                <w:ilvl w:val="2"/>
                <w:numId w:val="7"/>
              </w:numPr>
            </w:pPr>
            <w:bookmarkStart w:id="62" w:name="_Toc193096271"/>
            <w:bookmarkStart w:id="63" w:name="_Toc5053"/>
            <w:r>
              <w:rPr>
                <w:rFonts w:hint="eastAsia"/>
              </w:rPr>
              <w:t>施工期</w:t>
            </w:r>
            <w:r>
              <w:rPr>
                <w:rFonts w:hint="eastAsia"/>
                <w:lang w:val="en-US" w:eastAsia="zh-CN"/>
              </w:rPr>
              <w:t>陆生、水生</w:t>
            </w:r>
            <w:r>
              <w:rPr>
                <w:rFonts w:hint="eastAsia"/>
              </w:rPr>
              <w:t>生态环境影响分析</w:t>
            </w:r>
            <w:bookmarkEnd w:id="62"/>
            <w:bookmarkEnd w:id="63"/>
          </w:p>
          <w:p w14:paraId="320C1673">
            <w:pPr>
              <w:pStyle w:val="5"/>
              <w:numPr>
                <w:ilvl w:val="3"/>
                <w:numId w:val="7"/>
              </w:numPr>
              <w:bidi w:val="0"/>
              <w:rPr>
                <w:rFonts w:hint="eastAsia"/>
              </w:rPr>
            </w:pPr>
            <w:r>
              <w:rPr>
                <w:rFonts w:hint="eastAsia"/>
              </w:rPr>
              <w:t>工程占地对土地利用的影响</w:t>
            </w:r>
          </w:p>
          <w:p w14:paraId="5AB13F38">
            <w:pPr>
              <w:pStyle w:val="6"/>
              <w:rPr>
                <w:rFonts w:hint="eastAsia" w:eastAsia="宋体"/>
                <w:lang w:eastAsia="zh-CN"/>
              </w:rPr>
            </w:pPr>
            <w:r>
              <w:rPr>
                <w:rFonts w:hint="eastAsia"/>
                <w:lang w:val="en-US" w:eastAsia="zh-CN"/>
              </w:rPr>
              <w:t>本项目为河道防洪治理工程，工程占地范围集中在河道沿线，本项目占地包括永久占地和临时占地，</w:t>
            </w:r>
            <w:r>
              <w:rPr>
                <w:rFonts w:hint="eastAsia"/>
              </w:rPr>
              <w:t>总占地面积</w:t>
            </w:r>
            <w:r>
              <w:rPr>
                <w:rFonts w:hint="eastAsia"/>
                <w:lang w:val="en-US" w:eastAsia="zh-CN"/>
              </w:rPr>
              <w:t>约5.84</w:t>
            </w:r>
            <w:r>
              <w:rPr>
                <w:rFonts w:hint="eastAsia"/>
              </w:rPr>
              <w:t>hm</w:t>
            </w:r>
            <w:r>
              <w:rPr>
                <w:rFonts w:hint="eastAsia"/>
                <w:vertAlign w:val="superscript"/>
              </w:rPr>
              <w:t>2</w:t>
            </w:r>
            <w:r>
              <w:rPr>
                <w:rFonts w:hint="eastAsia"/>
                <w:lang w:eastAsia="zh-CN"/>
              </w:rPr>
              <w:t>，</w:t>
            </w:r>
            <w:r>
              <w:t>其中永久占地</w:t>
            </w:r>
            <w:r>
              <w:rPr>
                <w:rFonts w:hint="eastAsia"/>
                <w:lang w:val="en-US" w:eastAsia="zh-CN"/>
              </w:rPr>
              <w:t>5.24</w:t>
            </w:r>
            <w:r>
              <w:t>hm</w:t>
            </w:r>
            <w:r>
              <w:rPr>
                <w:vertAlign w:val="superscript"/>
              </w:rPr>
              <w:t>2</w:t>
            </w:r>
            <w:r>
              <w:t>，临时占地</w:t>
            </w:r>
            <w:r>
              <w:rPr>
                <w:rFonts w:hint="eastAsia"/>
                <w:lang w:val="en-US" w:eastAsia="zh-CN"/>
              </w:rPr>
              <w:t>0.60</w:t>
            </w:r>
            <w:r>
              <w:t>hm</w:t>
            </w:r>
            <w:r>
              <w:rPr>
                <w:vertAlign w:val="superscript"/>
              </w:rPr>
              <w:t>2</w:t>
            </w:r>
            <w:r>
              <w:t>。</w:t>
            </w:r>
          </w:p>
          <w:p w14:paraId="5B678DB0">
            <w:pPr>
              <w:pStyle w:val="6"/>
              <w:rPr>
                <w:rFonts w:hint="default" w:eastAsia="宋体"/>
                <w:lang w:val="en-US" w:eastAsia="zh-CN"/>
              </w:rPr>
            </w:pPr>
            <w:r>
              <w:rPr>
                <w:rFonts w:hint="eastAsia"/>
                <w:lang w:val="en-US" w:eastAsia="zh-CN"/>
              </w:rPr>
              <w:t>项目</w:t>
            </w:r>
            <w:r>
              <w:rPr>
                <w:rFonts w:hint="eastAsia"/>
              </w:rPr>
              <w:t>永久占地主要为</w:t>
            </w:r>
            <w:r>
              <w:rPr>
                <w:rFonts w:hint="eastAsia"/>
                <w:lang w:val="en-US" w:eastAsia="zh-CN"/>
              </w:rPr>
              <w:t>堤防护岸、下河梯步及跨河建筑物工程</w:t>
            </w:r>
            <w:r>
              <w:rPr>
                <w:rFonts w:hint="eastAsia"/>
              </w:rPr>
              <w:t>占地，占地</w:t>
            </w:r>
            <w:r>
              <w:rPr>
                <w:rFonts w:hint="eastAsia"/>
                <w:lang w:val="en-US" w:eastAsia="zh-CN"/>
              </w:rPr>
              <w:t>面积约5.24</w:t>
            </w:r>
            <w:r>
              <w:rPr>
                <w:rFonts w:hint="eastAsia"/>
              </w:rPr>
              <w:t>hm</w:t>
            </w:r>
            <w:r>
              <w:rPr>
                <w:rFonts w:hint="eastAsia"/>
                <w:vertAlign w:val="superscript"/>
              </w:rPr>
              <w:t>2</w:t>
            </w:r>
            <w:r>
              <w:rPr>
                <w:rFonts w:hint="eastAsia"/>
                <w:lang w:eastAsia="zh-CN"/>
              </w:rPr>
              <w:t>，</w:t>
            </w:r>
            <w:r>
              <w:rPr>
                <w:rFonts w:hint="eastAsia"/>
                <w:lang w:val="en-US" w:eastAsia="zh-CN"/>
              </w:rPr>
              <w:t>占地类型包括</w:t>
            </w:r>
            <w:r>
              <w:rPr>
                <w:rFonts w:hint="eastAsia" w:ascii="Times New Roman" w:hAnsi="Times New Roman"/>
                <w:lang w:val="en-US" w:eastAsia="zh-CN"/>
              </w:rPr>
              <w:t>耕地0.55hm</w:t>
            </w:r>
            <w:r>
              <w:rPr>
                <w:rFonts w:hint="eastAsia" w:ascii="Times New Roman" w:hAnsi="Times New Roman"/>
                <w:vertAlign w:val="superscript"/>
                <w:lang w:val="en-US" w:eastAsia="zh-CN"/>
              </w:rPr>
              <w:t>2</w:t>
            </w:r>
            <w:r>
              <w:rPr>
                <w:rFonts w:hint="eastAsia"/>
                <w:lang w:val="en-US" w:eastAsia="zh-CN"/>
              </w:rPr>
              <w:t>、</w:t>
            </w:r>
            <w:r>
              <w:rPr>
                <w:rFonts w:hint="eastAsia" w:ascii="Times New Roman" w:hAnsi="Times New Roman"/>
                <w:lang w:val="en-US" w:eastAsia="zh-CN"/>
              </w:rPr>
              <w:t>林地0.57hm</w:t>
            </w:r>
            <w:r>
              <w:rPr>
                <w:rFonts w:hint="eastAsia" w:ascii="Times New Roman" w:hAnsi="Times New Roman"/>
                <w:vertAlign w:val="superscript"/>
                <w:lang w:val="en-US" w:eastAsia="zh-CN"/>
              </w:rPr>
              <w:t>2</w:t>
            </w:r>
            <w:r>
              <w:rPr>
                <w:rFonts w:hint="eastAsia"/>
                <w:lang w:val="en-US" w:eastAsia="zh-CN"/>
              </w:rPr>
              <w:t>、</w:t>
            </w:r>
            <w:r>
              <w:rPr>
                <w:rFonts w:hint="eastAsia" w:ascii="Times New Roman" w:hAnsi="Times New Roman"/>
                <w:lang w:val="en-US" w:eastAsia="zh-CN"/>
              </w:rPr>
              <w:t>草地1.01hm</w:t>
            </w:r>
            <w:r>
              <w:rPr>
                <w:rFonts w:hint="eastAsia" w:ascii="Times New Roman" w:hAnsi="Times New Roman"/>
                <w:vertAlign w:val="superscript"/>
                <w:lang w:val="en-US" w:eastAsia="zh-CN"/>
              </w:rPr>
              <w:t>2</w:t>
            </w:r>
            <w:r>
              <w:rPr>
                <w:rFonts w:hint="eastAsia"/>
                <w:lang w:val="en-US" w:eastAsia="zh-CN"/>
              </w:rPr>
              <w:t>、</w:t>
            </w:r>
            <w:r>
              <w:rPr>
                <w:rFonts w:hint="eastAsia" w:ascii="Times New Roman" w:hAnsi="Times New Roman"/>
                <w:lang w:val="en-US" w:eastAsia="zh-CN"/>
              </w:rPr>
              <w:t>水域及水利设施用地2.86hm</w:t>
            </w:r>
            <w:r>
              <w:rPr>
                <w:rFonts w:hint="eastAsia" w:ascii="Times New Roman" w:hAnsi="Times New Roman"/>
                <w:vertAlign w:val="superscript"/>
                <w:lang w:val="en-US" w:eastAsia="zh-CN"/>
              </w:rPr>
              <w:t>2</w:t>
            </w:r>
            <w:r>
              <w:rPr>
                <w:rFonts w:hint="eastAsia"/>
                <w:lang w:val="en-US" w:eastAsia="zh-CN"/>
              </w:rPr>
              <w:t>、</w:t>
            </w:r>
            <w:r>
              <w:rPr>
                <w:rFonts w:hint="eastAsia" w:ascii="Times New Roman" w:hAnsi="Times New Roman"/>
                <w:lang w:val="en-US" w:eastAsia="zh-CN"/>
              </w:rPr>
              <w:t>居民及交通工矿用地0.25hm</w:t>
            </w:r>
            <w:r>
              <w:rPr>
                <w:rFonts w:hint="eastAsia" w:ascii="Times New Roman" w:hAnsi="Times New Roman"/>
                <w:vertAlign w:val="superscript"/>
                <w:lang w:val="en-US" w:eastAsia="zh-CN"/>
              </w:rPr>
              <w:t>2</w:t>
            </w:r>
            <w:r>
              <w:rPr>
                <w:rFonts w:hint="eastAsia"/>
                <w:lang w:val="en-US" w:eastAsia="zh-CN"/>
              </w:rPr>
              <w:t>。</w:t>
            </w:r>
            <w:r>
              <w:t>工程永久占地将改变原有土地利用性质，导致耕地、林地</w:t>
            </w:r>
            <w:r>
              <w:rPr>
                <w:rFonts w:hint="eastAsia"/>
                <w:lang w:eastAsia="zh-CN"/>
              </w:rPr>
              <w:t>、</w:t>
            </w:r>
            <w:r>
              <w:rPr>
                <w:rFonts w:hint="eastAsia"/>
                <w:lang w:val="en-US" w:eastAsia="zh-CN"/>
              </w:rPr>
              <w:t>草地</w:t>
            </w:r>
            <w:r>
              <w:t>的面积有一定减少</w:t>
            </w:r>
            <w:r>
              <w:rPr>
                <w:rFonts w:hint="eastAsia"/>
                <w:lang w:eastAsia="zh-CN"/>
              </w:rPr>
              <w:t>，</w:t>
            </w:r>
            <w:r>
              <w:rPr>
                <w:rFonts w:hint="eastAsia"/>
                <w:lang w:val="en-US" w:eastAsia="zh-CN"/>
              </w:rPr>
              <w:t>工程建设后永久占地均为建设用地，但占地类型小，且占区域同类型总土地利用量的比例小，对区域土地利用类型格局的改变小。</w:t>
            </w:r>
          </w:p>
          <w:p w14:paraId="2D7870F0">
            <w:pPr>
              <w:pStyle w:val="6"/>
              <w:rPr>
                <w:rFonts w:hint="eastAsia"/>
                <w:lang w:val="en-US" w:eastAsia="zh-CN"/>
              </w:rPr>
            </w:pPr>
            <w:r>
              <w:rPr>
                <w:rFonts w:hint="eastAsia"/>
                <w:lang w:val="en-US" w:eastAsia="zh-CN"/>
              </w:rPr>
              <w:t>项目临时占地主要为</w:t>
            </w:r>
            <w:r>
              <w:rPr>
                <w:rFonts w:hint="eastAsia" w:ascii="Times New Roman" w:hAnsi="Times New Roman"/>
                <w:lang w:val="en-US" w:eastAsia="zh-CN"/>
              </w:rPr>
              <w:t>工区内的混凝土拌合站、机械停放</w:t>
            </w:r>
            <w:r>
              <w:rPr>
                <w:rFonts w:hint="eastAsia"/>
                <w:lang w:val="en-US" w:eastAsia="zh-CN"/>
              </w:rPr>
              <w:t>场</w:t>
            </w:r>
            <w:r>
              <w:rPr>
                <w:rFonts w:hint="eastAsia" w:ascii="Times New Roman" w:hAnsi="Times New Roman"/>
                <w:lang w:val="en-US" w:eastAsia="zh-CN"/>
              </w:rPr>
              <w:t>、综合加工棚等临建设施用地、临时道路及临时堆料场用地</w:t>
            </w:r>
            <w:r>
              <w:rPr>
                <w:rFonts w:hint="eastAsia"/>
                <w:lang w:val="en-US" w:eastAsia="zh-CN"/>
              </w:rPr>
              <w:t>，</w:t>
            </w:r>
            <w:r>
              <w:rPr>
                <w:rFonts w:hint="default" w:eastAsia="宋体"/>
                <w:lang w:val="en-US" w:eastAsia="zh-CN"/>
              </w:rPr>
              <w:t>占地面积约</w:t>
            </w:r>
            <w:r>
              <w:rPr>
                <w:rFonts w:hint="eastAsia"/>
                <w:lang w:val="en-US" w:eastAsia="zh-CN"/>
              </w:rPr>
              <w:t>0.6</w:t>
            </w:r>
            <w:r>
              <w:rPr>
                <w:rFonts w:hint="default" w:eastAsia="宋体"/>
                <w:lang w:val="en-US" w:eastAsia="zh-CN"/>
              </w:rPr>
              <w:t>hm</w:t>
            </w:r>
            <w:r>
              <w:rPr>
                <w:rFonts w:hint="default" w:eastAsia="宋体"/>
                <w:vertAlign w:val="superscript"/>
                <w:lang w:val="en-US" w:eastAsia="zh-CN"/>
              </w:rPr>
              <w:t>2</w:t>
            </w:r>
            <w:r>
              <w:rPr>
                <w:rFonts w:hint="default" w:eastAsia="宋体"/>
                <w:lang w:val="en-US" w:eastAsia="zh-CN"/>
              </w:rPr>
              <w:t>，主要</w:t>
            </w:r>
            <w:r>
              <w:rPr>
                <w:rFonts w:hint="eastAsia"/>
                <w:lang w:val="en-US" w:eastAsia="zh-CN"/>
              </w:rPr>
              <w:t>占地</w:t>
            </w:r>
            <w:r>
              <w:rPr>
                <w:rFonts w:hint="default" w:eastAsia="宋体"/>
                <w:lang w:val="en-US" w:eastAsia="zh-CN"/>
              </w:rPr>
              <w:t>类型</w:t>
            </w:r>
            <w:r>
              <w:rPr>
                <w:rFonts w:hint="eastAsia" w:ascii="Times New Roman" w:hAnsi="Times New Roman"/>
                <w:lang w:val="en-US" w:eastAsia="zh-CN"/>
              </w:rPr>
              <w:t>包括占用耕地0.23hm</w:t>
            </w:r>
            <w:r>
              <w:rPr>
                <w:rFonts w:hint="eastAsia" w:ascii="Times New Roman" w:hAnsi="Times New Roman"/>
                <w:vertAlign w:val="superscript"/>
                <w:lang w:val="en-US" w:eastAsia="zh-CN"/>
              </w:rPr>
              <w:t>2</w:t>
            </w:r>
            <w:r>
              <w:rPr>
                <w:rFonts w:hint="eastAsia" w:ascii="Times New Roman" w:hAnsi="Times New Roman"/>
                <w:lang w:val="en-US" w:eastAsia="zh-CN"/>
              </w:rPr>
              <w:t>，草地0.34m</w:t>
            </w:r>
            <w:r>
              <w:rPr>
                <w:rFonts w:hint="eastAsia" w:ascii="Times New Roman" w:hAnsi="Times New Roman"/>
                <w:vertAlign w:val="superscript"/>
                <w:lang w:val="en-US" w:eastAsia="zh-CN"/>
              </w:rPr>
              <w:t>2</w:t>
            </w:r>
            <w:r>
              <w:rPr>
                <w:rFonts w:hint="eastAsia" w:ascii="Times New Roman" w:hAnsi="Times New Roman"/>
                <w:lang w:val="en-US" w:eastAsia="zh-CN"/>
              </w:rPr>
              <w:t>，水域及水利设施用地0.03hm</w:t>
            </w:r>
            <w:r>
              <w:rPr>
                <w:rFonts w:hint="eastAsia" w:ascii="Times New Roman" w:hAnsi="Times New Roman"/>
                <w:vertAlign w:val="superscript"/>
                <w:lang w:val="en-US" w:eastAsia="zh-CN"/>
              </w:rPr>
              <w:t>2</w:t>
            </w:r>
            <w:r>
              <w:rPr>
                <w:rFonts w:hint="eastAsia"/>
                <w:lang w:val="en-US" w:eastAsia="zh-CN"/>
              </w:rPr>
              <w:t>。</w:t>
            </w:r>
            <w:r>
              <w:t>工程临时占地将短期内改变土地利用性质，减少耕地、</w:t>
            </w:r>
            <w:r>
              <w:rPr>
                <w:rFonts w:hint="eastAsia"/>
                <w:lang w:val="en-US" w:eastAsia="zh-CN"/>
              </w:rPr>
              <w:t>草地</w:t>
            </w:r>
            <w:r>
              <w:t>的面积</w:t>
            </w:r>
            <w:r>
              <w:rPr>
                <w:rFonts w:hint="eastAsia"/>
                <w:lang w:eastAsia="zh-CN"/>
              </w:rPr>
              <w:t>。</w:t>
            </w:r>
            <w:r>
              <w:rPr>
                <w:rFonts w:hint="default" w:eastAsia="宋体"/>
                <w:lang w:val="en-US" w:eastAsia="zh-CN"/>
              </w:rPr>
              <w:t>但临时占地属于暂时行为，占用时间短，待施工结束后按原有土地利用类型进行生态复垦。在采取水土保持</w:t>
            </w:r>
            <w:r>
              <w:rPr>
                <w:rFonts w:hint="eastAsia"/>
                <w:lang w:val="en-US" w:eastAsia="zh-CN"/>
              </w:rPr>
              <w:t>及</w:t>
            </w:r>
            <w:r>
              <w:rPr>
                <w:rFonts w:hint="default" w:eastAsia="宋体"/>
                <w:lang w:val="en-US" w:eastAsia="zh-CN"/>
              </w:rPr>
              <w:t>生态恢复措施后，临时占地土地利用类型将得到恢复</w:t>
            </w:r>
            <w:r>
              <w:rPr>
                <w:rFonts w:hint="eastAsia"/>
                <w:lang w:val="en-US" w:eastAsia="zh-CN"/>
              </w:rPr>
              <w:t>，对区域土地利用类型格局的改变小。</w:t>
            </w:r>
          </w:p>
          <w:p w14:paraId="1925234E">
            <w:pPr>
              <w:pStyle w:val="5"/>
              <w:numPr>
                <w:ilvl w:val="3"/>
                <w:numId w:val="7"/>
              </w:numPr>
              <w:bidi w:val="0"/>
              <w:rPr>
                <w:rFonts w:hint="eastAsia"/>
              </w:rPr>
            </w:pPr>
            <w:r>
              <w:rPr>
                <w:rFonts w:hint="eastAsia"/>
              </w:rPr>
              <w:t>对植被</w:t>
            </w:r>
            <w:r>
              <w:rPr>
                <w:rFonts w:hint="eastAsia"/>
                <w:lang w:val="en-US" w:eastAsia="zh-CN"/>
              </w:rPr>
              <w:t>及植物资源</w:t>
            </w:r>
            <w:r>
              <w:rPr>
                <w:rFonts w:hint="eastAsia"/>
              </w:rPr>
              <w:t>的影响</w:t>
            </w:r>
          </w:p>
          <w:p w14:paraId="6E5DE96F">
            <w:pPr>
              <w:pStyle w:val="6"/>
              <w:rPr>
                <w:rFonts w:hint="eastAsia"/>
                <w:lang w:val="en-US" w:eastAsia="zh-CN"/>
              </w:rPr>
            </w:pPr>
            <w:r>
              <w:rPr>
                <w:rFonts w:hint="eastAsia"/>
                <w:lang w:val="en-US" w:eastAsia="zh-CN"/>
              </w:rPr>
              <w:t>工程永久占地会改变土地利用类型，地表植被将被建筑物所代替，引起的植被损失不可恢复。临时占地将被破坏或占压地表植被，但对植被的损失是暂时的，施工结束后采取一定的生态恢复措施可以恢复。</w:t>
            </w:r>
          </w:p>
          <w:p w14:paraId="1415F438">
            <w:pPr>
              <w:pStyle w:val="6"/>
              <w:rPr>
                <w:rFonts w:hint="default"/>
                <w:lang w:val="en-US" w:eastAsia="zh-CN"/>
              </w:rPr>
            </w:pPr>
            <w:r>
              <w:rPr>
                <w:rFonts w:hint="eastAsia"/>
                <w:lang w:val="en-US" w:eastAsia="zh-CN"/>
              </w:rPr>
              <w:t>（1）施工占地的影响</w:t>
            </w:r>
          </w:p>
          <w:p w14:paraId="67511821">
            <w:pPr>
              <w:pStyle w:val="6"/>
              <w:rPr>
                <w:rFonts w:hint="eastAsia"/>
                <w:lang w:val="en-US" w:eastAsia="zh-CN"/>
              </w:rPr>
            </w:pPr>
            <w:r>
              <w:rPr>
                <w:rFonts w:hint="eastAsia"/>
                <w:lang w:val="en-US" w:eastAsia="zh-CN"/>
              </w:rPr>
              <w:t>根据现场调查，本工程占地范围内现存的植物物种均为周边地区常见的物种，未发现评价范围内有国家及四川省重点保护野生植物及珍稀濒危野生植物，也无古树名木分布。生态系统以农业生态系统为主，物种种类较少，营养层次简单。本项目施工占地面积较小，对植物的影响较小，仅为常见个体损失，对区域植被生物量的影响不大，变化幅度不大，项目占地不会改变区域的植物种类及植被类型，影响较小。</w:t>
            </w:r>
          </w:p>
          <w:p w14:paraId="44992B15">
            <w:pPr>
              <w:pStyle w:val="6"/>
              <w:rPr>
                <w:rFonts w:hint="eastAsia"/>
                <w:lang w:val="en-US" w:eastAsia="zh-CN"/>
              </w:rPr>
            </w:pPr>
            <w:r>
              <w:rPr>
                <w:rFonts w:hint="eastAsia"/>
                <w:lang w:val="en-US" w:eastAsia="zh-CN"/>
              </w:rPr>
              <w:t>施工过程将破坏原有河道植被，但通过实施生态修复工程及施工结束后的迹地恢复，河道两侧将重新栽种绿化植被，布置景观绿化带，工程实施后将极大地改善河道两岸陆生植被景观，增加陆生植物多样性。</w:t>
            </w:r>
          </w:p>
          <w:p w14:paraId="05596779">
            <w:pPr>
              <w:pStyle w:val="6"/>
              <w:rPr>
                <w:rFonts w:hint="default"/>
                <w:lang w:val="en-US" w:eastAsia="zh-CN"/>
              </w:rPr>
            </w:pPr>
            <w:r>
              <w:rPr>
                <w:rFonts w:hint="eastAsia"/>
                <w:lang w:val="en-US" w:eastAsia="zh-CN"/>
              </w:rPr>
              <w:t>（2）施工活动的影响</w:t>
            </w:r>
          </w:p>
          <w:p w14:paraId="7B8D8C47">
            <w:pPr>
              <w:pStyle w:val="6"/>
              <w:rPr>
                <w:rFonts w:hint="eastAsia"/>
                <w:lang w:val="en-US" w:eastAsia="zh-CN"/>
              </w:rPr>
            </w:pPr>
            <w:r>
              <w:rPr>
                <w:rFonts w:hint="eastAsia"/>
                <w:lang w:val="en-US" w:eastAsia="zh-CN"/>
              </w:rPr>
              <w:t>除工程占地产生的直接影响外，工程施工活动将对占地周围、运输道路两侧的植被产生间接干扰，施工期施工活动对植物及植被的影响因素主要有施工活动产生的废水、废气、固废及人为干扰等。依据施工活动对植物的影响方式，可分为直接影响及间接影响，直接影响主要是指人员活动、车辆碾压等会使周边植物个体损失，植被生物量减少；间接影响主要是指施工过程中产生的废气、废水、固废、扬尘等会使周边植物的生命活动受阻。但这些干扰对植物多样性的影响并不明显，干扰消失后植物群落将很快恢复，同时施工期人为干扰等可通过加强施工管理和宣传教育活动，加强施工监理，在施工前划定施工范围，规范施工人员活动等进行缓解，废气、废水、固废、扬尘等污染防治措施落实后，施工活动对植物及植被的影响很小。因此，本项目建设施工对植物的间接影响很小。</w:t>
            </w:r>
          </w:p>
          <w:p w14:paraId="20F62CBD">
            <w:pPr>
              <w:pStyle w:val="5"/>
              <w:numPr>
                <w:ilvl w:val="3"/>
                <w:numId w:val="7"/>
              </w:numPr>
              <w:bidi w:val="0"/>
              <w:rPr>
                <w:rFonts w:hint="eastAsia"/>
              </w:rPr>
            </w:pPr>
            <w:r>
              <w:rPr>
                <w:rFonts w:hint="eastAsia"/>
              </w:rPr>
              <w:t>对</w:t>
            </w:r>
            <w:r>
              <w:rPr>
                <w:rFonts w:hint="eastAsia"/>
                <w:lang w:val="en-US" w:eastAsia="zh-CN"/>
              </w:rPr>
              <w:t>陆生</w:t>
            </w:r>
            <w:r>
              <w:rPr>
                <w:rFonts w:hint="eastAsia"/>
              </w:rPr>
              <w:t>野生动物的影响</w:t>
            </w:r>
          </w:p>
          <w:p w14:paraId="6049E15D">
            <w:pPr>
              <w:pStyle w:val="6"/>
              <w:rPr>
                <w:rFonts w:hint="eastAsia"/>
              </w:rPr>
            </w:pPr>
            <w:r>
              <w:rPr>
                <w:rFonts w:hint="eastAsia"/>
              </w:rPr>
              <w:t>本项目施工期对陆生动物的影响主要包括工程占地对动物栖息的影响，施工噪声和振动影响以及施工人员的干扰影响等。</w:t>
            </w:r>
          </w:p>
          <w:p w14:paraId="3D20EE8A">
            <w:pPr>
              <w:pStyle w:val="6"/>
              <w:rPr>
                <w:rFonts w:hint="eastAsia"/>
              </w:rPr>
            </w:pPr>
            <w:r>
              <w:rPr>
                <w:rFonts w:hint="eastAsia"/>
                <w:lang w:eastAsia="zh-CN"/>
              </w:rPr>
              <w:t>（</w:t>
            </w:r>
            <w:r>
              <w:rPr>
                <w:rFonts w:hint="eastAsia"/>
                <w:lang w:val="en-US" w:eastAsia="zh-CN"/>
              </w:rPr>
              <w:t>1</w:t>
            </w:r>
            <w:r>
              <w:rPr>
                <w:rFonts w:hint="eastAsia"/>
                <w:lang w:eastAsia="zh-CN"/>
              </w:rPr>
              <w:t>）</w:t>
            </w:r>
            <w:r>
              <w:rPr>
                <w:rFonts w:hint="eastAsia"/>
                <w:lang w:val="en-US" w:eastAsia="zh-CN"/>
              </w:rPr>
              <w:t>项目</w:t>
            </w:r>
            <w:r>
              <w:rPr>
                <w:rFonts w:hint="eastAsia"/>
              </w:rPr>
              <w:t>占地对动物栖息地的影响</w:t>
            </w:r>
          </w:p>
          <w:p w14:paraId="57F851D9">
            <w:pPr>
              <w:pStyle w:val="6"/>
              <w:rPr>
                <w:rFonts w:hint="eastAsia"/>
              </w:rPr>
            </w:pPr>
            <w:r>
              <w:rPr>
                <w:rFonts w:hint="eastAsia"/>
              </w:rPr>
              <w:t>本项目占地将使部分动物丧失其原有栖息地，导致其生境范围有所缩小。根据</w:t>
            </w:r>
            <w:r>
              <w:rPr>
                <w:rFonts w:hint="eastAsia"/>
                <w:lang w:val="en-US" w:eastAsia="zh-CN"/>
              </w:rPr>
              <w:t>现场</w:t>
            </w:r>
            <w:r>
              <w:rPr>
                <w:rFonts w:hint="eastAsia"/>
              </w:rPr>
              <w:t>调查，</w:t>
            </w:r>
            <w:r>
              <w:rPr>
                <w:rFonts w:hint="eastAsia"/>
                <w:lang w:val="en-US" w:eastAsia="zh-CN"/>
              </w:rPr>
              <w:t>项目区域人类活动频繁，陆生动物较少，项目沿线两侧动物以小型啮齿类农田动物为主，项目用地及周边未发现国家、地方重点保护野生动物。</w:t>
            </w:r>
            <w:r>
              <w:rPr>
                <w:rFonts w:hint="eastAsia"/>
              </w:rPr>
              <w:t>受项目永久和临时占地影响的野生动物生境主要包括</w:t>
            </w:r>
            <w:r>
              <w:rPr>
                <w:rFonts w:hint="eastAsia"/>
                <w:lang w:val="en-US" w:eastAsia="zh-CN"/>
              </w:rPr>
              <w:t>耕地</w:t>
            </w:r>
            <w:r>
              <w:rPr>
                <w:rFonts w:hint="eastAsia"/>
              </w:rPr>
              <w:t>、</w:t>
            </w:r>
            <w:r>
              <w:rPr>
                <w:rFonts w:hint="eastAsia"/>
                <w:lang w:val="en-US" w:eastAsia="zh-CN"/>
              </w:rPr>
              <w:t>林地</w:t>
            </w:r>
            <w:r>
              <w:rPr>
                <w:rFonts w:hint="eastAsia"/>
              </w:rPr>
              <w:t>和</w:t>
            </w:r>
            <w:r>
              <w:rPr>
                <w:rFonts w:hint="eastAsia"/>
                <w:lang w:val="en-US" w:eastAsia="zh-CN"/>
              </w:rPr>
              <w:t>草地，由于施工占地面积不大，占其总体活动范围的很小部分，因此影响很小。且</w:t>
            </w:r>
            <w:r>
              <w:rPr>
                <w:rFonts w:hint="eastAsia"/>
              </w:rPr>
              <w:t>施工区周边分布有大量同类型的</w:t>
            </w:r>
            <w:r>
              <w:rPr>
                <w:rFonts w:hint="eastAsia"/>
                <w:color w:val="auto"/>
              </w:rPr>
              <w:t>生境，野生动物在受到施工活动影响后一般能在周边找到适宜生境。在施工结束后，随着干扰消失，部分生境得以恢复</w:t>
            </w:r>
            <w:r>
              <w:rPr>
                <w:rFonts w:hint="eastAsia"/>
                <w:color w:val="auto"/>
                <w:lang w:eastAsia="zh-CN"/>
              </w:rPr>
              <w:t>，陆生动物可自行迁回，且项目堤防为分段不连续建设，不会对现有动物的迁移活动形成阻隔，施工结束后</w:t>
            </w:r>
            <w:r>
              <w:rPr>
                <w:rFonts w:hint="eastAsia"/>
                <w:color w:val="auto"/>
                <w:lang w:val="en-US" w:eastAsia="zh-CN"/>
              </w:rPr>
              <w:t>对动物影响</w:t>
            </w:r>
            <w:r>
              <w:rPr>
                <w:rFonts w:hint="eastAsia"/>
                <w:color w:val="auto"/>
                <w:lang w:eastAsia="zh-CN"/>
              </w:rPr>
              <w:t>逐渐消失</w:t>
            </w:r>
            <w:r>
              <w:rPr>
                <w:rFonts w:hint="eastAsia"/>
                <w:color w:val="auto"/>
              </w:rPr>
              <w:t>。</w:t>
            </w:r>
          </w:p>
          <w:p w14:paraId="33B6B8D8">
            <w:pPr>
              <w:pStyle w:val="6"/>
              <w:rPr>
                <w:rFonts w:hint="eastAsia"/>
              </w:rPr>
            </w:pPr>
            <w:r>
              <w:rPr>
                <w:rFonts w:hint="eastAsia"/>
                <w:lang w:eastAsia="zh-CN"/>
              </w:rPr>
              <w:t>（</w:t>
            </w:r>
            <w:r>
              <w:rPr>
                <w:rFonts w:hint="eastAsia"/>
                <w:lang w:val="en-US" w:eastAsia="zh-CN"/>
              </w:rPr>
              <w:t>2</w:t>
            </w:r>
            <w:r>
              <w:rPr>
                <w:rFonts w:hint="eastAsia"/>
                <w:lang w:eastAsia="zh-CN"/>
              </w:rPr>
              <w:t>）</w:t>
            </w:r>
            <w:r>
              <w:rPr>
                <w:rFonts w:hint="eastAsia"/>
              </w:rPr>
              <w:t>施工噪声和振动对动物的影响</w:t>
            </w:r>
          </w:p>
          <w:p w14:paraId="7C98DB39">
            <w:pPr>
              <w:pStyle w:val="6"/>
              <w:rPr>
                <w:rFonts w:hint="eastAsia"/>
                <w:lang w:val="en-US" w:eastAsia="zh-CN"/>
              </w:rPr>
            </w:pPr>
            <w:r>
              <w:rPr>
                <w:rFonts w:hint="eastAsia"/>
                <w:lang w:val="en-US" w:eastAsia="zh-CN"/>
              </w:rPr>
              <w:t>本项目施工期噪声与振动会对动物造成一定的驱赶影响，向周边区域迁移，施工区周边分布有大量同类型的生境，野生动物在受到施工活动影响后一般能在周边找到适宜生境。本项目呈线状分布，影响区域有限，且施工周期不长，影响持续时间有限。在施工结束后，随着干扰消失，部分生境得以恢复，施工结束后对动物影响逐渐消失。</w:t>
            </w:r>
          </w:p>
          <w:p w14:paraId="74EFA1CF">
            <w:pPr>
              <w:pStyle w:val="6"/>
              <w:rPr>
                <w:rFonts w:hint="eastAsia"/>
              </w:rPr>
            </w:pPr>
            <w:r>
              <w:rPr>
                <w:rFonts w:hint="eastAsia"/>
                <w:lang w:eastAsia="zh-CN"/>
              </w:rPr>
              <w:t>（</w:t>
            </w:r>
            <w:r>
              <w:rPr>
                <w:rFonts w:hint="eastAsia"/>
                <w:lang w:val="en-US" w:eastAsia="zh-CN"/>
              </w:rPr>
              <w:t>3</w:t>
            </w:r>
            <w:r>
              <w:rPr>
                <w:rFonts w:hint="eastAsia"/>
                <w:lang w:eastAsia="zh-CN"/>
              </w:rPr>
              <w:t>）</w:t>
            </w:r>
            <w:r>
              <w:rPr>
                <w:rFonts w:hint="eastAsia"/>
              </w:rPr>
              <w:t>施工人员活动对动物的影响</w:t>
            </w:r>
          </w:p>
          <w:p w14:paraId="5EC885D5">
            <w:pPr>
              <w:pStyle w:val="6"/>
              <w:rPr>
                <w:rFonts w:hint="eastAsia"/>
              </w:rPr>
            </w:pPr>
            <w:r>
              <w:rPr>
                <w:rFonts w:hint="eastAsia"/>
              </w:rPr>
              <w:t>施工活动中人为干扰不可避免</w:t>
            </w:r>
            <w:r>
              <w:rPr>
                <w:rFonts w:hint="eastAsia"/>
                <w:lang w:eastAsia="zh-CN"/>
              </w:rPr>
              <w:t>，</w:t>
            </w:r>
            <w:r>
              <w:rPr>
                <w:rFonts w:hint="eastAsia"/>
              </w:rPr>
              <w:t>部分具有一定食用价值以及经济价值的兔类、鸟类等，有可能因为施工人员的捕杀，而造成其种群中个体数量的下降，影响其种群大小。根据</w:t>
            </w:r>
            <w:r>
              <w:rPr>
                <w:rFonts w:hint="eastAsia"/>
                <w:lang w:val="en-US" w:eastAsia="zh-CN"/>
              </w:rPr>
              <w:t>现场</w:t>
            </w:r>
            <w:r>
              <w:rPr>
                <w:rFonts w:hint="eastAsia"/>
              </w:rPr>
              <w:t>调查，</w:t>
            </w:r>
            <w:r>
              <w:rPr>
                <w:rFonts w:hint="eastAsia"/>
                <w:lang w:val="en-US" w:eastAsia="zh-CN"/>
              </w:rPr>
              <w:t>项目施工区域周边分布有村庄，人类活动频繁，陆生动物较少，施工期</w:t>
            </w:r>
            <w:r>
              <w:rPr>
                <w:rFonts w:hint="eastAsia"/>
              </w:rPr>
              <w:t>应严格约束施工人员对动物的捕杀行为。</w:t>
            </w:r>
          </w:p>
          <w:p w14:paraId="6FB54404">
            <w:pPr>
              <w:pStyle w:val="6"/>
              <w:rPr>
                <w:rFonts w:hint="eastAsia" w:eastAsia="宋体"/>
                <w:lang w:eastAsia="zh-CN"/>
              </w:rPr>
            </w:pPr>
            <w:r>
              <w:rPr>
                <w:rFonts w:hint="eastAsia"/>
                <w:lang w:val="en-US" w:eastAsia="zh-CN"/>
              </w:rPr>
              <w:t>综上分析，项目</w:t>
            </w:r>
            <w:r>
              <w:rPr>
                <w:rFonts w:hint="eastAsia"/>
              </w:rPr>
              <w:t>对陆生动物的影响较小，为短暂、局部影响，工程结束后影响消除</w:t>
            </w:r>
            <w:r>
              <w:rPr>
                <w:rFonts w:hint="eastAsia"/>
                <w:lang w:eastAsia="zh-CN"/>
              </w:rPr>
              <w:t>。</w:t>
            </w:r>
          </w:p>
          <w:p w14:paraId="080B0864">
            <w:pPr>
              <w:pStyle w:val="5"/>
              <w:numPr>
                <w:ilvl w:val="3"/>
                <w:numId w:val="7"/>
              </w:numPr>
              <w:bidi w:val="0"/>
              <w:rPr>
                <w:rFonts w:hint="eastAsia"/>
              </w:rPr>
            </w:pPr>
            <w:bookmarkStart w:id="64" w:name="_Toc16469"/>
            <w:bookmarkStart w:id="65" w:name="_Toc193096272"/>
            <w:r>
              <w:rPr>
                <w:rFonts w:hint="eastAsia"/>
                <w:lang w:val="en-US" w:eastAsia="zh-CN"/>
              </w:rPr>
              <w:t>对</w:t>
            </w:r>
            <w:r>
              <w:rPr>
                <w:rFonts w:hint="eastAsia"/>
                <w:lang w:eastAsia="zh-CN"/>
              </w:rPr>
              <w:t>水生生态</w:t>
            </w:r>
            <w:r>
              <w:rPr>
                <w:rFonts w:hint="eastAsia"/>
                <w:lang w:val="en-US" w:eastAsia="zh-CN"/>
              </w:rPr>
              <w:t>的</w:t>
            </w:r>
            <w:r>
              <w:rPr>
                <w:rFonts w:hint="eastAsia"/>
                <w:lang w:eastAsia="zh-CN"/>
              </w:rPr>
              <w:t>影响分析</w:t>
            </w:r>
            <w:bookmarkEnd w:id="64"/>
          </w:p>
          <w:p w14:paraId="63869C93">
            <w:pPr>
              <w:pStyle w:val="6"/>
              <w:bidi w:val="0"/>
              <w:rPr>
                <w:rFonts w:hint="eastAsia" w:eastAsia="宋体"/>
                <w:lang w:val="en-US" w:eastAsia="zh-CN"/>
              </w:rPr>
            </w:pPr>
            <w:r>
              <w:rPr>
                <w:rFonts w:hint="eastAsia" w:eastAsia="宋体"/>
                <w:lang w:val="en-US" w:eastAsia="zh-CN"/>
              </w:rPr>
              <w:t>本项目的堤防工程、河道疏浚工程等涉水施工，会占用部分河道，不可避免会扰动水体，影响水体生物及生态环境，对河道内的浮游生物、底栖动物及鱼类产生不同的影响。</w:t>
            </w:r>
          </w:p>
          <w:p w14:paraId="024DDAB4">
            <w:pPr>
              <w:pStyle w:val="6"/>
              <w:bidi w:val="0"/>
              <w:rPr>
                <w:rFonts w:hint="default" w:eastAsia="宋体"/>
                <w:lang w:val="en-US" w:eastAsia="zh-CN"/>
              </w:rPr>
            </w:pPr>
            <w:r>
              <w:rPr>
                <w:rFonts w:hint="eastAsia"/>
                <w:lang w:val="en-US" w:eastAsia="zh-CN"/>
              </w:rPr>
              <w:t>（1）对水生生境的影响</w:t>
            </w:r>
          </w:p>
          <w:p w14:paraId="6D1746AF">
            <w:pPr>
              <w:pStyle w:val="6"/>
              <w:bidi w:val="0"/>
              <w:rPr>
                <w:rFonts w:hint="eastAsia" w:eastAsia="宋体"/>
                <w:lang w:val="en-US" w:eastAsia="zh-CN"/>
              </w:rPr>
            </w:pPr>
            <w:r>
              <w:rPr>
                <w:rFonts w:hint="eastAsia" w:eastAsia="宋体"/>
                <w:lang w:val="en-US" w:eastAsia="zh-CN"/>
              </w:rPr>
              <w:t>本项目施工废水基本不外排，仅部分基坑排水基坑废水达标外排，基坑排水对地表水水质影响较小；堤防工程、河道疏浚工程施工将对河流水质有一定的扰动影响，但施工期避开了洪水期，主要在枯水期进行，均采取相应的措施进一步减少对河流水质的扰动影响，且施工是暂时的，对河流水体水质的影响较小，水质对河流水生生境的影响不大。堤防施工结束后，河流岸线由杂乱且易垮塌变为流畅整洁且抗冲刷，使河流水生生境变好。</w:t>
            </w:r>
          </w:p>
          <w:p w14:paraId="0BF52D31">
            <w:pPr>
              <w:pStyle w:val="6"/>
              <w:bidi w:val="0"/>
              <w:rPr>
                <w:rFonts w:hint="default" w:eastAsia="宋体"/>
                <w:lang w:val="en-US" w:eastAsia="zh-CN"/>
              </w:rPr>
            </w:pPr>
            <w:r>
              <w:rPr>
                <w:rFonts w:hint="eastAsia"/>
                <w:lang w:val="en-US" w:eastAsia="zh-CN"/>
              </w:rPr>
              <w:t>（2）对河流连通性的影响</w:t>
            </w:r>
          </w:p>
          <w:p w14:paraId="442B0A13">
            <w:pPr>
              <w:pStyle w:val="6"/>
              <w:bidi w:val="0"/>
              <w:rPr>
                <w:rFonts w:hint="eastAsia" w:eastAsia="宋体"/>
                <w:lang w:val="en-US" w:eastAsia="zh-CN"/>
              </w:rPr>
            </w:pPr>
            <w:r>
              <w:rPr>
                <w:rFonts w:hint="eastAsia" w:eastAsia="宋体"/>
                <w:lang w:val="en-US" w:eastAsia="zh-CN"/>
              </w:rPr>
              <w:t>河流水系连通是影响水生生态环境的一个重要因素，河流连通性的提高，可以使河道水流、水域面积增加，净污比增高，水质控制条件区域稳定，可以提高河流的水资源更新能力和自净能力，起到改善水质、修复生态环境的效果。项目河道</w:t>
            </w:r>
            <w:r>
              <w:rPr>
                <w:rFonts w:hint="eastAsia"/>
                <w:lang w:val="en-US" w:eastAsia="zh-CN"/>
              </w:rPr>
              <w:t>疏浚工程</w:t>
            </w:r>
            <w:r>
              <w:rPr>
                <w:rFonts w:hint="eastAsia" w:eastAsia="宋体"/>
                <w:lang w:val="en-US" w:eastAsia="zh-CN"/>
              </w:rPr>
              <w:t>主要清除河心滩堆积物，其堆积物以上游推移砂卵砾石为主，含泥量较少。底泥被挖走后，由自然演替而来的河床环境将会发生改变，原本深浅交替的地势会变得平坦</w:t>
            </w:r>
            <w:r>
              <w:rPr>
                <w:rFonts w:hint="eastAsia"/>
                <w:lang w:val="en-US" w:eastAsia="zh-CN"/>
              </w:rPr>
              <w:t>，河道变得通畅，有利于河水流动，</w:t>
            </w:r>
            <w:r>
              <w:rPr>
                <w:rFonts w:hint="eastAsia"/>
              </w:rPr>
              <w:t>河流连通性增强</w:t>
            </w:r>
            <w:r>
              <w:rPr>
                <w:rFonts w:hint="eastAsia"/>
                <w:lang w:eastAsia="zh-CN"/>
              </w:rPr>
              <w:t>。</w:t>
            </w:r>
          </w:p>
          <w:p w14:paraId="61737DE0">
            <w:pPr>
              <w:pStyle w:val="6"/>
              <w:bidi w:val="0"/>
              <w:rPr>
                <w:rFonts w:hint="default" w:eastAsia="宋体"/>
                <w:lang w:val="en-US" w:eastAsia="zh-CN"/>
              </w:rPr>
            </w:pPr>
            <w:r>
              <w:rPr>
                <w:rFonts w:hint="eastAsia"/>
                <w:lang w:val="en-US" w:eastAsia="zh-CN"/>
              </w:rPr>
              <w:t>（3）对浮游生物的影响</w:t>
            </w:r>
          </w:p>
          <w:p w14:paraId="02C2C7B0">
            <w:pPr>
              <w:pStyle w:val="6"/>
              <w:bidi w:val="0"/>
              <w:rPr>
                <w:rFonts w:hint="eastAsia" w:eastAsia="宋体"/>
                <w:lang w:val="en-US" w:eastAsia="zh-CN"/>
              </w:rPr>
            </w:pPr>
            <w:r>
              <w:rPr>
                <w:rFonts w:hint="eastAsia" w:eastAsia="宋体"/>
                <w:lang w:val="en-US" w:eastAsia="zh-CN"/>
              </w:rPr>
              <w:t>工程施工将不可避免的对区域内的浮游动物生长发育产生威胁，施工作业会引起水中悬浮物的增加，降低了水质透光率，因而影响浮游植物的光合作用，降低局部水域内的初级生产力水平，同时也会打乱一些靠光线强度变化而进行上下垂直迁移的动物的生活规律；悬浮物还会黏附在浮游生物体表，因而使其运动、摄食等活动受到影响，严重时会造成死亡，从而使局部水域内浮游生物的数量减少。</w:t>
            </w:r>
          </w:p>
          <w:p w14:paraId="14287DC4">
            <w:pPr>
              <w:pStyle w:val="6"/>
              <w:bidi w:val="0"/>
              <w:rPr>
                <w:rFonts w:hint="default" w:eastAsia="宋体"/>
                <w:lang w:val="en-US" w:eastAsia="zh-CN"/>
              </w:rPr>
            </w:pPr>
            <w:r>
              <w:rPr>
                <w:rFonts w:hint="eastAsia"/>
                <w:lang w:val="en-US" w:eastAsia="zh-CN"/>
              </w:rPr>
              <w:t>（4）对底栖动物的影响</w:t>
            </w:r>
          </w:p>
          <w:p w14:paraId="033B4D93">
            <w:pPr>
              <w:pStyle w:val="6"/>
              <w:bidi w:val="0"/>
              <w:rPr>
                <w:rFonts w:hint="eastAsia" w:eastAsia="宋体"/>
                <w:lang w:val="en-US" w:eastAsia="zh-CN"/>
              </w:rPr>
            </w:pPr>
            <w:r>
              <w:rPr>
                <w:rFonts w:hint="eastAsia" w:eastAsia="宋体"/>
                <w:lang w:val="en-US" w:eastAsia="zh-CN"/>
              </w:rPr>
              <w:t>防洪护岸工程、清淤疏浚工程等作业将对底栖无脊椎动物的生存和繁衍造成较大影响。挖掘等作业活动会翻动河床底质，直接破坏底栖无脊椎动物的生境。施工期翻动的卵石呈裸露状态，不构成底栖无脊椎动物的生境，但丰水期及洪水期，这些卵石将成为底栖无脊椎动物的活动场所，翻动后需要较长时间才能恢复。这一影响将从施工后第一次丰水期开始到新的底质稳定后才会消失。防洪护岸工程、清淤疏浚工程破坏河床底部地栖动物生存的环境，施工过程中生活污水和固体垃圾的排放，使水体有机质增加，若</w:t>
            </w:r>
            <w:r>
              <w:rPr>
                <w:rFonts w:hint="eastAsia"/>
                <w:lang w:val="en-US" w:eastAsia="zh-CN"/>
              </w:rPr>
              <w:t>污染</w:t>
            </w:r>
            <w:r>
              <w:rPr>
                <w:rFonts w:hint="eastAsia" w:eastAsia="宋体"/>
                <w:lang w:val="en-US" w:eastAsia="zh-CN"/>
              </w:rPr>
              <w:t>物的排放控制不当，则会造成水体局部污染，使得底栖无脊椎动物的种类组成和区系发生变化。</w:t>
            </w:r>
          </w:p>
          <w:p w14:paraId="0BCA6E18">
            <w:pPr>
              <w:pStyle w:val="6"/>
              <w:bidi w:val="0"/>
              <w:rPr>
                <w:rFonts w:hint="default" w:eastAsia="宋体"/>
                <w:lang w:val="en-US" w:eastAsia="zh-CN"/>
              </w:rPr>
            </w:pPr>
            <w:r>
              <w:rPr>
                <w:rFonts w:hint="eastAsia"/>
                <w:lang w:val="en-US" w:eastAsia="zh-CN"/>
              </w:rPr>
              <w:t>（5）对水生植物的影响</w:t>
            </w:r>
          </w:p>
          <w:p w14:paraId="7044C7CA">
            <w:pPr>
              <w:pStyle w:val="6"/>
              <w:bidi w:val="0"/>
              <w:rPr>
                <w:rFonts w:hint="eastAsia" w:eastAsia="宋体"/>
                <w:lang w:val="en-US" w:eastAsia="zh-CN"/>
              </w:rPr>
            </w:pPr>
            <w:r>
              <w:rPr>
                <w:rFonts w:hint="eastAsia" w:eastAsia="宋体"/>
                <w:lang w:val="en-US" w:eastAsia="zh-CN"/>
              </w:rPr>
              <w:t>在工程河段水生维管束植物的生物量较小，水生植物主要是分布零散的挺水植物和依附于浅滩石砾的少量沉水植物。由于沉水植物的茎叶完全沉没于水中与水充分接触，水质对其影响巨大。水质污染不仅会降低水体的透明度，减弱水下光照；而且污染物附着在植物茎叶表面，直接影响光合作用，并滋生细菌和附着藻类而致其死亡。工程的建设，改变了河床地质，占据了沉水植物原来的生长基质。虽然工程的建设会占用大量的水生植物生长基质，并且在施工工程中，防洪护岸开挖、清淤疏浚工程使施工水域水质变差，透明度下降，对水生维管束植物特别是沉水植物具有破坏作用。但施工区域河段的河漫滩上，水生维管束植物特</w:t>
            </w:r>
            <w:r>
              <w:rPr>
                <w:rFonts w:hint="eastAsia"/>
                <w:lang w:val="en-US" w:eastAsia="zh-CN"/>
              </w:rPr>
              <w:t>别是</w:t>
            </w:r>
            <w:r>
              <w:rPr>
                <w:rFonts w:hint="eastAsia" w:eastAsia="宋体"/>
                <w:lang w:val="en-US" w:eastAsia="zh-CN"/>
              </w:rPr>
              <w:t>沉水植物是在河段季节性变动大，类群数量也不多，只是零星分布。而挺水植物并不能全年生长，这类植物的生长与分布早已受到限制。因此，工程建设对水生植物影响有限。而工程建设区面积有限，施工区以外的其他区域并不受工程建设的任何影响，故而工程建设对影响区内水生维管束植物的影响不大。施工结束后，工程以外区域，只要条件合适，水生植物能迅速在这些区域重新分布。</w:t>
            </w:r>
          </w:p>
          <w:p w14:paraId="6A888368">
            <w:pPr>
              <w:pStyle w:val="6"/>
              <w:bidi w:val="0"/>
              <w:rPr>
                <w:rFonts w:hint="default" w:eastAsia="宋体"/>
                <w:lang w:val="en-US" w:eastAsia="zh-CN"/>
              </w:rPr>
            </w:pPr>
            <w:r>
              <w:rPr>
                <w:rFonts w:hint="eastAsia"/>
                <w:lang w:val="en-US" w:eastAsia="zh-CN"/>
              </w:rPr>
              <w:t>（6）对鱼类的影响</w:t>
            </w:r>
          </w:p>
          <w:p w14:paraId="469A3A51">
            <w:pPr>
              <w:pStyle w:val="6"/>
              <w:bidi w:val="0"/>
              <w:rPr>
                <w:rFonts w:hint="default" w:eastAsia="宋体"/>
                <w:lang w:val="en-US" w:eastAsia="zh-CN"/>
              </w:rPr>
            </w:pPr>
            <w:r>
              <w:rPr>
                <w:rFonts w:hint="eastAsia"/>
                <w:lang w:val="en-US" w:eastAsia="zh-CN"/>
              </w:rPr>
              <w:t>①工程施工的影响</w:t>
            </w:r>
          </w:p>
          <w:p w14:paraId="1E6CA1FD">
            <w:pPr>
              <w:pStyle w:val="6"/>
              <w:bidi w:val="0"/>
              <w:rPr>
                <w:rFonts w:hint="eastAsia" w:eastAsia="宋体"/>
                <w:lang w:val="en-US" w:eastAsia="zh-CN"/>
              </w:rPr>
            </w:pPr>
            <w:r>
              <w:rPr>
                <w:rFonts w:hint="eastAsia" w:eastAsia="宋体"/>
                <w:lang w:val="en-US" w:eastAsia="zh-CN"/>
              </w:rPr>
              <w:t>本工程涉及</w:t>
            </w:r>
            <w:r>
              <w:rPr>
                <w:rFonts w:hint="eastAsia"/>
                <w:lang w:val="en-US" w:eastAsia="zh-CN"/>
              </w:rPr>
              <w:t>河道</w:t>
            </w:r>
            <w:r>
              <w:rPr>
                <w:rFonts w:hint="eastAsia" w:eastAsia="宋体"/>
                <w:lang w:val="en-US" w:eastAsia="zh-CN"/>
              </w:rPr>
              <w:t>疏浚、防洪护堤等涉水施工，会占用部分河道，难免会对施工区域鱼类资源造成影响。</w:t>
            </w:r>
          </w:p>
          <w:p w14:paraId="7DECCDEC">
            <w:pPr>
              <w:pStyle w:val="6"/>
              <w:bidi w:val="0"/>
              <w:rPr>
                <w:rFonts w:hint="eastAsia" w:eastAsia="宋体"/>
                <w:lang w:val="en-US" w:eastAsia="zh-CN"/>
              </w:rPr>
            </w:pPr>
            <w:r>
              <w:rPr>
                <w:rFonts w:hint="eastAsia" w:eastAsia="宋体"/>
                <w:lang w:val="en-US" w:eastAsia="zh-CN"/>
              </w:rPr>
              <w:t>工程建设将改变部分河床现状底质，从而影响浮游生物、底栖动物的种类和数量。上述饵料生物的减少将对鱼类索饵造成影响，从而降低施工水域附近鱼类的密度。自然流域中，底栖动物的种类和数量与底栖杂食性鱼类有密切的关系，通常底栖动物资源破坏后恢复较困难，会导致以底栖动物为食的鱼类数量减少，从而也会影响到部分底栖性鱼类的索饵。但由于底栖性鱼类主要集中在水体下层，施工区集中在岸边的浅水区，因此对大部分鱼类没有较大影响。这种对以浮游生物为饵料的鱼类的影响是暂时的，会随着施工结束而逐渐消失。</w:t>
            </w:r>
          </w:p>
          <w:p w14:paraId="21A28DFD">
            <w:pPr>
              <w:pStyle w:val="6"/>
              <w:bidi w:val="0"/>
              <w:rPr>
                <w:rFonts w:hint="eastAsia" w:eastAsia="宋体"/>
                <w:lang w:val="en-US" w:eastAsia="zh-CN"/>
              </w:rPr>
            </w:pPr>
            <w:r>
              <w:rPr>
                <w:rFonts w:hint="eastAsia" w:eastAsia="宋体"/>
                <w:lang w:val="en-US" w:eastAsia="zh-CN"/>
              </w:rPr>
              <w:t>挖掘作业、临时施工场地、坡岸施工、河道疏浚等过程中产生的</w:t>
            </w:r>
            <w:r>
              <w:rPr>
                <w:rFonts w:hint="eastAsia"/>
                <w:lang w:val="en-US" w:eastAsia="zh-CN"/>
              </w:rPr>
              <w:t>噪声</w:t>
            </w:r>
            <w:r>
              <w:rPr>
                <w:rFonts w:hint="eastAsia" w:eastAsia="宋体"/>
                <w:lang w:val="en-US" w:eastAsia="zh-CN"/>
              </w:rPr>
              <w:t>会对鱼类产生应激，由于施工造成浮游生物、固着藻类和底栖无脊椎动物等食物减少，鱼类会逃逸至其他适宜的河段，造成作业河段鱼类资源量下降，这种资源量的下降是暂时的，将随施工的结束而得到恢复。施工期噪声声级在75~100dB(A)，按照最大噪声源100dB(A）计算，影响范围将超过200m，这一噪声值将会影响邻近水域的鱼类，但所在河段施工期邻近水域水深较浅，鱼类分布较少，且均为常见鱼类，不会造成鱼类生物多样性降低，对鱼类资源量和生物多样性影响较小。</w:t>
            </w:r>
          </w:p>
          <w:p w14:paraId="79309FA4">
            <w:pPr>
              <w:pStyle w:val="6"/>
              <w:bidi w:val="0"/>
              <w:rPr>
                <w:rFonts w:hint="eastAsia" w:eastAsia="宋体"/>
                <w:lang w:val="en-US" w:eastAsia="zh-CN"/>
              </w:rPr>
            </w:pPr>
            <w:r>
              <w:rPr>
                <w:rFonts w:hint="eastAsia" w:eastAsia="宋体"/>
                <w:lang w:val="en-US" w:eastAsia="zh-CN"/>
              </w:rPr>
              <w:t>综上，施工期会扰动地表水，鱼类会趋利避害自行上游至施工范围外，施工结束后，鱼类生境逐渐恢复，故施工期对其影响相对较小。</w:t>
            </w:r>
          </w:p>
          <w:p w14:paraId="2FE50D3F">
            <w:pPr>
              <w:pStyle w:val="6"/>
              <w:bidi w:val="0"/>
              <w:rPr>
                <w:rFonts w:hint="default" w:eastAsia="宋体"/>
                <w:lang w:val="en-US" w:eastAsia="zh-CN"/>
              </w:rPr>
            </w:pPr>
            <w:r>
              <w:rPr>
                <w:rFonts w:hint="eastAsia"/>
                <w:lang w:val="en-US" w:eastAsia="zh-CN"/>
              </w:rPr>
              <w:t>②对鱼类“三场”的影响</w:t>
            </w:r>
          </w:p>
          <w:p w14:paraId="446E61CC">
            <w:pPr>
              <w:pStyle w:val="6"/>
              <w:bidi w:val="0"/>
              <w:rPr>
                <w:rFonts w:hint="eastAsia" w:eastAsia="宋体"/>
                <w:lang w:val="en-US" w:eastAsia="zh-CN"/>
              </w:rPr>
            </w:pPr>
            <w:r>
              <w:rPr>
                <w:rFonts w:hint="eastAsia"/>
                <w:lang w:val="en-US" w:eastAsia="zh-CN"/>
              </w:rPr>
              <w:t>根据《宣汉县水产局关于“宣汉县新宁河天生镇段、长滩河马渡关镇（庆云）段防洪治理工程建设”对水生生态影响的情况说明》，项目所在河段无国家及省级重点保护鱼类，分布有鱼类产卵场和索饵场。</w:t>
            </w:r>
          </w:p>
          <w:p w14:paraId="6851BCD3">
            <w:pPr>
              <w:pStyle w:val="6"/>
              <w:bidi w:val="0"/>
              <w:rPr>
                <w:rFonts w:hint="eastAsia"/>
                <w:lang w:val="en-US" w:eastAsia="zh-CN"/>
              </w:rPr>
            </w:pPr>
            <w:r>
              <w:rPr>
                <w:rFonts w:hint="eastAsia"/>
                <w:lang w:val="en-US" w:eastAsia="zh-CN"/>
              </w:rPr>
              <w:t>根据中华人民共和国生态环境部部长信箱于2018年2月8日关于“重要水生生物”该如何界定的回复；“一是国家和地方重点保护的水生生物；二是列入国际、国家、地方物种红色名录的水生生物；三是区域流域特有水生生物；四是重要经济水生生物；五是具有典型洄游或迁移洄游的水生生物”。</w:t>
            </w:r>
          </w:p>
          <w:p w14:paraId="13025434">
            <w:pPr>
              <w:pStyle w:val="6"/>
              <w:bidi w:val="0"/>
              <w:rPr>
                <w:rFonts w:hint="eastAsia"/>
                <w:lang w:val="en-US" w:eastAsia="zh-CN"/>
              </w:rPr>
            </w:pPr>
            <w:r>
              <w:rPr>
                <w:rFonts w:hint="eastAsia"/>
                <w:lang w:val="en-US" w:eastAsia="zh-CN"/>
              </w:rPr>
              <w:t>本项目所在河段存在的鲫鱼、鲤鱼、草鱼、泥鳅等常见水生动物不属于国家和地方重点保护的水生生物；也未因濒危状态而列入国际、国家、地方物种红色名录；不属于区域流域特有的水生生物，也不属于具有特殊重要性和经济保护价值的生物；不具有特殊的典型洄游或迁移习性。因此，本项目不涉及国家和四川省明文规定的重要水生生物。本项目治理河段分布当地常见鱼类的产卵场和索饵场，不属于重要水生生物的产卵场、索饵场、越冬场和洄游通道。</w:t>
            </w:r>
          </w:p>
          <w:p w14:paraId="04B81065">
            <w:pPr>
              <w:pStyle w:val="6"/>
              <w:bidi w:val="0"/>
              <w:rPr>
                <w:rFonts w:hint="default"/>
                <w:lang w:val="en-US" w:eastAsia="zh-CN"/>
              </w:rPr>
            </w:pPr>
            <w:r>
              <w:rPr>
                <w:rFonts w:hint="eastAsia"/>
                <w:lang w:val="en-US" w:eastAsia="zh-CN"/>
              </w:rPr>
              <w:t>项目围堰建设、河道清淤等涉水施工对天生河河道有一定扰动，涉水施工会清除原有的砾石、水草等产卵附着物，围堰导流等施工可能直接破坏产卵场和索饵场；同时施工过程可能导致水体透明度、溶解氧等理化性质的变化，影响浮游动植物、底栖生物等饵料生物的种类和数量，进而间接影响鱼类索饵。</w:t>
            </w:r>
          </w:p>
          <w:p w14:paraId="2CC666F7">
            <w:pPr>
              <w:pStyle w:val="6"/>
              <w:bidi w:val="0"/>
              <w:rPr>
                <w:rFonts w:hint="default" w:eastAsia="宋体"/>
                <w:lang w:val="en-US" w:eastAsia="zh-CN"/>
              </w:rPr>
            </w:pPr>
            <w:r>
              <w:rPr>
                <w:rFonts w:hint="eastAsia"/>
                <w:lang w:val="en-US" w:eastAsia="zh-CN"/>
              </w:rPr>
              <w:t>根据项目施工设计，尽可能保留河流的自然形态和生态功能，采用“衡重式混凝土挡墙+框格梁植草护坡”生态型护岸，可改善水生生境，有利于鱼类栖息。根据项目施工计划，项目涉水施工选择在枯水期进行，项目涉水施工避开了鱼类繁殖集中期，影响时间很短，影响程度很小，虽然工程河道可能涉及鱼类产卵场和索饵场，但河道内均为常见鱼类，不属于重要物种，且天生河鱼类产卵场和索饵场分布广泛，项目涉水施工不会导致鱼类产卵场毁灭性破坏。施工结束后，河道逐渐恢复稳定生境，可逐渐形成新的鱼类产卵场和索饵场。因此，工程施工期对鱼类“三场”的影响有限。</w:t>
            </w:r>
          </w:p>
          <w:p w14:paraId="49521A94">
            <w:pPr>
              <w:pStyle w:val="4"/>
              <w:numPr>
                <w:ilvl w:val="2"/>
                <w:numId w:val="7"/>
              </w:numPr>
            </w:pPr>
            <w:bookmarkStart w:id="66" w:name="_Toc25455"/>
            <w:r>
              <w:rPr>
                <w:rFonts w:hint="eastAsia"/>
              </w:rPr>
              <w:t>大气环境影响分析</w:t>
            </w:r>
            <w:bookmarkEnd w:id="65"/>
            <w:bookmarkEnd w:id="66"/>
          </w:p>
          <w:p w14:paraId="214584C3">
            <w:pPr>
              <w:pStyle w:val="6"/>
              <w:rPr>
                <w:rFonts w:hint="eastAsia"/>
              </w:rPr>
            </w:pPr>
            <w:r>
              <w:rPr>
                <w:rFonts w:hint="eastAsia"/>
                <w:lang w:val="en-US" w:eastAsia="zh-CN"/>
              </w:rPr>
              <w:t>项目</w:t>
            </w:r>
            <w:r>
              <w:rPr>
                <w:rFonts w:hint="eastAsia"/>
              </w:rPr>
              <w:t>施工期废气</w:t>
            </w:r>
            <w:r>
              <w:rPr>
                <w:rFonts w:hint="eastAsia"/>
                <w:lang w:val="en-US" w:eastAsia="zh-CN"/>
              </w:rPr>
              <w:t>主要为</w:t>
            </w:r>
            <w:r>
              <w:rPr>
                <w:rFonts w:hint="eastAsia"/>
              </w:rPr>
              <w:t>施工扬尘、燃油废气</w:t>
            </w:r>
            <w:r>
              <w:rPr>
                <w:rFonts w:hint="eastAsia"/>
                <w:lang w:val="en-US" w:eastAsia="zh-CN"/>
              </w:rPr>
              <w:t>和河道疏浚臭气</w:t>
            </w:r>
            <w:r>
              <w:rPr>
                <w:rFonts w:hint="eastAsia"/>
              </w:rPr>
              <w:t>。</w:t>
            </w:r>
          </w:p>
          <w:p w14:paraId="4E954E4F">
            <w:pPr>
              <w:pStyle w:val="6"/>
              <w:rPr>
                <w:rFonts w:hint="eastAsia"/>
              </w:rPr>
            </w:pPr>
            <w:r>
              <w:rPr>
                <w:rFonts w:hint="eastAsia"/>
              </w:rPr>
              <w:t>（</w:t>
            </w:r>
            <w:r>
              <w:rPr>
                <w:rFonts w:hint="eastAsia"/>
                <w:lang w:val="en-US" w:eastAsia="zh-CN"/>
              </w:rPr>
              <w:t>1</w:t>
            </w:r>
            <w:r>
              <w:rPr>
                <w:rFonts w:hint="eastAsia"/>
              </w:rPr>
              <w:t>）施工扬尘</w:t>
            </w:r>
          </w:p>
          <w:p w14:paraId="503DB246">
            <w:pPr>
              <w:pStyle w:val="6"/>
              <w:rPr>
                <w:rFonts w:hint="eastAsia"/>
              </w:rPr>
            </w:pPr>
            <w:r>
              <w:rPr>
                <w:rFonts w:hint="eastAsia"/>
              </w:rPr>
              <w:t>施工期扬尘主要来源于基础开挖及回填</w:t>
            </w:r>
            <w:r>
              <w:rPr>
                <w:rFonts w:hint="eastAsia"/>
                <w:lang w:eastAsia="zh-CN"/>
              </w:rPr>
              <w:t>、</w:t>
            </w:r>
            <w:r>
              <w:rPr>
                <w:rFonts w:hint="eastAsia"/>
                <w:lang w:val="en-US" w:eastAsia="zh-CN"/>
              </w:rPr>
              <w:t>堆料及运输、混凝土拌合</w:t>
            </w:r>
            <w:r>
              <w:rPr>
                <w:rFonts w:hint="eastAsia"/>
              </w:rPr>
              <w:t>。扬尘主要污染物为TSP，呈无组织、无规律排放，排放量与风速、含水率有关，其中大部分扬尘颗粒粒径较大的形成降尘，少部分粒径较小的形成飘尘。根据类似工程实际调查资料，在旱季施工</w:t>
            </w:r>
            <w:r>
              <w:rPr>
                <w:rFonts w:hint="eastAsia"/>
                <w:lang w:val="en-US" w:eastAsia="zh-CN"/>
              </w:rPr>
              <w:t>场地</w:t>
            </w:r>
            <w:r>
              <w:rPr>
                <w:rFonts w:hint="eastAsia"/>
              </w:rPr>
              <w:t>的粉尘浓度可达20mg/</w:t>
            </w:r>
            <w:r>
              <w:rPr>
                <w:rFonts w:hint="eastAsia"/>
                <w:lang w:val="en-US" w:eastAsia="zh-CN"/>
              </w:rPr>
              <w:t>m</w:t>
            </w:r>
            <w:r>
              <w:rPr>
                <w:rFonts w:hint="eastAsia"/>
                <w:vertAlign w:val="superscript"/>
                <w:lang w:val="en-US" w:eastAsia="zh-CN"/>
              </w:rPr>
              <w:t>3</w:t>
            </w:r>
            <w:r>
              <w:rPr>
                <w:rFonts w:hint="eastAsia"/>
              </w:rPr>
              <w:t>，下风向50m处，TSP浓度为8.90mg/</w:t>
            </w:r>
            <w:r>
              <w:rPr>
                <w:rFonts w:hint="eastAsia"/>
                <w:lang w:val="en-US" w:eastAsia="zh-CN"/>
              </w:rPr>
              <w:t>m</w:t>
            </w:r>
            <w:r>
              <w:rPr>
                <w:rFonts w:hint="eastAsia"/>
                <w:vertAlign w:val="superscript"/>
                <w:lang w:val="en-US" w:eastAsia="zh-CN"/>
              </w:rPr>
              <w:t>3</w:t>
            </w:r>
            <w:r>
              <w:rPr>
                <w:rFonts w:hint="eastAsia"/>
              </w:rPr>
              <w:t>。在正常情况下，施工活动产生的扬尘在区域近地面环境空气中的TSP浓度可达0.5mg/</w:t>
            </w:r>
            <w:r>
              <w:rPr>
                <w:rFonts w:hint="eastAsia"/>
                <w:lang w:val="en-US" w:eastAsia="zh-CN"/>
              </w:rPr>
              <w:t>m</w:t>
            </w:r>
            <w:r>
              <w:rPr>
                <w:rFonts w:hint="eastAsia"/>
                <w:vertAlign w:val="superscript"/>
                <w:lang w:val="en-US" w:eastAsia="zh-CN"/>
              </w:rPr>
              <w:t>3</w:t>
            </w:r>
            <w:r>
              <w:rPr>
                <w:rFonts w:hint="eastAsia"/>
              </w:rPr>
              <w:t>~5.0mg/</w:t>
            </w:r>
            <w:r>
              <w:rPr>
                <w:rFonts w:hint="eastAsia"/>
                <w:lang w:val="en-US" w:eastAsia="zh-CN"/>
              </w:rPr>
              <w:t>m</w:t>
            </w:r>
            <w:r>
              <w:rPr>
                <w:rFonts w:hint="eastAsia"/>
                <w:vertAlign w:val="superscript"/>
                <w:lang w:val="en-US" w:eastAsia="zh-CN"/>
              </w:rPr>
              <w:t>3</w:t>
            </w:r>
            <w:r>
              <w:rPr>
                <w:rFonts w:hint="eastAsia"/>
              </w:rPr>
              <w:t>，经洒水抑尘后，扬尘浓度可以减少70%，</w:t>
            </w:r>
            <w:r>
              <w:rPr>
                <w:rFonts w:hint="eastAsia"/>
                <w:lang w:eastAsia="zh-CN"/>
              </w:rPr>
              <w:t>施工</w:t>
            </w:r>
            <w:r>
              <w:rPr>
                <w:rFonts w:hint="eastAsia"/>
              </w:rPr>
              <w:t>场地的TSP浓度约为0.15mg/</w:t>
            </w:r>
            <w:r>
              <w:rPr>
                <w:rFonts w:hint="eastAsia"/>
                <w:lang w:val="en-US" w:eastAsia="zh-CN"/>
              </w:rPr>
              <w:t>m</w:t>
            </w:r>
            <w:r>
              <w:rPr>
                <w:rFonts w:hint="eastAsia"/>
                <w:vertAlign w:val="superscript"/>
                <w:lang w:val="en-US" w:eastAsia="zh-CN"/>
              </w:rPr>
              <w:t>3</w:t>
            </w:r>
            <w:r>
              <w:rPr>
                <w:rFonts w:hint="eastAsia"/>
              </w:rPr>
              <w:t>~1.5mg/</w:t>
            </w:r>
            <w:r>
              <w:rPr>
                <w:rFonts w:hint="eastAsia"/>
                <w:lang w:val="en-US" w:eastAsia="zh-CN"/>
              </w:rPr>
              <w:t>m</w:t>
            </w:r>
            <w:r>
              <w:rPr>
                <w:rFonts w:hint="eastAsia"/>
                <w:vertAlign w:val="superscript"/>
                <w:lang w:val="en-US" w:eastAsia="zh-CN"/>
              </w:rPr>
              <w:t>3</w:t>
            </w:r>
            <w:r>
              <w:rPr>
                <w:rFonts w:hint="eastAsia"/>
              </w:rPr>
              <w:t>。运输车辆也会造成施工作业场所及运输道路近地面扬尘浓度升高，运输车辆引起的扬尘对路边30m范围影响较大，而且形成线</w:t>
            </w:r>
            <w:r>
              <w:rPr>
                <w:rFonts w:hint="eastAsia"/>
                <w:lang w:val="en-US" w:eastAsia="zh-CN"/>
              </w:rPr>
              <w:t>性</w:t>
            </w:r>
            <w:r>
              <w:rPr>
                <w:rFonts w:hint="eastAsia"/>
              </w:rPr>
              <w:t>污染，路边的TSP浓度可达10mg/</w:t>
            </w:r>
            <w:r>
              <w:rPr>
                <w:rFonts w:hint="eastAsia"/>
                <w:lang w:val="en-US" w:eastAsia="zh-CN"/>
              </w:rPr>
              <w:t>m</w:t>
            </w:r>
            <w:r>
              <w:rPr>
                <w:rFonts w:hint="eastAsia"/>
                <w:vertAlign w:val="superscript"/>
                <w:lang w:val="en-US" w:eastAsia="zh-CN"/>
              </w:rPr>
              <w:t>3</w:t>
            </w:r>
            <w:r>
              <w:rPr>
                <w:rFonts w:hint="eastAsia"/>
              </w:rPr>
              <w:t>以上，一般浓度范围在1.5mg/</w:t>
            </w:r>
            <w:r>
              <w:rPr>
                <w:rFonts w:hint="eastAsia"/>
                <w:lang w:val="en-US" w:eastAsia="zh-CN"/>
              </w:rPr>
              <w:t>m</w:t>
            </w:r>
            <w:r>
              <w:rPr>
                <w:rFonts w:hint="eastAsia"/>
                <w:vertAlign w:val="superscript"/>
                <w:lang w:val="en-US" w:eastAsia="zh-CN"/>
              </w:rPr>
              <w:t>3</w:t>
            </w:r>
            <w:r>
              <w:rPr>
                <w:rFonts w:hint="eastAsia"/>
              </w:rPr>
              <w:t>～30mg/</w:t>
            </w:r>
            <w:r>
              <w:rPr>
                <w:rFonts w:hint="eastAsia"/>
                <w:lang w:val="en-US" w:eastAsia="zh-CN"/>
              </w:rPr>
              <w:t>m</w:t>
            </w:r>
            <w:r>
              <w:rPr>
                <w:rFonts w:hint="eastAsia"/>
                <w:vertAlign w:val="superscript"/>
                <w:lang w:val="en-US" w:eastAsia="zh-CN"/>
              </w:rPr>
              <w:t>3</w:t>
            </w:r>
            <w:r>
              <w:rPr>
                <w:rFonts w:hint="eastAsia"/>
              </w:rPr>
              <w:t>。</w:t>
            </w:r>
          </w:p>
          <w:p w14:paraId="3715A6F7">
            <w:pPr>
              <w:pStyle w:val="6"/>
              <w:rPr>
                <w:rFonts w:hint="eastAsia"/>
                <w:lang w:val="en-US" w:eastAsia="zh-CN"/>
              </w:rPr>
            </w:pPr>
            <w:r>
              <w:rPr>
                <w:rFonts w:hint="eastAsia"/>
                <w:lang w:eastAsia="zh-CN"/>
              </w:rPr>
              <w:t>本项目施工扬尘会对沿线居民造成一定</w:t>
            </w:r>
            <w:r>
              <w:rPr>
                <w:rFonts w:hint="eastAsia"/>
                <w:lang w:val="en-US" w:eastAsia="zh-CN"/>
              </w:rPr>
              <w:t>影响</w:t>
            </w:r>
            <w:r>
              <w:rPr>
                <w:rFonts w:hint="eastAsia"/>
                <w:lang w:eastAsia="zh-CN"/>
              </w:rPr>
              <w:t>。因此，应加强运输车辆管理，采取加盖篷布遮挡，对进场施工的运输车辆轮胎进行冲洗，避免将泥土带入沿线居民区，同时对积尘较大的施工区和施工场地外</w:t>
            </w:r>
            <w:r>
              <w:rPr>
                <w:rFonts w:hint="eastAsia"/>
                <w:lang w:val="en-US" w:eastAsia="zh-CN"/>
              </w:rPr>
              <w:t>200m的运输道路进行洒水，可使空气中的扬尘量减少70%以上，有效减少扬尘对附近环境空气及环境保护目标的影响。</w:t>
            </w:r>
          </w:p>
          <w:p w14:paraId="0CEAE34C">
            <w:pPr>
              <w:pStyle w:val="6"/>
              <w:rPr>
                <w:rFonts w:hint="eastAsia"/>
                <w:lang w:val="en-US" w:eastAsia="zh-CN"/>
              </w:rPr>
            </w:pPr>
            <w:r>
              <w:rPr>
                <w:rFonts w:hint="eastAsia"/>
                <w:lang w:val="en-US" w:eastAsia="zh-CN"/>
              </w:rPr>
              <w:t>综上分析，施工期通过有效地防治降尘措施，可减少对工程沿线居民及周边环境空气质量造成的影响。项目施工期结束后，上述影响也随之消失。</w:t>
            </w:r>
          </w:p>
          <w:p w14:paraId="0407AFA6">
            <w:pPr>
              <w:pStyle w:val="6"/>
              <w:rPr>
                <w:rFonts w:hint="eastAsia" w:eastAsia="宋体"/>
                <w:lang w:eastAsia="zh-CN"/>
              </w:rPr>
            </w:pPr>
            <w:r>
              <w:rPr>
                <w:rFonts w:hint="eastAsia"/>
                <w:lang w:eastAsia="zh-CN"/>
              </w:rPr>
              <w:t>（</w:t>
            </w:r>
            <w:r>
              <w:rPr>
                <w:rFonts w:hint="eastAsia"/>
                <w:lang w:val="en-US" w:eastAsia="zh-CN"/>
              </w:rPr>
              <w:t>2</w:t>
            </w:r>
            <w:r>
              <w:rPr>
                <w:rFonts w:hint="eastAsia"/>
                <w:lang w:eastAsia="zh-CN"/>
              </w:rPr>
              <w:t>）燃油废气</w:t>
            </w:r>
          </w:p>
          <w:p w14:paraId="45C88EF1">
            <w:pPr>
              <w:pStyle w:val="6"/>
              <w:rPr>
                <w:rFonts w:hint="eastAsia"/>
                <w:lang w:eastAsia="zh-CN"/>
              </w:rPr>
            </w:pPr>
            <w:r>
              <w:rPr>
                <w:rFonts w:hint="eastAsia"/>
                <w:lang w:eastAsia="zh-CN"/>
              </w:rPr>
              <w:t>本项目</w:t>
            </w:r>
            <w:r>
              <w:rPr>
                <w:rFonts w:hint="eastAsia"/>
              </w:rPr>
              <w:t>施工期间燃油废气主要是施工机械、运输车辆排放废气，产生的污染物主要为SO</w:t>
            </w:r>
            <w:r>
              <w:rPr>
                <w:rFonts w:hint="eastAsia"/>
                <w:vertAlign w:val="subscript"/>
              </w:rPr>
              <w:t>2</w:t>
            </w:r>
            <w:r>
              <w:rPr>
                <w:rFonts w:hint="eastAsia"/>
              </w:rPr>
              <w:t>、NOx、CO。工程施工期间使用机械主要为挖掘机、推土机、自卸汽车等，其中车辆主要集中于施工道路沿线，其他机械主要布置于各施工场地。由于本</w:t>
            </w:r>
            <w:r>
              <w:rPr>
                <w:rFonts w:hint="eastAsia"/>
                <w:lang w:eastAsia="zh-CN"/>
              </w:rPr>
              <w:t>项目</w:t>
            </w:r>
            <w:r>
              <w:rPr>
                <w:rFonts w:hint="eastAsia"/>
              </w:rPr>
              <w:t>总体呈</w:t>
            </w:r>
            <w:r>
              <w:rPr>
                <w:rFonts w:hint="eastAsia"/>
                <w:lang w:eastAsia="zh-CN"/>
              </w:rPr>
              <w:t>线形</w:t>
            </w:r>
            <w:r>
              <w:rPr>
                <w:rFonts w:hint="eastAsia"/>
              </w:rPr>
              <w:t>，施工线长，工区布置分散，施工期燃油废气多为流动性、间歇性排放，污染强度不大，因此燃油废气排放强度十分有限。此外，考虑</w:t>
            </w:r>
            <w:r>
              <w:rPr>
                <w:rFonts w:hint="eastAsia"/>
                <w:lang w:eastAsia="zh-CN"/>
              </w:rPr>
              <w:t>项目</w:t>
            </w:r>
            <w:r>
              <w:rPr>
                <w:rFonts w:hint="eastAsia"/>
              </w:rPr>
              <w:t>施工场地位于农村旷野，地势平坦开阔，冬季天气以晴朗多风为主，大气扩散条件好，</w:t>
            </w:r>
            <w:r>
              <w:rPr>
                <w:rFonts w:hint="eastAsia"/>
                <w:lang w:val="en-US" w:eastAsia="zh-CN"/>
              </w:rPr>
              <w:t>项目</w:t>
            </w:r>
            <w:r>
              <w:rPr>
                <w:rFonts w:hint="eastAsia"/>
              </w:rPr>
              <w:t>施工燃油废气不会对周围环境产生明显影响</w:t>
            </w:r>
            <w:r>
              <w:rPr>
                <w:rFonts w:hint="eastAsia"/>
                <w:lang w:eastAsia="zh-CN"/>
              </w:rPr>
              <w:t>。项目施工期结束后，上述影响也随之消失。</w:t>
            </w:r>
          </w:p>
          <w:p w14:paraId="5CE88D60">
            <w:pPr>
              <w:pStyle w:val="6"/>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河道疏浚臭气</w:t>
            </w:r>
          </w:p>
          <w:p w14:paraId="76D7868F">
            <w:pPr>
              <w:pStyle w:val="6"/>
              <w:rPr>
                <w:rFonts w:hint="eastAsia"/>
                <w:lang w:eastAsia="zh-CN"/>
              </w:rPr>
            </w:pPr>
            <w:r>
              <w:rPr>
                <w:rFonts w:hint="eastAsia"/>
                <w:lang w:eastAsia="zh-CN"/>
              </w:rPr>
              <w:t>本项目清淤疏浚工程产生的大气环境影响主要为清淤砂石在堆放晾晒过程中产生的</w:t>
            </w:r>
            <w:r>
              <w:rPr>
                <w:rFonts w:hint="eastAsia"/>
                <w:lang w:val="en-US" w:eastAsia="zh-CN"/>
              </w:rPr>
              <w:t>臭气</w:t>
            </w:r>
            <w:r>
              <w:rPr>
                <w:rFonts w:hint="eastAsia"/>
                <w:lang w:eastAsia="zh-CN"/>
              </w:rPr>
              <w:t>。</w:t>
            </w:r>
          </w:p>
          <w:p w14:paraId="22869EEB">
            <w:pPr>
              <w:pStyle w:val="6"/>
              <w:rPr>
                <w:rFonts w:hint="default"/>
                <w:lang w:val="en-US" w:eastAsia="zh-CN"/>
              </w:rPr>
            </w:pPr>
            <w:r>
              <w:rPr>
                <w:rFonts w:hint="eastAsia"/>
                <w:lang w:eastAsia="zh-CN"/>
              </w:rPr>
              <w:t>本项目</w:t>
            </w:r>
            <w:r>
              <w:rPr>
                <w:rFonts w:hint="eastAsia"/>
                <w:lang w:val="en-US" w:eastAsia="zh-CN"/>
              </w:rPr>
              <w:t>河道疏浚总长度4.2km，均位于天生河段，为局部疏浚，疏浚区域共6处，疏浚面积共计0.38万m</w:t>
            </w:r>
            <w:r>
              <w:rPr>
                <w:rFonts w:hint="eastAsia"/>
                <w:vertAlign w:val="superscript"/>
                <w:lang w:val="en-US" w:eastAsia="zh-CN"/>
              </w:rPr>
              <w:t>2</w:t>
            </w:r>
            <w:r>
              <w:rPr>
                <w:rFonts w:hint="eastAsia"/>
                <w:lang w:val="en-US" w:eastAsia="zh-CN"/>
              </w:rPr>
              <w:t>，河道疏浚总量为0.197万m³，清淤料主要为砂砾石，基本不含有机河底淤泥，清淤后的砂砾石就近河道内晒干后部分骨料用于堤身和围堰填筑，期间会产生少量的恶臭。泥沙滤水后立即用于主体工程填筑，不会长期堆放。清淤料基本不含有机河底淤泥，渗水性好，腐质很少，恶臭浓度值较低，通过区域大气扩散，臭气浓度在堆放施工区外50m外可达到极微（1级），类比同类小型堤防工程河道整治清淤疏浚底泥臭气影响强度见下表：</w:t>
            </w:r>
          </w:p>
          <w:p w14:paraId="63A38461">
            <w:pPr>
              <w:pStyle w:val="7"/>
              <w:bidi w:val="0"/>
              <w:rPr>
                <w:rFonts w:hint="eastAsia"/>
                <w:lang w:val="en-US" w:eastAsia="zh-CN"/>
              </w:rPr>
            </w:pPr>
            <w:r>
              <w:rPr>
                <w:rFonts w:hint="eastAsia"/>
                <w:lang w:val="en-US" w:eastAsia="zh-CN"/>
              </w:rPr>
              <w:t>底泥臭气强度影响距离一览表</w:t>
            </w:r>
          </w:p>
          <w:tbl>
            <w:tblPr>
              <w:tblStyle w:val="4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2"/>
              <w:gridCol w:w="2903"/>
              <w:gridCol w:w="2904"/>
            </w:tblGrid>
            <w:tr w14:paraId="5DF8C9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03" w:type="dxa"/>
                  <w:vAlign w:val="center"/>
                </w:tcPr>
                <w:p w14:paraId="7787C99D">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距离</w:t>
                  </w:r>
                </w:p>
              </w:tc>
              <w:tc>
                <w:tcPr>
                  <w:tcW w:w="2903" w:type="dxa"/>
                  <w:vAlign w:val="center"/>
                </w:tcPr>
                <w:p w14:paraId="77DD3FC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臭气感觉强度</w:t>
                  </w:r>
                </w:p>
              </w:tc>
              <w:tc>
                <w:tcPr>
                  <w:tcW w:w="2904" w:type="dxa"/>
                  <w:vAlign w:val="center"/>
                </w:tcPr>
                <w:p w14:paraId="7EBBE1C1">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级别</w:t>
                  </w:r>
                </w:p>
              </w:tc>
            </w:tr>
            <w:tr w14:paraId="31E628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2903" w:type="dxa"/>
                  <w:vAlign w:val="center"/>
                </w:tcPr>
                <w:p w14:paraId="4D34C3B0">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堆放区</w:t>
                  </w:r>
                </w:p>
              </w:tc>
              <w:tc>
                <w:tcPr>
                  <w:tcW w:w="2903" w:type="dxa"/>
                  <w:vAlign w:val="center"/>
                </w:tcPr>
                <w:p w14:paraId="79912DDF">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有较明显臭味</w:t>
                  </w:r>
                </w:p>
              </w:tc>
              <w:tc>
                <w:tcPr>
                  <w:tcW w:w="2904" w:type="dxa"/>
                  <w:vAlign w:val="center"/>
                </w:tcPr>
                <w:p w14:paraId="3D20B9D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3级</w:t>
                  </w:r>
                </w:p>
              </w:tc>
            </w:tr>
            <w:tr w14:paraId="0CDCB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03" w:type="dxa"/>
                  <w:vAlign w:val="center"/>
                </w:tcPr>
                <w:p w14:paraId="419D49A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堆放区30m</w:t>
                  </w:r>
                </w:p>
              </w:tc>
              <w:tc>
                <w:tcPr>
                  <w:tcW w:w="2903" w:type="dxa"/>
                  <w:vAlign w:val="center"/>
                </w:tcPr>
                <w:p w14:paraId="6DCEE79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轻微</w:t>
                  </w:r>
                </w:p>
              </w:tc>
              <w:tc>
                <w:tcPr>
                  <w:tcW w:w="2904" w:type="dxa"/>
                  <w:vAlign w:val="center"/>
                </w:tcPr>
                <w:p w14:paraId="7A21A8DE">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2级</w:t>
                  </w:r>
                </w:p>
              </w:tc>
            </w:tr>
            <w:tr w14:paraId="4E43EC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2903" w:type="dxa"/>
                  <w:vAlign w:val="center"/>
                </w:tcPr>
                <w:p w14:paraId="05BCD043">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堆放区50m</w:t>
                  </w:r>
                </w:p>
              </w:tc>
              <w:tc>
                <w:tcPr>
                  <w:tcW w:w="2903" w:type="dxa"/>
                  <w:vAlign w:val="center"/>
                </w:tcPr>
                <w:p w14:paraId="2B83840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极微</w:t>
                  </w:r>
                </w:p>
              </w:tc>
              <w:tc>
                <w:tcPr>
                  <w:tcW w:w="2904" w:type="dxa"/>
                  <w:vAlign w:val="center"/>
                </w:tcPr>
                <w:p w14:paraId="2DD0ACC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1级</w:t>
                  </w:r>
                </w:p>
              </w:tc>
            </w:tr>
            <w:tr w14:paraId="19F49C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03" w:type="dxa"/>
                  <w:vAlign w:val="center"/>
                </w:tcPr>
                <w:p w14:paraId="404B146C">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堆放区80m外</w:t>
                  </w:r>
                </w:p>
              </w:tc>
              <w:tc>
                <w:tcPr>
                  <w:tcW w:w="2903" w:type="dxa"/>
                  <w:vAlign w:val="center"/>
                </w:tcPr>
                <w:p w14:paraId="61C0B2C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无</w:t>
                  </w:r>
                </w:p>
              </w:tc>
              <w:tc>
                <w:tcPr>
                  <w:tcW w:w="2904" w:type="dxa"/>
                  <w:vAlign w:val="center"/>
                </w:tcPr>
                <w:p w14:paraId="62F923B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2"/>
                      <w:szCs w:val="22"/>
                      <w:vertAlign w:val="baseline"/>
                      <w:lang w:val="en-US" w:eastAsia="zh-CN"/>
                    </w:rPr>
                  </w:pPr>
                  <w:r>
                    <w:rPr>
                      <w:rFonts w:hint="eastAsia"/>
                      <w:sz w:val="22"/>
                      <w:szCs w:val="22"/>
                      <w:vertAlign w:val="baseline"/>
                      <w:lang w:val="en-US" w:eastAsia="zh-CN"/>
                    </w:rPr>
                    <w:t>0级</w:t>
                  </w:r>
                </w:p>
              </w:tc>
            </w:tr>
          </w:tbl>
          <w:p w14:paraId="51D077B9">
            <w:pPr>
              <w:pStyle w:val="6"/>
              <w:rPr>
                <w:rFonts w:hint="eastAsia"/>
                <w:lang w:eastAsia="zh-CN"/>
              </w:rPr>
            </w:pPr>
            <w:r>
              <w:rPr>
                <w:rFonts w:hint="eastAsia"/>
                <w:lang w:eastAsia="zh-CN"/>
              </w:rPr>
              <w:t>本项目清淤料开挖后就近河道内</w:t>
            </w:r>
            <w:r>
              <w:rPr>
                <w:rFonts w:hint="eastAsia"/>
                <w:highlight w:val="none"/>
                <w:lang w:eastAsia="zh-CN"/>
              </w:rPr>
              <w:t>自然晾晒，</w:t>
            </w:r>
            <w:r>
              <w:rPr>
                <w:rFonts w:hint="eastAsia"/>
                <w:highlight w:val="none"/>
                <w:lang w:val="en-US" w:eastAsia="zh-CN"/>
              </w:rPr>
              <w:t>尽量远离周边居民居住区</w:t>
            </w:r>
            <w:r>
              <w:rPr>
                <w:rFonts w:hint="eastAsia"/>
                <w:highlight w:val="none"/>
                <w:lang w:eastAsia="zh-CN"/>
              </w:rPr>
              <w:t>，</w:t>
            </w:r>
            <w:r>
              <w:rPr>
                <w:rFonts w:hint="eastAsia"/>
                <w:lang w:eastAsia="zh-CN"/>
              </w:rPr>
              <w:t>污泥堆放期间恶臭会对河岸沿线居民住户产生的影响为极微。项目施工场地开阔，通风良好，在临时堆放期间应喷洒除臭剂来减少恶臭的扩散，由于施工时间有限，恶臭影响将会随着施工结束而消失。综上，清淤料恶臭对环境影响较小。</w:t>
            </w:r>
          </w:p>
          <w:p w14:paraId="67DE85AC">
            <w:pPr>
              <w:pStyle w:val="4"/>
              <w:numPr>
                <w:ilvl w:val="2"/>
                <w:numId w:val="7"/>
              </w:numPr>
              <w:rPr>
                <w:rStyle w:val="56"/>
                <w:b/>
              </w:rPr>
            </w:pPr>
            <w:bookmarkStart w:id="67" w:name="_Toc193096273"/>
            <w:bookmarkStart w:id="68" w:name="_Toc28497"/>
            <w:r>
              <w:rPr>
                <w:rFonts w:hint="eastAsia"/>
              </w:rPr>
              <w:t>施工期地表水环境影响分析</w:t>
            </w:r>
            <w:bookmarkEnd w:id="67"/>
            <w:bookmarkEnd w:id="68"/>
          </w:p>
          <w:p w14:paraId="7FECFC00">
            <w:pPr>
              <w:pStyle w:val="5"/>
              <w:bidi w:val="0"/>
              <w:rPr>
                <w:rFonts w:hint="default"/>
                <w:lang w:val="en-US" w:eastAsia="zh-CN"/>
              </w:rPr>
            </w:pPr>
            <w:r>
              <w:rPr>
                <w:rFonts w:hint="eastAsia"/>
                <w:lang w:val="en-US" w:eastAsia="zh-CN"/>
              </w:rPr>
              <w:t>对地表水水质影响</w:t>
            </w:r>
          </w:p>
          <w:p w14:paraId="0ED2C98F">
            <w:pPr>
              <w:pStyle w:val="6"/>
              <w:rPr>
                <w:rFonts w:hint="eastAsia"/>
              </w:rPr>
            </w:pPr>
            <w:r>
              <w:rPr>
                <w:rFonts w:hint="eastAsia"/>
              </w:rPr>
              <w:t>本项目施工期废水包括施工废水和施工人员生活污水。</w:t>
            </w:r>
          </w:p>
          <w:p w14:paraId="5876B81D">
            <w:pPr>
              <w:pStyle w:val="6"/>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施工废水</w:t>
            </w:r>
          </w:p>
          <w:p w14:paraId="29F7717E">
            <w:pPr>
              <w:pStyle w:val="6"/>
              <w:rPr>
                <w:rFonts w:hint="eastAsia"/>
              </w:rPr>
            </w:pPr>
            <w:r>
              <w:rPr>
                <w:rFonts w:hint="eastAsia"/>
                <w:lang w:val="en-US" w:eastAsia="zh-CN"/>
              </w:rPr>
              <w:t>本</w:t>
            </w:r>
            <w:r>
              <w:rPr>
                <w:rFonts w:hint="eastAsia"/>
              </w:rPr>
              <w:t>项目现场不进行砂石料加工，无砂石料加工废水产生。</w:t>
            </w:r>
            <w:r>
              <w:rPr>
                <w:rFonts w:hint="eastAsia"/>
                <w:lang w:val="en-US" w:eastAsia="zh-CN"/>
              </w:rPr>
              <w:t>本项目施工场地内不设置机修设施，施工机械的维修保养均依托宣汉县、天生镇现有机修厂，项目区不产生机修含油废水。</w:t>
            </w:r>
            <w:r>
              <w:rPr>
                <w:rFonts w:hint="eastAsia"/>
              </w:rPr>
              <w:t>施工废水主要为混凝土拌合系统废水、</w:t>
            </w:r>
            <w:r>
              <w:rPr>
                <w:rFonts w:hint="eastAsia"/>
                <w:lang w:val="en-US" w:eastAsia="zh-CN"/>
              </w:rPr>
              <w:t>机械设备冲洗</w:t>
            </w:r>
            <w:r>
              <w:rPr>
                <w:rFonts w:hint="eastAsia"/>
              </w:rPr>
              <w:t>废水</w:t>
            </w:r>
            <w:r>
              <w:rPr>
                <w:rFonts w:hint="eastAsia"/>
                <w:lang w:eastAsia="zh-CN"/>
              </w:rPr>
              <w:t>、</w:t>
            </w:r>
            <w:r>
              <w:rPr>
                <w:rFonts w:hint="eastAsia"/>
              </w:rPr>
              <w:t>基坑排水</w:t>
            </w:r>
            <w:r>
              <w:rPr>
                <w:rFonts w:hint="eastAsia"/>
                <w:lang w:val="en-US" w:eastAsia="zh-CN"/>
              </w:rPr>
              <w:t>及河道疏浚滤水</w:t>
            </w:r>
            <w:r>
              <w:rPr>
                <w:rFonts w:hint="eastAsia"/>
              </w:rPr>
              <w:t>。</w:t>
            </w:r>
          </w:p>
          <w:p w14:paraId="73707951">
            <w:pPr>
              <w:pStyle w:val="6"/>
              <w:rPr>
                <w:rFonts w:hint="eastAsia"/>
              </w:rPr>
            </w:pPr>
            <w:r>
              <w:rPr>
                <w:rFonts w:hint="eastAsia"/>
                <w:lang w:val="en-US" w:eastAsia="zh-CN"/>
              </w:rPr>
              <w:t>①</w:t>
            </w:r>
            <w:r>
              <w:rPr>
                <w:rFonts w:hint="eastAsia"/>
              </w:rPr>
              <w:t>混凝土拌合系统废水</w:t>
            </w:r>
          </w:p>
          <w:p w14:paraId="7D5A5F5E">
            <w:pPr>
              <w:pStyle w:val="6"/>
              <w:rPr>
                <w:rFonts w:hint="eastAsia"/>
                <w:lang w:eastAsia="zh-CN"/>
              </w:rPr>
            </w:pPr>
            <w:r>
              <w:rPr>
                <w:rFonts w:hint="eastAsia"/>
                <w:lang w:val="en-US" w:eastAsia="zh-CN"/>
              </w:rPr>
              <w:t>本项目每个施工工区各设置1台0.4m</w:t>
            </w:r>
            <w:r>
              <w:rPr>
                <w:rFonts w:hint="eastAsia"/>
                <w:vertAlign w:val="superscript"/>
                <w:lang w:val="en-US" w:eastAsia="zh-CN"/>
              </w:rPr>
              <w:t>3</w:t>
            </w:r>
            <w:r>
              <w:rPr>
                <w:rFonts w:hint="eastAsia"/>
                <w:lang w:val="en-US" w:eastAsia="zh-CN"/>
              </w:rPr>
              <w:t>的移动式混凝土搅拌机，</w:t>
            </w:r>
            <w:r>
              <w:rPr>
                <w:rFonts w:hint="eastAsia"/>
                <w:lang w:eastAsia="zh-CN"/>
              </w:rPr>
              <w:t>废水主要来源于搅拌机冲洗，每天冲洗1次，</w:t>
            </w:r>
            <w:r>
              <w:rPr>
                <w:rFonts w:hint="eastAsia"/>
              </w:rPr>
              <w:t>预计</w:t>
            </w:r>
            <w:r>
              <w:rPr>
                <w:rFonts w:hint="eastAsia"/>
                <w:lang w:eastAsia="zh-CN"/>
              </w:rPr>
              <w:t>冲洗废水量为</w:t>
            </w:r>
            <w:r>
              <w:rPr>
                <w:rFonts w:hint="eastAsia"/>
                <w:lang w:val="en-US" w:eastAsia="zh-CN"/>
              </w:rPr>
              <w:t>1.0</w:t>
            </w:r>
            <w:r>
              <w:rPr>
                <w:rFonts w:hint="eastAsia"/>
                <w:lang w:eastAsia="zh-CN"/>
              </w:rPr>
              <w:t>m</w:t>
            </w:r>
            <w:r>
              <w:rPr>
                <w:rFonts w:hint="eastAsia"/>
                <w:vertAlign w:val="superscript"/>
                <w:lang w:eastAsia="zh-CN"/>
              </w:rPr>
              <w:t>3</w:t>
            </w:r>
            <w:r>
              <w:rPr>
                <w:rFonts w:hint="eastAsia"/>
                <w:lang w:eastAsia="zh-CN"/>
              </w:rPr>
              <w:t>/d，主要污染物为SS。项目在混凝土搅拌现场设置简易</w:t>
            </w:r>
            <w:r>
              <w:rPr>
                <w:rFonts w:hint="eastAsia"/>
                <w:lang w:val="en-US" w:eastAsia="zh-CN"/>
              </w:rPr>
              <w:t>隔油</w:t>
            </w:r>
            <w:r>
              <w:rPr>
                <w:rFonts w:hint="eastAsia"/>
                <w:lang w:eastAsia="zh-CN"/>
              </w:rPr>
              <w:t>沉淀池，废水经沉淀处理后全部回用于混凝土拌合系统，不外排。</w:t>
            </w:r>
          </w:p>
          <w:p w14:paraId="05A8FC64">
            <w:pPr>
              <w:pStyle w:val="6"/>
              <w:rPr>
                <w:rFonts w:hint="default" w:eastAsia="宋体"/>
                <w:lang w:val="en-US" w:eastAsia="zh-CN"/>
              </w:rPr>
            </w:pPr>
            <w:r>
              <w:rPr>
                <w:rFonts w:hint="eastAsia"/>
                <w:lang w:val="en-US" w:eastAsia="zh-CN"/>
              </w:rPr>
              <w:t>②机械设备冲洗废水</w:t>
            </w:r>
          </w:p>
          <w:p w14:paraId="210DA844">
            <w:pPr>
              <w:pStyle w:val="6"/>
              <w:rPr>
                <w:rFonts w:hint="eastAsia"/>
              </w:rPr>
            </w:pPr>
            <w:r>
              <w:rPr>
                <w:rFonts w:hint="eastAsia"/>
                <w:lang w:val="en-US" w:eastAsia="zh-CN"/>
              </w:rPr>
              <w:t>本</w:t>
            </w:r>
            <w:r>
              <w:rPr>
                <w:rFonts w:hint="eastAsia"/>
              </w:rPr>
              <w:t>项目</w:t>
            </w:r>
            <w:r>
              <w:rPr>
                <w:rFonts w:hint="eastAsia"/>
                <w:lang w:val="en-US" w:eastAsia="zh-CN"/>
              </w:rPr>
              <w:t>对施工机械设备、运输车辆需要定期进行冲洗，</w:t>
            </w:r>
            <w:r>
              <w:rPr>
                <w:rFonts w:hint="eastAsia"/>
              </w:rPr>
              <w:t>预计废水产生量约</w:t>
            </w:r>
            <w:r>
              <w:rPr>
                <w:rFonts w:hint="eastAsia"/>
                <w:lang w:val="en-US" w:eastAsia="zh-CN"/>
              </w:rPr>
              <w:t>2.0</w:t>
            </w:r>
            <w:r>
              <w:rPr>
                <w:rFonts w:hint="eastAsia"/>
              </w:rPr>
              <w:t>m</w:t>
            </w:r>
            <w:r>
              <w:rPr>
                <w:rFonts w:hint="eastAsia"/>
                <w:vertAlign w:val="superscript"/>
              </w:rPr>
              <w:t>3</w:t>
            </w:r>
            <w:r>
              <w:rPr>
                <w:rFonts w:hint="eastAsia"/>
              </w:rPr>
              <w:t>/d，主要污染物为SS、石油类。</w:t>
            </w:r>
            <w:r>
              <w:rPr>
                <w:rFonts w:hint="eastAsia"/>
                <w:lang w:val="en-US" w:eastAsia="zh-CN"/>
              </w:rPr>
              <w:t>机械设备冲洗废水通过</w:t>
            </w:r>
            <w:r>
              <w:rPr>
                <w:rFonts w:hint="eastAsia"/>
              </w:rPr>
              <w:t>施工</w:t>
            </w:r>
            <w:r>
              <w:rPr>
                <w:rFonts w:hint="eastAsia"/>
                <w:lang w:val="en-US" w:eastAsia="zh-CN"/>
              </w:rPr>
              <w:t>工区</w:t>
            </w:r>
            <w:r>
              <w:rPr>
                <w:rFonts w:hint="eastAsia"/>
              </w:rPr>
              <w:t>内设置</w:t>
            </w:r>
            <w:r>
              <w:rPr>
                <w:rFonts w:hint="eastAsia"/>
                <w:lang w:val="en-US" w:eastAsia="zh-CN"/>
              </w:rPr>
              <w:t>的</w:t>
            </w:r>
            <w:r>
              <w:rPr>
                <w:rFonts w:hint="eastAsia"/>
              </w:rPr>
              <w:t>简易隔油沉淀池，废水经隔油、沉淀处理后全部回用于施工场地洒水抑尘，不外排。</w:t>
            </w:r>
          </w:p>
          <w:p w14:paraId="6390DF35">
            <w:pPr>
              <w:pStyle w:val="6"/>
              <w:rPr>
                <w:rFonts w:hint="eastAsia" w:eastAsia="宋体"/>
                <w:lang w:val="en-US" w:eastAsia="zh-CN"/>
              </w:rPr>
            </w:pPr>
            <w:r>
              <w:rPr>
                <w:rFonts w:hint="eastAsia"/>
                <w:lang w:val="en-US" w:eastAsia="zh-CN"/>
              </w:rPr>
              <w:t>③基坑排水</w:t>
            </w:r>
          </w:p>
          <w:p w14:paraId="3365819C">
            <w:pPr>
              <w:pStyle w:val="6"/>
              <w:rPr>
                <w:rFonts w:hint="eastAsia"/>
                <w:color w:val="auto"/>
                <w:lang w:eastAsia="zh-CN"/>
              </w:rPr>
            </w:pPr>
            <w:r>
              <w:rPr>
                <w:rFonts w:hint="eastAsia"/>
                <w:color w:val="auto"/>
                <w:lang w:eastAsia="zh-CN"/>
              </w:rPr>
              <w:t>基坑排水包括初期排水和经常性排水。基坑初期排水为土石围堰闭气后，开始抽排基坑内的积水。本</w:t>
            </w:r>
            <w:r>
              <w:rPr>
                <w:rFonts w:hint="eastAsia"/>
                <w:color w:val="auto"/>
                <w:lang w:val="en-US" w:eastAsia="zh-CN"/>
              </w:rPr>
              <w:t>项目</w:t>
            </w:r>
            <w:r>
              <w:rPr>
                <w:rFonts w:hint="eastAsia"/>
                <w:color w:val="auto"/>
                <w:lang w:eastAsia="zh-CN"/>
              </w:rPr>
              <w:t>治理河段较短，基础开挖后无需长时间搁置，经过初期排水后即可施工，因此无需考虑经常性排水。基坑排水经沉淀处理后回用于施工场地洒水抑尘或混凝土养护，不外排。</w:t>
            </w:r>
          </w:p>
          <w:p w14:paraId="6B08FC26">
            <w:pPr>
              <w:pStyle w:val="6"/>
              <w:rPr>
                <w:rFonts w:hint="default"/>
                <w:lang w:val="en-US" w:eastAsia="zh-CN"/>
              </w:rPr>
            </w:pPr>
            <w:r>
              <w:rPr>
                <w:rFonts w:hint="eastAsia"/>
                <w:lang w:val="en-US" w:eastAsia="zh-CN"/>
              </w:rPr>
              <w:t>④河道疏浚滤水</w:t>
            </w:r>
          </w:p>
          <w:p w14:paraId="76C28AB5">
            <w:pPr>
              <w:pStyle w:val="6"/>
              <w:rPr>
                <w:rFonts w:hint="eastAsia"/>
                <w:color w:val="auto"/>
                <w:lang w:val="en-US" w:eastAsia="zh-CN"/>
              </w:rPr>
            </w:pPr>
            <w:r>
              <w:rPr>
                <w:rFonts w:hint="eastAsia"/>
                <w:color w:val="auto"/>
                <w:lang w:eastAsia="zh-CN"/>
              </w:rPr>
              <w:t>本项目涉及的</w:t>
            </w:r>
            <w:r>
              <w:rPr>
                <w:rFonts w:hint="eastAsia"/>
                <w:color w:val="auto"/>
                <w:lang w:val="en-US" w:eastAsia="zh-CN"/>
              </w:rPr>
              <w:t>河道疏浚，</w:t>
            </w:r>
            <w:r>
              <w:rPr>
                <w:rFonts w:hint="eastAsia"/>
                <w:color w:val="auto"/>
                <w:lang w:eastAsia="zh-CN"/>
              </w:rPr>
              <w:t>主要为</w:t>
            </w:r>
            <w:r>
              <w:rPr>
                <w:rFonts w:hint="eastAsia"/>
                <w:color w:val="auto"/>
                <w:lang w:val="en-US" w:eastAsia="zh-CN"/>
              </w:rPr>
              <w:t>卵砾石</w:t>
            </w:r>
            <w:r>
              <w:rPr>
                <w:rFonts w:hint="eastAsia"/>
                <w:color w:val="auto"/>
                <w:lang w:eastAsia="zh-CN"/>
              </w:rPr>
              <w:t>，</w:t>
            </w:r>
            <w:r>
              <w:rPr>
                <w:rFonts w:hint="eastAsia"/>
                <w:color w:val="auto"/>
                <w:lang w:val="en-US" w:eastAsia="zh-CN"/>
              </w:rPr>
              <w:t>含泥量较少。疏浚料堆放于临时堆料场，堆放过程会产生滤水，</w:t>
            </w:r>
            <w:r>
              <w:rPr>
                <w:rFonts w:hint="eastAsia"/>
                <w:color w:val="auto"/>
                <w:lang w:eastAsia="zh-CN"/>
              </w:rPr>
              <w:t>污染物主要是SS。</w:t>
            </w:r>
            <w:r>
              <w:rPr>
                <w:rFonts w:hint="eastAsia"/>
                <w:color w:val="auto"/>
                <w:lang w:val="en-US" w:eastAsia="zh-CN"/>
              </w:rPr>
              <w:t>堆放区设置排水沟，经沉淀池处理后回用于施工场地洒水抑尘，不外排。</w:t>
            </w:r>
          </w:p>
          <w:p w14:paraId="408E0E58">
            <w:pPr>
              <w:pStyle w:val="6"/>
              <w:rPr>
                <w:rFonts w:hint="eastAsia" w:eastAsia="宋体"/>
                <w:lang w:eastAsia="zh-CN"/>
              </w:rPr>
            </w:pPr>
            <w:r>
              <w:rPr>
                <w:rFonts w:hint="eastAsia"/>
                <w:lang w:eastAsia="zh-CN"/>
              </w:rPr>
              <w:t>（</w:t>
            </w:r>
            <w:r>
              <w:rPr>
                <w:rFonts w:hint="eastAsia"/>
                <w:lang w:val="en-US" w:eastAsia="zh-CN"/>
              </w:rPr>
              <w:t>2</w:t>
            </w:r>
            <w:r>
              <w:rPr>
                <w:rFonts w:hint="eastAsia"/>
                <w:lang w:eastAsia="zh-CN"/>
              </w:rPr>
              <w:t>）施工人员生活污水</w:t>
            </w:r>
          </w:p>
          <w:p w14:paraId="2040142D">
            <w:pPr>
              <w:pStyle w:val="6"/>
              <w:rPr>
                <w:rFonts w:hint="default"/>
                <w:lang w:val="en-US" w:eastAsia="zh-CN"/>
              </w:rPr>
            </w:pPr>
            <w:r>
              <w:rPr>
                <w:rFonts w:hint="eastAsia"/>
              </w:rPr>
              <w:t>本项目最大施工人数约</w:t>
            </w:r>
            <w:r>
              <w:rPr>
                <w:rFonts w:hint="eastAsia"/>
                <w:lang w:val="en-US" w:eastAsia="zh-CN"/>
              </w:rPr>
              <w:t>50</w:t>
            </w:r>
            <w:r>
              <w:rPr>
                <w:rFonts w:hint="eastAsia"/>
              </w:rPr>
              <w:t>人，</w:t>
            </w:r>
            <w:r>
              <w:rPr>
                <w:rFonts w:hint="eastAsia"/>
                <w:lang w:val="en-US" w:eastAsia="zh-CN"/>
              </w:rPr>
              <w:t>项目施工办公生活采用租赁当地民房，</w:t>
            </w:r>
            <w:r>
              <w:rPr>
                <w:rFonts w:hint="eastAsia"/>
              </w:rPr>
              <w:t>施工人员生活用水取</w:t>
            </w:r>
            <w:r>
              <w:rPr>
                <w:rFonts w:hint="eastAsia"/>
                <w:lang w:val="en-US" w:eastAsia="zh-CN"/>
              </w:rPr>
              <w:t>50</w:t>
            </w:r>
            <w:r>
              <w:rPr>
                <w:rFonts w:hint="eastAsia"/>
              </w:rPr>
              <w:t>L/人·d，排污系数取0.9，则生活污水量为</w:t>
            </w:r>
            <w:r>
              <w:rPr>
                <w:rFonts w:hint="eastAsia"/>
                <w:lang w:val="en-US" w:eastAsia="zh-CN"/>
              </w:rPr>
              <w:t>2.25</w:t>
            </w:r>
            <w:r>
              <w:rPr>
                <w:rFonts w:hint="eastAsia"/>
              </w:rPr>
              <w:t>m</w:t>
            </w:r>
            <w:r>
              <w:rPr>
                <w:rFonts w:hint="eastAsia"/>
                <w:vertAlign w:val="superscript"/>
              </w:rPr>
              <w:t>3</w:t>
            </w:r>
            <w:r>
              <w:rPr>
                <w:rFonts w:hint="eastAsia"/>
              </w:rPr>
              <w:t>/d，主要污染物为COD</w:t>
            </w:r>
            <w:r>
              <w:rPr>
                <w:rFonts w:hint="eastAsia"/>
                <w:lang w:val="en-US" w:eastAsia="zh-CN"/>
              </w:rPr>
              <w:t>3</w:t>
            </w:r>
            <w:r>
              <w:rPr>
                <w:rFonts w:hint="eastAsia"/>
              </w:rPr>
              <w:t>00mg/L、氨氮35mg/L、SS200mg/L</w:t>
            </w:r>
            <w:r>
              <w:rPr>
                <w:rFonts w:hint="eastAsia"/>
                <w:lang w:eastAsia="zh-CN"/>
              </w:rPr>
              <w:t>，</w:t>
            </w:r>
            <w:r>
              <w:rPr>
                <w:rFonts w:hint="eastAsia"/>
                <w:lang w:val="en-US" w:eastAsia="zh-CN"/>
              </w:rPr>
              <w:t>生活污水依托附近民宅既有污水处理设施收集处理，不外排。</w:t>
            </w:r>
          </w:p>
          <w:p w14:paraId="3B1502AC">
            <w:pPr>
              <w:pStyle w:val="6"/>
              <w:rPr>
                <w:rFonts w:hint="eastAsia"/>
                <w:lang w:val="en-US" w:eastAsia="zh-CN"/>
              </w:rPr>
            </w:pPr>
            <w:r>
              <w:rPr>
                <w:rFonts w:hint="eastAsia"/>
                <w:lang w:val="en-US" w:eastAsia="zh-CN"/>
              </w:rPr>
              <w:t>综上分析，采取上述措施后，项目施工期废水对地表水环境影响小。</w:t>
            </w:r>
          </w:p>
          <w:p w14:paraId="64AF2F75">
            <w:pPr>
              <w:pStyle w:val="5"/>
              <w:bidi w:val="0"/>
              <w:rPr>
                <w:rFonts w:hint="eastAsia"/>
                <w:lang w:val="en-US" w:eastAsia="zh-CN"/>
              </w:rPr>
            </w:pPr>
            <w:r>
              <w:rPr>
                <w:rFonts w:hint="eastAsia"/>
                <w:lang w:val="en-US" w:eastAsia="zh-CN"/>
              </w:rPr>
              <w:t>对水文情势影响</w:t>
            </w:r>
          </w:p>
          <w:p w14:paraId="3531DACF">
            <w:pPr>
              <w:pStyle w:val="6"/>
              <w:rPr>
                <w:rFonts w:hint="default"/>
                <w:lang w:val="en-US" w:eastAsia="zh-CN"/>
              </w:rPr>
            </w:pPr>
            <w:r>
              <w:rPr>
                <w:rFonts w:hint="eastAsia"/>
                <w:lang w:val="en-US" w:eastAsia="zh-CN"/>
              </w:rPr>
              <w:t>本项目施工期水文情势影响主要为施工导流影响，项目通过设置导流围堰减小项目工程施工活动对地表水的扰动影响。但围堰设置后占据一定比例的河面，会短暂造成河流水面变窄，过水断面减小，流速加大，水流通过收缩断面后，水位又逐步降落至下游水位，项目枯水期施工，河道整体流量较小，水位较低，基本不会改变原河道的天然水流状态。且</w:t>
            </w:r>
            <w:r>
              <w:rPr>
                <w:rFonts w:hint="default"/>
                <w:lang w:val="en-US" w:eastAsia="zh-CN"/>
              </w:rPr>
              <w:t>导流是临时施工措施，工程完成后该影响即可恢复至导流前状况。因此，施工导流的影响是暂时的、可逆的，影响总体较小，施工结束后影响即可消除。</w:t>
            </w:r>
          </w:p>
          <w:p w14:paraId="5F5A8B5F">
            <w:pPr>
              <w:pStyle w:val="5"/>
              <w:bidi w:val="0"/>
              <w:rPr>
                <w:rFonts w:hint="eastAsia"/>
                <w:lang w:val="en-US" w:eastAsia="zh-CN"/>
              </w:rPr>
            </w:pPr>
            <w:r>
              <w:rPr>
                <w:rFonts w:hint="eastAsia"/>
                <w:lang w:val="en-US" w:eastAsia="zh-CN"/>
              </w:rPr>
              <w:t>对水环境敏感目标的影响</w:t>
            </w:r>
          </w:p>
          <w:p w14:paraId="3E0B19E1">
            <w:pPr>
              <w:pStyle w:val="6"/>
              <w:rPr>
                <w:rFonts w:hint="eastAsia"/>
                <w:lang w:val="en-US" w:eastAsia="zh-CN"/>
              </w:rPr>
            </w:pPr>
            <w:r>
              <w:rPr>
                <w:rFonts w:hint="eastAsia"/>
                <w:lang w:val="en-US" w:eastAsia="zh-CN"/>
              </w:rPr>
              <w:t>本项目涉及水体为天生河及支流黎家沟。施工期施工废水经处理后回用，生活污水依托租住的附近场镇民房的污水处理设施处理，不直排入周围环境水体。因此，对地表水影响较小；工程施工对控制断面的水质影响主要集中在围堰修筑及拆除过程，建议利用枯水期晴天进行围堰施工，控制施工时长。对于施工机械的跑冒滴漏通过地表径流可能污染水体，但其影响程度较小，通过加强施工机械管理，避免跑冒滴漏，可以最大程度降低施工对地表水体的不利影响。</w:t>
            </w:r>
          </w:p>
          <w:p w14:paraId="20BA8000">
            <w:pPr>
              <w:pStyle w:val="6"/>
              <w:rPr>
                <w:rFonts w:hint="default"/>
                <w:lang w:val="en-US" w:eastAsia="zh-CN"/>
              </w:rPr>
            </w:pPr>
            <w:r>
              <w:rPr>
                <w:rFonts w:hint="default"/>
                <w:lang w:val="en-US" w:eastAsia="zh-CN"/>
              </w:rPr>
              <w:t>综上，落实水环境保护防治措施后，工程对</w:t>
            </w:r>
            <w:r>
              <w:rPr>
                <w:rFonts w:hint="eastAsia"/>
                <w:lang w:val="en-US" w:eastAsia="zh-CN"/>
              </w:rPr>
              <w:t>水环境敏感目标的</w:t>
            </w:r>
            <w:r>
              <w:rPr>
                <w:rFonts w:hint="default"/>
                <w:lang w:val="en-US" w:eastAsia="zh-CN"/>
              </w:rPr>
              <w:t>影响较小。</w:t>
            </w:r>
          </w:p>
          <w:p w14:paraId="0FC055C5">
            <w:pPr>
              <w:pStyle w:val="4"/>
              <w:numPr>
                <w:ilvl w:val="2"/>
                <w:numId w:val="7"/>
              </w:numPr>
            </w:pPr>
            <w:bookmarkStart w:id="69" w:name="_Toc193096274"/>
            <w:bookmarkStart w:id="70" w:name="_Toc4257"/>
            <w:r>
              <w:rPr>
                <w:rFonts w:hint="eastAsia"/>
              </w:rPr>
              <w:t>施工期声环境影响分析</w:t>
            </w:r>
            <w:bookmarkEnd w:id="69"/>
            <w:bookmarkEnd w:id="70"/>
          </w:p>
          <w:p w14:paraId="2D86A857">
            <w:pPr>
              <w:pStyle w:val="6"/>
              <w:rPr>
                <w:rFonts w:hint="eastAsia"/>
                <w:bCs/>
                <w:sz w:val="24"/>
                <w:lang w:eastAsia="zh-CN"/>
              </w:rPr>
            </w:pPr>
            <w:r>
              <w:rPr>
                <w:rFonts w:hint="eastAsia"/>
                <w:bCs/>
                <w:sz w:val="24"/>
                <w:lang w:eastAsia="zh-CN"/>
              </w:rPr>
              <w:t>（</w:t>
            </w:r>
            <w:r>
              <w:rPr>
                <w:rFonts w:hint="eastAsia"/>
                <w:bCs/>
                <w:sz w:val="24"/>
                <w:lang w:val="en-US" w:eastAsia="zh-CN"/>
              </w:rPr>
              <w:t>1</w:t>
            </w:r>
            <w:r>
              <w:rPr>
                <w:rFonts w:hint="eastAsia"/>
                <w:bCs/>
                <w:sz w:val="24"/>
                <w:lang w:eastAsia="zh-CN"/>
              </w:rPr>
              <w:t>）噪声源强</w:t>
            </w:r>
          </w:p>
          <w:p w14:paraId="5877AC52">
            <w:pPr>
              <w:pStyle w:val="6"/>
              <w:rPr>
                <w:rFonts w:hint="eastAsia"/>
                <w:color w:val="auto"/>
                <w:lang w:val="en-US" w:eastAsia="zh-CN"/>
              </w:rPr>
            </w:pPr>
            <w:r>
              <w:rPr>
                <w:rFonts w:hint="eastAsia"/>
                <w:color w:val="auto"/>
                <w:lang w:val="en-US" w:eastAsia="zh-CN"/>
              </w:rPr>
              <w:t>本项目工程施工期噪声主要来自土石方开挖、混凝土拌合、交通运输等施工活动。参考《环境噪声与振动控制工程技术导则》（HJ 2034-2013）、《水电水利工程施工环境保护技术规程》（DL/T 5260-2010），结合《低噪声施工设备指导名录（2024年版）》及类似工程实测数据，主要噪声源噪声值见下表。</w:t>
            </w:r>
          </w:p>
          <w:p w14:paraId="3EE41616">
            <w:pPr>
              <w:pStyle w:val="7"/>
              <w:bidi w:val="0"/>
              <w:rPr>
                <w:rFonts w:hint="eastAsia"/>
                <w:lang w:val="en-US" w:eastAsia="zh-CN"/>
              </w:rPr>
            </w:pPr>
            <w:bookmarkStart w:id="71" w:name="_Toc7469"/>
            <w:r>
              <w:rPr>
                <w:rFonts w:hint="eastAsia"/>
                <w:lang w:val="en-US" w:eastAsia="zh-CN"/>
              </w:rPr>
              <w:t>主要施工机械噪声源强</w:t>
            </w:r>
            <w:bookmarkEnd w:id="71"/>
          </w:p>
          <w:tbl>
            <w:tblPr>
              <w:tblStyle w:val="17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419"/>
              <w:gridCol w:w="3774"/>
              <w:gridCol w:w="1467"/>
            </w:tblGrid>
            <w:tr w14:paraId="469711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tblHeader/>
                <w:jc w:val="center"/>
              </w:trPr>
              <w:tc>
                <w:tcPr>
                  <w:tcW w:w="600" w:type="pct"/>
                  <w:tcBorders>
                    <w:tl2br w:val="nil"/>
                    <w:tr2bl w:val="nil"/>
                  </w:tcBorders>
                  <w:vAlign w:val="center"/>
                </w:tcPr>
                <w:p w14:paraId="3EC64D5E">
                  <w:pPr>
                    <w:pStyle w:val="99"/>
                    <w:bidi w:val="0"/>
                    <w:rPr>
                      <w:rFonts w:hint="default"/>
                      <w:color w:val="auto"/>
                      <w:sz w:val="22"/>
                      <w:szCs w:val="22"/>
                      <w:lang w:val="en-US" w:eastAsia="zh-CN"/>
                    </w:rPr>
                  </w:pPr>
                  <w:r>
                    <w:rPr>
                      <w:rFonts w:hint="default"/>
                      <w:color w:val="auto"/>
                      <w:sz w:val="22"/>
                      <w:szCs w:val="22"/>
                      <w:lang w:val="en-US" w:eastAsia="zh-CN"/>
                    </w:rPr>
                    <w:t>序号</w:t>
                  </w:r>
                </w:p>
              </w:tc>
              <w:tc>
                <w:tcPr>
                  <w:tcW w:w="1389" w:type="pct"/>
                  <w:tcBorders>
                    <w:tl2br w:val="nil"/>
                    <w:tr2bl w:val="nil"/>
                  </w:tcBorders>
                  <w:vAlign w:val="center"/>
                </w:tcPr>
                <w:p w14:paraId="7EF8311C">
                  <w:pPr>
                    <w:pStyle w:val="99"/>
                    <w:bidi w:val="0"/>
                    <w:rPr>
                      <w:rFonts w:hint="default"/>
                      <w:color w:val="auto"/>
                      <w:sz w:val="22"/>
                      <w:szCs w:val="22"/>
                      <w:lang w:val="en-US" w:eastAsia="zh-CN"/>
                    </w:rPr>
                  </w:pPr>
                  <w:r>
                    <w:rPr>
                      <w:rFonts w:hint="default"/>
                      <w:color w:val="auto"/>
                      <w:sz w:val="22"/>
                      <w:szCs w:val="22"/>
                      <w:lang w:val="en-US" w:eastAsia="zh-CN"/>
                    </w:rPr>
                    <w:t>机械类型</w:t>
                  </w:r>
                </w:p>
              </w:tc>
              <w:tc>
                <w:tcPr>
                  <w:tcW w:w="2167" w:type="pct"/>
                  <w:tcBorders>
                    <w:tl2br w:val="nil"/>
                    <w:tr2bl w:val="nil"/>
                  </w:tcBorders>
                  <w:vAlign w:val="center"/>
                </w:tcPr>
                <w:p w14:paraId="7541D6FD">
                  <w:pPr>
                    <w:pStyle w:val="99"/>
                    <w:bidi w:val="0"/>
                    <w:rPr>
                      <w:rFonts w:hint="default"/>
                      <w:color w:val="auto"/>
                      <w:sz w:val="22"/>
                      <w:szCs w:val="22"/>
                      <w:lang w:val="en-US" w:eastAsia="zh-CN"/>
                    </w:rPr>
                  </w:pPr>
                  <w:r>
                    <w:rPr>
                      <w:rFonts w:hint="default"/>
                      <w:color w:val="auto"/>
                      <w:sz w:val="22"/>
                      <w:szCs w:val="22"/>
                      <w:lang w:val="en-US" w:eastAsia="zh-CN"/>
                    </w:rPr>
                    <w:t>距离声源5m[dB（A）]</w:t>
                  </w:r>
                </w:p>
              </w:tc>
              <w:tc>
                <w:tcPr>
                  <w:tcW w:w="842" w:type="pct"/>
                  <w:tcBorders>
                    <w:tl2br w:val="nil"/>
                    <w:tr2bl w:val="nil"/>
                  </w:tcBorders>
                  <w:vAlign w:val="center"/>
                </w:tcPr>
                <w:p w14:paraId="1D27CAE2">
                  <w:pPr>
                    <w:pStyle w:val="99"/>
                    <w:bidi w:val="0"/>
                    <w:rPr>
                      <w:rFonts w:hint="default"/>
                      <w:color w:val="auto"/>
                      <w:sz w:val="22"/>
                      <w:szCs w:val="22"/>
                      <w:lang w:val="en-US" w:eastAsia="zh-CN"/>
                    </w:rPr>
                  </w:pPr>
                  <w:r>
                    <w:rPr>
                      <w:rFonts w:hint="default"/>
                      <w:color w:val="auto"/>
                      <w:sz w:val="22"/>
                      <w:szCs w:val="22"/>
                      <w:lang w:val="en-US" w:eastAsia="zh-CN"/>
                    </w:rPr>
                    <w:t>声源特性</w:t>
                  </w:r>
                </w:p>
              </w:tc>
            </w:tr>
            <w:tr w14:paraId="52985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22848AB7">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c>
                <w:tcPr>
                  <w:tcW w:w="1389" w:type="pct"/>
                  <w:tcBorders>
                    <w:tl2br w:val="nil"/>
                    <w:tr2bl w:val="nil"/>
                  </w:tcBorders>
                  <w:shd w:val="clear" w:color="auto" w:fill="auto"/>
                  <w:vAlign w:val="center"/>
                </w:tcPr>
                <w:p w14:paraId="513019A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14:ligatures w14:val="standardContextual"/>
                    </w:rPr>
                    <w:t>汽车起重机</w:t>
                  </w:r>
                </w:p>
              </w:tc>
              <w:tc>
                <w:tcPr>
                  <w:tcW w:w="2167" w:type="pct"/>
                  <w:tcBorders>
                    <w:tl2br w:val="nil"/>
                    <w:tr2bl w:val="nil"/>
                  </w:tcBorders>
                  <w:shd w:val="clear" w:color="auto" w:fill="auto"/>
                  <w:vAlign w:val="center"/>
                </w:tcPr>
                <w:p w14:paraId="1CA6CCD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restart"/>
                  <w:tcBorders>
                    <w:tl2br w:val="nil"/>
                    <w:tr2bl w:val="nil"/>
                  </w:tcBorders>
                  <w:vAlign w:val="center"/>
                </w:tcPr>
                <w:p w14:paraId="02F92DD4">
                  <w:pPr>
                    <w:pStyle w:val="99"/>
                    <w:bidi w:val="0"/>
                    <w:rPr>
                      <w:rFonts w:hint="default"/>
                      <w:color w:val="auto"/>
                      <w:sz w:val="22"/>
                      <w:szCs w:val="22"/>
                      <w:lang w:val="en-US" w:eastAsia="zh-CN"/>
                    </w:rPr>
                  </w:pPr>
                  <w:r>
                    <w:rPr>
                      <w:rFonts w:hint="default"/>
                      <w:color w:val="auto"/>
                      <w:sz w:val="22"/>
                      <w:szCs w:val="22"/>
                      <w:lang w:val="en-US" w:eastAsia="zh-CN"/>
                    </w:rPr>
                    <w:t>间歇、移动噪声源</w:t>
                  </w:r>
                </w:p>
              </w:tc>
            </w:tr>
            <w:tr w14:paraId="4133A8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4113E2DA">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p>
              </w:tc>
              <w:tc>
                <w:tcPr>
                  <w:tcW w:w="1389" w:type="pct"/>
                  <w:tcBorders>
                    <w:tl2br w:val="nil"/>
                    <w:tr2bl w:val="nil"/>
                  </w:tcBorders>
                  <w:vAlign w:val="center"/>
                </w:tcPr>
                <w:p w14:paraId="78C249DF">
                  <w:pPr>
                    <w:keepNext w:val="0"/>
                    <w:keepLines w:val="0"/>
                    <w:widowControl/>
                    <w:suppressLineNumbers w:val="0"/>
                    <w:jc w:val="center"/>
                    <w:textAlignment w:val="center"/>
                    <w:rPr>
                      <w:rFonts w:hint="default"/>
                      <w:color w:val="auto"/>
                      <w:sz w:val="22"/>
                      <w:szCs w:val="22"/>
                      <w:lang w:val="en-US" w:eastAsia="zh-CN"/>
                    </w:rPr>
                  </w:pPr>
                  <w:r>
                    <w:rPr>
                      <w:rFonts w:hint="eastAsia" w:ascii="宋体" w:hAnsi="宋体" w:eastAsia="宋体" w:cs="宋体"/>
                      <w:i w:val="0"/>
                      <w:iCs w:val="0"/>
                      <w:color w:val="000000"/>
                      <w:kern w:val="0"/>
                      <w:sz w:val="22"/>
                      <w:szCs w:val="22"/>
                      <w:u w:val="none"/>
                      <w:lang w:val="en-US" w:eastAsia="zh-CN" w:bidi="ar"/>
                      <w14:ligatures w14:val="standardContextual"/>
                    </w:rPr>
                    <w:t>挖掘机</w:t>
                  </w:r>
                </w:p>
              </w:tc>
              <w:tc>
                <w:tcPr>
                  <w:tcW w:w="2167" w:type="pct"/>
                  <w:tcBorders>
                    <w:tl2br w:val="nil"/>
                    <w:tr2bl w:val="nil"/>
                  </w:tcBorders>
                  <w:vAlign w:val="center"/>
                </w:tcPr>
                <w:p w14:paraId="1F4B6A8E">
                  <w:pPr>
                    <w:keepNext w:val="0"/>
                    <w:keepLines w:val="0"/>
                    <w:widowControl/>
                    <w:suppressLineNumbers w:val="0"/>
                    <w:jc w:val="center"/>
                    <w:textAlignment w:val="center"/>
                    <w:rPr>
                      <w:rFonts w:hint="default"/>
                      <w:color w:val="auto"/>
                      <w:sz w:val="22"/>
                      <w:szCs w:val="22"/>
                      <w:lang w:val="en-US" w:eastAsia="zh-CN"/>
                    </w:rPr>
                  </w:pPr>
                  <w:r>
                    <w:rPr>
                      <w:rFonts w:hint="eastAsia" w:cs="Times New Roman"/>
                      <w:i w:val="0"/>
                      <w:iCs w:val="0"/>
                      <w:color w:val="000000"/>
                      <w:kern w:val="0"/>
                      <w:sz w:val="22"/>
                      <w:szCs w:val="22"/>
                      <w:u w:val="none"/>
                      <w:lang w:val="en-US" w:eastAsia="zh-CN" w:bidi="ar"/>
                      <w14:ligatures w14:val="standardContextual"/>
                    </w:rPr>
                    <w:t>72</w:t>
                  </w:r>
                </w:p>
              </w:tc>
              <w:tc>
                <w:tcPr>
                  <w:tcW w:w="842" w:type="pct"/>
                  <w:vMerge w:val="continue"/>
                  <w:tcBorders>
                    <w:tl2br w:val="nil"/>
                    <w:tr2bl w:val="nil"/>
                  </w:tcBorders>
                  <w:vAlign w:val="center"/>
                </w:tcPr>
                <w:p w14:paraId="76319276">
                  <w:pPr>
                    <w:pStyle w:val="99"/>
                    <w:bidi w:val="0"/>
                    <w:rPr>
                      <w:rFonts w:hint="default"/>
                      <w:color w:val="auto"/>
                      <w:sz w:val="22"/>
                      <w:szCs w:val="22"/>
                      <w:lang w:val="en-US" w:eastAsia="zh-CN"/>
                    </w:rPr>
                  </w:pPr>
                </w:p>
              </w:tc>
            </w:tr>
            <w:tr w14:paraId="3674A1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1D511A5A">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w:t>
                  </w:r>
                </w:p>
              </w:tc>
              <w:tc>
                <w:tcPr>
                  <w:tcW w:w="1389" w:type="pct"/>
                  <w:tcBorders>
                    <w:tl2br w:val="nil"/>
                    <w:tr2bl w:val="nil"/>
                  </w:tcBorders>
                  <w:shd w:val="clear" w:color="auto" w:fill="auto"/>
                  <w:vAlign w:val="center"/>
                </w:tcPr>
                <w:p w14:paraId="031E1A25">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推土机</w:t>
                  </w:r>
                </w:p>
              </w:tc>
              <w:tc>
                <w:tcPr>
                  <w:tcW w:w="2167" w:type="pct"/>
                  <w:tcBorders>
                    <w:tl2br w:val="nil"/>
                    <w:tr2bl w:val="nil"/>
                  </w:tcBorders>
                  <w:vAlign w:val="center"/>
                </w:tcPr>
                <w:p w14:paraId="53D9DECC">
                  <w:pPr>
                    <w:keepNext w:val="0"/>
                    <w:keepLines w:val="0"/>
                    <w:widowControl/>
                    <w:suppressLineNumbers w:val="0"/>
                    <w:jc w:val="center"/>
                    <w:textAlignment w:val="center"/>
                    <w:rPr>
                      <w:rFonts w:hint="default"/>
                      <w:color w:val="auto"/>
                      <w:sz w:val="22"/>
                      <w:szCs w:val="22"/>
                      <w:lang w:val="en-US" w:eastAsia="zh-CN"/>
                    </w:rPr>
                  </w:pPr>
                  <w:r>
                    <w:rPr>
                      <w:rFonts w:hint="eastAsia" w:cs="Times New Roman"/>
                      <w:i w:val="0"/>
                      <w:iCs w:val="0"/>
                      <w:color w:val="000000"/>
                      <w:kern w:val="0"/>
                      <w:sz w:val="22"/>
                      <w:szCs w:val="22"/>
                      <w:u w:val="none"/>
                      <w:lang w:val="en-US" w:eastAsia="zh-CN" w:bidi="ar"/>
                      <w14:ligatures w14:val="standardContextual"/>
                    </w:rPr>
                    <w:t>75</w:t>
                  </w:r>
                </w:p>
              </w:tc>
              <w:tc>
                <w:tcPr>
                  <w:tcW w:w="842" w:type="pct"/>
                  <w:vMerge w:val="continue"/>
                  <w:tcBorders>
                    <w:tl2br w:val="nil"/>
                    <w:tr2bl w:val="nil"/>
                  </w:tcBorders>
                  <w:vAlign w:val="center"/>
                </w:tcPr>
                <w:p w14:paraId="63A36488">
                  <w:pPr>
                    <w:pStyle w:val="99"/>
                    <w:bidi w:val="0"/>
                    <w:rPr>
                      <w:rFonts w:hint="default"/>
                      <w:color w:val="auto"/>
                      <w:sz w:val="22"/>
                      <w:szCs w:val="22"/>
                      <w:lang w:val="en-US" w:eastAsia="zh-CN"/>
                    </w:rPr>
                  </w:pPr>
                </w:p>
              </w:tc>
            </w:tr>
            <w:tr w14:paraId="63E1E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09C34A0D">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1389" w:type="pct"/>
                  <w:tcBorders>
                    <w:tl2br w:val="nil"/>
                    <w:tr2bl w:val="nil"/>
                  </w:tcBorders>
                  <w:shd w:val="clear" w:color="auto" w:fill="auto"/>
                  <w:vAlign w:val="center"/>
                </w:tcPr>
                <w:p w14:paraId="631DAA56">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自卸汽车</w:t>
                  </w:r>
                </w:p>
              </w:tc>
              <w:tc>
                <w:tcPr>
                  <w:tcW w:w="2167" w:type="pct"/>
                  <w:tcBorders>
                    <w:tl2br w:val="nil"/>
                    <w:tr2bl w:val="nil"/>
                  </w:tcBorders>
                  <w:vAlign w:val="center"/>
                </w:tcPr>
                <w:p w14:paraId="5EDC4404">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74F61FC0">
                  <w:pPr>
                    <w:pStyle w:val="99"/>
                    <w:bidi w:val="0"/>
                    <w:rPr>
                      <w:rFonts w:hint="default"/>
                      <w:color w:val="auto"/>
                      <w:sz w:val="22"/>
                      <w:szCs w:val="22"/>
                      <w:lang w:val="en-US" w:eastAsia="zh-CN"/>
                    </w:rPr>
                  </w:pPr>
                </w:p>
              </w:tc>
            </w:tr>
            <w:tr w14:paraId="174E00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2C7130CA">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1389" w:type="pct"/>
                  <w:tcBorders>
                    <w:tl2br w:val="nil"/>
                    <w:tr2bl w:val="nil"/>
                  </w:tcBorders>
                  <w:shd w:val="clear" w:color="auto" w:fill="auto"/>
                  <w:vAlign w:val="center"/>
                </w:tcPr>
                <w:p w14:paraId="3894C4AD">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载重汽车</w:t>
                  </w:r>
                </w:p>
              </w:tc>
              <w:tc>
                <w:tcPr>
                  <w:tcW w:w="2167" w:type="pct"/>
                  <w:tcBorders>
                    <w:tl2br w:val="nil"/>
                    <w:tr2bl w:val="nil"/>
                  </w:tcBorders>
                  <w:vAlign w:val="center"/>
                </w:tcPr>
                <w:p w14:paraId="671A5C0E">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6B7C9F52">
                  <w:pPr>
                    <w:pStyle w:val="99"/>
                    <w:bidi w:val="0"/>
                    <w:rPr>
                      <w:rFonts w:hint="default"/>
                      <w:color w:val="auto"/>
                      <w:sz w:val="22"/>
                      <w:szCs w:val="22"/>
                      <w:lang w:val="en-US" w:eastAsia="zh-CN"/>
                    </w:rPr>
                  </w:pPr>
                </w:p>
              </w:tc>
            </w:tr>
            <w:tr w14:paraId="08FBD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7E5C6E45">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1389" w:type="pct"/>
                  <w:tcBorders>
                    <w:tl2br w:val="nil"/>
                    <w:tr2bl w:val="nil"/>
                  </w:tcBorders>
                  <w:shd w:val="clear" w:color="auto" w:fill="auto"/>
                  <w:vAlign w:val="center"/>
                </w:tcPr>
                <w:p w14:paraId="353ED1D6">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拖拉机</w:t>
                  </w:r>
                </w:p>
              </w:tc>
              <w:tc>
                <w:tcPr>
                  <w:tcW w:w="2167" w:type="pct"/>
                  <w:tcBorders>
                    <w:tl2br w:val="nil"/>
                    <w:tr2bl w:val="nil"/>
                  </w:tcBorders>
                  <w:vAlign w:val="center"/>
                </w:tcPr>
                <w:p w14:paraId="2044D146">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73F2AA34">
                  <w:pPr>
                    <w:pStyle w:val="99"/>
                    <w:bidi w:val="0"/>
                    <w:rPr>
                      <w:rFonts w:hint="default"/>
                      <w:color w:val="auto"/>
                      <w:sz w:val="22"/>
                      <w:szCs w:val="22"/>
                      <w:lang w:val="en-US" w:eastAsia="zh-CN"/>
                    </w:rPr>
                  </w:pPr>
                </w:p>
              </w:tc>
            </w:tr>
            <w:tr w14:paraId="1E0A6D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17826772">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w:t>
                  </w:r>
                </w:p>
              </w:tc>
              <w:tc>
                <w:tcPr>
                  <w:tcW w:w="1389" w:type="pct"/>
                  <w:tcBorders>
                    <w:tl2br w:val="nil"/>
                    <w:tr2bl w:val="nil"/>
                  </w:tcBorders>
                  <w:shd w:val="clear" w:color="auto" w:fill="auto"/>
                  <w:vAlign w:val="center"/>
                </w:tcPr>
                <w:p w14:paraId="17C1B33B">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压路机</w:t>
                  </w:r>
                </w:p>
              </w:tc>
              <w:tc>
                <w:tcPr>
                  <w:tcW w:w="2167" w:type="pct"/>
                  <w:tcBorders>
                    <w:tl2br w:val="nil"/>
                    <w:tr2bl w:val="nil"/>
                  </w:tcBorders>
                  <w:vAlign w:val="center"/>
                </w:tcPr>
                <w:p w14:paraId="0D5E46E3">
                  <w:pPr>
                    <w:keepNext w:val="0"/>
                    <w:keepLines w:val="0"/>
                    <w:widowControl/>
                    <w:suppressLineNumbers w:val="0"/>
                    <w:jc w:val="center"/>
                    <w:textAlignment w:val="center"/>
                    <w:rPr>
                      <w:rFonts w:hint="default"/>
                      <w:color w:val="auto"/>
                      <w:sz w:val="22"/>
                      <w:szCs w:val="22"/>
                      <w:lang w:val="en-US" w:eastAsia="zh-CN"/>
                    </w:rPr>
                  </w:pPr>
                  <w:r>
                    <w:rPr>
                      <w:rFonts w:hint="eastAsia" w:cs="Times New Roman"/>
                      <w:i w:val="0"/>
                      <w:iCs w:val="0"/>
                      <w:color w:val="000000"/>
                      <w:kern w:val="0"/>
                      <w:sz w:val="22"/>
                      <w:szCs w:val="22"/>
                      <w:u w:val="none"/>
                      <w:lang w:val="en-US" w:eastAsia="zh-CN" w:bidi="ar"/>
                      <w14:ligatures w14:val="standardContextual"/>
                    </w:rPr>
                    <w:t>70</w:t>
                  </w:r>
                </w:p>
              </w:tc>
              <w:tc>
                <w:tcPr>
                  <w:tcW w:w="842" w:type="pct"/>
                  <w:vMerge w:val="continue"/>
                  <w:tcBorders>
                    <w:tl2br w:val="nil"/>
                    <w:tr2bl w:val="nil"/>
                  </w:tcBorders>
                  <w:vAlign w:val="center"/>
                </w:tcPr>
                <w:p w14:paraId="6FB5BFA1">
                  <w:pPr>
                    <w:pStyle w:val="99"/>
                    <w:bidi w:val="0"/>
                    <w:rPr>
                      <w:rFonts w:hint="default"/>
                      <w:color w:val="auto"/>
                      <w:sz w:val="22"/>
                      <w:szCs w:val="22"/>
                      <w:lang w:val="en-US" w:eastAsia="zh-CN"/>
                    </w:rPr>
                  </w:pPr>
                </w:p>
              </w:tc>
            </w:tr>
            <w:tr w14:paraId="349DA0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078DF560">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w:t>
                  </w:r>
                </w:p>
              </w:tc>
              <w:tc>
                <w:tcPr>
                  <w:tcW w:w="1389" w:type="pct"/>
                  <w:tcBorders>
                    <w:tl2br w:val="nil"/>
                    <w:tr2bl w:val="nil"/>
                  </w:tcBorders>
                  <w:shd w:val="clear" w:color="auto" w:fill="auto"/>
                  <w:vAlign w:val="center"/>
                </w:tcPr>
                <w:p w14:paraId="5D74C646">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风</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r>
                    <w:rPr>
                      <w:rFonts w:hint="eastAsia" w:ascii="宋体" w:hAnsi="宋体" w:eastAsia="宋体" w:cs="宋体"/>
                      <w:i w:val="0"/>
                      <w:iCs w:val="0"/>
                      <w:color w:val="000000"/>
                      <w:kern w:val="0"/>
                      <w:sz w:val="22"/>
                      <w:szCs w:val="22"/>
                      <w:u w:val="none"/>
                      <w:lang w:val="en-US" w:eastAsia="zh-CN" w:bidi="ar"/>
                      <w14:ligatures w14:val="standardContextual"/>
                    </w:rPr>
                    <w:t>砂</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r>
                    <w:rPr>
                      <w:rFonts w:hint="eastAsia" w:ascii="宋体" w:hAnsi="宋体" w:eastAsia="宋体" w:cs="宋体"/>
                      <w:i w:val="0"/>
                      <w:iCs w:val="0"/>
                      <w:color w:val="000000"/>
                      <w:kern w:val="0"/>
                      <w:sz w:val="22"/>
                      <w:szCs w:val="22"/>
                      <w:u w:val="none"/>
                      <w:lang w:val="en-US" w:eastAsia="zh-CN" w:bidi="ar"/>
                      <w14:ligatures w14:val="standardContextual"/>
                    </w:rPr>
                    <w:t>水枪</w:t>
                  </w:r>
                </w:p>
              </w:tc>
              <w:tc>
                <w:tcPr>
                  <w:tcW w:w="2167" w:type="pct"/>
                  <w:tcBorders>
                    <w:tl2br w:val="nil"/>
                    <w:tr2bl w:val="nil"/>
                  </w:tcBorders>
                  <w:vAlign w:val="center"/>
                </w:tcPr>
                <w:p w14:paraId="637249F7">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5719D8F7">
                  <w:pPr>
                    <w:pStyle w:val="99"/>
                    <w:bidi w:val="0"/>
                    <w:rPr>
                      <w:rFonts w:hint="default"/>
                      <w:color w:val="auto"/>
                      <w:sz w:val="22"/>
                      <w:szCs w:val="22"/>
                      <w:lang w:val="en-US" w:eastAsia="zh-CN"/>
                    </w:rPr>
                  </w:pPr>
                </w:p>
              </w:tc>
            </w:tr>
            <w:tr w14:paraId="52E039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582AD051">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1389" w:type="pct"/>
                  <w:tcBorders>
                    <w:tl2br w:val="nil"/>
                    <w:tr2bl w:val="nil"/>
                  </w:tcBorders>
                  <w:shd w:val="clear" w:color="auto" w:fill="auto"/>
                  <w:vAlign w:val="center"/>
                </w:tcPr>
                <w:p w14:paraId="0A7D942D">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刨毛机</w:t>
                  </w:r>
                </w:p>
              </w:tc>
              <w:tc>
                <w:tcPr>
                  <w:tcW w:w="2167" w:type="pct"/>
                  <w:tcBorders>
                    <w:tl2br w:val="nil"/>
                    <w:tr2bl w:val="nil"/>
                  </w:tcBorders>
                  <w:vAlign w:val="center"/>
                </w:tcPr>
                <w:p w14:paraId="420DC387">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4F39CBA7">
                  <w:pPr>
                    <w:pStyle w:val="99"/>
                    <w:bidi w:val="0"/>
                    <w:rPr>
                      <w:rFonts w:hint="default"/>
                      <w:color w:val="auto"/>
                      <w:sz w:val="22"/>
                      <w:szCs w:val="22"/>
                      <w:lang w:val="en-US" w:eastAsia="zh-CN"/>
                    </w:rPr>
                  </w:pPr>
                </w:p>
              </w:tc>
            </w:tr>
            <w:tr w14:paraId="57A39B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447F1CCB">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w:t>
                  </w:r>
                </w:p>
              </w:tc>
              <w:tc>
                <w:tcPr>
                  <w:tcW w:w="1389" w:type="pct"/>
                  <w:tcBorders>
                    <w:tl2br w:val="nil"/>
                    <w:tr2bl w:val="nil"/>
                  </w:tcBorders>
                  <w:shd w:val="clear" w:color="auto" w:fill="auto"/>
                  <w:vAlign w:val="center"/>
                </w:tcPr>
                <w:p w14:paraId="329A03FD">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插入式振捣器</w:t>
                  </w:r>
                </w:p>
              </w:tc>
              <w:tc>
                <w:tcPr>
                  <w:tcW w:w="2167" w:type="pct"/>
                  <w:tcBorders>
                    <w:tl2br w:val="nil"/>
                    <w:tr2bl w:val="nil"/>
                  </w:tcBorders>
                  <w:vAlign w:val="center"/>
                </w:tcPr>
                <w:p w14:paraId="24075BF9">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86</w:t>
                  </w:r>
                </w:p>
              </w:tc>
              <w:tc>
                <w:tcPr>
                  <w:tcW w:w="842" w:type="pct"/>
                  <w:vMerge w:val="continue"/>
                  <w:tcBorders>
                    <w:tl2br w:val="nil"/>
                    <w:tr2bl w:val="nil"/>
                  </w:tcBorders>
                  <w:vAlign w:val="center"/>
                </w:tcPr>
                <w:p w14:paraId="7DA319BC">
                  <w:pPr>
                    <w:pStyle w:val="99"/>
                    <w:bidi w:val="0"/>
                    <w:rPr>
                      <w:rFonts w:hint="default"/>
                      <w:color w:val="auto"/>
                      <w:sz w:val="22"/>
                      <w:szCs w:val="22"/>
                      <w:lang w:val="en-US" w:eastAsia="zh-CN"/>
                    </w:rPr>
                  </w:pPr>
                </w:p>
              </w:tc>
            </w:tr>
            <w:tr w14:paraId="352CA5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32886301">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w:t>
                  </w:r>
                </w:p>
              </w:tc>
              <w:tc>
                <w:tcPr>
                  <w:tcW w:w="1389" w:type="pct"/>
                  <w:tcBorders>
                    <w:tl2br w:val="nil"/>
                    <w:tr2bl w:val="nil"/>
                  </w:tcBorders>
                  <w:shd w:val="clear" w:color="auto" w:fill="auto"/>
                  <w:vAlign w:val="center"/>
                </w:tcPr>
                <w:p w14:paraId="39DE6F76">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平板式振捣器</w:t>
                  </w:r>
                </w:p>
              </w:tc>
              <w:tc>
                <w:tcPr>
                  <w:tcW w:w="2167" w:type="pct"/>
                  <w:tcBorders>
                    <w:tl2br w:val="nil"/>
                    <w:tr2bl w:val="nil"/>
                  </w:tcBorders>
                  <w:vAlign w:val="center"/>
                </w:tcPr>
                <w:p w14:paraId="35573559">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86</w:t>
                  </w:r>
                </w:p>
              </w:tc>
              <w:tc>
                <w:tcPr>
                  <w:tcW w:w="842" w:type="pct"/>
                  <w:vMerge w:val="continue"/>
                  <w:tcBorders>
                    <w:tl2br w:val="nil"/>
                    <w:tr2bl w:val="nil"/>
                  </w:tcBorders>
                  <w:vAlign w:val="center"/>
                </w:tcPr>
                <w:p w14:paraId="202558BB">
                  <w:pPr>
                    <w:pStyle w:val="99"/>
                    <w:bidi w:val="0"/>
                    <w:rPr>
                      <w:rFonts w:hint="default"/>
                      <w:color w:val="auto"/>
                      <w:sz w:val="22"/>
                      <w:szCs w:val="22"/>
                      <w:lang w:val="en-US" w:eastAsia="zh-CN"/>
                    </w:rPr>
                  </w:pPr>
                </w:p>
              </w:tc>
            </w:tr>
            <w:tr w14:paraId="2B4FB8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7263C517">
                  <w:pPr>
                    <w:keepNext w:val="0"/>
                    <w:keepLines w:val="0"/>
                    <w:widowControl/>
                    <w:suppressLineNumbers w:val="0"/>
                    <w:jc w:val="center"/>
                    <w:textAlignment w:val="center"/>
                    <w:rPr>
                      <w:rFonts w:hint="eastAsia"/>
                      <w:sz w:val="22"/>
                      <w:szCs w:val="22"/>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12</w:t>
                  </w:r>
                </w:p>
              </w:tc>
              <w:tc>
                <w:tcPr>
                  <w:tcW w:w="1389" w:type="pct"/>
                  <w:tcBorders>
                    <w:tl2br w:val="nil"/>
                    <w:tr2bl w:val="nil"/>
                  </w:tcBorders>
                  <w:shd w:val="clear" w:color="auto" w:fill="auto"/>
                  <w:vAlign w:val="center"/>
                </w:tcPr>
                <w:p w14:paraId="39E117C9">
                  <w:pPr>
                    <w:keepNext w:val="0"/>
                    <w:keepLines w:val="0"/>
                    <w:widowControl/>
                    <w:suppressLineNumbers w:val="0"/>
                    <w:jc w:val="center"/>
                    <w:textAlignment w:val="center"/>
                    <w:rPr>
                      <w:sz w:val="22"/>
                      <w:szCs w:val="22"/>
                    </w:rPr>
                  </w:pPr>
                  <w:r>
                    <w:rPr>
                      <w:rFonts w:hint="eastAsia" w:ascii="宋体" w:hAnsi="宋体" w:eastAsia="宋体" w:cs="宋体"/>
                      <w:i w:val="0"/>
                      <w:iCs w:val="0"/>
                      <w:color w:val="000000"/>
                      <w:kern w:val="0"/>
                      <w:sz w:val="22"/>
                      <w:szCs w:val="22"/>
                      <w:u w:val="none"/>
                      <w:lang w:val="en-US" w:eastAsia="zh-CN" w:bidi="ar"/>
                      <w14:ligatures w14:val="standardContextual"/>
                    </w:rPr>
                    <w:t>胶轮车</w:t>
                  </w:r>
                </w:p>
              </w:tc>
              <w:tc>
                <w:tcPr>
                  <w:tcW w:w="2167" w:type="pct"/>
                  <w:tcBorders>
                    <w:tl2br w:val="nil"/>
                    <w:tr2bl w:val="nil"/>
                  </w:tcBorders>
                  <w:vAlign w:val="center"/>
                </w:tcPr>
                <w:p w14:paraId="46BD241A">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1DC5665B">
                  <w:pPr>
                    <w:pStyle w:val="99"/>
                    <w:bidi w:val="0"/>
                    <w:rPr>
                      <w:rFonts w:hint="default"/>
                      <w:color w:val="auto"/>
                      <w:sz w:val="22"/>
                      <w:szCs w:val="22"/>
                      <w:lang w:val="en-US" w:eastAsia="zh-CN"/>
                    </w:rPr>
                  </w:pPr>
                </w:p>
              </w:tc>
            </w:tr>
            <w:tr w14:paraId="41AF8B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41919A36">
                  <w:pPr>
                    <w:keepNext w:val="0"/>
                    <w:keepLines w:val="0"/>
                    <w:widowControl/>
                    <w:suppressLineNumbers w:val="0"/>
                    <w:jc w:val="center"/>
                    <w:textAlignment w:val="center"/>
                    <w:rPr>
                      <w:rFonts w:hint="eastAsia"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13</w:t>
                  </w:r>
                </w:p>
              </w:tc>
              <w:tc>
                <w:tcPr>
                  <w:tcW w:w="1389" w:type="pct"/>
                  <w:tcBorders>
                    <w:tl2br w:val="nil"/>
                    <w:tr2bl w:val="nil"/>
                  </w:tcBorders>
                  <w:shd w:val="clear" w:color="auto" w:fill="auto"/>
                  <w:vAlign w:val="center"/>
                </w:tcPr>
                <w:p w14:paraId="77E9239E">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蛙式夯实机</w:t>
                  </w:r>
                </w:p>
              </w:tc>
              <w:tc>
                <w:tcPr>
                  <w:tcW w:w="2167" w:type="pct"/>
                  <w:tcBorders>
                    <w:bottom w:val="single" w:color="000000" w:sz="4" w:space="0"/>
                    <w:tl2br w:val="nil"/>
                    <w:tr2bl w:val="nil"/>
                  </w:tcBorders>
                  <w:vAlign w:val="center"/>
                </w:tcPr>
                <w:p w14:paraId="735D1D8A">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90</w:t>
                  </w:r>
                </w:p>
              </w:tc>
              <w:tc>
                <w:tcPr>
                  <w:tcW w:w="842" w:type="pct"/>
                  <w:vMerge w:val="continue"/>
                  <w:tcBorders>
                    <w:bottom w:val="single" w:color="000000" w:sz="4" w:space="0"/>
                    <w:tl2br w:val="nil"/>
                    <w:tr2bl w:val="nil"/>
                  </w:tcBorders>
                  <w:vAlign w:val="center"/>
                </w:tcPr>
                <w:p w14:paraId="64270AF7">
                  <w:pPr>
                    <w:pStyle w:val="99"/>
                    <w:bidi w:val="0"/>
                    <w:rPr>
                      <w:rFonts w:hint="default"/>
                      <w:color w:val="auto"/>
                      <w:sz w:val="22"/>
                      <w:szCs w:val="22"/>
                      <w:lang w:val="en-US" w:eastAsia="zh-CN"/>
                    </w:rPr>
                  </w:pPr>
                </w:p>
              </w:tc>
            </w:tr>
            <w:tr w14:paraId="7BE5C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242CC9A1">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14</w:t>
                  </w:r>
                </w:p>
              </w:tc>
              <w:tc>
                <w:tcPr>
                  <w:tcW w:w="1389" w:type="pct"/>
                  <w:tcBorders>
                    <w:tl2br w:val="nil"/>
                    <w:tr2bl w:val="nil"/>
                  </w:tcBorders>
                  <w:shd w:val="clear" w:color="auto" w:fill="auto"/>
                  <w:vAlign w:val="center"/>
                </w:tcPr>
                <w:p w14:paraId="2E9DF7A4">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钢筋弯曲机</w:t>
                  </w:r>
                </w:p>
              </w:tc>
              <w:tc>
                <w:tcPr>
                  <w:tcW w:w="2167" w:type="pct"/>
                  <w:tcBorders>
                    <w:top w:val="single" w:color="000000" w:sz="4" w:space="0"/>
                    <w:bottom w:val="single" w:color="000000" w:sz="4" w:space="0"/>
                    <w:tl2br w:val="nil"/>
                    <w:tr2bl w:val="nil"/>
                  </w:tcBorders>
                  <w:vAlign w:val="center"/>
                </w:tcPr>
                <w:p w14:paraId="14E47D80">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restart"/>
                  <w:tcBorders>
                    <w:top w:val="single" w:color="000000" w:sz="4" w:space="0"/>
                    <w:tl2br w:val="nil"/>
                    <w:tr2bl w:val="nil"/>
                  </w:tcBorders>
                  <w:vAlign w:val="center"/>
                </w:tcPr>
                <w:p w14:paraId="2439B8B2">
                  <w:pPr>
                    <w:pStyle w:val="99"/>
                    <w:bidi w:val="0"/>
                    <w:rPr>
                      <w:rFonts w:hint="default"/>
                      <w:color w:val="auto"/>
                      <w:sz w:val="22"/>
                      <w:szCs w:val="22"/>
                      <w:lang w:val="en-US" w:eastAsia="zh-CN"/>
                    </w:rPr>
                  </w:pPr>
                  <w:r>
                    <w:rPr>
                      <w:rFonts w:hint="default"/>
                      <w:color w:val="auto"/>
                      <w:sz w:val="22"/>
                      <w:szCs w:val="22"/>
                      <w:lang w:val="en-US" w:eastAsia="zh-CN"/>
                    </w:rPr>
                    <w:t>间歇、固定声源</w:t>
                  </w:r>
                </w:p>
              </w:tc>
            </w:tr>
            <w:tr w14:paraId="10C19B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7A7B5696">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15</w:t>
                  </w:r>
                </w:p>
              </w:tc>
              <w:tc>
                <w:tcPr>
                  <w:tcW w:w="1389" w:type="pct"/>
                  <w:tcBorders>
                    <w:tl2br w:val="nil"/>
                    <w:tr2bl w:val="nil"/>
                  </w:tcBorders>
                  <w:shd w:val="clear" w:color="auto" w:fill="auto"/>
                  <w:vAlign w:val="center"/>
                </w:tcPr>
                <w:p w14:paraId="0C3E9829">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钢筋切断机</w:t>
                  </w:r>
                </w:p>
              </w:tc>
              <w:tc>
                <w:tcPr>
                  <w:tcW w:w="2167" w:type="pct"/>
                  <w:tcBorders>
                    <w:top w:val="single" w:color="000000" w:sz="4" w:space="0"/>
                    <w:bottom w:val="single" w:color="000000" w:sz="4" w:space="0"/>
                    <w:tl2br w:val="nil"/>
                    <w:tr2bl w:val="nil"/>
                  </w:tcBorders>
                  <w:vAlign w:val="center"/>
                </w:tcPr>
                <w:p w14:paraId="05DC1C9E">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3CF07714">
                  <w:pPr>
                    <w:pStyle w:val="99"/>
                    <w:bidi w:val="0"/>
                    <w:rPr>
                      <w:rFonts w:hint="default"/>
                      <w:color w:val="auto"/>
                      <w:sz w:val="22"/>
                      <w:szCs w:val="22"/>
                      <w:lang w:val="en-US" w:eastAsia="zh-CN"/>
                    </w:rPr>
                  </w:pPr>
                </w:p>
              </w:tc>
            </w:tr>
            <w:tr w14:paraId="53418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51" w:hRule="exact"/>
                <w:jc w:val="center"/>
              </w:trPr>
              <w:tc>
                <w:tcPr>
                  <w:tcW w:w="600" w:type="pct"/>
                  <w:tcBorders>
                    <w:tl2br w:val="nil"/>
                    <w:tr2bl w:val="nil"/>
                  </w:tcBorders>
                  <w:shd w:val="clear" w:color="auto" w:fill="auto"/>
                  <w:vAlign w:val="center"/>
                </w:tcPr>
                <w:p w14:paraId="2F455CD7">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16</w:t>
                  </w:r>
                </w:p>
              </w:tc>
              <w:tc>
                <w:tcPr>
                  <w:tcW w:w="1389" w:type="pct"/>
                  <w:tcBorders>
                    <w:tl2br w:val="nil"/>
                    <w:tr2bl w:val="nil"/>
                  </w:tcBorders>
                  <w:shd w:val="clear" w:color="auto" w:fill="auto"/>
                  <w:vAlign w:val="center"/>
                </w:tcPr>
                <w:p w14:paraId="30EC95E6">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钢筋调直机</w:t>
                  </w:r>
                </w:p>
              </w:tc>
              <w:tc>
                <w:tcPr>
                  <w:tcW w:w="2167" w:type="pct"/>
                  <w:tcBorders>
                    <w:top w:val="single" w:color="000000" w:sz="4" w:space="0"/>
                    <w:bottom w:val="single" w:color="000000" w:sz="4" w:space="0"/>
                    <w:tl2br w:val="nil"/>
                    <w:tr2bl w:val="nil"/>
                  </w:tcBorders>
                  <w:vAlign w:val="center"/>
                </w:tcPr>
                <w:p w14:paraId="6124EC77">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842" w:type="pct"/>
                  <w:vMerge w:val="continue"/>
                  <w:tcBorders>
                    <w:tl2br w:val="nil"/>
                    <w:tr2bl w:val="nil"/>
                  </w:tcBorders>
                  <w:vAlign w:val="center"/>
                </w:tcPr>
                <w:p w14:paraId="619C8C19">
                  <w:pPr>
                    <w:pStyle w:val="99"/>
                    <w:bidi w:val="0"/>
                    <w:rPr>
                      <w:rFonts w:hint="default"/>
                      <w:color w:val="auto"/>
                      <w:sz w:val="22"/>
                      <w:szCs w:val="22"/>
                      <w:lang w:val="en-US" w:eastAsia="zh-CN"/>
                    </w:rPr>
                  </w:pPr>
                </w:p>
              </w:tc>
            </w:tr>
            <w:tr w14:paraId="3714A6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00" w:type="pct"/>
                  <w:tcBorders>
                    <w:tl2br w:val="nil"/>
                    <w:tr2bl w:val="nil"/>
                  </w:tcBorders>
                  <w:shd w:val="clear" w:color="auto" w:fill="auto"/>
                  <w:vAlign w:val="center"/>
                </w:tcPr>
                <w:p w14:paraId="4ABDD77F">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c>
                <w:tcPr>
                  <w:tcW w:w="1389" w:type="pct"/>
                  <w:tcBorders>
                    <w:tl2br w:val="nil"/>
                    <w:tr2bl w:val="nil"/>
                  </w:tcBorders>
                  <w:shd w:val="clear" w:color="auto" w:fill="auto"/>
                  <w:vAlign w:val="center"/>
                </w:tcPr>
                <w:p w14:paraId="6B3953AE">
                  <w:pPr>
                    <w:keepNext w:val="0"/>
                    <w:keepLines w:val="0"/>
                    <w:widowControl/>
                    <w:suppressLineNumbers w:val="0"/>
                    <w:jc w:val="center"/>
                    <w:textAlignment w:val="center"/>
                    <w:rPr>
                      <w:rFonts w:hint="default" w:ascii="Times New Roman" w:hAnsi="Times New Roman" w:eastAsia="宋体" w:cstheme="minorBidi"/>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混凝土搅拌机</w:t>
                  </w:r>
                </w:p>
              </w:tc>
              <w:tc>
                <w:tcPr>
                  <w:tcW w:w="2167" w:type="pct"/>
                  <w:tcBorders>
                    <w:top w:val="single" w:color="000000" w:sz="4" w:space="0"/>
                    <w:tl2br w:val="nil"/>
                    <w:tr2bl w:val="nil"/>
                  </w:tcBorders>
                  <w:vAlign w:val="center"/>
                </w:tcPr>
                <w:p w14:paraId="6E61997F">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80</w:t>
                  </w:r>
                </w:p>
              </w:tc>
              <w:tc>
                <w:tcPr>
                  <w:tcW w:w="842" w:type="pct"/>
                  <w:vMerge w:val="continue"/>
                  <w:tcBorders>
                    <w:tl2br w:val="nil"/>
                    <w:tr2bl w:val="nil"/>
                  </w:tcBorders>
                  <w:vAlign w:val="center"/>
                </w:tcPr>
                <w:p w14:paraId="59634F48">
                  <w:pPr>
                    <w:pStyle w:val="99"/>
                    <w:bidi w:val="0"/>
                    <w:rPr>
                      <w:rFonts w:hint="default"/>
                      <w:color w:val="auto"/>
                      <w:sz w:val="22"/>
                      <w:szCs w:val="22"/>
                      <w:lang w:val="en-US" w:eastAsia="zh-CN"/>
                    </w:rPr>
                  </w:pPr>
                </w:p>
              </w:tc>
            </w:tr>
          </w:tbl>
          <w:p w14:paraId="3F426C06">
            <w:pPr>
              <w:pStyle w:val="6"/>
              <w:rPr>
                <w:rFonts w:hint="eastAsia"/>
                <w:color w:val="auto"/>
              </w:rPr>
            </w:pPr>
            <w:r>
              <w:rPr>
                <w:rFonts w:hint="eastAsia"/>
                <w:color w:val="auto"/>
              </w:rPr>
              <w:t>（2）噪声预测模式</w:t>
            </w:r>
          </w:p>
          <w:p w14:paraId="0DB91235">
            <w:pPr>
              <w:pStyle w:val="6"/>
              <w:rPr>
                <w:rFonts w:hint="eastAsia"/>
                <w:color w:val="auto"/>
                <w:lang w:val="en-US" w:eastAsia="zh-CN"/>
              </w:rPr>
            </w:pPr>
            <w:r>
              <w:rPr>
                <w:rFonts w:hint="eastAsia"/>
                <w:color w:val="auto"/>
                <w:lang w:val="en-US" w:eastAsia="zh-CN"/>
              </w:rPr>
              <w:t>施工机械噪声采用如下模式进行预测计算：</w:t>
            </w:r>
          </w:p>
          <w:p w14:paraId="02576954">
            <w:pPr>
              <w:pStyle w:val="6"/>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rPr>
            </w:pPr>
            <w:r>
              <w:rPr>
                <w:rFonts w:hint="eastAsia"/>
                <w:color w:val="auto"/>
              </w:rPr>
              <w:drawing>
                <wp:inline distT="0" distB="0" distL="114300" distR="114300">
                  <wp:extent cx="1466850" cy="523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1466850" cy="523875"/>
                          </a:xfrm>
                          <a:prstGeom prst="rect">
                            <a:avLst/>
                          </a:prstGeom>
                          <a:noFill/>
                          <a:ln>
                            <a:noFill/>
                          </a:ln>
                        </pic:spPr>
                      </pic:pic>
                    </a:graphicData>
                  </a:graphic>
                </wp:inline>
              </w:drawing>
            </w:r>
          </w:p>
          <w:p w14:paraId="211EF1C3">
            <w:pPr>
              <w:pStyle w:val="6"/>
              <w:ind w:left="0" w:leftChars="0" w:firstLine="0" w:firstLineChars="0"/>
              <w:rPr>
                <w:rFonts w:hint="eastAsia"/>
                <w:color w:val="auto"/>
                <w:lang w:val="en-US" w:eastAsia="zh-CN"/>
              </w:rPr>
            </w:pPr>
            <w:r>
              <w:rPr>
                <w:rFonts w:hint="eastAsia"/>
                <w:color w:val="auto"/>
                <w:lang w:val="en-US" w:eastAsia="zh-CN"/>
              </w:rPr>
              <w:t>式中：L</w:t>
            </w:r>
            <w:r>
              <w:rPr>
                <w:rFonts w:hint="eastAsia"/>
                <w:color w:val="auto"/>
                <w:vertAlign w:val="subscript"/>
                <w:lang w:val="en-US" w:eastAsia="zh-CN"/>
              </w:rPr>
              <w:t>i</w:t>
            </w:r>
            <w:r>
              <w:rPr>
                <w:rFonts w:hint="eastAsia"/>
                <w:color w:val="auto"/>
                <w:lang w:val="en-US" w:eastAsia="zh-CN"/>
              </w:rPr>
              <w:t>—预测点处的声压级，dB(A)；</w:t>
            </w:r>
          </w:p>
          <w:p w14:paraId="1E94ADFE">
            <w:pPr>
              <w:pStyle w:val="6"/>
              <w:ind w:firstLine="720" w:firstLineChars="300"/>
              <w:rPr>
                <w:rFonts w:hint="eastAsia"/>
                <w:color w:val="auto"/>
                <w:lang w:val="en-US" w:eastAsia="zh-CN"/>
              </w:rPr>
            </w:pPr>
            <w:r>
              <w:rPr>
                <w:rFonts w:hint="eastAsia"/>
                <w:color w:val="auto"/>
                <w:lang w:val="en-US" w:eastAsia="zh-CN"/>
              </w:rPr>
              <w:t>L</w:t>
            </w:r>
            <w:r>
              <w:rPr>
                <w:rFonts w:hint="eastAsia"/>
                <w:color w:val="auto"/>
                <w:vertAlign w:val="subscript"/>
                <w:lang w:val="en-US" w:eastAsia="zh-CN"/>
              </w:rPr>
              <w:t>0</w:t>
            </w:r>
            <w:r>
              <w:rPr>
                <w:rFonts w:hint="eastAsia"/>
                <w:color w:val="auto"/>
                <w:lang w:val="en-US" w:eastAsia="zh-CN"/>
              </w:rPr>
              <w:t>—参照点处的声压级，dB(A)；</w:t>
            </w:r>
          </w:p>
          <w:p w14:paraId="21ACEDC3">
            <w:pPr>
              <w:pStyle w:val="6"/>
              <w:ind w:firstLine="720" w:firstLineChars="300"/>
              <w:rPr>
                <w:rFonts w:hint="eastAsia"/>
                <w:color w:val="auto"/>
              </w:rPr>
            </w:pPr>
            <w:r>
              <w:rPr>
                <w:rFonts w:hint="eastAsia"/>
                <w:color w:val="auto"/>
              </w:rPr>
              <w:t>r</w:t>
            </w:r>
            <w:r>
              <w:rPr>
                <w:rFonts w:hint="eastAsia"/>
                <w:color w:val="auto"/>
                <w:vertAlign w:val="subscript"/>
              </w:rPr>
              <w:t>i</w:t>
            </w:r>
            <w:r>
              <w:rPr>
                <w:rFonts w:hint="eastAsia"/>
                <w:color w:val="auto"/>
              </w:rPr>
              <w:t>—预测点距声源的距离，m；</w:t>
            </w:r>
          </w:p>
          <w:p w14:paraId="350C7A97">
            <w:pPr>
              <w:pStyle w:val="6"/>
              <w:ind w:firstLine="720" w:firstLineChars="300"/>
              <w:rPr>
                <w:rFonts w:hint="eastAsia"/>
                <w:color w:val="auto"/>
              </w:rPr>
            </w:pPr>
            <w:r>
              <w:rPr>
                <w:rFonts w:hint="eastAsia"/>
                <w:color w:val="auto"/>
              </w:rPr>
              <w:t>r</w:t>
            </w:r>
            <w:r>
              <w:rPr>
                <w:rFonts w:hint="eastAsia"/>
                <w:color w:val="auto"/>
                <w:vertAlign w:val="subscript"/>
              </w:rPr>
              <w:t>0</w:t>
            </w:r>
            <w:r>
              <w:rPr>
                <w:rFonts w:hint="eastAsia"/>
                <w:color w:val="auto"/>
              </w:rPr>
              <w:t>—参照点距声源的距离，m。</w:t>
            </w:r>
          </w:p>
          <w:p w14:paraId="5F88537D">
            <w:pPr>
              <w:pStyle w:val="6"/>
              <w:rPr>
                <w:rFonts w:hint="eastAsia"/>
                <w:color w:val="auto"/>
              </w:rPr>
            </w:pPr>
            <w:r>
              <w:rPr>
                <w:rFonts w:hint="eastAsia"/>
                <w:color w:val="auto"/>
              </w:rPr>
              <w:t>多台施工机械对同一保护目标的影响，应进行声级叠加，按</w:t>
            </w:r>
            <w:r>
              <w:rPr>
                <w:rFonts w:hint="eastAsia"/>
                <w:color w:val="auto"/>
                <w:lang w:val="en-US" w:eastAsia="zh-CN"/>
              </w:rPr>
              <w:t>以下</w:t>
            </w:r>
            <w:r>
              <w:rPr>
                <w:rFonts w:hint="eastAsia"/>
                <w:color w:val="auto"/>
              </w:rPr>
              <w:t>公式计算：</w:t>
            </w:r>
          </w:p>
          <w:p w14:paraId="5C8E5821">
            <w:pPr>
              <w:pStyle w:val="6"/>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rPr>
            </w:pPr>
            <w:r>
              <w:rPr>
                <w:rFonts w:hint="eastAsia"/>
                <w:color w:val="auto"/>
              </w:rPr>
              <w:drawing>
                <wp:inline distT="0" distB="0" distL="114300" distR="114300">
                  <wp:extent cx="1333500" cy="36195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1333500" cy="361950"/>
                          </a:xfrm>
                          <a:prstGeom prst="rect">
                            <a:avLst/>
                          </a:prstGeom>
                          <a:noFill/>
                          <a:ln>
                            <a:noFill/>
                          </a:ln>
                        </pic:spPr>
                      </pic:pic>
                    </a:graphicData>
                  </a:graphic>
                </wp:inline>
              </w:drawing>
            </w:r>
          </w:p>
          <w:p w14:paraId="3105C8AA">
            <w:pPr>
              <w:pStyle w:val="6"/>
              <w:ind w:left="0" w:leftChars="0" w:firstLine="0" w:firstLineChars="0"/>
              <w:rPr>
                <w:rFonts w:hint="eastAsia"/>
                <w:color w:val="auto"/>
                <w:lang w:val="en-US" w:eastAsia="zh-CN"/>
              </w:rPr>
            </w:pPr>
            <w:r>
              <w:rPr>
                <w:rFonts w:hint="eastAsia"/>
                <w:color w:val="auto"/>
                <w:lang w:val="en-US" w:eastAsia="zh-CN"/>
              </w:rPr>
              <w:t>式中：L—多台施工机械在保护目标处叠加的声压级，dB(A)；</w:t>
            </w:r>
          </w:p>
          <w:p w14:paraId="1E5C3A8E">
            <w:pPr>
              <w:pStyle w:val="6"/>
              <w:ind w:firstLine="720" w:firstLineChars="300"/>
              <w:rPr>
                <w:rFonts w:hint="eastAsia"/>
                <w:color w:val="auto"/>
              </w:rPr>
            </w:pPr>
            <w:r>
              <w:rPr>
                <w:rFonts w:hint="eastAsia"/>
                <w:color w:val="auto"/>
                <w:lang w:val="en-US" w:eastAsia="zh-CN"/>
              </w:rPr>
              <w:t>L</w:t>
            </w:r>
            <w:r>
              <w:rPr>
                <w:rFonts w:hint="eastAsia"/>
                <w:color w:val="auto"/>
                <w:vertAlign w:val="subscript"/>
                <w:lang w:val="en-US" w:eastAsia="zh-CN"/>
              </w:rPr>
              <w:t>i</w:t>
            </w:r>
            <w:r>
              <w:rPr>
                <w:rFonts w:hint="eastAsia"/>
                <w:color w:val="auto"/>
                <w:lang w:val="en-US" w:eastAsia="zh-CN"/>
              </w:rPr>
              <w:t>—第i台施工机械在保护目标处的声压级，dB(A)。</w:t>
            </w:r>
          </w:p>
          <w:p w14:paraId="567FD9C2">
            <w:pPr>
              <w:pStyle w:val="6"/>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预测分析</w:t>
            </w:r>
          </w:p>
          <w:p w14:paraId="43B8FD4C">
            <w:pPr>
              <w:pStyle w:val="6"/>
              <w:rPr>
                <w:rFonts w:hint="eastAsia"/>
                <w:color w:val="auto"/>
                <w:lang w:val="en-US" w:eastAsia="zh-CN"/>
              </w:rPr>
            </w:pPr>
            <w:r>
              <w:rPr>
                <w:rFonts w:hint="eastAsia"/>
                <w:color w:val="auto"/>
                <w:lang w:val="en-US" w:eastAsia="zh-CN"/>
              </w:rPr>
              <w:t>①施工机械噪声预测分析</w:t>
            </w:r>
          </w:p>
          <w:p w14:paraId="342FAFF1">
            <w:pPr>
              <w:pStyle w:val="6"/>
              <w:rPr>
                <w:rFonts w:hint="eastAsia"/>
                <w:color w:val="auto"/>
                <w:lang w:val="en-US" w:eastAsia="zh-CN"/>
              </w:rPr>
            </w:pPr>
            <w:r>
              <w:rPr>
                <w:rFonts w:hint="eastAsia"/>
                <w:color w:val="auto"/>
              </w:rPr>
              <w:t>各类施工机械在不同距离处的噪声预测结果</w:t>
            </w:r>
            <w:r>
              <w:rPr>
                <w:rFonts w:hint="eastAsia"/>
                <w:color w:val="auto"/>
                <w:lang w:val="en-US" w:eastAsia="zh-CN"/>
              </w:rPr>
              <w:t>见下表。</w:t>
            </w:r>
          </w:p>
          <w:p w14:paraId="3788B6D1">
            <w:pPr>
              <w:pStyle w:val="7"/>
              <w:bidi w:val="0"/>
              <w:rPr>
                <w:rFonts w:hint="eastAsia"/>
              </w:rPr>
            </w:pPr>
            <w:bookmarkStart w:id="72" w:name="_Toc19641"/>
            <w:r>
              <w:rPr>
                <w:rFonts w:hint="eastAsia"/>
              </w:rPr>
              <w:t>各类施工机械在不同距离处的噪声预测</w:t>
            </w:r>
            <w:bookmarkEnd w:id="72"/>
            <w:r>
              <w:rPr>
                <w:rFonts w:hint="eastAsia"/>
                <w:lang w:val="en-US" w:eastAsia="zh-CN"/>
              </w:rPr>
              <w:t>结果</w:t>
            </w:r>
          </w:p>
          <w:tbl>
            <w:tblPr>
              <w:tblStyle w:val="17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541"/>
              <w:gridCol w:w="622"/>
              <w:gridCol w:w="611"/>
              <w:gridCol w:w="754"/>
              <w:gridCol w:w="728"/>
              <w:gridCol w:w="697"/>
              <w:gridCol w:w="770"/>
              <w:gridCol w:w="728"/>
              <w:gridCol w:w="829"/>
              <w:gridCol w:w="841"/>
            </w:tblGrid>
            <w:tr w14:paraId="172343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tblHeader/>
                <w:jc w:val="center"/>
              </w:trPr>
              <w:tc>
                <w:tcPr>
                  <w:tcW w:w="909" w:type="pct"/>
                  <w:vMerge w:val="restart"/>
                  <w:tcBorders>
                    <w:tl2br w:val="nil"/>
                    <w:tr2bl w:val="nil"/>
                  </w:tcBorders>
                  <w:vAlign w:val="center"/>
                </w:tcPr>
                <w:p w14:paraId="36BF1F01">
                  <w:pPr>
                    <w:pStyle w:val="99"/>
                    <w:bidi w:val="0"/>
                    <w:rPr>
                      <w:rFonts w:hint="default"/>
                      <w:color w:val="auto"/>
                      <w:sz w:val="22"/>
                      <w:szCs w:val="22"/>
                      <w:lang w:val="en-US" w:eastAsia="zh-CN"/>
                    </w:rPr>
                  </w:pPr>
                  <w:r>
                    <w:rPr>
                      <w:rFonts w:hint="eastAsia"/>
                      <w:color w:val="auto"/>
                      <w:sz w:val="22"/>
                      <w:szCs w:val="22"/>
                      <w:lang w:val="en-US" w:eastAsia="zh-CN"/>
                    </w:rPr>
                    <w:t>施工</w:t>
                  </w:r>
                  <w:r>
                    <w:rPr>
                      <w:rFonts w:hint="default"/>
                      <w:color w:val="auto"/>
                      <w:sz w:val="22"/>
                      <w:szCs w:val="22"/>
                      <w:lang w:val="en-US" w:eastAsia="zh-CN"/>
                    </w:rPr>
                    <w:t>机械</w:t>
                  </w:r>
                  <w:r>
                    <w:rPr>
                      <w:rFonts w:hint="eastAsia"/>
                      <w:color w:val="auto"/>
                      <w:sz w:val="22"/>
                      <w:szCs w:val="22"/>
                      <w:lang w:val="en-US" w:eastAsia="zh-CN"/>
                    </w:rPr>
                    <w:t>名称</w:t>
                  </w:r>
                </w:p>
              </w:tc>
              <w:tc>
                <w:tcPr>
                  <w:tcW w:w="4090" w:type="pct"/>
                  <w:gridSpan w:val="10"/>
                  <w:tcBorders>
                    <w:tl2br w:val="nil"/>
                    <w:tr2bl w:val="nil"/>
                  </w:tcBorders>
                  <w:vAlign w:val="center"/>
                </w:tcPr>
                <w:p w14:paraId="613041D3">
                  <w:pPr>
                    <w:pStyle w:val="99"/>
                    <w:bidi w:val="0"/>
                    <w:rPr>
                      <w:color w:val="auto"/>
                      <w:sz w:val="22"/>
                      <w:szCs w:val="22"/>
                    </w:rPr>
                  </w:pPr>
                  <w:r>
                    <w:rPr>
                      <w:color w:val="auto"/>
                      <w:sz w:val="22"/>
                      <w:szCs w:val="22"/>
                    </w:rPr>
                    <w:t>噪声预测</w:t>
                  </w:r>
                  <w:r>
                    <w:rPr>
                      <w:rFonts w:hint="eastAsia"/>
                      <w:color w:val="auto"/>
                      <w:sz w:val="22"/>
                      <w:szCs w:val="22"/>
                      <w:lang w:val="en-US" w:eastAsia="zh-CN"/>
                    </w:rPr>
                    <w:t>结果</w:t>
                  </w:r>
                  <w:r>
                    <w:rPr>
                      <w:rFonts w:hint="default"/>
                      <w:color w:val="auto"/>
                      <w:sz w:val="22"/>
                      <w:szCs w:val="22"/>
                      <w:lang w:val="en-US" w:eastAsia="zh-CN"/>
                    </w:rPr>
                    <w:t>[dB（A）]</w:t>
                  </w:r>
                </w:p>
              </w:tc>
            </w:tr>
            <w:tr w14:paraId="691090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tblHeader/>
                <w:jc w:val="center"/>
              </w:trPr>
              <w:tc>
                <w:tcPr>
                  <w:tcW w:w="909" w:type="pct"/>
                  <w:vMerge w:val="continue"/>
                  <w:tcBorders>
                    <w:tl2br w:val="nil"/>
                    <w:tr2bl w:val="nil"/>
                  </w:tcBorders>
                  <w:vAlign w:val="center"/>
                </w:tcPr>
                <w:p w14:paraId="34EBD7E4">
                  <w:pPr>
                    <w:pStyle w:val="99"/>
                    <w:bidi w:val="0"/>
                    <w:rPr>
                      <w:rFonts w:hint="default"/>
                      <w:color w:val="auto"/>
                      <w:sz w:val="22"/>
                      <w:szCs w:val="22"/>
                      <w:lang w:val="en-US" w:eastAsia="zh-CN"/>
                    </w:rPr>
                  </w:pPr>
                </w:p>
              </w:tc>
              <w:tc>
                <w:tcPr>
                  <w:tcW w:w="310" w:type="pct"/>
                  <w:tcBorders>
                    <w:tl2br w:val="nil"/>
                    <w:tr2bl w:val="nil"/>
                  </w:tcBorders>
                  <w:vAlign w:val="center"/>
                </w:tcPr>
                <w:p w14:paraId="3123356A">
                  <w:pPr>
                    <w:pStyle w:val="99"/>
                    <w:bidi w:val="0"/>
                    <w:rPr>
                      <w:rFonts w:hint="default"/>
                      <w:color w:val="auto"/>
                      <w:sz w:val="22"/>
                      <w:szCs w:val="22"/>
                      <w:lang w:val="en-US" w:eastAsia="zh-CN"/>
                    </w:rPr>
                  </w:pPr>
                  <w:r>
                    <w:rPr>
                      <w:rFonts w:hint="eastAsia"/>
                      <w:color w:val="auto"/>
                      <w:sz w:val="22"/>
                      <w:szCs w:val="22"/>
                      <w:lang w:val="en-US" w:eastAsia="zh-CN"/>
                    </w:rPr>
                    <w:t>5m</w:t>
                  </w:r>
                </w:p>
              </w:tc>
              <w:tc>
                <w:tcPr>
                  <w:tcW w:w="357" w:type="pct"/>
                  <w:tcBorders>
                    <w:tl2br w:val="nil"/>
                    <w:tr2bl w:val="nil"/>
                  </w:tcBorders>
                  <w:vAlign w:val="center"/>
                </w:tcPr>
                <w:p w14:paraId="4CCD5D2E">
                  <w:pPr>
                    <w:pStyle w:val="99"/>
                    <w:bidi w:val="0"/>
                    <w:rPr>
                      <w:rFonts w:hint="default"/>
                      <w:color w:val="auto"/>
                      <w:sz w:val="22"/>
                      <w:szCs w:val="22"/>
                      <w:lang w:val="en-US" w:eastAsia="zh-CN"/>
                    </w:rPr>
                  </w:pPr>
                  <w:r>
                    <w:rPr>
                      <w:rFonts w:hint="default"/>
                      <w:color w:val="auto"/>
                      <w:sz w:val="22"/>
                      <w:szCs w:val="22"/>
                      <w:lang w:val="en-US" w:eastAsia="zh-CN"/>
                    </w:rPr>
                    <w:t>10m</w:t>
                  </w:r>
                </w:p>
              </w:tc>
              <w:tc>
                <w:tcPr>
                  <w:tcW w:w="350" w:type="pct"/>
                  <w:tcBorders>
                    <w:tl2br w:val="nil"/>
                    <w:tr2bl w:val="nil"/>
                  </w:tcBorders>
                  <w:vAlign w:val="center"/>
                </w:tcPr>
                <w:p w14:paraId="3D8319FE">
                  <w:pPr>
                    <w:pStyle w:val="99"/>
                    <w:bidi w:val="0"/>
                    <w:rPr>
                      <w:rFonts w:hint="default"/>
                      <w:color w:val="auto"/>
                      <w:sz w:val="22"/>
                      <w:szCs w:val="22"/>
                      <w:lang w:val="en-US" w:eastAsia="zh-CN"/>
                    </w:rPr>
                  </w:pPr>
                  <w:r>
                    <w:rPr>
                      <w:color w:val="auto"/>
                      <w:sz w:val="22"/>
                      <w:szCs w:val="22"/>
                    </w:rPr>
                    <w:t>30m</w:t>
                  </w:r>
                </w:p>
              </w:tc>
              <w:tc>
                <w:tcPr>
                  <w:tcW w:w="433" w:type="pct"/>
                  <w:tcBorders>
                    <w:tl2br w:val="nil"/>
                    <w:tr2bl w:val="nil"/>
                  </w:tcBorders>
                  <w:vAlign w:val="center"/>
                </w:tcPr>
                <w:p w14:paraId="64B5089F">
                  <w:pPr>
                    <w:pStyle w:val="99"/>
                    <w:bidi w:val="0"/>
                    <w:rPr>
                      <w:rFonts w:hint="default"/>
                      <w:color w:val="auto"/>
                      <w:sz w:val="22"/>
                      <w:szCs w:val="22"/>
                      <w:lang w:val="en-US" w:eastAsia="zh-CN"/>
                    </w:rPr>
                  </w:pPr>
                  <w:r>
                    <w:rPr>
                      <w:color w:val="auto"/>
                      <w:sz w:val="22"/>
                      <w:szCs w:val="22"/>
                    </w:rPr>
                    <w:t>50m</w:t>
                  </w:r>
                </w:p>
              </w:tc>
              <w:tc>
                <w:tcPr>
                  <w:tcW w:w="418" w:type="pct"/>
                  <w:tcBorders>
                    <w:tl2br w:val="nil"/>
                    <w:tr2bl w:val="nil"/>
                  </w:tcBorders>
                  <w:vAlign w:val="center"/>
                </w:tcPr>
                <w:p w14:paraId="36DDC4C0">
                  <w:pPr>
                    <w:pStyle w:val="99"/>
                    <w:bidi w:val="0"/>
                    <w:rPr>
                      <w:rFonts w:hint="default"/>
                      <w:color w:val="auto"/>
                      <w:sz w:val="22"/>
                      <w:szCs w:val="22"/>
                      <w:lang w:val="en-US" w:eastAsia="zh-CN"/>
                    </w:rPr>
                  </w:pPr>
                  <w:r>
                    <w:rPr>
                      <w:color w:val="auto"/>
                      <w:sz w:val="22"/>
                      <w:szCs w:val="22"/>
                    </w:rPr>
                    <w:t>60m</w:t>
                  </w:r>
                </w:p>
              </w:tc>
              <w:tc>
                <w:tcPr>
                  <w:tcW w:w="400" w:type="pct"/>
                  <w:tcBorders>
                    <w:tl2br w:val="nil"/>
                    <w:tr2bl w:val="nil"/>
                  </w:tcBorders>
                  <w:vAlign w:val="center"/>
                </w:tcPr>
                <w:p w14:paraId="70DFFBF2">
                  <w:pPr>
                    <w:pStyle w:val="99"/>
                    <w:bidi w:val="0"/>
                    <w:rPr>
                      <w:rFonts w:hint="default"/>
                      <w:color w:val="auto"/>
                      <w:sz w:val="22"/>
                      <w:szCs w:val="22"/>
                      <w:lang w:val="en-US" w:eastAsia="zh-CN"/>
                    </w:rPr>
                  </w:pPr>
                  <w:r>
                    <w:rPr>
                      <w:color w:val="auto"/>
                      <w:sz w:val="22"/>
                      <w:szCs w:val="22"/>
                    </w:rPr>
                    <w:t>80m</w:t>
                  </w:r>
                </w:p>
              </w:tc>
              <w:tc>
                <w:tcPr>
                  <w:tcW w:w="442" w:type="pct"/>
                  <w:tcBorders>
                    <w:tl2br w:val="nil"/>
                    <w:tr2bl w:val="nil"/>
                  </w:tcBorders>
                  <w:vAlign w:val="center"/>
                </w:tcPr>
                <w:p w14:paraId="64F44950">
                  <w:pPr>
                    <w:pStyle w:val="99"/>
                    <w:bidi w:val="0"/>
                    <w:rPr>
                      <w:rFonts w:hint="default"/>
                      <w:color w:val="auto"/>
                      <w:sz w:val="22"/>
                      <w:szCs w:val="22"/>
                      <w:lang w:val="en-US" w:eastAsia="zh-CN"/>
                    </w:rPr>
                  </w:pPr>
                  <w:r>
                    <w:rPr>
                      <w:color w:val="auto"/>
                      <w:sz w:val="22"/>
                      <w:szCs w:val="22"/>
                    </w:rPr>
                    <w:t>100m</w:t>
                  </w:r>
                </w:p>
              </w:tc>
              <w:tc>
                <w:tcPr>
                  <w:tcW w:w="418" w:type="pct"/>
                  <w:tcBorders>
                    <w:tl2br w:val="nil"/>
                    <w:tr2bl w:val="nil"/>
                  </w:tcBorders>
                  <w:vAlign w:val="center"/>
                </w:tcPr>
                <w:p w14:paraId="14DDDAF2">
                  <w:pPr>
                    <w:pStyle w:val="99"/>
                    <w:bidi w:val="0"/>
                    <w:rPr>
                      <w:rFonts w:hint="default"/>
                      <w:color w:val="auto"/>
                      <w:sz w:val="22"/>
                      <w:szCs w:val="22"/>
                      <w:lang w:val="en-US" w:eastAsia="zh-CN"/>
                    </w:rPr>
                  </w:pPr>
                  <w:r>
                    <w:rPr>
                      <w:color w:val="auto"/>
                      <w:sz w:val="22"/>
                      <w:szCs w:val="22"/>
                    </w:rPr>
                    <w:t>150m</w:t>
                  </w:r>
                </w:p>
              </w:tc>
              <w:tc>
                <w:tcPr>
                  <w:tcW w:w="476" w:type="pct"/>
                  <w:tcBorders>
                    <w:tl2br w:val="nil"/>
                    <w:tr2bl w:val="nil"/>
                  </w:tcBorders>
                  <w:vAlign w:val="center"/>
                </w:tcPr>
                <w:p w14:paraId="0978ACAF">
                  <w:pPr>
                    <w:pStyle w:val="99"/>
                    <w:bidi w:val="0"/>
                    <w:rPr>
                      <w:rFonts w:hint="default"/>
                      <w:color w:val="auto"/>
                      <w:sz w:val="22"/>
                      <w:szCs w:val="22"/>
                      <w:lang w:val="en-US" w:eastAsia="zh-CN"/>
                    </w:rPr>
                  </w:pPr>
                  <w:r>
                    <w:rPr>
                      <w:color w:val="auto"/>
                      <w:sz w:val="22"/>
                      <w:szCs w:val="22"/>
                    </w:rPr>
                    <w:t>200m</w:t>
                  </w:r>
                </w:p>
              </w:tc>
              <w:tc>
                <w:tcPr>
                  <w:tcW w:w="483" w:type="pct"/>
                  <w:tcBorders>
                    <w:tl2br w:val="nil"/>
                    <w:tr2bl w:val="nil"/>
                  </w:tcBorders>
                  <w:vAlign w:val="center"/>
                </w:tcPr>
                <w:p w14:paraId="6F5C234A">
                  <w:pPr>
                    <w:pStyle w:val="99"/>
                    <w:bidi w:val="0"/>
                    <w:rPr>
                      <w:rFonts w:hint="default"/>
                      <w:color w:val="auto"/>
                      <w:sz w:val="22"/>
                      <w:szCs w:val="22"/>
                      <w:lang w:val="en-US" w:eastAsia="zh-CN"/>
                    </w:rPr>
                  </w:pPr>
                  <w:r>
                    <w:rPr>
                      <w:color w:val="auto"/>
                      <w:sz w:val="22"/>
                      <w:szCs w:val="22"/>
                    </w:rPr>
                    <w:t>280m</w:t>
                  </w:r>
                </w:p>
              </w:tc>
            </w:tr>
            <w:tr w14:paraId="77EA1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071D4EF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14:ligatures w14:val="standardContextual"/>
                    </w:rPr>
                    <w:t>汽车起重机</w:t>
                  </w:r>
                </w:p>
              </w:tc>
              <w:tc>
                <w:tcPr>
                  <w:tcW w:w="310" w:type="pct"/>
                  <w:tcBorders>
                    <w:tl2br w:val="nil"/>
                    <w:tr2bl w:val="nil"/>
                  </w:tcBorders>
                  <w:shd w:val="clear" w:color="auto" w:fill="auto"/>
                  <w:vAlign w:val="center"/>
                </w:tcPr>
                <w:p w14:paraId="545EBBD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23053BD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3EF22F3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7704407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2E12593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59CCC21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75ABCC8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6BAA600B">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5E08D8E7">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57D73217">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207DD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5015E6E0">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14:ligatures w14:val="standardContextual"/>
                    </w:rPr>
                    <w:t>挖掘机</w:t>
                  </w:r>
                </w:p>
              </w:tc>
              <w:tc>
                <w:tcPr>
                  <w:tcW w:w="310" w:type="pct"/>
                  <w:tcBorders>
                    <w:tl2br w:val="nil"/>
                    <w:tr2bl w:val="nil"/>
                  </w:tcBorders>
                  <w:shd w:val="clear" w:color="auto" w:fill="auto"/>
                  <w:vAlign w:val="center"/>
                </w:tcPr>
                <w:p w14:paraId="6678305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72</w:t>
                  </w:r>
                </w:p>
              </w:tc>
              <w:tc>
                <w:tcPr>
                  <w:tcW w:w="357" w:type="pct"/>
                  <w:tcBorders>
                    <w:tl2br w:val="nil"/>
                    <w:tr2bl w:val="nil"/>
                  </w:tcBorders>
                  <w:shd w:val="clear" w:color="auto" w:fill="auto"/>
                  <w:vAlign w:val="center"/>
                </w:tcPr>
                <w:p w14:paraId="1CCC4523">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66</w:t>
                  </w:r>
                </w:p>
              </w:tc>
              <w:tc>
                <w:tcPr>
                  <w:tcW w:w="350" w:type="pct"/>
                  <w:tcBorders>
                    <w:tl2br w:val="nil"/>
                    <w:tr2bl w:val="nil"/>
                  </w:tcBorders>
                  <w:shd w:val="clear" w:color="auto" w:fill="auto"/>
                  <w:vAlign w:val="center"/>
                </w:tcPr>
                <w:p w14:paraId="538AB69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56.4</w:t>
                  </w:r>
                </w:p>
              </w:tc>
              <w:tc>
                <w:tcPr>
                  <w:tcW w:w="433" w:type="pct"/>
                  <w:tcBorders>
                    <w:tl2br w:val="nil"/>
                    <w:tr2bl w:val="nil"/>
                  </w:tcBorders>
                  <w:shd w:val="clear" w:color="auto" w:fill="auto"/>
                  <w:vAlign w:val="center"/>
                </w:tcPr>
                <w:p w14:paraId="43442E9B">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52</w:t>
                  </w:r>
                </w:p>
              </w:tc>
              <w:tc>
                <w:tcPr>
                  <w:tcW w:w="418" w:type="pct"/>
                  <w:tcBorders>
                    <w:tl2br w:val="nil"/>
                    <w:tr2bl w:val="nil"/>
                  </w:tcBorders>
                  <w:shd w:val="clear" w:color="auto" w:fill="auto"/>
                  <w:vAlign w:val="center"/>
                </w:tcPr>
                <w:p w14:paraId="36C9168B">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50.4</w:t>
                  </w:r>
                </w:p>
              </w:tc>
              <w:tc>
                <w:tcPr>
                  <w:tcW w:w="400" w:type="pct"/>
                  <w:tcBorders>
                    <w:tl2br w:val="nil"/>
                    <w:tr2bl w:val="nil"/>
                  </w:tcBorders>
                  <w:shd w:val="clear" w:color="auto" w:fill="auto"/>
                  <w:vAlign w:val="center"/>
                </w:tcPr>
                <w:p w14:paraId="5901265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47.9</w:t>
                  </w:r>
                </w:p>
              </w:tc>
              <w:tc>
                <w:tcPr>
                  <w:tcW w:w="442" w:type="pct"/>
                  <w:tcBorders>
                    <w:tl2br w:val="nil"/>
                    <w:tr2bl w:val="nil"/>
                  </w:tcBorders>
                  <w:shd w:val="clear" w:color="auto" w:fill="auto"/>
                  <w:vAlign w:val="center"/>
                </w:tcPr>
                <w:p w14:paraId="2A005010">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46</w:t>
                  </w:r>
                </w:p>
              </w:tc>
              <w:tc>
                <w:tcPr>
                  <w:tcW w:w="418" w:type="pct"/>
                  <w:tcBorders>
                    <w:tl2br w:val="nil"/>
                    <w:tr2bl w:val="nil"/>
                  </w:tcBorders>
                  <w:shd w:val="clear" w:color="auto" w:fill="auto"/>
                  <w:vAlign w:val="center"/>
                </w:tcPr>
                <w:p w14:paraId="76CE9CC0">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42.5</w:t>
                  </w:r>
                </w:p>
              </w:tc>
              <w:tc>
                <w:tcPr>
                  <w:tcW w:w="476" w:type="pct"/>
                  <w:tcBorders>
                    <w:tl2br w:val="nil"/>
                    <w:tr2bl w:val="nil"/>
                  </w:tcBorders>
                  <w:shd w:val="clear" w:color="auto" w:fill="auto"/>
                  <w:vAlign w:val="center"/>
                </w:tcPr>
                <w:p w14:paraId="1D574A1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40</w:t>
                  </w:r>
                </w:p>
              </w:tc>
              <w:tc>
                <w:tcPr>
                  <w:tcW w:w="483" w:type="pct"/>
                  <w:tcBorders>
                    <w:tl2br w:val="nil"/>
                    <w:tr2bl w:val="nil"/>
                  </w:tcBorders>
                  <w:shd w:val="clear" w:color="auto" w:fill="auto"/>
                  <w:vAlign w:val="center"/>
                </w:tcPr>
                <w:p w14:paraId="05522F2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37</w:t>
                  </w:r>
                </w:p>
              </w:tc>
            </w:tr>
            <w:tr w14:paraId="0D5B0C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286C47BC">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推土机</w:t>
                  </w:r>
                </w:p>
              </w:tc>
              <w:tc>
                <w:tcPr>
                  <w:tcW w:w="310" w:type="pct"/>
                  <w:tcBorders>
                    <w:tl2br w:val="nil"/>
                    <w:tr2bl w:val="nil"/>
                  </w:tcBorders>
                  <w:shd w:val="clear" w:color="auto" w:fill="auto"/>
                  <w:vAlign w:val="center"/>
                </w:tcPr>
                <w:p w14:paraId="71EAF00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75</w:t>
                  </w:r>
                </w:p>
              </w:tc>
              <w:tc>
                <w:tcPr>
                  <w:tcW w:w="622" w:type="dxa"/>
                  <w:tcBorders>
                    <w:tl2br w:val="nil"/>
                    <w:tr2bl w:val="nil"/>
                  </w:tcBorders>
                  <w:shd w:val="clear" w:color="auto" w:fill="auto"/>
                  <w:vAlign w:val="center"/>
                </w:tcPr>
                <w:p w14:paraId="04ED9E53">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69</w:t>
                  </w:r>
                </w:p>
              </w:tc>
              <w:tc>
                <w:tcPr>
                  <w:tcW w:w="611" w:type="dxa"/>
                  <w:tcBorders>
                    <w:tl2br w:val="nil"/>
                    <w:tr2bl w:val="nil"/>
                  </w:tcBorders>
                  <w:shd w:val="clear" w:color="auto" w:fill="auto"/>
                  <w:vAlign w:val="center"/>
                </w:tcPr>
                <w:p w14:paraId="3F22FD5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59.4</w:t>
                  </w:r>
                </w:p>
              </w:tc>
              <w:tc>
                <w:tcPr>
                  <w:tcW w:w="754" w:type="dxa"/>
                  <w:tcBorders>
                    <w:tl2br w:val="nil"/>
                    <w:tr2bl w:val="nil"/>
                  </w:tcBorders>
                  <w:shd w:val="clear" w:color="auto" w:fill="auto"/>
                  <w:vAlign w:val="center"/>
                </w:tcPr>
                <w:p w14:paraId="09A594F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55</w:t>
                  </w:r>
                </w:p>
              </w:tc>
              <w:tc>
                <w:tcPr>
                  <w:tcW w:w="728" w:type="dxa"/>
                  <w:tcBorders>
                    <w:tl2br w:val="nil"/>
                    <w:tr2bl w:val="nil"/>
                  </w:tcBorders>
                  <w:shd w:val="clear" w:color="auto" w:fill="auto"/>
                  <w:vAlign w:val="center"/>
                </w:tcPr>
                <w:p w14:paraId="23BD096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53.4</w:t>
                  </w:r>
                </w:p>
              </w:tc>
              <w:tc>
                <w:tcPr>
                  <w:tcW w:w="697" w:type="dxa"/>
                  <w:tcBorders>
                    <w:tl2br w:val="nil"/>
                    <w:tr2bl w:val="nil"/>
                  </w:tcBorders>
                  <w:shd w:val="clear" w:color="auto" w:fill="auto"/>
                  <w:vAlign w:val="center"/>
                </w:tcPr>
                <w:p w14:paraId="4FCFD7D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50.9</w:t>
                  </w:r>
                </w:p>
              </w:tc>
              <w:tc>
                <w:tcPr>
                  <w:tcW w:w="770" w:type="dxa"/>
                  <w:tcBorders>
                    <w:tl2br w:val="nil"/>
                    <w:tr2bl w:val="nil"/>
                  </w:tcBorders>
                  <w:shd w:val="clear" w:color="auto" w:fill="auto"/>
                  <w:vAlign w:val="center"/>
                </w:tcPr>
                <w:p w14:paraId="6969CC6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49</w:t>
                  </w:r>
                </w:p>
              </w:tc>
              <w:tc>
                <w:tcPr>
                  <w:tcW w:w="728" w:type="dxa"/>
                  <w:tcBorders>
                    <w:tl2br w:val="nil"/>
                    <w:tr2bl w:val="nil"/>
                  </w:tcBorders>
                  <w:shd w:val="clear" w:color="auto" w:fill="auto"/>
                  <w:vAlign w:val="center"/>
                </w:tcPr>
                <w:p w14:paraId="3B4E1FC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45.5</w:t>
                  </w:r>
                </w:p>
              </w:tc>
              <w:tc>
                <w:tcPr>
                  <w:tcW w:w="829" w:type="dxa"/>
                  <w:tcBorders>
                    <w:tl2br w:val="nil"/>
                    <w:tr2bl w:val="nil"/>
                  </w:tcBorders>
                  <w:shd w:val="clear" w:color="auto" w:fill="auto"/>
                  <w:vAlign w:val="center"/>
                </w:tcPr>
                <w:p w14:paraId="4E80EAE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43</w:t>
                  </w:r>
                </w:p>
              </w:tc>
              <w:tc>
                <w:tcPr>
                  <w:tcW w:w="841" w:type="dxa"/>
                  <w:tcBorders>
                    <w:tl2br w:val="nil"/>
                    <w:tr2bl w:val="nil"/>
                  </w:tcBorders>
                  <w:shd w:val="clear" w:color="auto" w:fill="auto"/>
                  <w:vAlign w:val="center"/>
                </w:tcPr>
                <w:p w14:paraId="521E0EB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40</w:t>
                  </w:r>
                </w:p>
              </w:tc>
            </w:tr>
            <w:tr w14:paraId="61707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66D1F865">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自卸汽车</w:t>
                  </w:r>
                </w:p>
              </w:tc>
              <w:tc>
                <w:tcPr>
                  <w:tcW w:w="310" w:type="pct"/>
                  <w:tcBorders>
                    <w:tl2br w:val="nil"/>
                    <w:tr2bl w:val="nil"/>
                  </w:tcBorders>
                  <w:shd w:val="clear" w:color="auto" w:fill="auto"/>
                  <w:vAlign w:val="center"/>
                </w:tcPr>
                <w:p w14:paraId="54C639F3">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1B45A85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71AEB91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448A5FA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397D3983">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0D88B27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4E7E211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2C8FAC4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5379C57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193C975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57265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62196578">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载重汽车</w:t>
                  </w:r>
                </w:p>
              </w:tc>
              <w:tc>
                <w:tcPr>
                  <w:tcW w:w="310" w:type="pct"/>
                  <w:tcBorders>
                    <w:tl2br w:val="nil"/>
                    <w:tr2bl w:val="nil"/>
                  </w:tcBorders>
                  <w:shd w:val="clear" w:color="auto" w:fill="auto"/>
                  <w:vAlign w:val="center"/>
                </w:tcPr>
                <w:p w14:paraId="3EBDB41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3F3F6E97">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507A806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4F45875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7C29EB3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33A9D0B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5161ECF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4E3BE29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4F44BD9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10D3743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3B6DB9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4CEC3F4E">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拖拉机</w:t>
                  </w:r>
                </w:p>
              </w:tc>
              <w:tc>
                <w:tcPr>
                  <w:tcW w:w="310" w:type="pct"/>
                  <w:tcBorders>
                    <w:tl2br w:val="nil"/>
                    <w:tr2bl w:val="nil"/>
                  </w:tcBorders>
                  <w:shd w:val="clear" w:color="auto" w:fill="auto"/>
                  <w:vAlign w:val="center"/>
                </w:tcPr>
                <w:p w14:paraId="664FD30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1792148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232B9E9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3129893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4AF29B9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25BE361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7754F09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21B2CDB0">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35261C1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7C7FABD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25AF3E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6C5CC87C">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压路机</w:t>
                  </w:r>
                </w:p>
              </w:tc>
              <w:tc>
                <w:tcPr>
                  <w:tcW w:w="310" w:type="pct"/>
                  <w:tcBorders>
                    <w:tl2br w:val="nil"/>
                    <w:tr2bl w:val="nil"/>
                  </w:tcBorders>
                  <w:shd w:val="clear" w:color="auto" w:fill="auto"/>
                  <w:vAlign w:val="center"/>
                </w:tcPr>
                <w:p w14:paraId="4503EB4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70</w:t>
                  </w:r>
                </w:p>
              </w:tc>
              <w:tc>
                <w:tcPr>
                  <w:tcW w:w="357" w:type="pct"/>
                  <w:tcBorders>
                    <w:tl2br w:val="nil"/>
                    <w:tr2bl w:val="nil"/>
                  </w:tcBorders>
                  <w:shd w:val="clear" w:color="auto" w:fill="auto"/>
                  <w:vAlign w:val="center"/>
                </w:tcPr>
                <w:p w14:paraId="37848587">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64</w:t>
                  </w:r>
                </w:p>
              </w:tc>
              <w:tc>
                <w:tcPr>
                  <w:tcW w:w="350" w:type="pct"/>
                  <w:tcBorders>
                    <w:tl2br w:val="nil"/>
                    <w:tr2bl w:val="nil"/>
                  </w:tcBorders>
                  <w:shd w:val="clear" w:color="auto" w:fill="auto"/>
                  <w:vAlign w:val="center"/>
                </w:tcPr>
                <w:p w14:paraId="2DB69A8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54.4</w:t>
                  </w:r>
                </w:p>
              </w:tc>
              <w:tc>
                <w:tcPr>
                  <w:tcW w:w="433" w:type="pct"/>
                  <w:tcBorders>
                    <w:tl2br w:val="nil"/>
                    <w:tr2bl w:val="nil"/>
                  </w:tcBorders>
                  <w:shd w:val="clear" w:color="auto" w:fill="auto"/>
                  <w:vAlign w:val="center"/>
                </w:tcPr>
                <w:p w14:paraId="3D2814E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50</w:t>
                  </w:r>
                </w:p>
              </w:tc>
              <w:tc>
                <w:tcPr>
                  <w:tcW w:w="418" w:type="pct"/>
                  <w:tcBorders>
                    <w:tl2br w:val="nil"/>
                    <w:tr2bl w:val="nil"/>
                  </w:tcBorders>
                  <w:shd w:val="clear" w:color="auto" w:fill="auto"/>
                  <w:vAlign w:val="center"/>
                </w:tcPr>
                <w:p w14:paraId="60D7125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48.4</w:t>
                  </w:r>
                </w:p>
              </w:tc>
              <w:tc>
                <w:tcPr>
                  <w:tcW w:w="400" w:type="pct"/>
                  <w:tcBorders>
                    <w:tl2br w:val="nil"/>
                    <w:tr2bl w:val="nil"/>
                  </w:tcBorders>
                  <w:shd w:val="clear" w:color="auto" w:fill="auto"/>
                  <w:vAlign w:val="center"/>
                </w:tcPr>
                <w:p w14:paraId="16A4E87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45.9</w:t>
                  </w:r>
                </w:p>
              </w:tc>
              <w:tc>
                <w:tcPr>
                  <w:tcW w:w="442" w:type="pct"/>
                  <w:tcBorders>
                    <w:tl2br w:val="nil"/>
                    <w:tr2bl w:val="nil"/>
                  </w:tcBorders>
                  <w:shd w:val="clear" w:color="auto" w:fill="auto"/>
                  <w:vAlign w:val="center"/>
                </w:tcPr>
                <w:p w14:paraId="0919241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44</w:t>
                  </w:r>
                </w:p>
              </w:tc>
              <w:tc>
                <w:tcPr>
                  <w:tcW w:w="418" w:type="pct"/>
                  <w:tcBorders>
                    <w:tl2br w:val="nil"/>
                    <w:tr2bl w:val="nil"/>
                  </w:tcBorders>
                  <w:shd w:val="clear" w:color="auto" w:fill="auto"/>
                  <w:vAlign w:val="center"/>
                </w:tcPr>
                <w:p w14:paraId="78D096B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40.5</w:t>
                  </w:r>
                </w:p>
              </w:tc>
              <w:tc>
                <w:tcPr>
                  <w:tcW w:w="476" w:type="pct"/>
                  <w:tcBorders>
                    <w:tl2br w:val="nil"/>
                    <w:tr2bl w:val="nil"/>
                  </w:tcBorders>
                  <w:shd w:val="clear" w:color="auto" w:fill="auto"/>
                  <w:vAlign w:val="center"/>
                </w:tcPr>
                <w:p w14:paraId="5E2EFA3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38</w:t>
                  </w:r>
                </w:p>
              </w:tc>
              <w:tc>
                <w:tcPr>
                  <w:tcW w:w="483" w:type="pct"/>
                  <w:tcBorders>
                    <w:tl2br w:val="nil"/>
                    <w:tr2bl w:val="nil"/>
                  </w:tcBorders>
                  <w:shd w:val="clear" w:color="auto" w:fill="auto"/>
                  <w:vAlign w:val="center"/>
                </w:tcPr>
                <w:p w14:paraId="54EB329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eastAsia" w:cs="Times New Roman"/>
                      <w:i w:val="0"/>
                      <w:iCs w:val="0"/>
                      <w:color w:val="000000"/>
                      <w:kern w:val="0"/>
                      <w:sz w:val="22"/>
                      <w:szCs w:val="22"/>
                      <w:u w:val="none"/>
                      <w:lang w:val="en-US" w:eastAsia="zh-CN" w:bidi="ar"/>
                      <w14:ligatures w14:val="standardContextual"/>
                    </w:rPr>
                    <w:t>35</w:t>
                  </w:r>
                </w:p>
              </w:tc>
            </w:tr>
            <w:tr w14:paraId="4FB62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909" w:type="pct"/>
                  <w:tcBorders>
                    <w:tl2br w:val="nil"/>
                    <w:tr2bl w:val="nil"/>
                  </w:tcBorders>
                  <w:shd w:val="clear" w:color="auto" w:fill="auto"/>
                  <w:vAlign w:val="center"/>
                </w:tcPr>
                <w:p w14:paraId="3F9E3F5D">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风</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r>
                    <w:rPr>
                      <w:rFonts w:hint="eastAsia" w:ascii="宋体" w:hAnsi="宋体" w:eastAsia="宋体" w:cs="宋体"/>
                      <w:i w:val="0"/>
                      <w:iCs w:val="0"/>
                      <w:color w:val="000000"/>
                      <w:kern w:val="0"/>
                      <w:sz w:val="22"/>
                      <w:szCs w:val="22"/>
                      <w:u w:val="none"/>
                      <w:lang w:val="en-US" w:eastAsia="zh-CN" w:bidi="ar"/>
                      <w14:ligatures w14:val="standardContextual"/>
                    </w:rPr>
                    <w:t>砂</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r>
                    <w:rPr>
                      <w:rFonts w:hint="eastAsia" w:ascii="宋体" w:hAnsi="宋体" w:eastAsia="宋体" w:cs="宋体"/>
                      <w:i w:val="0"/>
                      <w:iCs w:val="0"/>
                      <w:color w:val="000000"/>
                      <w:kern w:val="0"/>
                      <w:sz w:val="22"/>
                      <w:szCs w:val="22"/>
                      <w:u w:val="none"/>
                      <w:lang w:val="en-US" w:eastAsia="zh-CN" w:bidi="ar"/>
                      <w14:ligatures w14:val="standardContextual"/>
                    </w:rPr>
                    <w:t>水枪</w:t>
                  </w:r>
                </w:p>
              </w:tc>
              <w:tc>
                <w:tcPr>
                  <w:tcW w:w="310" w:type="pct"/>
                  <w:tcBorders>
                    <w:tl2br w:val="nil"/>
                    <w:tr2bl w:val="nil"/>
                  </w:tcBorders>
                  <w:shd w:val="clear" w:color="auto" w:fill="auto"/>
                  <w:vAlign w:val="center"/>
                </w:tcPr>
                <w:p w14:paraId="738627B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62236C0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155EF0E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15625A3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6CE0DAF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596FB29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6C6A9401">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5A29863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507866B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00931DE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023339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909" w:type="pct"/>
                  <w:tcBorders>
                    <w:tl2br w:val="nil"/>
                    <w:tr2bl w:val="nil"/>
                  </w:tcBorders>
                  <w:shd w:val="clear" w:color="auto" w:fill="auto"/>
                  <w:vAlign w:val="center"/>
                </w:tcPr>
                <w:p w14:paraId="52394B33">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刨毛机</w:t>
                  </w:r>
                </w:p>
              </w:tc>
              <w:tc>
                <w:tcPr>
                  <w:tcW w:w="310" w:type="pct"/>
                  <w:tcBorders>
                    <w:tl2br w:val="nil"/>
                    <w:tr2bl w:val="nil"/>
                  </w:tcBorders>
                  <w:shd w:val="clear" w:color="auto" w:fill="auto"/>
                  <w:vAlign w:val="center"/>
                </w:tcPr>
                <w:p w14:paraId="73647BC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5DC45C9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1597633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5EC14F1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2938CFA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5ABDB23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2839D90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3F57618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0CBC277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1BB6564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16E322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62B52961">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插入式振捣器</w:t>
                  </w:r>
                </w:p>
              </w:tc>
              <w:tc>
                <w:tcPr>
                  <w:tcW w:w="310" w:type="pct"/>
                  <w:tcBorders>
                    <w:tl2br w:val="nil"/>
                    <w:tr2bl w:val="nil"/>
                  </w:tcBorders>
                  <w:shd w:val="clear" w:color="auto" w:fill="auto"/>
                  <w:vAlign w:val="center"/>
                </w:tcPr>
                <w:p w14:paraId="1893F34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86</w:t>
                  </w:r>
                </w:p>
              </w:tc>
              <w:tc>
                <w:tcPr>
                  <w:tcW w:w="357" w:type="pct"/>
                  <w:tcBorders>
                    <w:tl2br w:val="nil"/>
                    <w:tr2bl w:val="nil"/>
                  </w:tcBorders>
                  <w:shd w:val="clear" w:color="auto" w:fill="auto"/>
                  <w:vAlign w:val="center"/>
                </w:tcPr>
                <w:p w14:paraId="27A2D16F">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80</w:t>
                  </w:r>
                </w:p>
              </w:tc>
              <w:tc>
                <w:tcPr>
                  <w:tcW w:w="350" w:type="pct"/>
                  <w:tcBorders>
                    <w:tl2br w:val="nil"/>
                    <w:tr2bl w:val="nil"/>
                  </w:tcBorders>
                  <w:shd w:val="clear" w:color="auto" w:fill="auto"/>
                  <w:vAlign w:val="center"/>
                </w:tcPr>
                <w:p w14:paraId="0564142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70.4</w:t>
                  </w:r>
                </w:p>
              </w:tc>
              <w:tc>
                <w:tcPr>
                  <w:tcW w:w="433" w:type="pct"/>
                  <w:tcBorders>
                    <w:tl2br w:val="nil"/>
                    <w:tr2bl w:val="nil"/>
                  </w:tcBorders>
                  <w:shd w:val="clear" w:color="auto" w:fill="auto"/>
                  <w:vAlign w:val="center"/>
                </w:tcPr>
                <w:p w14:paraId="6BDB152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66</w:t>
                  </w:r>
                </w:p>
              </w:tc>
              <w:tc>
                <w:tcPr>
                  <w:tcW w:w="418" w:type="pct"/>
                  <w:tcBorders>
                    <w:tl2br w:val="nil"/>
                    <w:tr2bl w:val="nil"/>
                  </w:tcBorders>
                  <w:shd w:val="clear" w:color="auto" w:fill="auto"/>
                  <w:vAlign w:val="center"/>
                </w:tcPr>
                <w:p w14:paraId="20467408">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64.4</w:t>
                  </w:r>
                </w:p>
              </w:tc>
              <w:tc>
                <w:tcPr>
                  <w:tcW w:w="400" w:type="pct"/>
                  <w:tcBorders>
                    <w:tl2br w:val="nil"/>
                    <w:tr2bl w:val="nil"/>
                  </w:tcBorders>
                  <w:shd w:val="clear" w:color="auto" w:fill="auto"/>
                  <w:vAlign w:val="center"/>
                </w:tcPr>
                <w:p w14:paraId="6A81580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61.9</w:t>
                  </w:r>
                </w:p>
              </w:tc>
              <w:tc>
                <w:tcPr>
                  <w:tcW w:w="442" w:type="pct"/>
                  <w:tcBorders>
                    <w:tl2br w:val="nil"/>
                    <w:tr2bl w:val="nil"/>
                  </w:tcBorders>
                  <w:shd w:val="clear" w:color="auto" w:fill="auto"/>
                  <w:vAlign w:val="center"/>
                </w:tcPr>
                <w:p w14:paraId="4E877D3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w:t>
                  </w:r>
                </w:p>
              </w:tc>
              <w:tc>
                <w:tcPr>
                  <w:tcW w:w="418" w:type="pct"/>
                  <w:tcBorders>
                    <w:tl2br w:val="nil"/>
                    <w:tr2bl w:val="nil"/>
                  </w:tcBorders>
                  <w:shd w:val="clear" w:color="auto" w:fill="auto"/>
                  <w:vAlign w:val="center"/>
                </w:tcPr>
                <w:p w14:paraId="7C7DE21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56.5</w:t>
                  </w:r>
                </w:p>
              </w:tc>
              <w:tc>
                <w:tcPr>
                  <w:tcW w:w="476" w:type="pct"/>
                  <w:tcBorders>
                    <w:tl2br w:val="nil"/>
                    <w:tr2bl w:val="nil"/>
                  </w:tcBorders>
                  <w:shd w:val="clear" w:color="auto" w:fill="auto"/>
                  <w:vAlign w:val="center"/>
                </w:tcPr>
                <w:p w14:paraId="0444F01B">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54</w:t>
                  </w:r>
                </w:p>
              </w:tc>
              <w:tc>
                <w:tcPr>
                  <w:tcW w:w="483" w:type="pct"/>
                  <w:tcBorders>
                    <w:tl2br w:val="nil"/>
                    <w:tr2bl w:val="nil"/>
                  </w:tcBorders>
                  <w:shd w:val="clear" w:color="auto" w:fill="auto"/>
                  <w:vAlign w:val="center"/>
                </w:tcPr>
                <w:p w14:paraId="6DC5BC5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51</w:t>
                  </w:r>
                </w:p>
              </w:tc>
            </w:tr>
            <w:tr w14:paraId="7640C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909" w:type="pct"/>
                  <w:tcBorders>
                    <w:tl2br w:val="nil"/>
                    <w:tr2bl w:val="nil"/>
                  </w:tcBorders>
                  <w:shd w:val="clear" w:color="auto" w:fill="auto"/>
                  <w:vAlign w:val="center"/>
                </w:tcPr>
                <w:p w14:paraId="0439B265">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平板式振捣器</w:t>
                  </w:r>
                </w:p>
              </w:tc>
              <w:tc>
                <w:tcPr>
                  <w:tcW w:w="310" w:type="pct"/>
                  <w:tcBorders>
                    <w:tl2br w:val="nil"/>
                    <w:tr2bl w:val="nil"/>
                  </w:tcBorders>
                  <w:vAlign w:val="center"/>
                </w:tcPr>
                <w:p w14:paraId="67287DD0">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86</w:t>
                  </w:r>
                </w:p>
              </w:tc>
              <w:tc>
                <w:tcPr>
                  <w:tcW w:w="357" w:type="pct"/>
                  <w:tcBorders>
                    <w:tl2br w:val="nil"/>
                    <w:tr2bl w:val="nil"/>
                  </w:tcBorders>
                  <w:vAlign w:val="center"/>
                </w:tcPr>
                <w:p w14:paraId="4631B8A4">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80</w:t>
                  </w:r>
                </w:p>
              </w:tc>
              <w:tc>
                <w:tcPr>
                  <w:tcW w:w="350" w:type="pct"/>
                  <w:tcBorders>
                    <w:tl2br w:val="nil"/>
                    <w:tr2bl w:val="nil"/>
                  </w:tcBorders>
                  <w:vAlign w:val="center"/>
                </w:tcPr>
                <w:p w14:paraId="3538CD6F">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70.4</w:t>
                  </w:r>
                </w:p>
              </w:tc>
              <w:tc>
                <w:tcPr>
                  <w:tcW w:w="433" w:type="pct"/>
                  <w:tcBorders>
                    <w:tl2br w:val="nil"/>
                    <w:tr2bl w:val="nil"/>
                  </w:tcBorders>
                  <w:vAlign w:val="center"/>
                </w:tcPr>
                <w:p w14:paraId="45864183">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66</w:t>
                  </w:r>
                </w:p>
              </w:tc>
              <w:tc>
                <w:tcPr>
                  <w:tcW w:w="418" w:type="pct"/>
                  <w:tcBorders>
                    <w:tl2br w:val="nil"/>
                    <w:tr2bl w:val="nil"/>
                  </w:tcBorders>
                  <w:vAlign w:val="center"/>
                </w:tcPr>
                <w:p w14:paraId="17691EF6">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64.4</w:t>
                  </w:r>
                </w:p>
              </w:tc>
              <w:tc>
                <w:tcPr>
                  <w:tcW w:w="400" w:type="pct"/>
                  <w:tcBorders>
                    <w:tl2br w:val="nil"/>
                    <w:tr2bl w:val="nil"/>
                  </w:tcBorders>
                  <w:vAlign w:val="center"/>
                </w:tcPr>
                <w:p w14:paraId="5E618713">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61.9</w:t>
                  </w:r>
                </w:p>
              </w:tc>
              <w:tc>
                <w:tcPr>
                  <w:tcW w:w="442" w:type="pct"/>
                  <w:tcBorders>
                    <w:tl2br w:val="nil"/>
                    <w:tr2bl w:val="nil"/>
                  </w:tcBorders>
                  <w:vAlign w:val="center"/>
                </w:tcPr>
                <w:p w14:paraId="32B22DD0">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w:t>
                  </w:r>
                </w:p>
              </w:tc>
              <w:tc>
                <w:tcPr>
                  <w:tcW w:w="418" w:type="pct"/>
                  <w:tcBorders>
                    <w:tl2br w:val="nil"/>
                    <w:tr2bl w:val="nil"/>
                  </w:tcBorders>
                  <w:vAlign w:val="center"/>
                </w:tcPr>
                <w:p w14:paraId="11180DCE">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56.5</w:t>
                  </w:r>
                </w:p>
              </w:tc>
              <w:tc>
                <w:tcPr>
                  <w:tcW w:w="476" w:type="pct"/>
                  <w:tcBorders>
                    <w:tl2br w:val="nil"/>
                    <w:tr2bl w:val="nil"/>
                  </w:tcBorders>
                  <w:vAlign w:val="center"/>
                </w:tcPr>
                <w:p w14:paraId="07FA5749">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54</w:t>
                  </w:r>
                </w:p>
              </w:tc>
              <w:tc>
                <w:tcPr>
                  <w:tcW w:w="483" w:type="pct"/>
                  <w:tcBorders>
                    <w:tl2br w:val="nil"/>
                    <w:tr2bl w:val="nil"/>
                  </w:tcBorders>
                  <w:vAlign w:val="center"/>
                </w:tcPr>
                <w:p w14:paraId="55D2DFBB">
                  <w:pPr>
                    <w:keepNext w:val="0"/>
                    <w:keepLines w:val="0"/>
                    <w:widowControl/>
                    <w:suppressLineNumbers w:val="0"/>
                    <w:jc w:val="center"/>
                    <w:textAlignment w:val="center"/>
                    <w:rPr>
                      <w:rFonts w:hint="default"/>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51</w:t>
                  </w:r>
                </w:p>
              </w:tc>
            </w:tr>
            <w:tr w14:paraId="00B8B3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48CFD336">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胶轮车</w:t>
                  </w:r>
                </w:p>
              </w:tc>
              <w:tc>
                <w:tcPr>
                  <w:tcW w:w="310" w:type="pct"/>
                  <w:tcBorders>
                    <w:tl2br w:val="nil"/>
                    <w:tr2bl w:val="nil"/>
                  </w:tcBorders>
                  <w:shd w:val="clear" w:color="auto" w:fill="auto"/>
                  <w:vAlign w:val="center"/>
                </w:tcPr>
                <w:p w14:paraId="57C9378D">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18A8F3C5">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714BFCEE">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07BEF06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676338B0">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5EE2FA47">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4400EA1B">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0B76AD7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32DDC722">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37E65AC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7382E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7E05C67E">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蛙式夯实机</w:t>
                  </w:r>
                </w:p>
              </w:tc>
              <w:tc>
                <w:tcPr>
                  <w:tcW w:w="310" w:type="pct"/>
                  <w:tcBorders>
                    <w:tl2br w:val="nil"/>
                    <w:tr2bl w:val="nil"/>
                  </w:tcBorders>
                  <w:shd w:val="clear" w:color="auto" w:fill="auto"/>
                  <w:vAlign w:val="center"/>
                </w:tcPr>
                <w:p w14:paraId="5D3D4B30">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90</w:t>
                  </w:r>
                </w:p>
              </w:tc>
              <w:tc>
                <w:tcPr>
                  <w:tcW w:w="357" w:type="pct"/>
                  <w:tcBorders>
                    <w:tl2br w:val="nil"/>
                    <w:tr2bl w:val="nil"/>
                  </w:tcBorders>
                  <w:shd w:val="clear" w:color="auto" w:fill="auto"/>
                  <w:vAlign w:val="center"/>
                </w:tcPr>
                <w:p w14:paraId="19A98DD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84</w:t>
                  </w:r>
                </w:p>
              </w:tc>
              <w:tc>
                <w:tcPr>
                  <w:tcW w:w="350" w:type="pct"/>
                  <w:tcBorders>
                    <w:tl2br w:val="nil"/>
                    <w:tr2bl w:val="nil"/>
                  </w:tcBorders>
                  <w:shd w:val="clear" w:color="auto" w:fill="auto"/>
                  <w:vAlign w:val="center"/>
                </w:tcPr>
                <w:p w14:paraId="61AD690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74.4</w:t>
                  </w:r>
                </w:p>
              </w:tc>
              <w:tc>
                <w:tcPr>
                  <w:tcW w:w="433" w:type="pct"/>
                  <w:tcBorders>
                    <w:tl2br w:val="nil"/>
                    <w:tr2bl w:val="nil"/>
                  </w:tcBorders>
                  <w:shd w:val="clear" w:color="auto" w:fill="auto"/>
                  <w:vAlign w:val="center"/>
                </w:tcPr>
                <w:p w14:paraId="4A2C2B0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70</w:t>
                  </w:r>
                </w:p>
              </w:tc>
              <w:tc>
                <w:tcPr>
                  <w:tcW w:w="418" w:type="pct"/>
                  <w:tcBorders>
                    <w:tl2br w:val="nil"/>
                    <w:tr2bl w:val="nil"/>
                  </w:tcBorders>
                  <w:shd w:val="clear" w:color="auto" w:fill="auto"/>
                  <w:vAlign w:val="center"/>
                </w:tcPr>
                <w:p w14:paraId="2F28E16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68.4</w:t>
                  </w:r>
                </w:p>
              </w:tc>
              <w:tc>
                <w:tcPr>
                  <w:tcW w:w="400" w:type="pct"/>
                  <w:tcBorders>
                    <w:tl2br w:val="nil"/>
                    <w:tr2bl w:val="nil"/>
                  </w:tcBorders>
                  <w:shd w:val="clear" w:color="auto" w:fill="auto"/>
                  <w:vAlign w:val="center"/>
                </w:tcPr>
                <w:p w14:paraId="3B38E133">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65.9</w:t>
                  </w:r>
                </w:p>
              </w:tc>
              <w:tc>
                <w:tcPr>
                  <w:tcW w:w="442" w:type="pct"/>
                  <w:tcBorders>
                    <w:tl2br w:val="nil"/>
                    <w:tr2bl w:val="nil"/>
                  </w:tcBorders>
                  <w:shd w:val="clear" w:color="auto" w:fill="auto"/>
                  <w:vAlign w:val="center"/>
                </w:tcPr>
                <w:p w14:paraId="3852C07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64</w:t>
                  </w:r>
                </w:p>
              </w:tc>
              <w:tc>
                <w:tcPr>
                  <w:tcW w:w="418" w:type="pct"/>
                  <w:tcBorders>
                    <w:tl2br w:val="nil"/>
                    <w:tr2bl w:val="nil"/>
                  </w:tcBorders>
                  <w:shd w:val="clear" w:color="auto" w:fill="auto"/>
                  <w:vAlign w:val="center"/>
                </w:tcPr>
                <w:p w14:paraId="25E4471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60.5</w:t>
                  </w:r>
                </w:p>
              </w:tc>
              <w:tc>
                <w:tcPr>
                  <w:tcW w:w="476" w:type="pct"/>
                  <w:tcBorders>
                    <w:tl2br w:val="nil"/>
                    <w:tr2bl w:val="nil"/>
                  </w:tcBorders>
                  <w:shd w:val="clear" w:color="auto" w:fill="auto"/>
                  <w:vAlign w:val="center"/>
                </w:tcPr>
                <w:p w14:paraId="11D196F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58</w:t>
                  </w:r>
                </w:p>
              </w:tc>
              <w:tc>
                <w:tcPr>
                  <w:tcW w:w="483" w:type="pct"/>
                  <w:tcBorders>
                    <w:tl2br w:val="nil"/>
                    <w:tr2bl w:val="nil"/>
                  </w:tcBorders>
                  <w:shd w:val="clear" w:color="auto" w:fill="auto"/>
                  <w:vAlign w:val="center"/>
                </w:tcPr>
                <w:p w14:paraId="1A7D1354">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w:t>
                  </w:r>
                </w:p>
              </w:tc>
            </w:tr>
            <w:tr w14:paraId="705F4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1C975F0C">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钢筋弯曲机</w:t>
                  </w:r>
                </w:p>
              </w:tc>
              <w:tc>
                <w:tcPr>
                  <w:tcW w:w="310" w:type="pct"/>
                  <w:tcBorders>
                    <w:tl2br w:val="nil"/>
                    <w:tr2bl w:val="nil"/>
                  </w:tcBorders>
                  <w:shd w:val="clear" w:color="auto" w:fill="auto"/>
                  <w:vAlign w:val="center"/>
                </w:tcPr>
                <w:p w14:paraId="447686A5">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300AC626">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637596C3">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32B56B23">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524F38C6">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4B1475C0">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642043CB">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72B4D8E9">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1EFDD501">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76331705">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6BFAA7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0236B8AA">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钢筋切断机</w:t>
                  </w:r>
                </w:p>
              </w:tc>
              <w:tc>
                <w:tcPr>
                  <w:tcW w:w="310" w:type="pct"/>
                  <w:tcBorders>
                    <w:tl2br w:val="nil"/>
                    <w:tr2bl w:val="nil"/>
                  </w:tcBorders>
                  <w:shd w:val="clear" w:color="auto" w:fill="auto"/>
                  <w:vAlign w:val="center"/>
                </w:tcPr>
                <w:p w14:paraId="362F444E">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6C762553">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3EA9F4D8">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1560A099">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0EDB92D9">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270F4A45">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32114C09">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1B450550">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07EA1454">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2E464730">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3FE8D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165E09B8">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钢筋调直机</w:t>
                  </w:r>
                </w:p>
              </w:tc>
              <w:tc>
                <w:tcPr>
                  <w:tcW w:w="310" w:type="pct"/>
                  <w:tcBorders>
                    <w:tl2br w:val="nil"/>
                    <w:tr2bl w:val="nil"/>
                  </w:tcBorders>
                  <w:shd w:val="clear" w:color="auto" w:fill="auto"/>
                  <w:vAlign w:val="center"/>
                </w:tcPr>
                <w:p w14:paraId="5D337A39">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85</w:t>
                  </w:r>
                </w:p>
              </w:tc>
              <w:tc>
                <w:tcPr>
                  <w:tcW w:w="357" w:type="pct"/>
                  <w:tcBorders>
                    <w:tl2br w:val="nil"/>
                    <w:tr2bl w:val="nil"/>
                  </w:tcBorders>
                  <w:shd w:val="clear" w:color="auto" w:fill="auto"/>
                  <w:vAlign w:val="center"/>
                </w:tcPr>
                <w:p w14:paraId="1087B454">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w:t>
                  </w:r>
                </w:p>
              </w:tc>
              <w:tc>
                <w:tcPr>
                  <w:tcW w:w="350" w:type="pct"/>
                  <w:tcBorders>
                    <w:tl2br w:val="nil"/>
                    <w:tr2bl w:val="nil"/>
                  </w:tcBorders>
                  <w:shd w:val="clear" w:color="auto" w:fill="auto"/>
                  <w:vAlign w:val="center"/>
                </w:tcPr>
                <w:p w14:paraId="77F41DC4">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69.4</w:t>
                  </w:r>
                </w:p>
              </w:tc>
              <w:tc>
                <w:tcPr>
                  <w:tcW w:w="433" w:type="pct"/>
                  <w:tcBorders>
                    <w:tl2br w:val="nil"/>
                    <w:tr2bl w:val="nil"/>
                  </w:tcBorders>
                  <w:shd w:val="clear" w:color="auto" w:fill="auto"/>
                  <w:vAlign w:val="center"/>
                </w:tcPr>
                <w:p w14:paraId="713869FC">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65</w:t>
                  </w:r>
                </w:p>
              </w:tc>
              <w:tc>
                <w:tcPr>
                  <w:tcW w:w="418" w:type="pct"/>
                  <w:tcBorders>
                    <w:tl2br w:val="nil"/>
                    <w:tr2bl w:val="nil"/>
                  </w:tcBorders>
                  <w:shd w:val="clear" w:color="auto" w:fill="auto"/>
                  <w:vAlign w:val="center"/>
                </w:tcPr>
                <w:p w14:paraId="12F291CB">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63.4</w:t>
                  </w:r>
                </w:p>
              </w:tc>
              <w:tc>
                <w:tcPr>
                  <w:tcW w:w="400" w:type="pct"/>
                  <w:tcBorders>
                    <w:tl2br w:val="nil"/>
                    <w:tr2bl w:val="nil"/>
                  </w:tcBorders>
                  <w:shd w:val="clear" w:color="auto" w:fill="auto"/>
                  <w:vAlign w:val="center"/>
                </w:tcPr>
                <w:p w14:paraId="37473A6C">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60.9</w:t>
                  </w:r>
                </w:p>
              </w:tc>
              <w:tc>
                <w:tcPr>
                  <w:tcW w:w="442" w:type="pct"/>
                  <w:tcBorders>
                    <w:tl2br w:val="nil"/>
                    <w:tr2bl w:val="nil"/>
                  </w:tcBorders>
                  <w:shd w:val="clear" w:color="auto" w:fill="auto"/>
                  <w:vAlign w:val="center"/>
                </w:tcPr>
                <w:p w14:paraId="5898E65D">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59</w:t>
                  </w:r>
                </w:p>
              </w:tc>
              <w:tc>
                <w:tcPr>
                  <w:tcW w:w="418" w:type="pct"/>
                  <w:tcBorders>
                    <w:tl2br w:val="nil"/>
                    <w:tr2bl w:val="nil"/>
                  </w:tcBorders>
                  <w:shd w:val="clear" w:color="auto" w:fill="auto"/>
                  <w:vAlign w:val="center"/>
                </w:tcPr>
                <w:p w14:paraId="3CF9F9F8">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55.5</w:t>
                  </w:r>
                </w:p>
              </w:tc>
              <w:tc>
                <w:tcPr>
                  <w:tcW w:w="476" w:type="pct"/>
                  <w:tcBorders>
                    <w:tl2br w:val="nil"/>
                    <w:tr2bl w:val="nil"/>
                  </w:tcBorders>
                  <w:shd w:val="clear" w:color="auto" w:fill="auto"/>
                  <w:vAlign w:val="center"/>
                </w:tcPr>
                <w:p w14:paraId="1BCA1D6C">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53</w:t>
                  </w:r>
                </w:p>
              </w:tc>
              <w:tc>
                <w:tcPr>
                  <w:tcW w:w="483" w:type="pct"/>
                  <w:tcBorders>
                    <w:tl2br w:val="nil"/>
                    <w:tr2bl w:val="nil"/>
                  </w:tcBorders>
                  <w:shd w:val="clear" w:color="auto" w:fill="auto"/>
                  <w:vAlign w:val="center"/>
                </w:tcPr>
                <w:p w14:paraId="2746FB69">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w:t>
                  </w:r>
                </w:p>
              </w:tc>
            </w:tr>
            <w:tr w14:paraId="6124A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909" w:type="pct"/>
                  <w:tcBorders>
                    <w:tl2br w:val="nil"/>
                    <w:tr2bl w:val="nil"/>
                  </w:tcBorders>
                  <w:shd w:val="clear" w:color="auto" w:fill="auto"/>
                  <w:vAlign w:val="center"/>
                </w:tcPr>
                <w:p w14:paraId="4339CC72">
                  <w:pPr>
                    <w:keepNext w:val="0"/>
                    <w:keepLines w:val="0"/>
                    <w:widowControl/>
                    <w:suppressLineNumbers w:val="0"/>
                    <w:jc w:val="center"/>
                    <w:textAlignment w:val="center"/>
                    <w:rPr>
                      <w:rFonts w:hint="default" w:ascii="Times New Roman" w:hAnsi="Times New Roman" w:eastAsia="宋体" w:cstheme="minorBidi"/>
                      <w:color w:val="auto"/>
                      <w:kern w:val="2"/>
                      <w:sz w:val="22"/>
                      <w:szCs w:val="22"/>
                      <w:lang w:val="en-US" w:eastAsia="zh-CN" w:bidi="ar-SA"/>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混凝土搅拌机</w:t>
                  </w:r>
                </w:p>
              </w:tc>
              <w:tc>
                <w:tcPr>
                  <w:tcW w:w="310" w:type="pct"/>
                  <w:tcBorders>
                    <w:tl2br w:val="nil"/>
                    <w:tr2bl w:val="nil"/>
                  </w:tcBorders>
                  <w:shd w:val="clear" w:color="auto" w:fill="auto"/>
                  <w:vAlign w:val="center"/>
                </w:tcPr>
                <w:p w14:paraId="2DF1DAC0">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80</w:t>
                  </w:r>
                </w:p>
              </w:tc>
              <w:tc>
                <w:tcPr>
                  <w:tcW w:w="357" w:type="pct"/>
                  <w:tcBorders>
                    <w:tl2br w:val="nil"/>
                    <w:tr2bl w:val="nil"/>
                  </w:tcBorders>
                  <w:shd w:val="clear" w:color="auto" w:fill="auto"/>
                  <w:vAlign w:val="center"/>
                </w:tcPr>
                <w:p w14:paraId="6AEBEA10">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74</w:t>
                  </w:r>
                </w:p>
              </w:tc>
              <w:tc>
                <w:tcPr>
                  <w:tcW w:w="350" w:type="pct"/>
                  <w:tcBorders>
                    <w:tl2br w:val="nil"/>
                    <w:tr2bl w:val="nil"/>
                  </w:tcBorders>
                  <w:shd w:val="clear" w:color="auto" w:fill="auto"/>
                  <w:vAlign w:val="center"/>
                </w:tcPr>
                <w:p w14:paraId="04406D7E">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64.5</w:t>
                  </w:r>
                </w:p>
              </w:tc>
              <w:tc>
                <w:tcPr>
                  <w:tcW w:w="433" w:type="pct"/>
                  <w:tcBorders>
                    <w:tl2br w:val="nil"/>
                    <w:tr2bl w:val="nil"/>
                  </w:tcBorders>
                  <w:shd w:val="clear" w:color="auto" w:fill="auto"/>
                  <w:vAlign w:val="center"/>
                </w:tcPr>
                <w:p w14:paraId="70CCB094">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60</w:t>
                  </w:r>
                </w:p>
              </w:tc>
              <w:tc>
                <w:tcPr>
                  <w:tcW w:w="418" w:type="pct"/>
                  <w:tcBorders>
                    <w:tl2br w:val="nil"/>
                    <w:tr2bl w:val="nil"/>
                  </w:tcBorders>
                  <w:shd w:val="clear" w:color="auto" w:fill="auto"/>
                  <w:vAlign w:val="center"/>
                </w:tcPr>
                <w:p w14:paraId="3DD3ABC6">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58.4</w:t>
                  </w:r>
                </w:p>
              </w:tc>
              <w:tc>
                <w:tcPr>
                  <w:tcW w:w="400" w:type="pct"/>
                  <w:tcBorders>
                    <w:tl2br w:val="nil"/>
                    <w:tr2bl w:val="nil"/>
                  </w:tcBorders>
                  <w:shd w:val="clear" w:color="auto" w:fill="auto"/>
                  <w:vAlign w:val="center"/>
                </w:tcPr>
                <w:p w14:paraId="53745574">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56</w:t>
                  </w:r>
                </w:p>
              </w:tc>
              <w:tc>
                <w:tcPr>
                  <w:tcW w:w="442" w:type="pct"/>
                  <w:tcBorders>
                    <w:tl2br w:val="nil"/>
                    <w:tr2bl w:val="nil"/>
                  </w:tcBorders>
                  <w:shd w:val="clear" w:color="auto" w:fill="auto"/>
                  <w:vAlign w:val="center"/>
                </w:tcPr>
                <w:p w14:paraId="01AF5985">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54</w:t>
                  </w:r>
                </w:p>
              </w:tc>
              <w:tc>
                <w:tcPr>
                  <w:tcW w:w="418" w:type="pct"/>
                  <w:tcBorders>
                    <w:tl2br w:val="nil"/>
                    <w:tr2bl w:val="nil"/>
                  </w:tcBorders>
                  <w:shd w:val="clear" w:color="auto" w:fill="auto"/>
                  <w:vAlign w:val="center"/>
                </w:tcPr>
                <w:p w14:paraId="216393A4">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50.5</w:t>
                  </w:r>
                </w:p>
              </w:tc>
              <w:tc>
                <w:tcPr>
                  <w:tcW w:w="476" w:type="pct"/>
                  <w:tcBorders>
                    <w:tl2br w:val="nil"/>
                    <w:tr2bl w:val="nil"/>
                  </w:tcBorders>
                  <w:shd w:val="clear" w:color="auto" w:fill="auto"/>
                  <w:vAlign w:val="center"/>
                </w:tcPr>
                <w:p w14:paraId="6DBBF6AC">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48</w:t>
                  </w:r>
                </w:p>
              </w:tc>
              <w:tc>
                <w:tcPr>
                  <w:tcW w:w="483" w:type="pct"/>
                  <w:tcBorders>
                    <w:tl2br w:val="nil"/>
                    <w:tr2bl w:val="nil"/>
                  </w:tcBorders>
                  <w:shd w:val="clear" w:color="auto" w:fill="auto"/>
                  <w:vAlign w:val="center"/>
                </w:tcPr>
                <w:p w14:paraId="759D6E82">
                  <w:pPr>
                    <w:keepNext w:val="0"/>
                    <w:keepLines w:val="0"/>
                    <w:widowControl/>
                    <w:suppressLineNumbers w:val="0"/>
                    <w:jc w:val="center"/>
                    <w:textAlignment w:val="center"/>
                    <w:rPr>
                      <w:rFonts w:hint="eastAsia"/>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45</w:t>
                  </w:r>
                </w:p>
              </w:tc>
            </w:tr>
          </w:tbl>
          <w:p w14:paraId="4764CD70">
            <w:pPr>
              <w:pStyle w:val="6"/>
              <w:rPr>
                <w:rFonts w:hint="eastAsia"/>
                <w:color w:val="auto"/>
              </w:rPr>
            </w:pPr>
            <w:r>
              <w:rPr>
                <w:rFonts w:hint="eastAsia"/>
                <w:color w:val="auto"/>
              </w:rPr>
              <w:t>由</w:t>
            </w:r>
            <w:r>
              <w:rPr>
                <w:rFonts w:hint="eastAsia"/>
                <w:color w:val="auto"/>
                <w:lang w:val="en-US" w:eastAsia="zh-CN"/>
              </w:rPr>
              <w:t>上表</w:t>
            </w:r>
            <w:r>
              <w:rPr>
                <w:rFonts w:hint="eastAsia"/>
                <w:color w:val="auto"/>
              </w:rPr>
              <w:t>可知，施工场地在不采取噪声防治措施的情况下，施工机械与场界距离昼间小于</w:t>
            </w:r>
            <w:r>
              <w:rPr>
                <w:rFonts w:hint="eastAsia"/>
                <w:color w:val="auto"/>
                <w:lang w:val="en-US" w:eastAsia="zh-CN"/>
              </w:rPr>
              <w:t>50</w:t>
            </w:r>
            <w:r>
              <w:rPr>
                <w:rFonts w:hint="eastAsia"/>
                <w:color w:val="auto"/>
              </w:rPr>
              <w:t>m、夜间小于</w:t>
            </w:r>
            <w:r>
              <w:rPr>
                <w:rFonts w:hint="eastAsia"/>
                <w:color w:val="auto"/>
                <w:lang w:val="en-US" w:eastAsia="zh-CN"/>
              </w:rPr>
              <w:t>280</w:t>
            </w:r>
            <w:r>
              <w:rPr>
                <w:rFonts w:hint="eastAsia"/>
                <w:color w:val="auto"/>
              </w:rPr>
              <w:t>m时，施工机械噪声在场界处容易超过《建筑施工场界环境噪声排放标准》（GB</w:t>
            </w:r>
            <w:r>
              <w:rPr>
                <w:rFonts w:hint="eastAsia"/>
                <w:color w:val="auto"/>
                <w:lang w:val="en-US" w:eastAsia="zh-CN"/>
              </w:rPr>
              <w:t xml:space="preserve"> </w:t>
            </w:r>
            <w:r>
              <w:rPr>
                <w:rFonts w:hint="eastAsia"/>
                <w:color w:val="auto"/>
              </w:rPr>
              <w:t>12523-2011）表1昼间70dB</w:t>
            </w:r>
            <w:r>
              <w:rPr>
                <w:rFonts w:hint="eastAsia"/>
                <w:color w:val="auto"/>
                <w:lang w:eastAsia="zh-CN"/>
              </w:rPr>
              <w:t>（</w:t>
            </w:r>
            <w:r>
              <w:rPr>
                <w:rFonts w:hint="eastAsia"/>
                <w:color w:val="auto"/>
              </w:rPr>
              <w:t>A</w:t>
            </w:r>
            <w:r>
              <w:rPr>
                <w:rFonts w:hint="eastAsia"/>
                <w:color w:val="auto"/>
                <w:lang w:eastAsia="zh-CN"/>
              </w:rPr>
              <w:t>）</w:t>
            </w:r>
            <w:r>
              <w:rPr>
                <w:rFonts w:hint="eastAsia"/>
                <w:color w:val="auto"/>
              </w:rPr>
              <w:t>，夜间55dB</w:t>
            </w:r>
            <w:r>
              <w:rPr>
                <w:rFonts w:hint="eastAsia"/>
                <w:color w:val="auto"/>
                <w:lang w:eastAsia="zh-CN"/>
              </w:rPr>
              <w:t>（</w:t>
            </w:r>
            <w:r>
              <w:rPr>
                <w:rFonts w:hint="eastAsia"/>
                <w:color w:val="auto"/>
              </w:rPr>
              <w:t>A</w:t>
            </w:r>
            <w:r>
              <w:rPr>
                <w:rFonts w:hint="eastAsia"/>
                <w:color w:val="auto"/>
                <w:lang w:eastAsia="zh-CN"/>
              </w:rPr>
              <w:t>）</w:t>
            </w:r>
            <w:r>
              <w:rPr>
                <w:rFonts w:hint="eastAsia"/>
                <w:color w:val="auto"/>
                <w:lang w:val="en-US" w:eastAsia="zh-CN"/>
              </w:rPr>
              <w:t>标准限值</w:t>
            </w:r>
            <w:r>
              <w:rPr>
                <w:rFonts w:hint="eastAsia"/>
                <w:color w:val="auto"/>
              </w:rPr>
              <w:t>。</w:t>
            </w:r>
          </w:p>
          <w:p w14:paraId="78A6AFD2">
            <w:pPr>
              <w:widowControl w:val="0"/>
              <w:spacing w:line="460" w:lineRule="exact"/>
              <w:ind w:firstLine="480" w:firstLineChars="200"/>
              <w:jc w:val="both"/>
              <w:rPr>
                <w:rFonts w:hint="eastAsia" w:ascii="Times New Roman" w:hAnsi="Times New Roman" w:eastAsia="宋体" w:cstheme="minorBidi"/>
                <w:color w:val="auto"/>
                <w:kern w:val="2"/>
                <w:sz w:val="24"/>
                <w:szCs w:val="21"/>
                <w:lang w:val="en-US" w:eastAsia="zh-CN" w:bidi="ar-SA"/>
                <w14:ligatures w14:val="standardContextual"/>
              </w:rPr>
            </w:pPr>
            <w:r>
              <w:rPr>
                <w:rFonts w:hint="eastAsia" w:ascii="Times New Roman" w:hAnsi="Times New Roman" w:eastAsia="宋体" w:cstheme="minorBidi"/>
                <w:color w:val="auto"/>
                <w:kern w:val="2"/>
                <w:sz w:val="24"/>
                <w:szCs w:val="21"/>
                <w:lang w:val="en-US" w:eastAsia="zh-CN" w:bidi="ar-SA"/>
                <w14:ligatures w14:val="standardContextual"/>
              </w:rPr>
              <w:t>在实际施工过程中，往往是多种机械同时使用，则将产生噪声叠加效应，本次评价考虑挖掘机、推土机、</w:t>
            </w:r>
            <w:r>
              <w:rPr>
                <w:rFonts w:hint="eastAsia" w:cstheme="minorBidi"/>
                <w:color w:val="auto"/>
                <w:kern w:val="2"/>
                <w:sz w:val="24"/>
                <w:szCs w:val="21"/>
                <w:lang w:val="en-US" w:eastAsia="zh-CN" w:bidi="ar-SA"/>
                <w14:ligatures w14:val="standardContextual"/>
              </w:rPr>
              <w:t>夯实机</w:t>
            </w:r>
            <w:r>
              <w:rPr>
                <w:rFonts w:hint="eastAsia" w:ascii="Times New Roman" w:hAnsi="Times New Roman" w:eastAsia="宋体" w:cstheme="minorBidi"/>
                <w:color w:val="auto"/>
                <w:kern w:val="2"/>
                <w:sz w:val="24"/>
                <w:szCs w:val="21"/>
                <w:lang w:val="en-US" w:eastAsia="zh-CN" w:bidi="ar-SA"/>
                <w14:ligatures w14:val="standardContextual"/>
              </w:rPr>
              <w:t>和自卸汽车各1台组合同时使用，多台施工机械叠加噪声预测结果见下表。</w:t>
            </w:r>
          </w:p>
          <w:p w14:paraId="591CC854">
            <w:pPr>
              <w:keepNext/>
              <w:keepLines/>
              <w:widowControl w:val="0"/>
              <w:numPr>
                <w:ilvl w:val="4"/>
                <w:numId w:val="1"/>
              </w:numPr>
              <w:bidi w:val="0"/>
              <w:spacing w:before="50" w:beforeLines="50" w:line="400" w:lineRule="exact"/>
              <w:ind w:left="0"/>
              <w:jc w:val="center"/>
              <w:outlineLvl w:val="4"/>
              <w:rPr>
                <w:rFonts w:hint="eastAsia" w:ascii="Times New Roman" w:hAnsi="Times New Roman" w:eastAsia="宋体" w:cstheme="minorBidi"/>
                <w:b/>
                <w:kern w:val="2"/>
                <w:sz w:val="24"/>
                <w:szCs w:val="28"/>
                <w:lang w:val="en-US" w:eastAsia="zh-CN" w:bidi="ar-SA"/>
                <w14:ligatures w14:val="standardContextual"/>
              </w:rPr>
            </w:pPr>
            <w:bookmarkStart w:id="73" w:name="_Toc4625"/>
            <w:r>
              <w:rPr>
                <w:rFonts w:hint="eastAsia" w:ascii="Times New Roman" w:hAnsi="Times New Roman" w:eastAsia="宋体" w:cstheme="minorBidi"/>
                <w:b/>
                <w:kern w:val="2"/>
                <w:sz w:val="24"/>
                <w:szCs w:val="28"/>
                <w:lang w:val="en-US" w:eastAsia="zh-CN" w:bidi="ar-SA"/>
                <w14:ligatures w14:val="standardContextual"/>
              </w:rPr>
              <w:t>多台施工机械叠加噪声预测结果</w:t>
            </w:r>
            <w:bookmarkEnd w:id="73"/>
          </w:p>
          <w:tbl>
            <w:tblPr>
              <w:tblStyle w:val="173"/>
              <w:tblW w:w="885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01"/>
              <w:gridCol w:w="660"/>
              <w:gridCol w:w="762"/>
              <w:gridCol w:w="714"/>
              <w:gridCol w:w="753"/>
              <w:gridCol w:w="691"/>
              <w:gridCol w:w="806"/>
              <w:gridCol w:w="824"/>
              <w:gridCol w:w="824"/>
              <w:gridCol w:w="829"/>
            </w:tblGrid>
            <w:tr w14:paraId="3FE31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tblHeader/>
                <w:jc w:val="center"/>
              </w:trPr>
              <w:tc>
                <w:tcPr>
                  <w:tcW w:w="784" w:type="pct"/>
                  <w:vMerge w:val="restart"/>
                  <w:tcBorders>
                    <w:tl2br w:val="nil"/>
                    <w:tr2bl w:val="nil"/>
                  </w:tcBorders>
                  <w:vAlign w:val="center"/>
                </w:tcPr>
                <w:p w14:paraId="08E2920F">
                  <w:pPr>
                    <w:pStyle w:val="59"/>
                    <w:bidi w:val="0"/>
                    <w:rPr>
                      <w:rFonts w:hint="default"/>
                      <w:color w:val="auto"/>
                      <w:sz w:val="22"/>
                      <w:szCs w:val="22"/>
                      <w:lang w:val="en-US" w:eastAsia="zh-CN"/>
                    </w:rPr>
                  </w:pPr>
                  <w:r>
                    <w:rPr>
                      <w:rFonts w:hint="default"/>
                      <w:color w:val="auto"/>
                      <w:sz w:val="22"/>
                      <w:szCs w:val="22"/>
                      <w:lang w:val="en-US" w:eastAsia="zh-CN"/>
                    </w:rPr>
                    <w:t>叠加机械</w:t>
                  </w:r>
                </w:p>
                <w:p w14:paraId="57C80DDE">
                  <w:pPr>
                    <w:pStyle w:val="59"/>
                    <w:bidi w:val="0"/>
                    <w:rPr>
                      <w:rFonts w:hint="default"/>
                      <w:color w:val="auto"/>
                      <w:sz w:val="22"/>
                      <w:szCs w:val="22"/>
                      <w:lang w:val="en-US" w:eastAsia="zh-CN"/>
                    </w:rPr>
                  </w:pPr>
                  <w:r>
                    <w:rPr>
                      <w:rFonts w:hint="default"/>
                      <w:color w:val="auto"/>
                      <w:sz w:val="22"/>
                      <w:szCs w:val="22"/>
                      <w:lang w:val="en-US" w:eastAsia="zh-CN"/>
                    </w:rPr>
                    <w:t>名称</w:t>
                  </w:r>
                </w:p>
              </w:tc>
              <w:tc>
                <w:tcPr>
                  <w:tcW w:w="4215" w:type="pct"/>
                  <w:gridSpan w:val="10"/>
                  <w:tcBorders>
                    <w:right w:val="single" w:color="000000" w:sz="4" w:space="0"/>
                    <w:tl2br w:val="nil"/>
                    <w:tr2bl w:val="nil"/>
                  </w:tcBorders>
                  <w:vAlign w:val="center"/>
                </w:tcPr>
                <w:p w14:paraId="6D9CBDEA">
                  <w:pPr>
                    <w:pStyle w:val="59"/>
                    <w:bidi w:val="0"/>
                    <w:rPr>
                      <w:rFonts w:hint="eastAsia"/>
                      <w:color w:val="auto"/>
                      <w:sz w:val="22"/>
                      <w:szCs w:val="22"/>
                      <w:lang w:val="en-US" w:eastAsia="zh-CN"/>
                    </w:rPr>
                  </w:pPr>
                  <w:r>
                    <w:rPr>
                      <w:rFonts w:hint="eastAsia"/>
                      <w:color w:val="auto"/>
                      <w:sz w:val="22"/>
                      <w:szCs w:val="22"/>
                      <w:lang w:val="en-US" w:eastAsia="zh-CN"/>
                    </w:rPr>
                    <w:t>噪声预测结果</w:t>
                  </w:r>
                  <w:r>
                    <w:rPr>
                      <w:rFonts w:hint="default"/>
                      <w:color w:val="auto"/>
                      <w:sz w:val="22"/>
                      <w:szCs w:val="22"/>
                      <w:lang w:val="en-US" w:eastAsia="zh-CN"/>
                    </w:rPr>
                    <w:t>[dB（A）]</w:t>
                  </w:r>
                </w:p>
              </w:tc>
            </w:tr>
            <w:tr w14:paraId="070383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tblHeader/>
                <w:jc w:val="center"/>
              </w:trPr>
              <w:tc>
                <w:tcPr>
                  <w:tcW w:w="784" w:type="pct"/>
                  <w:vMerge w:val="continue"/>
                  <w:tcBorders>
                    <w:tl2br w:val="nil"/>
                    <w:tr2bl w:val="nil"/>
                  </w:tcBorders>
                  <w:vAlign w:val="center"/>
                </w:tcPr>
                <w:p w14:paraId="663A9C6C">
                  <w:pPr>
                    <w:pStyle w:val="59"/>
                    <w:bidi w:val="0"/>
                    <w:rPr>
                      <w:rFonts w:hint="default"/>
                      <w:color w:val="auto"/>
                      <w:sz w:val="22"/>
                      <w:szCs w:val="22"/>
                      <w:lang w:val="en-US" w:eastAsia="zh-CN"/>
                    </w:rPr>
                  </w:pPr>
                </w:p>
              </w:tc>
              <w:tc>
                <w:tcPr>
                  <w:tcW w:w="339" w:type="pct"/>
                  <w:tcBorders>
                    <w:tl2br w:val="nil"/>
                    <w:tr2bl w:val="nil"/>
                  </w:tcBorders>
                  <w:vAlign w:val="center"/>
                </w:tcPr>
                <w:p w14:paraId="2899D466">
                  <w:pPr>
                    <w:pStyle w:val="59"/>
                    <w:bidi w:val="0"/>
                    <w:rPr>
                      <w:rFonts w:hint="default"/>
                      <w:color w:val="auto"/>
                      <w:sz w:val="22"/>
                      <w:szCs w:val="22"/>
                      <w:lang w:val="en-US" w:eastAsia="zh-CN"/>
                    </w:rPr>
                  </w:pPr>
                  <w:r>
                    <w:rPr>
                      <w:rFonts w:hint="eastAsia"/>
                      <w:color w:val="auto"/>
                      <w:sz w:val="22"/>
                      <w:szCs w:val="22"/>
                      <w:lang w:val="en-US" w:eastAsia="zh-CN"/>
                    </w:rPr>
                    <w:t>5m</w:t>
                  </w:r>
                </w:p>
              </w:tc>
              <w:tc>
                <w:tcPr>
                  <w:tcW w:w="372" w:type="pct"/>
                  <w:tcBorders>
                    <w:tl2br w:val="nil"/>
                    <w:tr2bl w:val="nil"/>
                  </w:tcBorders>
                  <w:vAlign w:val="center"/>
                </w:tcPr>
                <w:p w14:paraId="207BFC1F">
                  <w:pPr>
                    <w:pStyle w:val="59"/>
                    <w:bidi w:val="0"/>
                    <w:rPr>
                      <w:rFonts w:hint="default"/>
                      <w:color w:val="auto"/>
                      <w:sz w:val="22"/>
                      <w:szCs w:val="22"/>
                      <w:lang w:val="en-US" w:eastAsia="zh-CN"/>
                    </w:rPr>
                  </w:pPr>
                  <w:r>
                    <w:rPr>
                      <w:rFonts w:hint="default"/>
                      <w:color w:val="auto"/>
                      <w:sz w:val="22"/>
                      <w:szCs w:val="22"/>
                      <w:lang w:val="en-US" w:eastAsia="zh-CN"/>
                    </w:rPr>
                    <w:t>10m</w:t>
                  </w:r>
                </w:p>
              </w:tc>
              <w:tc>
                <w:tcPr>
                  <w:tcW w:w="430" w:type="pct"/>
                  <w:tcBorders>
                    <w:tl2br w:val="nil"/>
                    <w:tr2bl w:val="nil"/>
                  </w:tcBorders>
                  <w:vAlign w:val="center"/>
                </w:tcPr>
                <w:p w14:paraId="1C443D48">
                  <w:pPr>
                    <w:pStyle w:val="59"/>
                    <w:bidi w:val="0"/>
                    <w:rPr>
                      <w:rFonts w:hint="default"/>
                      <w:color w:val="auto"/>
                      <w:sz w:val="22"/>
                      <w:szCs w:val="22"/>
                      <w:lang w:val="en-US" w:eastAsia="zh-CN"/>
                    </w:rPr>
                  </w:pPr>
                  <w:r>
                    <w:rPr>
                      <w:rFonts w:hint="eastAsia"/>
                      <w:color w:val="auto"/>
                      <w:sz w:val="22"/>
                      <w:szCs w:val="22"/>
                      <w:lang w:val="en-US" w:eastAsia="zh-CN"/>
                    </w:rPr>
                    <w:t>30m</w:t>
                  </w:r>
                </w:p>
              </w:tc>
              <w:tc>
                <w:tcPr>
                  <w:tcW w:w="403" w:type="pct"/>
                  <w:tcBorders>
                    <w:tl2br w:val="nil"/>
                    <w:tr2bl w:val="nil"/>
                  </w:tcBorders>
                  <w:vAlign w:val="center"/>
                </w:tcPr>
                <w:p w14:paraId="7D22E274">
                  <w:pPr>
                    <w:pStyle w:val="59"/>
                    <w:bidi w:val="0"/>
                    <w:rPr>
                      <w:rFonts w:hint="default"/>
                      <w:color w:val="auto"/>
                      <w:sz w:val="22"/>
                      <w:szCs w:val="22"/>
                      <w:lang w:val="en-US" w:eastAsia="zh-CN"/>
                    </w:rPr>
                  </w:pPr>
                  <w:r>
                    <w:rPr>
                      <w:rFonts w:hint="eastAsia"/>
                      <w:color w:val="auto"/>
                      <w:sz w:val="22"/>
                      <w:szCs w:val="22"/>
                      <w:lang w:val="en-US" w:eastAsia="zh-CN"/>
                    </w:rPr>
                    <w:t>50m</w:t>
                  </w:r>
                </w:p>
              </w:tc>
              <w:tc>
                <w:tcPr>
                  <w:tcW w:w="425" w:type="pct"/>
                  <w:tcBorders>
                    <w:tl2br w:val="nil"/>
                    <w:tr2bl w:val="nil"/>
                  </w:tcBorders>
                  <w:vAlign w:val="center"/>
                </w:tcPr>
                <w:p w14:paraId="402B0825">
                  <w:pPr>
                    <w:pStyle w:val="59"/>
                    <w:bidi w:val="0"/>
                    <w:rPr>
                      <w:rFonts w:hint="default"/>
                      <w:color w:val="auto"/>
                      <w:sz w:val="22"/>
                      <w:szCs w:val="22"/>
                      <w:lang w:val="en-US" w:eastAsia="zh-CN"/>
                    </w:rPr>
                  </w:pPr>
                  <w:r>
                    <w:rPr>
                      <w:rFonts w:hint="eastAsia"/>
                      <w:color w:val="auto"/>
                      <w:sz w:val="22"/>
                      <w:szCs w:val="22"/>
                      <w:lang w:val="en-US" w:eastAsia="zh-CN"/>
                    </w:rPr>
                    <w:t>59m</w:t>
                  </w:r>
                </w:p>
              </w:tc>
              <w:tc>
                <w:tcPr>
                  <w:tcW w:w="390" w:type="pct"/>
                  <w:tcBorders>
                    <w:tl2br w:val="nil"/>
                    <w:tr2bl w:val="nil"/>
                  </w:tcBorders>
                  <w:vAlign w:val="center"/>
                </w:tcPr>
                <w:p w14:paraId="69D795B4">
                  <w:pPr>
                    <w:pStyle w:val="59"/>
                    <w:bidi w:val="0"/>
                    <w:rPr>
                      <w:rFonts w:hint="default"/>
                      <w:color w:val="auto"/>
                      <w:sz w:val="22"/>
                      <w:szCs w:val="22"/>
                      <w:lang w:val="en-US" w:eastAsia="zh-CN"/>
                    </w:rPr>
                  </w:pPr>
                  <w:r>
                    <w:rPr>
                      <w:rFonts w:hint="eastAsia"/>
                      <w:color w:val="auto"/>
                      <w:sz w:val="22"/>
                      <w:szCs w:val="22"/>
                      <w:lang w:val="en-US" w:eastAsia="zh-CN"/>
                    </w:rPr>
                    <w:t>80m</w:t>
                  </w:r>
                </w:p>
              </w:tc>
              <w:tc>
                <w:tcPr>
                  <w:tcW w:w="455" w:type="pct"/>
                  <w:tcBorders>
                    <w:tl2br w:val="nil"/>
                    <w:tr2bl w:val="nil"/>
                  </w:tcBorders>
                  <w:vAlign w:val="center"/>
                </w:tcPr>
                <w:p w14:paraId="31512BB6">
                  <w:pPr>
                    <w:pStyle w:val="59"/>
                    <w:bidi w:val="0"/>
                    <w:rPr>
                      <w:rFonts w:hint="default"/>
                      <w:color w:val="auto"/>
                      <w:sz w:val="22"/>
                      <w:szCs w:val="22"/>
                      <w:lang w:val="en-US" w:eastAsia="zh-CN"/>
                    </w:rPr>
                  </w:pPr>
                  <w:r>
                    <w:rPr>
                      <w:rFonts w:hint="eastAsia"/>
                      <w:color w:val="auto"/>
                      <w:sz w:val="22"/>
                      <w:szCs w:val="22"/>
                      <w:lang w:val="en-US" w:eastAsia="zh-CN"/>
                    </w:rPr>
                    <w:t>100m</w:t>
                  </w:r>
                </w:p>
              </w:tc>
              <w:tc>
                <w:tcPr>
                  <w:tcW w:w="465" w:type="pct"/>
                  <w:tcBorders>
                    <w:tl2br w:val="nil"/>
                    <w:tr2bl w:val="nil"/>
                  </w:tcBorders>
                  <w:vAlign w:val="center"/>
                </w:tcPr>
                <w:p w14:paraId="2D320C65">
                  <w:pPr>
                    <w:pStyle w:val="59"/>
                    <w:bidi w:val="0"/>
                    <w:rPr>
                      <w:rFonts w:hint="default"/>
                      <w:color w:val="auto"/>
                      <w:sz w:val="22"/>
                      <w:szCs w:val="22"/>
                      <w:lang w:val="en-US" w:eastAsia="zh-CN"/>
                    </w:rPr>
                  </w:pPr>
                  <w:r>
                    <w:rPr>
                      <w:rFonts w:hint="eastAsia"/>
                      <w:color w:val="auto"/>
                      <w:sz w:val="22"/>
                      <w:szCs w:val="22"/>
                      <w:lang w:val="en-US" w:eastAsia="zh-CN"/>
                    </w:rPr>
                    <w:t>150m</w:t>
                  </w:r>
                </w:p>
              </w:tc>
              <w:tc>
                <w:tcPr>
                  <w:tcW w:w="465" w:type="pct"/>
                  <w:tcBorders>
                    <w:tl2br w:val="nil"/>
                    <w:tr2bl w:val="nil"/>
                  </w:tcBorders>
                  <w:vAlign w:val="center"/>
                </w:tcPr>
                <w:p w14:paraId="109A4C62">
                  <w:pPr>
                    <w:pStyle w:val="59"/>
                    <w:bidi w:val="0"/>
                    <w:rPr>
                      <w:rFonts w:hint="default"/>
                      <w:color w:val="auto"/>
                      <w:sz w:val="22"/>
                      <w:szCs w:val="22"/>
                      <w:lang w:val="en-US" w:eastAsia="zh-CN"/>
                    </w:rPr>
                  </w:pPr>
                  <w:r>
                    <w:rPr>
                      <w:rFonts w:hint="eastAsia"/>
                      <w:color w:val="auto"/>
                      <w:sz w:val="22"/>
                      <w:szCs w:val="22"/>
                      <w:lang w:val="en-US" w:eastAsia="zh-CN"/>
                    </w:rPr>
                    <w:t>200m</w:t>
                  </w:r>
                </w:p>
              </w:tc>
              <w:tc>
                <w:tcPr>
                  <w:tcW w:w="468" w:type="pct"/>
                  <w:tcBorders>
                    <w:right w:val="single" w:color="000000" w:sz="4" w:space="0"/>
                    <w:tl2br w:val="nil"/>
                    <w:tr2bl w:val="nil"/>
                  </w:tcBorders>
                  <w:vAlign w:val="center"/>
                </w:tcPr>
                <w:p w14:paraId="7A6F9989">
                  <w:pPr>
                    <w:pStyle w:val="59"/>
                    <w:bidi w:val="0"/>
                    <w:rPr>
                      <w:rFonts w:hint="default"/>
                      <w:color w:val="auto"/>
                      <w:sz w:val="22"/>
                      <w:szCs w:val="22"/>
                      <w:lang w:val="en-US" w:eastAsia="zh-CN"/>
                    </w:rPr>
                  </w:pPr>
                  <w:r>
                    <w:rPr>
                      <w:rFonts w:hint="eastAsia"/>
                      <w:color w:val="auto"/>
                      <w:sz w:val="22"/>
                      <w:szCs w:val="22"/>
                      <w:lang w:val="en-US" w:eastAsia="zh-CN"/>
                    </w:rPr>
                    <w:t>329m</w:t>
                  </w:r>
                </w:p>
              </w:tc>
            </w:tr>
            <w:tr w14:paraId="6E2AA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784" w:type="pct"/>
                  <w:tcBorders>
                    <w:tl2br w:val="nil"/>
                    <w:tr2bl w:val="nil"/>
                  </w:tcBorders>
                  <w:vAlign w:val="center"/>
                </w:tcPr>
                <w:p w14:paraId="2105EC1B">
                  <w:pPr>
                    <w:pStyle w:val="59"/>
                    <w:bidi w:val="0"/>
                    <w:rPr>
                      <w:rFonts w:hint="default"/>
                      <w:color w:val="auto"/>
                      <w:sz w:val="22"/>
                      <w:szCs w:val="22"/>
                      <w:lang w:val="en-US" w:eastAsia="zh-CN"/>
                    </w:rPr>
                  </w:pPr>
                  <w:r>
                    <w:rPr>
                      <w:rFonts w:hint="default"/>
                      <w:color w:val="auto"/>
                      <w:sz w:val="22"/>
                      <w:szCs w:val="22"/>
                      <w:lang w:val="en-US" w:eastAsia="zh-CN"/>
                    </w:rPr>
                    <w:t>挖掘机、推土机、</w:t>
                  </w:r>
                  <w:r>
                    <w:rPr>
                      <w:rFonts w:hint="eastAsia"/>
                      <w:color w:val="auto"/>
                      <w:sz w:val="22"/>
                      <w:szCs w:val="22"/>
                      <w:lang w:val="en-US" w:eastAsia="zh-CN"/>
                    </w:rPr>
                    <w:t>夯实</w:t>
                  </w:r>
                  <w:r>
                    <w:rPr>
                      <w:rFonts w:hint="default"/>
                      <w:color w:val="auto"/>
                      <w:sz w:val="22"/>
                      <w:szCs w:val="22"/>
                      <w:lang w:val="en-US" w:eastAsia="zh-CN"/>
                    </w:rPr>
                    <w:t>机和自卸汽车</w:t>
                  </w:r>
                </w:p>
              </w:tc>
              <w:tc>
                <w:tcPr>
                  <w:tcW w:w="339" w:type="pct"/>
                  <w:tcBorders>
                    <w:tl2br w:val="nil"/>
                    <w:tr2bl w:val="nil"/>
                  </w:tcBorders>
                  <w:vAlign w:val="center"/>
                </w:tcPr>
                <w:p w14:paraId="305B7EE3">
                  <w:pPr>
                    <w:pStyle w:val="59"/>
                    <w:bidi w:val="0"/>
                    <w:rPr>
                      <w:rFonts w:hint="default"/>
                      <w:color w:val="auto"/>
                      <w:sz w:val="22"/>
                      <w:szCs w:val="22"/>
                      <w:lang w:val="en-US" w:eastAsia="zh-CN"/>
                    </w:rPr>
                  </w:pPr>
                  <w:r>
                    <w:rPr>
                      <w:rFonts w:hint="eastAsia"/>
                      <w:color w:val="auto"/>
                      <w:sz w:val="22"/>
                      <w:szCs w:val="22"/>
                      <w:lang w:val="en-US" w:eastAsia="zh-CN"/>
                    </w:rPr>
                    <w:t>91.3</w:t>
                  </w:r>
                </w:p>
              </w:tc>
              <w:tc>
                <w:tcPr>
                  <w:tcW w:w="372" w:type="pct"/>
                  <w:tcBorders>
                    <w:tl2br w:val="nil"/>
                    <w:tr2bl w:val="nil"/>
                  </w:tcBorders>
                  <w:vAlign w:val="center"/>
                </w:tcPr>
                <w:p w14:paraId="64857A2D">
                  <w:pPr>
                    <w:pStyle w:val="59"/>
                    <w:bidi w:val="0"/>
                    <w:rPr>
                      <w:rFonts w:hint="default"/>
                      <w:color w:val="auto"/>
                      <w:sz w:val="22"/>
                      <w:szCs w:val="22"/>
                      <w:lang w:val="en-US" w:eastAsia="zh-CN"/>
                    </w:rPr>
                  </w:pPr>
                  <w:r>
                    <w:rPr>
                      <w:rFonts w:hint="eastAsia"/>
                      <w:color w:val="auto"/>
                      <w:sz w:val="22"/>
                      <w:szCs w:val="22"/>
                      <w:lang w:val="en-US" w:eastAsia="zh-CN"/>
                    </w:rPr>
                    <w:t>85.3</w:t>
                  </w:r>
                </w:p>
              </w:tc>
              <w:tc>
                <w:tcPr>
                  <w:tcW w:w="430" w:type="pct"/>
                  <w:tcBorders>
                    <w:tl2br w:val="nil"/>
                    <w:tr2bl w:val="nil"/>
                  </w:tcBorders>
                  <w:vAlign w:val="center"/>
                </w:tcPr>
                <w:p w14:paraId="4104FE69">
                  <w:pPr>
                    <w:pStyle w:val="59"/>
                    <w:bidi w:val="0"/>
                    <w:rPr>
                      <w:rFonts w:hint="default"/>
                      <w:color w:val="auto"/>
                      <w:sz w:val="22"/>
                      <w:szCs w:val="22"/>
                      <w:lang w:val="en-US" w:eastAsia="zh-CN"/>
                    </w:rPr>
                  </w:pPr>
                  <w:r>
                    <w:rPr>
                      <w:rFonts w:hint="eastAsia"/>
                      <w:color w:val="auto"/>
                      <w:sz w:val="22"/>
                      <w:szCs w:val="22"/>
                      <w:lang w:val="en-US" w:eastAsia="zh-CN"/>
                    </w:rPr>
                    <w:t>75.7</w:t>
                  </w:r>
                </w:p>
              </w:tc>
              <w:tc>
                <w:tcPr>
                  <w:tcW w:w="403" w:type="pct"/>
                  <w:tcBorders>
                    <w:tl2br w:val="nil"/>
                    <w:tr2bl w:val="nil"/>
                  </w:tcBorders>
                  <w:vAlign w:val="center"/>
                </w:tcPr>
                <w:p w14:paraId="75F11B75">
                  <w:pPr>
                    <w:pStyle w:val="59"/>
                    <w:bidi w:val="0"/>
                    <w:rPr>
                      <w:rFonts w:hint="default"/>
                      <w:color w:val="auto"/>
                      <w:sz w:val="22"/>
                      <w:szCs w:val="22"/>
                      <w:lang w:val="en-US" w:eastAsia="zh-CN"/>
                    </w:rPr>
                  </w:pPr>
                  <w:r>
                    <w:rPr>
                      <w:rFonts w:hint="eastAsia"/>
                      <w:color w:val="auto"/>
                      <w:sz w:val="22"/>
                      <w:szCs w:val="22"/>
                      <w:lang w:val="en-US" w:eastAsia="zh-CN"/>
                    </w:rPr>
                    <w:t>71.3</w:t>
                  </w:r>
                </w:p>
              </w:tc>
              <w:tc>
                <w:tcPr>
                  <w:tcW w:w="425" w:type="pct"/>
                  <w:tcBorders>
                    <w:tl2br w:val="nil"/>
                    <w:tr2bl w:val="nil"/>
                  </w:tcBorders>
                  <w:vAlign w:val="center"/>
                </w:tcPr>
                <w:p w14:paraId="7684B23A">
                  <w:pPr>
                    <w:pStyle w:val="59"/>
                    <w:bidi w:val="0"/>
                    <w:rPr>
                      <w:rFonts w:hint="default"/>
                      <w:color w:val="auto"/>
                      <w:sz w:val="22"/>
                      <w:szCs w:val="22"/>
                      <w:lang w:val="en-US" w:eastAsia="zh-CN"/>
                    </w:rPr>
                  </w:pPr>
                  <w:r>
                    <w:rPr>
                      <w:rFonts w:hint="eastAsia"/>
                      <w:color w:val="auto"/>
                      <w:sz w:val="22"/>
                      <w:szCs w:val="22"/>
                      <w:lang w:val="en-US" w:eastAsia="zh-CN"/>
                    </w:rPr>
                    <w:t>69.9</w:t>
                  </w:r>
                </w:p>
              </w:tc>
              <w:tc>
                <w:tcPr>
                  <w:tcW w:w="390" w:type="pct"/>
                  <w:tcBorders>
                    <w:tl2br w:val="nil"/>
                    <w:tr2bl w:val="nil"/>
                  </w:tcBorders>
                  <w:vAlign w:val="center"/>
                </w:tcPr>
                <w:p w14:paraId="0D853800">
                  <w:pPr>
                    <w:pStyle w:val="59"/>
                    <w:bidi w:val="0"/>
                    <w:rPr>
                      <w:rFonts w:hint="default"/>
                      <w:color w:val="auto"/>
                      <w:sz w:val="22"/>
                      <w:szCs w:val="22"/>
                      <w:lang w:val="en-US" w:eastAsia="zh-CN"/>
                    </w:rPr>
                  </w:pPr>
                  <w:r>
                    <w:rPr>
                      <w:rFonts w:hint="eastAsia"/>
                      <w:color w:val="auto"/>
                      <w:sz w:val="22"/>
                      <w:szCs w:val="22"/>
                      <w:lang w:val="en-US" w:eastAsia="zh-CN"/>
                    </w:rPr>
                    <w:t>67.2</w:t>
                  </w:r>
                </w:p>
              </w:tc>
              <w:tc>
                <w:tcPr>
                  <w:tcW w:w="455" w:type="pct"/>
                  <w:tcBorders>
                    <w:tl2br w:val="nil"/>
                    <w:tr2bl w:val="nil"/>
                  </w:tcBorders>
                  <w:vAlign w:val="center"/>
                </w:tcPr>
                <w:p w14:paraId="075D9A6E">
                  <w:pPr>
                    <w:pStyle w:val="59"/>
                    <w:bidi w:val="0"/>
                    <w:rPr>
                      <w:rFonts w:hint="default"/>
                      <w:color w:val="auto"/>
                      <w:sz w:val="22"/>
                      <w:szCs w:val="22"/>
                      <w:lang w:val="en-US" w:eastAsia="zh-CN"/>
                    </w:rPr>
                  </w:pPr>
                  <w:r>
                    <w:rPr>
                      <w:rFonts w:hint="eastAsia"/>
                      <w:color w:val="auto"/>
                      <w:sz w:val="22"/>
                      <w:szCs w:val="22"/>
                      <w:lang w:val="en-US" w:eastAsia="zh-CN"/>
                    </w:rPr>
                    <w:t>65.3</w:t>
                  </w:r>
                </w:p>
              </w:tc>
              <w:tc>
                <w:tcPr>
                  <w:tcW w:w="465" w:type="pct"/>
                  <w:tcBorders>
                    <w:tl2br w:val="nil"/>
                    <w:tr2bl w:val="nil"/>
                  </w:tcBorders>
                  <w:vAlign w:val="center"/>
                </w:tcPr>
                <w:p w14:paraId="46E26F58">
                  <w:pPr>
                    <w:pStyle w:val="59"/>
                    <w:bidi w:val="0"/>
                    <w:rPr>
                      <w:rFonts w:hint="default"/>
                      <w:color w:val="auto"/>
                      <w:sz w:val="22"/>
                      <w:szCs w:val="22"/>
                      <w:lang w:val="en-US" w:eastAsia="zh-CN"/>
                    </w:rPr>
                  </w:pPr>
                  <w:r>
                    <w:rPr>
                      <w:rFonts w:hint="eastAsia"/>
                      <w:color w:val="auto"/>
                      <w:sz w:val="22"/>
                      <w:szCs w:val="22"/>
                      <w:lang w:val="en-US" w:eastAsia="zh-CN"/>
                    </w:rPr>
                    <w:t>61.8</w:t>
                  </w:r>
                </w:p>
              </w:tc>
              <w:tc>
                <w:tcPr>
                  <w:tcW w:w="465" w:type="pct"/>
                  <w:tcBorders>
                    <w:tl2br w:val="nil"/>
                    <w:tr2bl w:val="nil"/>
                  </w:tcBorders>
                  <w:vAlign w:val="center"/>
                </w:tcPr>
                <w:p w14:paraId="3920B907">
                  <w:pPr>
                    <w:pStyle w:val="59"/>
                    <w:bidi w:val="0"/>
                    <w:rPr>
                      <w:rFonts w:hint="default"/>
                      <w:color w:val="auto"/>
                      <w:sz w:val="22"/>
                      <w:szCs w:val="22"/>
                      <w:lang w:val="en-US" w:eastAsia="zh-CN"/>
                    </w:rPr>
                  </w:pPr>
                  <w:r>
                    <w:rPr>
                      <w:rFonts w:hint="eastAsia"/>
                      <w:color w:val="auto"/>
                      <w:sz w:val="22"/>
                      <w:szCs w:val="22"/>
                      <w:lang w:val="en-US" w:eastAsia="zh-CN"/>
                    </w:rPr>
                    <w:t>59.3</w:t>
                  </w:r>
                </w:p>
              </w:tc>
              <w:tc>
                <w:tcPr>
                  <w:tcW w:w="468" w:type="pct"/>
                  <w:tcBorders>
                    <w:tl2br w:val="nil"/>
                    <w:tr2bl w:val="nil"/>
                  </w:tcBorders>
                  <w:vAlign w:val="center"/>
                </w:tcPr>
                <w:p w14:paraId="715520C2">
                  <w:pPr>
                    <w:pStyle w:val="59"/>
                    <w:bidi w:val="0"/>
                    <w:rPr>
                      <w:rFonts w:hint="default"/>
                      <w:color w:val="auto"/>
                      <w:sz w:val="22"/>
                      <w:szCs w:val="22"/>
                      <w:lang w:val="en-US" w:eastAsia="zh-CN"/>
                    </w:rPr>
                  </w:pPr>
                  <w:r>
                    <w:rPr>
                      <w:rFonts w:hint="eastAsia"/>
                      <w:color w:val="auto"/>
                      <w:sz w:val="22"/>
                      <w:szCs w:val="22"/>
                      <w:lang w:val="en-US" w:eastAsia="zh-CN"/>
                    </w:rPr>
                    <w:t>55.0</w:t>
                  </w:r>
                </w:p>
              </w:tc>
            </w:tr>
          </w:tbl>
          <w:p w14:paraId="22CDB4FC">
            <w:pPr>
              <w:pStyle w:val="6"/>
              <w:rPr>
                <w:rFonts w:hint="eastAsia"/>
                <w:color w:val="auto"/>
              </w:rPr>
            </w:pPr>
            <w:r>
              <w:rPr>
                <w:rFonts w:hint="eastAsia"/>
                <w:color w:val="auto"/>
                <w:lang w:val="en-US" w:eastAsia="zh-CN"/>
              </w:rPr>
              <w:t>多台施工机械同时作业时，与场界距离昼间小于59m、夜间小于329m时，施工机械噪声在场界处容易超过《建筑施工场界环境噪声排放标准》（GB 12523-2011）标准限值。</w:t>
            </w:r>
          </w:p>
          <w:p w14:paraId="7D5C13A0">
            <w:pPr>
              <w:pStyle w:val="6"/>
              <w:rPr>
                <w:rFonts w:hint="eastAsia" w:eastAsia="宋体"/>
                <w:color w:val="auto"/>
                <w:lang w:val="en-US" w:eastAsia="zh-CN"/>
              </w:rPr>
            </w:pPr>
            <w:r>
              <w:rPr>
                <w:rFonts w:hint="eastAsia"/>
                <w:color w:val="auto"/>
                <w:lang w:val="en-US" w:eastAsia="zh-CN"/>
              </w:rPr>
              <w:t>②环境保护目标处施工机械</w:t>
            </w:r>
            <w:r>
              <w:rPr>
                <w:rFonts w:hint="eastAsia"/>
                <w:color w:val="auto"/>
              </w:rPr>
              <w:t>噪声预测</w:t>
            </w:r>
            <w:r>
              <w:rPr>
                <w:rFonts w:hint="eastAsia"/>
                <w:color w:val="auto"/>
                <w:lang w:val="en-US" w:eastAsia="zh-CN"/>
              </w:rPr>
              <w:t>分析</w:t>
            </w:r>
          </w:p>
          <w:p w14:paraId="50B634A9">
            <w:pPr>
              <w:pStyle w:val="6"/>
              <w:rPr>
                <w:rFonts w:hint="eastAsia"/>
                <w:color w:val="0070C0"/>
              </w:rPr>
            </w:pPr>
            <w:r>
              <w:rPr>
                <w:rFonts w:hint="eastAsia"/>
                <w:color w:val="auto"/>
                <w:highlight w:val="none"/>
                <w:lang w:val="en-US" w:eastAsia="zh-CN"/>
              </w:rPr>
              <w:t>经现场调查，本项目周边环境保护目标有10处，其中2#新家子、3#龙王谭、4#石岭子、5#君田坝，与天生河段治理工程、施工临时设施距离约20~80m，</w:t>
            </w:r>
            <w:r>
              <w:rPr>
                <w:rFonts w:hint="eastAsia"/>
                <w:color w:val="auto"/>
                <w:highlight w:val="none"/>
              </w:rPr>
              <w:t>昼</w:t>
            </w:r>
            <w:r>
              <w:rPr>
                <w:rFonts w:hint="eastAsia"/>
                <w:color w:val="auto"/>
              </w:rPr>
              <w:t>夜间施工均会</w:t>
            </w:r>
            <w:r>
              <w:rPr>
                <w:rFonts w:hint="eastAsia"/>
                <w:color w:val="auto"/>
                <w:lang w:val="en-US" w:eastAsia="zh-CN"/>
              </w:rPr>
              <w:t>对环境保护目标</w:t>
            </w:r>
            <w:r>
              <w:rPr>
                <w:rFonts w:hint="eastAsia"/>
                <w:color w:val="auto"/>
              </w:rPr>
              <w:t>产生一定的干扰</w:t>
            </w:r>
            <w:r>
              <w:rPr>
                <w:rFonts w:hint="eastAsia"/>
                <w:color w:val="auto"/>
                <w:lang w:eastAsia="zh-CN"/>
              </w:rPr>
              <w:t>，</w:t>
            </w:r>
            <w:r>
              <w:rPr>
                <w:rFonts w:hint="eastAsia"/>
                <w:color w:val="auto"/>
                <w:lang w:val="en-US" w:eastAsia="zh-CN"/>
              </w:rPr>
              <w:t>特别是</w:t>
            </w:r>
            <w:r>
              <w:rPr>
                <w:rFonts w:hint="eastAsia"/>
                <w:color w:val="auto"/>
              </w:rPr>
              <w:t>夜间施工产生影响较大。项目施工噪声属于短期污染行为，环评要求施工过程中：①合理安排施工时间，尽量避免夜间施工；②大型机械应尽量远离</w:t>
            </w:r>
            <w:r>
              <w:rPr>
                <w:rFonts w:hint="eastAsia"/>
                <w:color w:val="auto"/>
                <w:lang w:val="en-US" w:eastAsia="zh-CN"/>
              </w:rPr>
              <w:t>环境保护目标</w:t>
            </w:r>
            <w:r>
              <w:rPr>
                <w:rFonts w:hint="eastAsia"/>
                <w:color w:val="auto"/>
              </w:rPr>
              <w:t>，在居民住宅附近施工时，应设置围挡，并加快施工进度，尽量减少对</w:t>
            </w:r>
            <w:r>
              <w:rPr>
                <w:rFonts w:hint="eastAsia"/>
                <w:color w:val="auto"/>
                <w:lang w:val="en-US" w:eastAsia="zh-CN"/>
              </w:rPr>
              <w:t>环境保护目标</w:t>
            </w:r>
            <w:r>
              <w:rPr>
                <w:rFonts w:hint="eastAsia"/>
                <w:color w:val="auto"/>
              </w:rPr>
              <w:t>的影响时间；③选用低噪设备，加强施工机械维修、保养，确保其处于最佳工作状态；④高噪声施工场所尽量布置在远离环境敏感点的区域，空压机等高噪声设备布置在房间内进行隔声降噪；</w:t>
            </w:r>
            <w:r>
              <w:rPr>
                <w:rFonts w:hint="eastAsia"/>
                <w:color w:val="auto"/>
                <w:lang w:val="en-US" w:eastAsia="zh-CN"/>
              </w:rPr>
              <w:t>⑤物料运输安排在白天，运输过程经过居民住宅时采取缓速、禁鸣等措施，并在场区进、出口应安排专人负责车辆组织和指挥，合理疏导防止引起交通阻塞和交通噪声影响；⑥</w:t>
            </w:r>
            <w:r>
              <w:rPr>
                <w:rFonts w:hint="eastAsia"/>
                <w:color w:val="auto"/>
              </w:rPr>
              <w:t>施工前加强与附近居民的沟通，争取他们的理解和支持。</w:t>
            </w:r>
          </w:p>
          <w:p w14:paraId="445F6321">
            <w:pPr>
              <w:pStyle w:val="6"/>
              <w:rPr>
                <w:rFonts w:hint="eastAsia"/>
                <w:color w:val="auto"/>
              </w:rPr>
            </w:pPr>
            <w:r>
              <w:rPr>
                <w:rFonts w:hint="eastAsia"/>
                <w:color w:val="auto"/>
              </w:rPr>
              <w:t>通过采取以上噪声防治措施，可最大限度地减少施工噪声对周围环境的影响。</w:t>
            </w:r>
          </w:p>
          <w:p w14:paraId="379E95D4">
            <w:pPr>
              <w:pStyle w:val="4"/>
              <w:numPr>
                <w:ilvl w:val="2"/>
                <w:numId w:val="7"/>
              </w:numPr>
            </w:pPr>
            <w:bookmarkStart w:id="74" w:name="_Toc193096275"/>
            <w:bookmarkStart w:id="75" w:name="_Toc5757"/>
            <w:r>
              <w:rPr>
                <w:rFonts w:hint="eastAsia"/>
              </w:rPr>
              <w:t>施工期固体废物影响分析</w:t>
            </w:r>
            <w:bookmarkEnd w:id="74"/>
            <w:bookmarkEnd w:id="75"/>
          </w:p>
          <w:p w14:paraId="222370B5">
            <w:pPr>
              <w:pStyle w:val="6"/>
              <w:rPr>
                <w:rFonts w:hint="eastAsia"/>
              </w:rPr>
            </w:pPr>
            <w:r>
              <w:rPr>
                <w:rFonts w:hint="eastAsia"/>
                <w:lang w:val="en-US" w:eastAsia="zh-CN"/>
              </w:rPr>
              <w:t>本项目施工场地内不设置机修设施，施工机械的维修保养均依托宣汉县、天生镇现有机修厂，项目区不产生废油等机械废物。</w:t>
            </w:r>
            <w:r>
              <w:rPr>
                <w:rFonts w:hint="eastAsia"/>
              </w:rPr>
              <w:t>施工产生的固体废物主要为建筑垃圾、</w:t>
            </w:r>
            <w:r>
              <w:rPr>
                <w:rFonts w:hint="eastAsia"/>
                <w:lang w:val="en-US" w:eastAsia="zh-CN"/>
              </w:rPr>
              <w:t>工程土石方</w:t>
            </w:r>
            <w:r>
              <w:rPr>
                <w:rFonts w:hint="eastAsia"/>
                <w:lang w:eastAsia="zh-CN"/>
              </w:rPr>
              <w:t>、</w:t>
            </w:r>
            <w:r>
              <w:rPr>
                <w:rFonts w:hint="eastAsia"/>
                <w:lang w:val="en-US" w:eastAsia="zh-CN"/>
              </w:rPr>
              <w:t>疏浚砂卵石、</w:t>
            </w:r>
            <w:r>
              <w:rPr>
                <w:rFonts w:hint="eastAsia"/>
              </w:rPr>
              <w:t>施工人员生活垃圾。</w:t>
            </w:r>
          </w:p>
          <w:p w14:paraId="22A55672">
            <w:pPr>
              <w:pStyle w:val="6"/>
              <w:rPr>
                <w:rFonts w:hint="eastAsia" w:eastAsia="宋体"/>
                <w:lang w:eastAsia="zh-CN"/>
              </w:rPr>
            </w:pPr>
            <w:r>
              <w:rPr>
                <w:rFonts w:hint="eastAsia"/>
                <w:lang w:eastAsia="zh-CN"/>
              </w:rPr>
              <w:t>（</w:t>
            </w:r>
            <w:r>
              <w:rPr>
                <w:rFonts w:hint="eastAsia"/>
                <w:lang w:val="en-US" w:eastAsia="zh-CN"/>
              </w:rPr>
              <w:t>1</w:t>
            </w:r>
            <w:r>
              <w:rPr>
                <w:rFonts w:hint="eastAsia"/>
                <w:lang w:eastAsia="zh-CN"/>
              </w:rPr>
              <w:t>）建筑垃圾</w:t>
            </w:r>
          </w:p>
          <w:p w14:paraId="1653AF77">
            <w:pPr>
              <w:pStyle w:val="6"/>
              <w:rPr>
                <w:rFonts w:hint="eastAsia"/>
              </w:rPr>
            </w:pPr>
            <w:r>
              <w:rPr>
                <w:rFonts w:hint="eastAsia"/>
                <w:lang w:val="en-US" w:eastAsia="zh-CN"/>
              </w:rPr>
              <w:t>本项目</w:t>
            </w:r>
            <w:r>
              <w:rPr>
                <w:rFonts w:hint="eastAsia"/>
              </w:rPr>
              <w:t>建筑垃圾主要由废混凝土、</w:t>
            </w:r>
            <w:r>
              <w:rPr>
                <w:rFonts w:hint="eastAsia"/>
                <w:lang w:val="en-US" w:eastAsia="zh-CN"/>
              </w:rPr>
              <w:t>废钢材</w:t>
            </w:r>
            <w:r>
              <w:rPr>
                <w:rFonts w:hint="eastAsia"/>
              </w:rPr>
              <w:t>等，主要来源于施工区建筑物建设过程中产生的废弃建筑材料，临时建筑物在施工结束后拆除过程产生的废弃物等</w:t>
            </w:r>
            <w:r>
              <w:rPr>
                <w:rFonts w:hint="eastAsia"/>
                <w:lang w:eastAsia="zh-CN"/>
              </w:rPr>
              <w:t>，</w:t>
            </w:r>
            <w:r>
              <w:rPr>
                <w:rFonts w:hint="eastAsia"/>
                <w:color w:val="auto"/>
                <w:lang w:val="en-US" w:eastAsia="zh-CN"/>
              </w:rPr>
              <w:t>施工建筑废物需集中收集，进行回收利用，无法回收利用的按相关管理部门要求运至指定地点规范化处置</w:t>
            </w:r>
            <w:r>
              <w:rPr>
                <w:rFonts w:hint="eastAsia"/>
              </w:rPr>
              <w:t>。</w:t>
            </w:r>
          </w:p>
          <w:p w14:paraId="30311580">
            <w:pPr>
              <w:pStyle w:val="6"/>
              <w:rPr>
                <w:rFonts w:hint="eastAsia"/>
                <w:lang w:val="en-US" w:eastAsia="zh-CN"/>
              </w:rPr>
            </w:pPr>
            <w:r>
              <w:rPr>
                <w:rFonts w:hint="eastAsia"/>
              </w:rPr>
              <w:t>（</w:t>
            </w:r>
            <w:r>
              <w:rPr>
                <w:rFonts w:hint="eastAsia"/>
                <w:lang w:val="en-US" w:eastAsia="zh-CN"/>
              </w:rPr>
              <w:t>2</w:t>
            </w:r>
            <w:r>
              <w:rPr>
                <w:rFonts w:hint="eastAsia"/>
              </w:rPr>
              <w:t>）</w:t>
            </w:r>
            <w:r>
              <w:rPr>
                <w:rFonts w:hint="eastAsia"/>
                <w:lang w:val="en-US" w:eastAsia="zh-CN"/>
              </w:rPr>
              <w:t>工程土石方</w:t>
            </w:r>
          </w:p>
          <w:p w14:paraId="09C5515D">
            <w:pPr>
              <w:pStyle w:val="6"/>
              <w:rPr>
                <w:rFonts w:hint="eastAsia"/>
              </w:rPr>
            </w:pPr>
            <w:r>
              <w:rPr>
                <w:rFonts w:hint="eastAsia"/>
                <w:lang w:val="en-US" w:eastAsia="zh-CN"/>
              </w:rPr>
              <w:t>项目土石方开挖，剥离的表土暂时堆存在临时堆料场，施工结束后用于生态护坡覆土，土石方（含疏浚）全部用于围堰填筑和堤身填筑，合理利用了开挖的土石方，无多余弃方。土石方堆置期间采用拦挡和截排、苫盖措施，防止水土流失。</w:t>
            </w:r>
          </w:p>
          <w:p w14:paraId="4CE3F693">
            <w:pPr>
              <w:pStyle w:val="6"/>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疏浚砂卵石</w:t>
            </w:r>
          </w:p>
          <w:p w14:paraId="34FEC018">
            <w:pPr>
              <w:pStyle w:val="6"/>
              <w:rPr>
                <w:rFonts w:hint="eastAsia"/>
                <w:lang w:eastAsia="zh-CN"/>
              </w:rPr>
            </w:pPr>
            <w:r>
              <w:rPr>
                <w:rFonts w:hint="eastAsia"/>
                <w:lang w:eastAsia="zh-CN"/>
              </w:rPr>
              <w:t>疏浚料大部分为卵砾石，局部河段为粉砂，疏浚料就近河道晒干后用于堤身填筑、围堰填筑，禁止外售。</w:t>
            </w:r>
          </w:p>
          <w:p w14:paraId="10EB38B2">
            <w:pPr>
              <w:pStyle w:val="6"/>
              <w:rPr>
                <w:rFonts w:hint="eastAsia"/>
              </w:rPr>
            </w:pPr>
            <w:r>
              <w:rPr>
                <w:rFonts w:hint="eastAsia"/>
                <w:lang w:eastAsia="zh-CN"/>
              </w:rPr>
              <w:t>（</w:t>
            </w:r>
            <w:r>
              <w:rPr>
                <w:rFonts w:hint="eastAsia"/>
                <w:lang w:val="en-US" w:eastAsia="zh-CN"/>
              </w:rPr>
              <w:t>4</w:t>
            </w:r>
            <w:r>
              <w:rPr>
                <w:rFonts w:hint="eastAsia"/>
                <w:lang w:eastAsia="zh-CN"/>
              </w:rPr>
              <w:t>）</w:t>
            </w:r>
            <w:r>
              <w:rPr>
                <w:rFonts w:hint="eastAsia"/>
              </w:rPr>
              <w:t>生活垃圾</w:t>
            </w:r>
          </w:p>
          <w:p w14:paraId="2449F111">
            <w:pPr>
              <w:pStyle w:val="6"/>
              <w:rPr>
                <w:rFonts w:hint="eastAsia"/>
              </w:rPr>
            </w:pPr>
            <w:r>
              <w:rPr>
                <w:rFonts w:hint="eastAsia"/>
              </w:rPr>
              <w:t>本项目最大施工人数约</w:t>
            </w:r>
            <w:r>
              <w:rPr>
                <w:rFonts w:hint="eastAsia"/>
                <w:lang w:val="en-US" w:eastAsia="zh-CN"/>
              </w:rPr>
              <w:t>50</w:t>
            </w:r>
            <w:r>
              <w:rPr>
                <w:rFonts w:hint="eastAsia"/>
              </w:rPr>
              <w:t>人，生活垃圾产生量按0.5kg/人计，产生量为</w:t>
            </w:r>
            <w:r>
              <w:rPr>
                <w:rFonts w:hint="eastAsia"/>
                <w:lang w:val="en-US" w:eastAsia="zh-CN"/>
              </w:rPr>
              <w:t>25</w:t>
            </w:r>
            <w:r>
              <w:rPr>
                <w:rFonts w:hint="eastAsia"/>
              </w:rPr>
              <w:t>kg/d</w:t>
            </w:r>
            <w:r>
              <w:rPr>
                <w:rFonts w:hint="eastAsia"/>
                <w:lang w:eastAsia="zh-CN"/>
              </w:rPr>
              <w:t>。</w:t>
            </w:r>
            <w:r>
              <w:rPr>
                <w:rFonts w:hint="eastAsia"/>
                <w:lang w:val="en-US" w:eastAsia="zh-CN"/>
              </w:rPr>
              <w:t>施工场地内</w:t>
            </w:r>
            <w:r>
              <w:rPr>
                <w:rFonts w:hint="eastAsia"/>
                <w:lang w:eastAsia="zh-CN"/>
              </w:rPr>
              <w:t>设置生活垃圾收集桶对施工人员产生的生活垃圾进行收集，定期</w:t>
            </w:r>
            <w:r>
              <w:rPr>
                <w:rFonts w:hint="eastAsia"/>
                <w:lang w:val="en-US" w:eastAsia="zh-CN"/>
              </w:rPr>
              <w:t>由当地环卫部门进行收运</w:t>
            </w:r>
            <w:r>
              <w:rPr>
                <w:rFonts w:hint="eastAsia"/>
              </w:rPr>
              <w:t>处置。</w:t>
            </w:r>
          </w:p>
          <w:p w14:paraId="7ED52389">
            <w:pPr>
              <w:pStyle w:val="6"/>
              <w:rPr>
                <w:rFonts w:hint="eastAsia"/>
                <w:sz w:val="24"/>
                <w:lang w:eastAsia="zh-CN"/>
              </w:rPr>
            </w:pPr>
            <w:r>
              <w:rPr>
                <w:rFonts w:hint="eastAsia"/>
                <w:sz w:val="24"/>
              </w:rPr>
              <w:t>综上</w:t>
            </w:r>
            <w:r>
              <w:rPr>
                <w:rFonts w:hint="eastAsia"/>
                <w:sz w:val="24"/>
                <w:lang w:val="en-US" w:eastAsia="zh-CN"/>
              </w:rPr>
              <w:t>分析</w:t>
            </w:r>
            <w:r>
              <w:rPr>
                <w:rFonts w:hint="eastAsia"/>
                <w:sz w:val="24"/>
              </w:rPr>
              <w:t>，</w:t>
            </w:r>
            <w:r>
              <w:rPr>
                <w:rFonts w:hint="eastAsia"/>
                <w:sz w:val="24"/>
                <w:lang w:eastAsia="zh-CN"/>
              </w:rPr>
              <w:t>采取以上措施后，施工期固体废物对外环境影响小。</w:t>
            </w:r>
          </w:p>
          <w:p w14:paraId="697CEEB6">
            <w:pPr>
              <w:pStyle w:val="6"/>
              <w:ind w:firstLine="0" w:firstLineChars="0"/>
              <w:rPr>
                <w:rFonts w:hint="default"/>
                <w:sz w:val="24"/>
                <w:lang w:val="en-US" w:eastAsia="zh-CN"/>
              </w:rPr>
            </w:pPr>
          </w:p>
        </w:tc>
      </w:tr>
      <w:tr w14:paraId="0C84CE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trPr>
        <w:tc>
          <w:tcPr>
            <w:tcW w:w="702" w:type="dxa"/>
            <w:vAlign w:val="center"/>
          </w:tcPr>
          <w:p w14:paraId="2B0D878F">
            <w:bookmarkStart w:id="76" w:name="_Hlk192683334"/>
            <w:r>
              <w:rPr>
                <w:rFonts w:hint="eastAsia"/>
              </w:rPr>
              <w:t>运营期生态环境影响分析</w:t>
            </w:r>
          </w:p>
        </w:tc>
        <w:tc>
          <w:tcPr>
            <w:tcW w:w="8926" w:type="dxa"/>
            <w:vAlign w:val="center"/>
          </w:tcPr>
          <w:p w14:paraId="0FF0FD7F">
            <w:pPr>
              <w:pStyle w:val="3"/>
              <w:numPr>
                <w:ilvl w:val="1"/>
                <w:numId w:val="7"/>
              </w:numPr>
            </w:pPr>
            <w:bookmarkStart w:id="77" w:name="_Toc193096276"/>
            <w:bookmarkStart w:id="78" w:name="_Toc32037"/>
            <w:r>
              <w:rPr>
                <w:rFonts w:hint="eastAsia"/>
              </w:rPr>
              <w:t>运营期生态环境影响分析</w:t>
            </w:r>
            <w:bookmarkEnd w:id="77"/>
            <w:bookmarkEnd w:id="78"/>
          </w:p>
          <w:p w14:paraId="12070591">
            <w:pPr>
              <w:pStyle w:val="6"/>
              <w:bidi w:val="0"/>
              <w:rPr>
                <w:rFonts w:hint="default"/>
                <w:lang w:val="en-US" w:eastAsia="zh-CN"/>
              </w:rPr>
            </w:pPr>
            <w:r>
              <w:rPr>
                <w:rFonts w:hint="eastAsia"/>
                <w:lang w:val="en-US" w:eastAsia="zh-CN"/>
              </w:rPr>
              <w:t>本项目为河道防洪治理工程，是以防洪为主，兼有防止水土流失和美化环境等综合效益，项目运营期无废水、废气、噪声、固废等污染物产生，不会对区域环境质量产生影响。</w:t>
            </w:r>
          </w:p>
          <w:p w14:paraId="5E4C1729">
            <w:pPr>
              <w:pStyle w:val="4"/>
              <w:bidi w:val="0"/>
              <w:rPr>
                <w:rFonts w:hint="default"/>
                <w:lang w:val="en-US" w:eastAsia="zh-CN"/>
              </w:rPr>
            </w:pPr>
            <w:bookmarkStart w:id="79" w:name="_Toc1478"/>
            <w:r>
              <w:rPr>
                <w:rFonts w:hint="eastAsia"/>
                <w:lang w:val="en-US" w:eastAsia="zh-CN"/>
              </w:rPr>
              <w:t>运营期生态环境影响分析</w:t>
            </w:r>
            <w:bookmarkEnd w:id="79"/>
          </w:p>
          <w:p w14:paraId="76260F05">
            <w:pPr>
              <w:pStyle w:val="6"/>
              <w:bidi w:val="0"/>
              <w:rPr>
                <w:rFonts w:hint="eastAsia"/>
                <w:lang w:eastAsia="zh-CN"/>
              </w:rPr>
            </w:pPr>
            <w:r>
              <w:rPr>
                <w:rFonts w:hint="eastAsia"/>
                <w:lang w:eastAsia="zh-CN"/>
              </w:rPr>
              <w:t>本项目</w:t>
            </w:r>
            <w:r>
              <w:rPr>
                <w:rFonts w:hint="eastAsia"/>
                <w:lang w:val="en-US" w:eastAsia="zh-CN"/>
              </w:rPr>
              <w:t>建成后</w:t>
            </w:r>
            <w:r>
              <w:rPr>
                <w:rFonts w:hint="eastAsia"/>
                <w:lang w:eastAsia="zh-CN"/>
              </w:rPr>
              <w:t>，河道</w:t>
            </w:r>
            <w:r>
              <w:rPr>
                <w:rFonts w:hint="eastAsia"/>
                <w:lang w:val="en-US" w:eastAsia="zh-CN"/>
              </w:rPr>
              <w:t>疏浚完成</w:t>
            </w:r>
            <w:r>
              <w:rPr>
                <w:rFonts w:hint="eastAsia"/>
                <w:lang w:eastAsia="zh-CN"/>
              </w:rPr>
              <w:t>，提高河道行洪能力；河道两岸生态会得到极大提升，形成浅滩、深滩等河流生态系统，多种生物共同生存和繁衍，与建设前的河道水质和景观形成鲜明对比。</w:t>
            </w:r>
          </w:p>
          <w:p w14:paraId="34921FF0">
            <w:pPr>
              <w:pStyle w:val="6"/>
              <w:bidi w:val="0"/>
              <w:rPr>
                <w:rFonts w:hint="eastAsia"/>
                <w:lang w:eastAsia="zh-CN"/>
              </w:rPr>
            </w:pPr>
            <w:r>
              <w:rPr>
                <w:rFonts w:hint="eastAsia"/>
                <w:lang w:eastAsia="zh-CN"/>
              </w:rPr>
              <w:t>本项目建设提高了抗御洪水的能力，使防洪能力达到10年一遇，工程运行对沿线生态环境、景观产生有利影响。</w:t>
            </w:r>
          </w:p>
          <w:p w14:paraId="2E7E6177">
            <w:pPr>
              <w:pStyle w:val="6"/>
              <w:bidi w:val="0"/>
              <w:rPr>
                <w:rFonts w:hint="eastAsia"/>
                <w:lang w:eastAsia="zh-CN"/>
              </w:rPr>
            </w:pPr>
            <w:r>
              <w:rPr>
                <w:rFonts w:hint="eastAsia"/>
                <w:lang w:eastAsia="zh-CN"/>
              </w:rPr>
              <w:t>（</w:t>
            </w:r>
            <w:r>
              <w:rPr>
                <w:rFonts w:hint="eastAsia"/>
                <w:lang w:val="en-US" w:eastAsia="zh-CN"/>
              </w:rPr>
              <w:t>1</w:t>
            </w:r>
            <w:r>
              <w:rPr>
                <w:rFonts w:hint="eastAsia"/>
                <w:lang w:eastAsia="zh-CN"/>
              </w:rPr>
              <w:t>）陆生生态环境影响分析</w:t>
            </w:r>
          </w:p>
          <w:p w14:paraId="2BFD8707">
            <w:pPr>
              <w:pStyle w:val="6"/>
              <w:bidi w:val="0"/>
              <w:rPr>
                <w:rFonts w:hint="default"/>
                <w:lang w:val="en-US" w:eastAsia="zh-CN"/>
              </w:rPr>
            </w:pPr>
            <w:r>
              <w:rPr>
                <w:rFonts w:hint="eastAsia"/>
                <w:lang w:eastAsia="zh-CN"/>
              </w:rPr>
              <w:t>本项目为</w:t>
            </w:r>
            <w:r>
              <w:rPr>
                <w:rFonts w:hint="eastAsia"/>
                <w:lang w:val="en-US" w:eastAsia="zh-CN"/>
              </w:rPr>
              <w:t>河道防洪治理工程</w:t>
            </w:r>
            <w:r>
              <w:rPr>
                <w:rFonts w:hint="eastAsia"/>
                <w:lang w:eastAsia="zh-CN"/>
              </w:rPr>
              <w:t>，具有防洪减灾功能，项目的实施可减少洪涝灾害的发生的频率，减少植被类型</w:t>
            </w:r>
            <w:bookmarkStart w:id="128" w:name="_GoBack"/>
            <w:bookmarkEnd w:id="128"/>
            <w:r>
              <w:rPr>
                <w:rFonts w:hint="eastAsia"/>
                <w:lang w:eastAsia="zh-CN"/>
              </w:rPr>
              <w:t>因自然灾害而被破坏，增加陆生植被的存活率和生长率、覆盖率，有效降低水土流失和土壤侵蚀，提高自然植被的稳定性和抗灾能力。</w:t>
            </w:r>
            <w:r>
              <w:rPr>
                <w:rFonts w:hint="eastAsia"/>
                <w:lang w:val="en-US" w:eastAsia="zh-CN"/>
              </w:rPr>
              <w:t>且对临时占地的生态恢复，植被将得到恢复。</w:t>
            </w:r>
          </w:p>
          <w:p w14:paraId="5B641268">
            <w:pPr>
              <w:pStyle w:val="6"/>
              <w:bidi w:val="0"/>
              <w:rPr>
                <w:rFonts w:hint="eastAsia"/>
                <w:lang w:eastAsia="zh-CN"/>
              </w:rPr>
            </w:pPr>
            <w:r>
              <w:rPr>
                <w:rFonts w:hint="eastAsia"/>
                <w:lang w:val="en-US" w:eastAsia="zh-CN"/>
              </w:rPr>
              <w:t>项目周边野生动物以常见小型啮齿类、农田鸟类等为主，分布范围较广、活动范围较大，繁殖能力、迁移能力较强，随着项目建设完成及临时占地的生态恢复，评价区动物生境将逐步恢复，区域动物</w:t>
            </w:r>
            <w:r>
              <w:rPr>
                <w:rFonts w:hint="eastAsia"/>
                <w:lang w:eastAsia="zh-CN"/>
              </w:rPr>
              <w:t>种群数量</w:t>
            </w:r>
            <w:r>
              <w:rPr>
                <w:rFonts w:hint="eastAsia"/>
                <w:lang w:val="en-US" w:eastAsia="zh-CN"/>
              </w:rPr>
              <w:t>也</w:t>
            </w:r>
            <w:r>
              <w:rPr>
                <w:rFonts w:hint="eastAsia"/>
                <w:lang w:eastAsia="zh-CN"/>
              </w:rPr>
              <w:t>将逐步恢复。</w:t>
            </w:r>
          </w:p>
          <w:p w14:paraId="76D7B1B2">
            <w:pPr>
              <w:pStyle w:val="6"/>
              <w:bidi w:val="0"/>
              <w:rPr>
                <w:rFonts w:hint="eastAsia"/>
                <w:lang w:eastAsia="zh-CN"/>
              </w:rPr>
            </w:pPr>
            <w:r>
              <w:rPr>
                <w:rFonts w:hint="eastAsia"/>
                <w:lang w:eastAsia="zh-CN"/>
              </w:rPr>
              <w:t>（</w:t>
            </w:r>
            <w:r>
              <w:rPr>
                <w:rFonts w:hint="eastAsia"/>
                <w:lang w:val="en-US" w:eastAsia="zh-CN"/>
              </w:rPr>
              <w:t>2</w:t>
            </w:r>
            <w:r>
              <w:rPr>
                <w:rFonts w:hint="eastAsia"/>
                <w:lang w:eastAsia="zh-CN"/>
              </w:rPr>
              <w:t>）水生生态影响分析</w:t>
            </w:r>
          </w:p>
          <w:p w14:paraId="33BD1433">
            <w:pPr>
              <w:pStyle w:val="6"/>
              <w:bidi w:val="0"/>
              <w:rPr>
                <w:rFonts w:hint="eastAsia"/>
                <w:lang w:eastAsia="zh-CN"/>
              </w:rPr>
            </w:pPr>
            <w:r>
              <w:rPr>
                <w:rFonts w:hint="eastAsia"/>
                <w:lang w:val="en-US" w:eastAsia="zh-CN"/>
              </w:rPr>
              <w:t>本项目</w:t>
            </w:r>
            <w:r>
              <w:rPr>
                <w:rFonts w:hint="eastAsia"/>
                <w:lang w:eastAsia="zh-CN"/>
              </w:rPr>
              <w:t>通过</w:t>
            </w:r>
            <w:r>
              <w:rPr>
                <w:rFonts w:hint="eastAsia"/>
                <w:lang w:val="en-US" w:eastAsia="zh-CN"/>
              </w:rPr>
              <w:t>河道疏浚</w:t>
            </w:r>
            <w:r>
              <w:rPr>
                <w:rFonts w:hint="eastAsia"/>
                <w:lang w:eastAsia="zh-CN"/>
              </w:rPr>
              <w:t>，水中各种污染物的含量大幅降低，水流速度将会加快，水中溶解氧含量提高，河水水质得到改善，有利于各种水生生物的生存和繁殖。项目</w:t>
            </w:r>
            <w:r>
              <w:rPr>
                <w:rFonts w:hint="eastAsia"/>
                <w:lang w:val="en-US" w:eastAsia="zh-CN"/>
              </w:rPr>
              <w:t>河道清淤</w:t>
            </w:r>
            <w:r>
              <w:rPr>
                <w:rFonts w:hint="eastAsia"/>
                <w:lang w:eastAsia="zh-CN"/>
              </w:rPr>
              <w:t>完毕后水中污染物浓度降低，含氧量增加，则有利于各种水生生物的生长。水质变清，透光深度变大，将有利于光合浮游生物的生长，从而带动整个生态系统的生产力的提高。而各种浮游生物的增加，将使以这些生物为食物的水生动物得到更充足的食物供应。因而，</w:t>
            </w:r>
            <w:r>
              <w:rPr>
                <w:rFonts w:hint="eastAsia"/>
                <w:lang w:val="en-US" w:eastAsia="zh-CN"/>
              </w:rPr>
              <w:t>项目</w:t>
            </w:r>
            <w:r>
              <w:rPr>
                <w:rFonts w:hint="eastAsia"/>
                <w:lang w:eastAsia="zh-CN"/>
              </w:rPr>
              <w:t>完成后河段内水生群落的生物量和净生产量将会有较大提高。</w:t>
            </w:r>
          </w:p>
          <w:p w14:paraId="1E4FCBC5">
            <w:pPr>
              <w:pStyle w:val="6"/>
              <w:bidi w:val="0"/>
              <w:rPr>
                <w:rFonts w:hint="eastAsia"/>
                <w:lang w:eastAsia="zh-CN"/>
              </w:rPr>
            </w:pPr>
            <w:r>
              <w:rPr>
                <w:rFonts w:hint="eastAsia"/>
                <w:lang w:eastAsia="zh-CN"/>
              </w:rPr>
              <w:t>随着水质变好，各种生物的生境都将改善，一些不适宜在原来环境生活的浮游生物可以在河道中生长繁殖，底泥质量的改善也使一些耐污能力较低的底栖生物等得以繁殖。各种生物的迁入，使河道的物种多样性得以增加。</w:t>
            </w:r>
          </w:p>
          <w:p w14:paraId="4BB7FC46">
            <w:pPr>
              <w:pStyle w:val="6"/>
              <w:bidi w:val="0"/>
              <w:rPr>
                <w:rFonts w:hint="eastAsia"/>
                <w:lang w:eastAsia="zh-CN"/>
              </w:rPr>
            </w:pPr>
            <w:r>
              <w:rPr>
                <w:rFonts w:hint="eastAsia"/>
                <w:lang w:eastAsia="zh-CN"/>
              </w:rPr>
              <w:t>随着生物多样性的提高，河道内水生生态系统的物种结构将更完善，食物链的断链环节重新恢复，食物网复杂化。而生境异质性的恢复也使生态系统的水平和垂直结构更完整。从而使整个水生生态系统发育更成熟，有利</w:t>
            </w:r>
            <w:r>
              <w:rPr>
                <w:rFonts w:hint="eastAsia"/>
                <w:lang w:val="en-US" w:eastAsia="zh-CN"/>
              </w:rPr>
              <w:t>于</w:t>
            </w:r>
            <w:r>
              <w:rPr>
                <w:rFonts w:hint="eastAsia"/>
                <w:lang w:eastAsia="zh-CN"/>
              </w:rPr>
              <w:t>阻止或减缓生态环境的恶化。</w:t>
            </w:r>
          </w:p>
          <w:p w14:paraId="36CB51C4">
            <w:pPr>
              <w:pStyle w:val="6"/>
              <w:bidi w:val="0"/>
              <w:rPr>
                <w:rFonts w:hint="eastAsia"/>
                <w:lang w:eastAsia="zh-CN"/>
              </w:rPr>
            </w:pPr>
            <w:r>
              <w:rPr>
                <w:rFonts w:hint="eastAsia"/>
                <w:lang w:eastAsia="zh-CN"/>
              </w:rPr>
              <w:t>本项目建设完成后，基本不对治理河道水流流速、水深、水温和水流泥沙含量等水环境条件产生影响，因此不会改变鱼类生境。</w:t>
            </w:r>
          </w:p>
          <w:p w14:paraId="3C23F397">
            <w:pPr>
              <w:pStyle w:val="4"/>
              <w:numPr>
                <w:ilvl w:val="2"/>
                <w:numId w:val="7"/>
              </w:numPr>
            </w:pPr>
            <w:bookmarkStart w:id="80" w:name="_Toc193096277"/>
            <w:bookmarkStart w:id="81" w:name="_Toc9322"/>
            <w:r>
              <w:rPr>
                <w:rFonts w:hint="eastAsia"/>
                <w:lang w:eastAsia="zh-CN"/>
              </w:rPr>
              <w:t>水文</w:t>
            </w:r>
            <w:bookmarkEnd w:id="80"/>
            <w:r>
              <w:rPr>
                <w:rFonts w:hint="eastAsia"/>
                <w:lang w:eastAsia="zh-CN"/>
              </w:rPr>
              <w:t>情势影响分析</w:t>
            </w:r>
            <w:bookmarkEnd w:id="81"/>
          </w:p>
          <w:p w14:paraId="2DEAEDC6">
            <w:pPr>
              <w:pStyle w:val="6"/>
              <w:rPr>
                <w:rFonts w:hint="eastAsia"/>
              </w:rPr>
            </w:pPr>
            <w:r>
              <w:rPr>
                <w:rFonts w:hint="eastAsia"/>
                <w:lang w:eastAsia="zh-CN"/>
              </w:rPr>
              <w:t>本</w:t>
            </w:r>
            <w:r>
              <w:rPr>
                <w:rFonts w:hint="eastAsia"/>
              </w:rPr>
              <w:t>项目运营期地表水环境影响主要为对水文情势的影响，包括河道断面变化、</w:t>
            </w:r>
            <w:r>
              <w:rPr>
                <w:rFonts w:hint="eastAsia"/>
                <w:lang w:val="en-US" w:eastAsia="zh-CN"/>
              </w:rPr>
              <w:t>行洪影响、泥沙情势影响以及</w:t>
            </w:r>
            <w:r>
              <w:rPr>
                <w:rFonts w:hint="eastAsia"/>
              </w:rPr>
              <w:t>流速、流向</w:t>
            </w:r>
            <w:r>
              <w:rPr>
                <w:rFonts w:hint="eastAsia"/>
                <w:lang w:eastAsia="zh-CN"/>
              </w:rPr>
              <w:t>、</w:t>
            </w:r>
            <w:r>
              <w:rPr>
                <w:rFonts w:hint="eastAsia"/>
                <w:lang w:val="en-US" w:eastAsia="zh-CN"/>
              </w:rPr>
              <w:t>水位、水温</w:t>
            </w:r>
            <w:r>
              <w:rPr>
                <w:rFonts w:hint="eastAsia"/>
              </w:rPr>
              <w:t>变化。</w:t>
            </w:r>
          </w:p>
          <w:p w14:paraId="4079ABF5">
            <w:pPr>
              <w:pStyle w:val="6"/>
              <w:rPr>
                <w:rFonts w:hint="eastAsia" w:eastAsia="宋体"/>
                <w:lang w:eastAsia="zh-CN"/>
              </w:rPr>
            </w:pPr>
            <w:r>
              <w:rPr>
                <w:rFonts w:hint="eastAsia"/>
              </w:rPr>
              <w:t>（1）</w:t>
            </w:r>
            <w:r>
              <w:rPr>
                <w:rFonts w:hint="eastAsia"/>
                <w:lang w:val="en-US" w:eastAsia="zh-CN"/>
              </w:rPr>
              <w:t>对</w:t>
            </w:r>
            <w:r>
              <w:rPr>
                <w:rFonts w:hint="eastAsia"/>
              </w:rPr>
              <w:t>河道断面</w:t>
            </w:r>
            <w:r>
              <w:rPr>
                <w:rFonts w:hint="eastAsia"/>
                <w:lang w:val="en-US" w:eastAsia="zh-CN"/>
              </w:rPr>
              <w:t>和行洪的影响</w:t>
            </w:r>
          </w:p>
          <w:p w14:paraId="68855D4E">
            <w:pPr>
              <w:pStyle w:val="6"/>
              <w:rPr>
                <w:rFonts w:hint="default"/>
                <w:lang w:val="en-US" w:eastAsia="zh-CN"/>
              </w:rPr>
            </w:pPr>
            <w:r>
              <w:rPr>
                <w:rFonts w:hint="eastAsia"/>
                <w:lang w:eastAsia="zh-CN"/>
              </w:rPr>
              <w:t>本</w:t>
            </w:r>
            <w:r>
              <w:rPr>
                <w:rFonts w:hint="eastAsia"/>
              </w:rPr>
              <w:t>项目</w:t>
            </w:r>
            <w:r>
              <w:rPr>
                <w:rFonts w:hint="eastAsia"/>
                <w:lang w:eastAsia="zh-CN"/>
              </w:rPr>
              <w:t>堤防</w:t>
            </w:r>
            <w:r>
              <w:rPr>
                <w:rFonts w:hint="eastAsia"/>
                <w:lang w:val="en-US" w:eastAsia="zh-CN"/>
              </w:rPr>
              <w:t>工程堤线布置基本沿现岸线布置，堤线未侵占行洪断面，大部分河段为天然河岸，堤防建成后维持了现状行洪河道的基本格局，河流总体走向也与原天然河流流向基本一致，对原河道宽度不会产生明显改变。</w:t>
            </w:r>
          </w:p>
          <w:p w14:paraId="1362A07B">
            <w:pPr>
              <w:pStyle w:val="6"/>
              <w:rPr>
                <w:rFonts w:hint="eastAsia"/>
              </w:rPr>
            </w:pPr>
            <w:r>
              <w:rPr>
                <w:rFonts w:hint="eastAsia"/>
                <w:lang w:val="en-US" w:eastAsia="zh-CN"/>
              </w:rPr>
              <w:t>项目</w:t>
            </w:r>
            <w:r>
              <w:rPr>
                <w:rFonts w:hint="eastAsia"/>
                <w:lang w:eastAsia="zh-CN"/>
              </w:rPr>
              <w:t>堤防</w:t>
            </w:r>
            <w:r>
              <w:rPr>
                <w:rFonts w:hint="eastAsia"/>
                <w:lang w:val="en-US" w:eastAsia="zh-CN"/>
              </w:rPr>
              <w:t>工程及河道疏浚工程的实施，</w:t>
            </w:r>
            <w:r>
              <w:rPr>
                <w:rFonts w:hint="eastAsia"/>
              </w:rPr>
              <w:t>对河道进行了清理，</w:t>
            </w:r>
            <w:r>
              <w:rPr>
                <w:rFonts w:hint="eastAsia"/>
                <w:lang w:val="en-US" w:eastAsia="zh-CN"/>
              </w:rPr>
              <w:t>使河水</w:t>
            </w:r>
            <w:r>
              <w:rPr>
                <w:rFonts w:hint="eastAsia"/>
                <w:lang w:eastAsia="zh-CN"/>
              </w:rPr>
              <w:t>壅塞</w:t>
            </w:r>
            <w:r>
              <w:rPr>
                <w:rFonts w:hint="eastAsia"/>
                <w:lang w:val="en-US" w:eastAsia="zh-CN"/>
              </w:rPr>
              <w:t>状况消失</w:t>
            </w:r>
            <w:r>
              <w:rPr>
                <w:rFonts w:hint="eastAsia"/>
                <w:lang w:eastAsia="zh-CN"/>
              </w:rPr>
              <w:t>，</w:t>
            </w:r>
            <w:r>
              <w:rPr>
                <w:rFonts w:hint="eastAsia"/>
              </w:rPr>
              <w:t>增加</w:t>
            </w:r>
            <w:r>
              <w:rPr>
                <w:rFonts w:hint="eastAsia"/>
                <w:lang w:eastAsia="zh-CN"/>
              </w:rPr>
              <w:t>了</w:t>
            </w:r>
            <w:r>
              <w:rPr>
                <w:rFonts w:hint="eastAsia"/>
              </w:rPr>
              <w:t>河道的行洪能力，</w:t>
            </w:r>
            <w:r>
              <w:rPr>
                <w:rFonts w:hint="eastAsia"/>
                <w:lang w:eastAsia="zh-CN"/>
              </w:rPr>
              <w:t>保障洪水顺利排入下游，</w:t>
            </w:r>
            <w:r>
              <w:rPr>
                <w:rFonts w:hint="eastAsia"/>
                <w:lang w:val="en-US" w:eastAsia="zh-CN"/>
              </w:rPr>
              <w:t>减少了对岸坡的冲刷，</w:t>
            </w:r>
            <w:r>
              <w:rPr>
                <w:rFonts w:hint="eastAsia"/>
              </w:rPr>
              <w:t>对河道的水位、流量、流速基本没有影响。由于防洪堤的抗冲性能较强，对岸坡起到保护作用，更有利于河势的稳定。</w:t>
            </w:r>
          </w:p>
          <w:p w14:paraId="26C8E45D">
            <w:pPr>
              <w:pStyle w:val="6"/>
              <w:rPr>
                <w:rFonts w:hint="default" w:eastAsia="宋体"/>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泥沙情势的影响</w:t>
            </w:r>
          </w:p>
          <w:p w14:paraId="35904DF7">
            <w:pPr>
              <w:pStyle w:val="6"/>
              <w:rPr>
                <w:rFonts w:hint="eastAsia"/>
              </w:rPr>
            </w:pPr>
            <w:r>
              <w:rPr>
                <w:rFonts w:hint="eastAsia"/>
              </w:rPr>
              <w:t>项目区上游河段岸坡较陡，田少坡多，植被覆盖好，河流输沙已逐渐趋于天然状态，泥沙主要来源于雨水冲刷地表，主要集中在汛期及大洪水期。本项目建成后，河道两岸结构形式发生改变，本项目能够减少河水对两岸的冲刷，河道泥沙会减少，减少下游冲淤。</w:t>
            </w:r>
          </w:p>
          <w:p w14:paraId="188DA4B6">
            <w:pPr>
              <w:pStyle w:val="6"/>
              <w:rPr>
                <w:rFonts w:hint="eastAsia"/>
              </w:rPr>
            </w:pPr>
            <w:r>
              <w:rPr>
                <w:rFonts w:hint="eastAsia"/>
              </w:rPr>
              <w:t>因此，总体而言，本项目的建设会减少区域河段输沙量，对河道泥沙情势有正效益。</w:t>
            </w:r>
          </w:p>
          <w:p w14:paraId="1003B0C1">
            <w:pPr>
              <w:pStyle w:val="6"/>
              <w:rPr>
                <w:rFonts w:hint="eastAsia"/>
              </w:rPr>
            </w:pPr>
            <w:r>
              <w:rPr>
                <w:rFonts w:hint="eastAsia"/>
              </w:rPr>
              <w:t>（</w:t>
            </w:r>
            <w:r>
              <w:rPr>
                <w:rFonts w:hint="eastAsia"/>
                <w:lang w:val="en-US" w:eastAsia="zh-CN"/>
              </w:rPr>
              <w:t>3</w:t>
            </w:r>
            <w:r>
              <w:rPr>
                <w:rFonts w:hint="eastAsia"/>
              </w:rPr>
              <w:t>）</w:t>
            </w:r>
            <w:r>
              <w:rPr>
                <w:rFonts w:hint="eastAsia"/>
                <w:lang w:val="en-US" w:eastAsia="zh-CN"/>
              </w:rPr>
              <w:t>对</w:t>
            </w:r>
            <w:r>
              <w:rPr>
                <w:rFonts w:hint="eastAsia"/>
              </w:rPr>
              <w:t>流速</w:t>
            </w:r>
            <w:r>
              <w:rPr>
                <w:rFonts w:hint="eastAsia"/>
                <w:lang w:val="en-US" w:eastAsia="zh-CN"/>
              </w:rPr>
              <w:t>的影响</w:t>
            </w:r>
          </w:p>
          <w:p w14:paraId="399E3107">
            <w:pPr>
              <w:pStyle w:val="6"/>
              <w:rPr>
                <w:rFonts w:hint="eastAsia"/>
                <w:lang w:val="en-US" w:eastAsia="zh-CN"/>
              </w:rPr>
            </w:pPr>
            <w:r>
              <w:rPr>
                <w:rFonts w:hint="eastAsia"/>
                <w:lang w:eastAsia="zh-CN"/>
              </w:rPr>
              <w:t>本项目堤防</w:t>
            </w:r>
            <w:r>
              <w:rPr>
                <w:rFonts w:hint="eastAsia"/>
                <w:lang w:val="en-US" w:eastAsia="zh-CN"/>
              </w:rPr>
              <w:t>工程及河道疏浚工程实施未改变河道流向，原河道宽度不会产生明显改变，流速变化不明显。</w:t>
            </w:r>
          </w:p>
          <w:p w14:paraId="410B959B">
            <w:pPr>
              <w:pStyle w:val="6"/>
              <w:rPr>
                <w:rFonts w:hint="eastAsia"/>
              </w:rPr>
            </w:pPr>
            <w:r>
              <w:rPr>
                <w:rFonts w:hint="eastAsia"/>
              </w:rPr>
              <w:t>（</w:t>
            </w:r>
            <w:r>
              <w:rPr>
                <w:rFonts w:hint="eastAsia"/>
                <w:lang w:val="en-US" w:eastAsia="zh-CN"/>
              </w:rPr>
              <w:t>4</w:t>
            </w:r>
            <w:r>
              <w:rPr>
                <w:rFonts w:hint="eastAsia"/>
              </w:rPr>
              <w:t>）</w:t>
            </w:r>
            <w:r>
              <w:rPr>
                <w:rFonts w:hint="eastAsia"/>
                <w:lang w:val="en-US" w:eastAsia="zh-CN"/>
              </w:rPr>
              <w:t>对</w:t>
            </w:r>
            <w:r>
              <w:rPr>
                <w:rFonts w:hint="eastAsia"/>
              </w:rPr>
              <w:t>流向</w:t>
            </w:r>
            <w:r>
              <w:rPr>
                <w:rFonts w:hint="eastAsia"/>
                <w:lang w:val="en-US" w:eastAsia="zh-CN"/>
              </w:rPr>
              <w:t>的影响</w:t>
            </w:r>
          </w:p>
          <w:p w14:paraId="469A087F">
            <w:pPr>
              <w:pStyle w:val="6"/>
              <w:rPr>
                <w:rFonts w:hint="eastAsia"/>
              </w:rPr>
            </w:pPr>
            <w:r>
              <w:rPr>
                <w:rFonts w:hint="eastAsia"/>
              </w:rPr>
              <w:t>本项目</w:t>
            </w:r>
            <w:r>
              <w:rPr>
                <w:rFonts w:hint="eastAsia"/>
                <w:lang w:eastAsia="zh-CN"/>
              </w:rPr>
              <w:t>堤防</w:t>
            </w:r>
            <w:r>
              <w:rPr>
                <w:rFonts w:hint="eastAsia"/>
                <w:lang w:val="en-US" w:eastAsia="zh-CN"/>
              </w:rPr>
              <w:t>工程及堤线布置基本沿现河床岸边线进行布置</w:t>
            </w:r>
            <w:r>
              <w:rPr>
                <w:rFonts w:hint="eastAsia"/>
              </w:rPr>
              <w:t>，基本不改变河流的总体流向。</w:t>
            </w:r>
          </w:p>
          <w:p w14:paraId="23ABE2C0">
            <w:pPr>
              <w:pStyle w:val="6"/>
              <w:rPr>
                <w:rFonts w:hint="eastAsia"/>
              </w:rPr>
            </w:pPr>
            <w:r>
              <w:rPr>
                <w:rFonts w:hint="eastAsia"/>
              </w:rPr>
              <w:t>（</w:t>
            </w:r>
            <w:r>
              <w:rPr>
                <w:rFonts w:hint="eastAsia"/>
                <w:lang w:val="en-US" w:eastAsia="zh-CN"/>
              </w:rPr>
              <w:t>5</w:t>
            </w:r>
            <w:r>
              <w:rPr>
                <w:rFonts w:hint="eastAsia"/>
              </w:rPr>
              <w:t>）</w:t>
            </w:r>
            <w:r>
              <w:rPr>
                <w:rFonts w:hint="eastAsia"/>
                <w:lang w:val="en-US" w:eastAsia="zh-CN"/>
              </w:rPr>
              <w:t>对</w:t>
            </w:r>
            <w:r>
              <w:rPr>
                <w:rFonts w:hint="eastAsia"/>
              </w:rPr>
              <w:t>水位</w:t>
            </w:r>
            <w:r>
              <w:rPr>
                <w:rFonts w:hint="eastAsia"/>
                <w:lang w:val="en-US" w:eastAsia="zh-CN"/>
              </w:rPr>
              <w:t>的影响</w:t>
            </w:r>
          </w:p>
          <w:p w14:paraId="41163890">
            <w:pPr>
              <w:pStyle w:val="6"/>
              <w:rPr>
                <w:rFonts w:hint="eastAsia"/>
                <w:lang w:val="en-US" w:eastAsia="zh-CN"/>
              </w:rPr>
            </w:pPr>
            <w:r>
              <w:rPr>
                <w:rFonts w:hint="eastAsia"/>
              </w:rPr>
              <w:t>本项目</w:t>
            </w:r>
            <w:r>
              <w:rPr>
                <w:rFonts w:hint="eastAsia"/>
                <w:lang w:eastAsia="zh-CN"/>
              </w:rPr>
              <w:t>堤防</w:t>
            </w:r>
            <w:r>
              <w:rPr>
                <w:rFonts w:hint="eastAsia"/>
                <w:lang w:val="en-US" w:eastAsia="zh-CN"/>
              </w:rPr>
              <w:t>工程及堤线布置基本沿现岸线布置，堤线未侵占行洪断面，原河道宽度不会产生明显改变，</w:t>
            </w:r>
            <w:r>
              <w:rPr>
                <w:rFonts w:hint="eastAsia"/>
                <w:lang w:eastAsia="zh-CN"/>
              </w:rPr>
              <w:t>水位</w:t>
            </w:r>
            <w:r>
              <w:rPr>
                <w:rFonts w:hint="eastAsia"/>
                <w:lang w:val="en-US" w:eastAsia="zh-CN"/>
              </w:rPr>
              <w:t>不会发生明显变化。</w:t>
            </w:r>
          </w:p>
          <w:p w14:paraId="4F4307DE">
            <w:pPr>
              <w:pStyle w:val="6"/>
              <w:rPr>
                <w:rFonts w:hint="default"/>
                <w:lang w:val="en-US" w:eastAsia="zh-CN"/>
              </w:rPr>
            </w:pPr>
            <w:r>
              <w:rPr>
                <w:rFonts w:hint="eastAsia"/>
                <w:lang w:val="en-US" w:eastAsia="zh-CN"/>
              </w:rPr>
              <w:t>（6）对水温的影响</w:t>
            </w:r>
          </w:p>
          <w:p w14:paraId="5FF08FF9">
            <w:pPr>
              <w:pStyle w:val="6"/>
              <w:rPr>
                <w:rFonts w:hint="eastAsia"/>
                <w:lang w:val="en-US" w:eastAsia="zh-CN"/>
              </w:rPr>
            </w:pPr>
            <w:r>
              <w:rPr>
                <w:rFonts w:hint="eastAsia"/>
                <w:lang w:val="en-US" w:eastAsia="zh-CN"/>
              </w:rPr>
              <w:t>水温的变化主要与太阳辐射、库容、来水量、水库调节方式等制约。本项目设计水位高于常年水位，非汛期对水位几乎无影响。在洪水期可能会导致水位较原河道有所上升，但河道经过防洪堤建设和整治，水流顺畅，且设有穿堤管涵，可实现水温调节的作用，因此，在本工程段不会形成库容。因此，本项目的建设对水温无影响。</w:t>
            </w:r>
          </w:p>
          <w:p w14:paraId="73FA55B1">
            <w:pPr>
              <w:pStyle w:val="6"/>
              <w:rPr>
                <w:rFonts w:hint="eastAsia"/>
                <w:lang w:val="en-US" w:eastAsia="zh-CN"/>
              </w:rPr>
            </w:pPr>
            <w:r>
              <w:rPr>
                <w:rFonts w:hint="eastAsia"/>
                <w:lang w:val="en-US" w:eastAsia="zh-CN"/>
              </w:rPr>
              <w:t>综上所述，本项目的建设对河道行洪、泥沙情势均有正效益，对河道流速、流向、水位、水温几乎无影响。因此，本项目对河道水文情势的影响是正面的，具有显著的环境正效益。</w:t>
            </w:r>
          </w:p>
        </w:tc>
      </w:tr>
      <w:bookmarkEnd w:id="76"/>
      <w:tr w14:paraId="1D660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02" w:type="dxa"/>
            <w:vAlign w:val="center"/>
          </w:tcPr>
          <w:p w14:paraId="696B2C45">
            <w:pPr>
              <w:jc w:val="left"/>
            </w:pPr>
            <w:r>
              <w:rPr>
                <w:rFonts w:hint="eastAsia"/>
              </w:rPr>
              <w:t>选址选线环境合理性分析</w:t>
            </w:r>
          </w:p>
        </w:tc>
        <w:tc>
          <w:tcPr>
            <w:tcW w:w="8926" w:type="dxa"/>
            <w:vAlign w:val="center"/>
          </w:tcPr>
          <w:p w14:paraId="6BF5C8C2">
            <w:pPr>
              <w:pStyle w:val="3"/>
              <w:numPr>
                <w:ilvl w:val="1"/>
                <w:numId w:val="7"/>
              </w:numPr>
              <w:bidi w:val="0"/>
              <w:rPr>
                <w:rFonts w:hint="eastAsia"/>
                <w:highlight w:val="none"/>
              </w:rPr>
            </w:pPr>
            <w:bookmarkStart w:id="82" w:name="_Toc4055"/>
            <w:r>
              <w:rPr>
                <w:rFonts w:hint="eastAsia"/>
                <w:highlight w:val="none"/>
              </w:rPr>
              <w:t>选址选线环境合理性分析</w:t>
            </w:r>
            <w:bookmarkEnd w:id="82"/>
          </w:p>
          <w:p w14:paraId="5887DBE1">
            <w:pPr>
              <w:keepNext/>
              <w:keepLines/>
              <w:widowControl w:val="0"/>
              <w:numPr>
                <w:ilvl w:val="2"/>
                <w:numId w:val="7"/>
              </w:numPr>
              <w:bidi w:val="0"/>
              <w:snapToGrid w:val="0"/>
              <w:spacing w:line="400" w:lineRule="exact"/>
              <w:ind w:left="0" w:firstLine="0"/>
              <w:contextualSpacing/>
              <w:jc w:val="left"/>
              <w:outlineLvl w:val="2"/>
              <w:rPr>
                <w:rFonts w:hint="eastAsia" w:ascii="Times New Roman" w:hAnsi="Times New Roman" w:eastAsia="宋体" w:cstheme="minorBidi"/>
                <w:b/>
                <w:color w:val="auto"/>
                <w:kern w:val="2"/>
                <w:sz w:val="24"/>
                <w:szCs w:val="32"/>
                <w:lang w:val="en-US" w:eastAsia="zh-CN" w:bidi="ar-SA"/>
                <w14:ligatures w14:val="standardContextual"/>
              </w:rPr>
            </w:pPr>
            <w:r>
              <w:rPr>
                <w:rFonts w:hint="eastAsia" w:ascii="Times New Roman" w:hAnsi="Times New Roman" w:eastAsia="宋体" w:cstheme="minorBidi"/>
                <w:b/>
                <w:color w:val="auto"/>
                <w:kern w:val="2"/>
                <w:sz w:val="24"/>
                <w:szCs w:val="32"/>
                <w:lang w:val="en-US" w:eastAsia="zh-CN" w:bidi="ar-SA"/>
                <w14:ligatures w14:val="standardContextual"/>
              </w:rPr>
              <w:t>防洪堤线选线环境合理性分析</w:t>
            </w:r>
          </w:p>
          <w:p w14:paraId="7708D0CA">
            <w:pPr>
              <w:pStyle w:val="6"/>
              <w:bidi w:val="0"/>
              <w:rPr>
                <w:rFonts w:hint="eastAsia"/>
              </w:rPr>
            </w:pPr>
            <w:bookmarkStart w:id="83" w:name="_Toc6439"/>
            <w:r>
              <w:rPr>
                <w:rFonts w:hint="eastAsia"/>
              </w:rPr>
              <w:t>四川省宣汉县新宁河天生镇防洪治理工程河段未系统修建过防洪堤，大部分为土质岸坡，河道蜿蜒曲折，抵御洪水能力有限，且地势高低起伏不平，自然河岸防洪体系不封闭，防洪安全隐患突出，河岸防洪基础设施薄弱，天然河道的防洪能力2～10年一遇不等，现状总体防洪能力较差，防洪标准较低，一遇较大洪水往往溢岸成灾，是洪水灾害发生较频繁的河段，天生河上游石马扁大桥以上两岸耕地较多，下游石马扁大桥至仙桥社区段两岸民房较多；黎家沟整治段均为土质岸坡，抗冲刷能力差，弯道多、比降较大。</w:t>
            </w:r>
          </w:p>
          <w:p w14:paraId="3255F38E">
            <w:pPr>
              <w:pStyle w:val="6"/>
              <w:bidi w:val="0"/>
              <w:rPr>
                <w:rFonts w:hint="eastAsia"/>
                <w:lang w:val="en-US" w:eastAsia="zh-CN"/>
              </w:rPr>
            </w:pPr>
            <w:r>
              <w:rPr>
                <w:rFonts w:hint="eastAsia"/>
                <w:lang w:val="en-US" w:eastAsia="zh-CN"/>
              </w:rPr>
              <w:t>本项目防洪堤堤线布设沿河道两河岸线布置，堤线未侵占行洪断面，不涉及河道拓宽及改道，不减少过洪断面面积，不影响天然河道行洪能力，随天然河道河岸线随弯就弯，不改变天然水流方向。</w:t>
            </w:r>
          </w:p>
          <w:p w14:paraId="6E88CB4B">
            <w:pPr>
              <w:pStyle w:val="6"/>
              <w:bidi w:val="0"/>
              <w:rPr>
                <w:rFonts w:hint="eastAsia"/>
                <w:lang w:val="en-US" w:eastAsia="zh-CN"/>
              </w:rPr>
            </w:pPr>
            <w:r>
              <w:rPr>
                <w:rFonts w:hint="eastAsia"/>
                <w:lang w:val="en-US" w:eastAsia="zh-CN"/>
              </w:rPr>
              <w:t>根据现场调查，评价区域内不涉及自然保护区、风景名胜区、饮用水源保护区等环境敏感区。项目地表水体为天生河，主要水域功能为农田灌溉等，不涉及重要水生生物的自然产卵场、索饵场、越冬场和洄游通道，不涉及天然渔场的分布及饮用水源保护区等需要特殊保护的敏感区。根据外环境关系，工程分布敏感点主要是河流沿线的居民，详见表3.3-3、附图6-1~6-3。施工期产生的“三废”及噪声通过落实环评提出的防治措施均能得到有效妥善治理，对项目沿线居民影响较小。项目营运期不涉及产污，不会对项目周边环境产生影响。故项目选址合理。</w:t>
            </w:r>
          </w:p>
          <w:p w14:paraId="4E1356B3">
            <w:pPr>
              <w:pStyle w:val="6"/>
              <w:bidi w:val="0"/>
              <w:rPr>
                <w:rFonts w:hint="eastAsia"/>
                <w:color w:val="auto"/>
              </w:rPr>
            </w:pPr>
            <w:r>
              <w:rPr>
                <w:rFonts w:hint="eastAsia"/>
                <w:lang w:val="en-US" w:eastAsia="zh-CN"/>
              </w:rPr>
              <w:t>本项目沿河道两侧开展，路线唯一，无比选方案。</w:t>
            </w:r>
            <w:r>
              <w:rPr>
                <w:rFonts w:hint="eastAsia"/>
              </w:rPr>
              <w:t>堤线沿现状河道进行布置，局部</w:t>
            </w:r>
            <w:r>
              <w:rPr>
                <w:rFonts w:hint="eastAsia"/>
                <w:color w:val="auto"/>
              </w:rPr>
              <w:t>位置根据河道两岸现状情况进行适当调整，不再进行堤线方案布置比选。</w:t>
            </w:r>
          </w:p>
          <w:p w14:paraId="3CB7C282">
            <w:pPr>
              <w:pStyle w:val="4"/>
              <w:numPr>
                <w:ilvl w:val="2"/>
                <w:numId w:val="7"/>
              </w:numPr>
              <w:bidi w:val="0"/>
              <w:rPr>
                <w:rFonts w:hint="eastAsia"/>
                <w:color w:val="auto"/>
              </w:rPr>
            </w:pPr>
            <w:r>
              <w:rPr>
                <w:rFonts w:hint="eastAsia"/>
                <w:color w:val="auto"/>
              </w:rPr>
              <w:t>施工布置方案环境合理性分析</w:t>
            </w:r>
            <w:bookmarkEnd w:id="83"/>
          </w:p>
          <w:p w14:paraId="78902725">
            <w:pPr>
              <w:pStyle w:val="6"/>
              <w:bidi w:val="0"/>
              <w:rPr>
                <w:rFonts w:hint="default" w:eastAsia="宋体"/>
                <w:color w:val="auto"/>
                <w:lang w:val="en-US" w:eastAsia="zh-CN"/>
              </w:rPr>
            </w:pPr>
            <w:r>
              <w:rPr>
                <w:rFonts w:hint="eastAsia"/>
                <w:color w:val="auto"/>
                <w:lang w:val="en-US" w:eastAsia="zh-CN"/>
              </w:rPr>
              <w:t>（1）施工工区选址合理性分析</w:t>
            </w:r>
          </w:p>
          <w:p w14:paraId="2EE90FF4">
            <w:pPr>
              <w:pStyle w:val="6"/>
              <w:rPr>
                <w:rFonts w:hint="eastAsia"/>
                <w:color w:val="auto"/>
                <w:lang w:val="en-US" w:eastAsia="zh-CN"/>
              </w:rPr>
            </w:pPr>
            <w:r>
              <w:rPr>
                <w:rFonts w:hint="eastAsia"/>
                <w:color w:val="auto"/>
                <w:lang w:val="en-US" w:eastAsia="zh-CN"/>
              </w:rPr>
              <w:t>根据施工布置，本项目按堤防布置特点，采用分区布置方式，按实际情况设置2个工区。1#工区布置K0+775.00左岸堤顶附近，主要控制天生河左岸两段堤防、黎家沟堤防、天生河右岸右0+000.00~右0+944.32段堤防的施工和天生河K0+000.00~K1+350.00段的河道疏浚；2#工区布置K1+700.00右岸堤顶附近，主要控制天生河右岸右0+944.32~右1+641.00段堤防的施工和天生河K1+350.00~K4+200.00段的河道疏浚。</w:t>
            </w:r>
          </w:p>
          <w:p w14:paraId="0C9AFA56">
            <w:pPr>
              <w:pStyle w:val="6"/>
              <w:bidi w:val="0"/>
              <w:rPr>
                <w:color w:val="auto"/>
              </w:rPr>
            </w:pPr>
            <w:r>
              <w:rPr>
                <w:rFonts w:hint="default" w:eastAsia="宋体"/>
                <w:color w:val="auto"/>
                <w:lang w:val="en-US" w:eastAsia="zh-CN"/>
              </w:rPr>
              <w:t>各</w:t>
            </w:r>
            <w:r>
              <w:rPr>
                <w:rFonts w:hint="eastAsia"/>
                <w:color w:val="auto"/>
                <w:lang w:val="en-US" w:eastAsia="zh-CN"/>
              </w:rPr>
              <w:t>施工工区</w:t>
            </w:r>
            <w:r>
              <w:rPr>
                <w:rFonts w:hint="default" w:eastAsia="宋体"/>
                <w:color w:val="auto"/>
                <w:lang w:val="en-US" w:eastAsia="zh-CN"/>
              </w:rPr>
              <w:t>主要布置于工程河段施工较为集中区域，位于河道两岸，均为临时占地，占地类型主要为</w:t>
            </w:r>
            <w:r>
              <w:rPr>
                <w:rFonts w:hint="eastAsia"/>
                <w:color w:val="auto"/>
                <w:lang w:val="en-US" w:eastAsia="zh-CN"/>
              </w:rPr>
              <w:t>耕地和草地</w:t>
            </w:r>
            <w:r>
              <w:rPr>
                <w:rFonts w:hint="default" w:eastAsia="宋体"/>
                <w:color w:val="auto"/>
                <w:lang w:val="en-US" w:eastAsia="zh-CN"/>
              </w:rPr>
              <w:t>，不涉及永久基本农田；同时尽量远离周边居民，减少施工</w:t>
            </w:r>
            <w:r>
              <w:rPr>
                <w:rFonts w:hint="eastAsia"/>
                <w:color w:val="auto"/>
                <w:lang w:val="en-US" w:eastAsia="zh-CN"/>
              </w:rPr>
              <w:t>废气</w:t>
            </w:r>
            <w:r>
              <w:rPr>
                <w:rFonts w:hint="default" w:eastAsia="宋体"/>
                <w:color w:val="auto"/>
                <w:lang w:val="en-US" w:eastAsia="zh-CN"/>
              </w:rPr>
              <w:t>、噪声等对周边居民的影响。</w:t>
            </w:r>
            <w:r>
              <w:rPr>
                <w:rFonts w:hint="eastAsia"/>
                <w:color w:val="auto"/>
                <w:lang w:val="en-US" w:eastAsia="zh-CN"/>
              </w:rPr>
              <w:t>根据项目施工场地外环境关系，1#施工工区最近环境敏感点为3#龙王潭，相距约80m；2#施工工区最近环境敏感点为5#君田坝，相距约80m，均大于59m，根据施工期噪声预测结果，施工机械噪声对80m处的环境保护目标的昼间、夜间机械噪声均未超过《建筑施工场界环境噪声排放标准》（GB 12523-2011）标准限值，因此，施工期施工工区的噪声对周边环境噪声影响有限。施工工区</w:t>
            </w:r>
            <w:r>
              <w:rPr>
                <w:rFonts w:hint="eastAsia"/>
                <w:color w:val="auto"/>
              </w:rPr>
              <w:t>均为临时占地，施工期间严格控制施工范围，按施工时序，分段施工，对开挖地表实施表土分离并妥善堆存，施工结束后对临时施工场地及时采取生态恢复措施，恢复为原土地利用类型，对周边环境影响可控。因此，本工程</w:t>
            </w:r>
            <w:r>
              <w:rPr>
                <w:rFonts w:hint="eastAsia"/>
                <w:color w:val="auto"/>
                <w:lang w:val="en-US" w:eastAsia="zh-CN"/>
              </w:rPr>
              <w:t>施工工区</w:t>
            </w:r>
            <w:r>
              <w:rPr>
                <w:rFonts w:hint="eastAsia"/>
                <w:color w:val="auto"/>
              </w:rPr>
              <w:t>选址合理。</w:t>
            </w:r>
          </w:p>
          <w:p w14:paraId="60415602">
            <w:pPr>
              <w:pStyle w:val="6"/>
              <w:rPr>
                <w:color w:val="auto"/>
              </w:rPr>
            </w:pPr>
            <w:r>
              <w:rPr>
                <w:rFonts w:hint="eastAsia"/>
                <w:color w:val="auto"/>
              </w:rPr>
              <w:t>（2）临时施工道路选址合理性分析</w:t>
            </w:r>
          </w:p>
          <w:p w14:paraId="6DD6A427">
            <w:pPr>
              <w:pStyle w:val="6"/>
              <w:rPr>
                <w:rFonts w:hint="default"/>
                <w:color w:val="auto"/>
                <w:lang w:val="en-US" w:eastAsia="zh-CN"/>
              </w:rPr>
            </w:pPr>
            <w:r>
              <w:rPr>
                <w:color w:val="auto"/>
              </w:rPr>
              <w:t>根据河道施工特点，场内交通需在两岸布置施工临时道路。</w:t>
            </w:r>
            <w:r>
              <w:rPr>
                <w:rFonts w:hint="eastAsia"/>
                <w:color w:val="auto"/>
                <w:lang w:val="en-US" w:eastAsia="zh-CN"/>
              </w:rPr>
              <w:t>本次设计沿堤线新建3.5m宽临时施工道路1.29km顺接乡村公路，采用泥结石路面。占地面积约0.33hm</w:t>
            </w:r>
            <w:r>
              <w:rPr>
                <w:rFonts w:hint="eastAsia"/>
                <w:color w:val="auto"/>
                <w:vertAlign w:val="superscript"/>
                <w:lang w:val="en-US" w:eastAsia="zh-CN"/>
              </w:rPr>
              <w:t>2</w:t>
            </w:r>
            <w:r>
              <w:rPr>
                <w:rFonts w:hint="eastAsia"/>
                <w:color w:val="auto"/>
                <w:lang w:val="en-US" w:eastAsia="zh-CN"/>
              </w:rPr>
              <w:t>。</w:t>
            </w:r>
          </w:p>
          <w:p w14:paraId="7D8D67BB">
            <w:pPr>
              <w:pStyle w:val="6"/>
              <w:rPr>
                <w:color w:val="auto"/>
              </w:rPr>
            </w:pPr>
            <w:r>
              <w:rPr>
                <w:rFonts w:hint="eastAsia"/>
                <w:color w:val="auto"/>
              </w:rPr>
              <w:t>施工工程均位于河道两岸，施工临时道路主要连接现有农村道路与施工场地，方便施工机械进场及材料运输，均沿堤防工程外侧布置，占地主要为耕地</w:t>
            </w:r>
            <w:r>
              <w:rPr>
                <w:rFonts w:hint="eastAsia"/>
                <w:color w:val="auto"/>
                <w:lang w:eastAsia="zh-CN"/>
              </w:rPr>
              <w:t>、</w:t>
            </w:r>
            <w:r>
              <w:rPr>
                <w:rFonts w:hint="eastAsia"/>
                <w:color w:val="auto"/>
                <w:lang w:val="en-US" w:eastAsia="zh-CN"/>
              </w:rPr>
              <w:t>草地和内陆滩涂</w:t>
            </w:r>
            <w:r>
              <w:rPr>
                <w:rFonts w:hint="eastAsia"/>
                <w:color w:val="auto"/>
              </w:rPr>
              <w:t>。临时施工道路为临时占地，施工期间严格控制施工作业区，分段施工，对开挖地表实施表土分离并妥善堆存，施工结束后对临时施工道路及时采取生态恢复措施，恢复为原土地利用类型，对周边环境影响可控。因此，本工程临时施工道路选址合理。</w:t>
            </w:r>
          </w:p>
          <w:p w14:paraId="7CF2F459">
            <w:pPr>
              <w:pStyle w:val="6"/>
              <w:rPr>
                <w:color w:val="auto"/>
              </w:rPr>
            </w:pPr>
            <w:r>
              <w:rPr>
                <w:rFonts w:hint="eastAsia"/>
                <w:color w:val="auto"/>
              </w:rPr>
              <w:t>（</w:t>
            </w:r>
            <w:r>
              <w:rPr>
                <w:rFonts w:hint="eastAsia"/>
                <w:color w:val="auto"/>
                <w:lang w:val="en-US" w:eastAsia="zh-CN"/>
              </w:rPr>
              <w:t>3</w:t>
            </w:r>
            <w:r>
              <w:rPr>
                <w:rFonts w:hint="eastAsia"/>
                <w:color w:val="auto"/>
              </w:rPr>
              <w:t>）临时</w:t>
            </w:r>
            <w:r>
              <w:rPr>
                <w:rFonts w:hint="eastAsia"/>
                <w:color w:val="auto"/>
                <w:lang w:val="en-US" w:eastAsia="zh-CN"/>
              </w:rPr>
              <w:t>堆料场</w:t>
            </w:r>
            <w:r>
              <w:rPr>
                <w:rFonts w:hint="eastAsia"/>
                <w:color w:val="auto"/>
              </w:rPr>
              <w:t>选址合理性分析</w:t>
            </w:r>
          </w:p>
          <w:p w14:paraId="553CE4B4">
            <w:pPr>
              <w:pStyle w:val="6"/>
              <w:rPr>
                <w:color w:val="auto"/>
              </w:rPr>
            </w:pPr>
            <w:r>
              <w:rPr>
                <w:rFonts w:hint="eastAsia"/>
                <w:color w:val="auto"/>
                <w:lang w:val="en-US" w:eastAsia="zh-CN"/>
              </w:rPr>
              <w:t>本项目设置3个临时堆料场，分别位于桩号K0+760.00~K0+840.00右岸堤顶、K1+125.00~K1+210.00左岸岸边、K1+725.00~K1+825.00右岸堤顶，占地面积0.19hm</w:t>
            </w:r>
            <w:r>
              <w:rPr>
                <w:rFonts w:hint="eastAsia"/>
                <w:color w:val="auto"/>
                <w:vertAlign w:val="superscript"/>
                <w:lang w:val="en-US" w:eastAsia="zh-CN"/>
              </w:rPr>
              <w:t>2</w:t>
            </w:r>
            <w:r>
              <w:rPr>
                <w:rFonts w:hint="eastAsia"/>
                <w:color w:val="auto"/>
                <w:lang w:val="en-US" w:eastAsia="zh-CN"/>
              </w:rPr>
              <w:t>，用于临时堆放表土、开挖料、疏浚料。</w:t>
            </w:r>
          </w:p>
          <w:p w14:paraId="61B24B51">
            <w:pPr>
              <w:pStyle w:val="6"/>
              <w:rPr>
                <w:color w:val="auto"/>
              </w:rPr>
            </w:pPr>
            <w:r>
              <w:rPr>
                <w:rFonts w:hint="eastAsia"/>
                <w:color w:val="auto"/>
              </w:rPr>
              <w:t>临时堆料场地势平坦，临近工程施工区，便于工程施工。项目临时堆料场占地面积小，根据现场调查，占地不涉及自然保护区、风景名胜区、饮用水源保护区、基本农田、生态保护红线等敏感区域，</w:t>
            </w:r>
            <w:r>
              <w:rPr>
                <w:rFonts w:hint="default" w:eastAsia="宋体"/>
                <w:color w:val="auto"/>
                <w:lang w:val="en-US" w:eastAsia="zh-CN"/>
              </w:rPr>
              <w:t>占地类型主要为</w:t>
            </w:r>
            <w:r>
              <w:rPr>
                <w:rFonts w:hint="eastAsia"/>
                <w:color w:val="auto"/>
                <w:lang w:val="en-US" w:eastAsia="zh-CN"/>
              </w:rPr>
              <w:t>草地</w:t>
            </w:r>
            <w:r>
              <w:rPr>
                <w:rFonts w:hint="default" w:eastAsia="宋体"/>
                <w:color w:val="auto"/>
                <w:lang w:val="en-US" w:eastAsia="zh-CN"/>
              </w:rPr>
              <w:t>，不涉及永久基本农田</w:t>
            </w:r>
            <w:r>
              <w:rPr>
                <w:rFonts w:hint="eastAsia"/>
                <w:color w:val="auto"/>
                <w:lang w:val="en-US" w:eastAsia="zh-CN"/>
              </w:rPr>
              <w:t>，</w:t>
            </w:r>
            <w:r>
              <w:rPr>
                <w:rFonts w:hint="eastAsia"/>
                <w:color w:val="auto"/>
              </w:rPr>
              <w:t>未发现珍稀濒危及国家、地方重点保护野生植物和古树名木分布。且临时堆料场距离周边居民距离较远，施工噪声、扬尘在采取防治措施的情况下对居民影响小。项目施工期短，施工结束后立即进行生态恢复，</w:t>
            </w:r>
            <w:r>
              <w:rPr>
                <w:rFonts w:hint="eastAsia"/>
                <w:color w:val="auto"/>
                <w:lang w:eastAsia="zh-CN"/>
              </w:rPr>
              <w:t>恢复</w:t>
            </w:r>
            <w:r>
              <w:rPr>
                <w:rFonts w:hint="eastAsia"/>
                <w:color w:val="auto"/>
              </w:rPr>
              <w:t>原有土地类型，对生态环境影响较小。因此，本工程</w:t>
            </w:r>
            <w:r>
              <w:rPr>
                <w:rFonts w:hint="eastAsia"/>
                <w:color w:val="auto"/>
                <w:lang w:eastAsia="zh-CN"/>
              </w:rPr>
              <w:t>临时</w:t>
            </w:r>
            <w:r>
              <w:rPr>
                <w:rFonts w:hint="eastAsia"/>
                <w:color w:val="auto"/>
                <w:lang w:val="en-US" w:eastAsia="zh-CN"/>
              </w:rPr>
              <w:t>堆料场</w:t>
            </w:r>
            <w:r>
              <w:rPr>
                <w:rFonts w:hint="eastAsia"/>
                <w:color w:val="auto"/>
              </w:rPr>
              <w:t>选址合理。</w:t>
            </w:r>
          </w:p>
          <w:p w14:paraId="26AD5A67">
            <w:pPr>
              <w:pStyle w:val="4"/>
              <w:numPr>
                <w:ilvl w:val="2"/>
                <w:numId w:val="7"/>
              </w:numPr>
              <w:bidi w:val="0"/>
              <w:rPr>
                <w:rFonts w:hint="eastAsia"/>
                <w:color w:val="auto"/>
              </w:rPr>
            </w:pPr>
            <w:bookmarkStart w:id="84" w:name="_Toc14697"/>
            <w:r>
              <w:rPr>
                <w:rFonts w:hint="eastAsia"/>
                <w:color w:val="auto"/>
              </w:rPr>
              <w:t>施工方案和施工时序环境合理性分析</w:t>
            </w:r>
            <w:bookmarkEnd w:id="84"/>
          </w:p>
          <w:p w14:paraId="499BE3C6">
            <w:pPr>
              <w:pStyle w:val="6"/>
              <w:rPr>
                <w:rFonts w:hint="eastAsia"/>
              </w:rPr>
            </w:pPr>
            <w:r>
              <w:rPr>
                <w:rFonts w:hint="eastAsia"/>
              </w:rPr>
              <w:t>（1）施工方案环境合理性分析</w:t>
            </w:r>
          </w:p>
          <w:p w14:paraId="4D9965B6">
            <w:pPr>
              <w:pStyle w:val="6"/>
              <w:rPr>
                <w:rFonts w:hint="eastAsia"/>
              </w:rPr>
            </w:pPr>
            <w:r>
              <w:rPr>
                <w:rFonts w:hint="eastAsia"/>
              </w:rPr>
              <w:t>本项目土石方开挖和堤身填筑主要采用机械施工方法，除施工噪声影响大于人工施工方法外，可极大地提高施工效率，减轻施工人员的劳动强度，有利于施工期施工人员的健康防护。开挖料的利用减少了工程弃渣量和借方量，对环境有利。</w:t>
            </w:r>
            <w:r>
              <w:rPr>
                <w:rFonts w:hint="eastAsia"/>
                <w:lang w:val="en-US" w:eastAsia="zh-CN"/>
              </w:rPr>
              <w:t>项目涉水施工采取枯水期施工，且采取围堰导流施工，可降低对地表水水质及水生生态的影响。</w:t>
            </w:r>
            <w:r>
              <w:rPr>
                <w:rFonts w:hint="eastAsia"/>
              </w:rPr>
              <w:t>综上所述，本项目的施工方法均为水利工程常规通用施工方法，也是适用于本项目周边环境的施工方法，与其它水利工程施工方法相比，不会加剧工程施工对环境的影响，从环境保护角度分析</w:t>
            </w:r>
            <w:r>
              <w:rPr>
                <w:rFonts w:hint="eastAsia"/>
                <w:lang w:eastAsia="zh-CN"/>
              </w:rPr>
              <w:t>，施工方案</w:t>
            </w:r>
            <w:r>
              <w:rPr>
                <w:rFonts w:hint="eastAsia"/>
              </w:rPr>
              <w:t>基本合理。</w:t>
            </w:r>
          </w:p>
          <w:p w14:paraId="09D4FBF9">
            <w:pPr>
              <w:pStyle w:val="6"/>
              <w:rPr>
                <w:rFonts w:hint="eastAsia"/>
              </w:rPr>
            </w:pPr>
            <w:r>
              <w:rPr>
                <w:rFonts w:hint="eastAsia"/>
              </w:rPr>
              <w:t>（2）施工时序环境合理性分析</w:t>
            </w:r>
          </w:p>
          <w:p w14:paraId="6D93C0C5">
            <w:pPr>
              <w:pStyle w:val="6"/>
              <w:rPr>
                <w:rFonts w:hint="eastAsia"/>
                <w:lang w:eastAsia="zh-CN"/>
              </w:rPr>
            </w:pPr>
            <w:r>
              <w:rPr>
                <w:rFonts w:hint="eastAsia"/>
              </w:rPr>
              <w:t>根据施工组织设计，</w:t>
            </w:r>
            <w:r>
              <w:rPr>
                <w:rFonts w:hint="eastAsia"/>
                <w:lang w:eastAsia="zh-CN"/>
              </w:rPr>
              <w:t>本</w:t>
            </w:r>
            <w:r>
              <w:rPr>
                <w:rFonts w:hint="eastAsia"/>
              </w:rPr>
              <w:t>项目施工总工期共计</w:t>
            </w:r>
            <w:r>
              <w:rPr>
                <w:rFonts w:hint="eastAsia"/>
                <w:lang w:val="en-US" w:eastAsia="zh-CN"/>
              </w:rPr>
              <w:t>6</w:t>
            </w:r>
            <w:r>
              <w:rPr>
                <w:rFonts w:hint="eastAsia"/>
              </w:rPr>
              <w:t>个月</w:t>
            </w:r>
            <w:r>
              <w:rPr>
                <w:rFonts w:hint="eastAsia"/>
                <w:lang w:eastAsia="zh-CN"/>
              </w:rPr>
              <w:t>，</w:t>
            </w:r>
            <w:r>
              <w:rPr>
                <w:rFonts w:hint="eastAsia"/>
              </w:rPr>
              <w:t>施工准备期安排在第一年1</w:t>
            </w:r>
            <w:r>
              <w:rPr>
                <w:rFonts w:hint="eastAsia"/>
                <w:lang w:val="en-US" w:eastAsia="zh-CN"/>
              </w:rPr>
              <w:t>0</w:t>
            </w:r>
            <w:r>
              <w:rPr>
                <w:rFonts w:hint="eastAsia"/>
              </w:rPr>
              <w:t>月，完成场内交通、临时房屋、施工工</w:t>
            </w:r>
            <w:r>
              <w:rPr>
                <w:rFonts w:hint="eastAsia"/>
                <w:lang w:val="en-US" w:eastAsia="zh-CN"/>
              </w:rPr>
              <w:t>区</w:t>
            </w:r>
            <w:r>
              <w:rPr>
                <w:rFonts w:hint="eastAsia"/>
              </w:rPr>
              <w:t>、施工辅助企业等必要的临时设施</w:t>
            </w:r>
            <w:r>
              <w:rPr>
                <w:rFonts w:hint="eastAsia"/>
                <w:lang w:val="en-US" w:eastAsia="zh-CN"/>
              </w:rPr>
              <w:t>，便于保证枯水期进行涉水施工。</w:t>
            </w:r>
            <w:r>
              <w:rPr>
                <w:rFonts w:hint="eastAsia"/>
              </w:rPr>
              <w:t>第一年1</w:t>
            </w:r>
            <w:r>
              <w:rPr>
                <w:rFonts w:hint="eastAsia"/>
                <w:lang w:val="en-US" w:eastAsia="zh-CN"/>
              </w:rPr>
              <w:t>1</w:t>
            </w:r>
            <w:r>
              <w:rPr>
                <w:rFonts w:hint="eastAsia"/>
              </w:rPr>
              <w:t>月~第二年</w:t>
            </w:r>
            <w:r>
              <w:rPr>
                <w:rFonts w:hint="eastAsia"/>
                <w:lang w:val="en-US" w:eastAsia="zh-CN"/>
              </w:rPr>
              <w:t>2</w:t>
            </w:r>
            <w:r>
              <w:rPr>
                <w:rFonts w:hint="eastAsia"/>
              </w:rPr>
              <w:t>月，完成土石方开挖、堤防挡墙、堤脚回填、堤身填筑、马道、框格梁、堤顶道路、穿堤涵管、下河梯步</w:t>
            </w:r>
            <w:r>
              <w:rPr>
                <w:rFonts w:hint="eastAsia"/>
                <w:lang w:eastAsia="zh-CN"/>
              </w:rPr>
              <w:t>、</w:t>
            </w:r>
            <w:r>
              <w:rPr>
                <w:rFonts w:hint="eastAsia"/>
                <w:lang w:val="en-US" w:eastAsia="zh-CN"/>
              </w:rPr>
              <w:t>河道疏浚</w:t>
            </w:r>
            <w:r>
              <w:rPr>
                <w:rFonts w:hint="eastAsia"/>
              </w:rPr>
              <w:t>等工程</w:t>
            </w:r>
            <w:r>
              <w:rPr>
                <w:rFonts w:hint="eastAsia"/>
                <w:lang w:eastAsia="zh-CN"/>
              </w:rPr>
              <w:t>，</w:t>
            </w:r>
            <w:r>
              <w:rPr>
                <w:rFonts w:hint="eastAsia"/>
                <w:lang w:val="en-US" w:eastAsia="zh-CN"/>
              </w:rPr>
              <w:t>主体工程完工，可保证项目涉水施工在枯水期完成，降低对地表水水质及水生生态的影响。</w:t>
            </w:r>
            <w:r>
              <w:rPr>
                <w:rFonts w:hint="eastAsia"/>
              </w:rPr>
              <w:t>第二年</w:t>
            </w:r>
            <w:r>
              <w:rPr>
                <w:rFonts w:hint="eastAsia"/>
                <w:lang w:val="en-US" w:eastAsia="zh-CN"/>
              </w:rPr>
              <w:t>3</w:t>
            </w:r>
            <w:r>
              <w:rPr>
                <w:rFonts w:hint="eastAsia"/>
              </w:rPr>
              <w:t>月完成施工机械退场、场地清理、迹地恢复等扫尾工作</w:t>
            </w:r>
            <w:r>
              <w:rPr>
                <w:rFonts w:hint="eastAsia"/>
                <w:lang w:val="en-US" w:eastAsia="zh-CN"/>
              </w:rPr>
              <w:t>。</w:t>
            </w:r>
            <w:r>
              <w:rPr>
                <w:rFonts w:hint="eastAsia"/>
              </w:rPr>
              <w:t>因此，从环境保护角度分析，工程施工时序总体合理</w:t>
            </w:r>
            <w:r>
              <w:rPr>
                <w:rFonts w:hint="eastAsia"/>
                <w:lang w:eastAsia="zh-CN"/>
              </w:rPr>
              <w:t>。</w:t>
            </w:r>
          </w:p>
        </w:tc>
      </w:tr>
    </w:tbl>
    <w:p w14:paraId="2E360EFA">
      <w:pPr>
        <w:pStyle w:val="6"/>
        <w:ind w:firstLine="0" w:firstLineChars="0"/>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26" w:charSpace="0"/>
        </w:sectPr>
      </w:pPr>
    </w:p>
    <w:p w14:paraId="09185AC4">
      <w:pPr>
        <w:tabs>
          <w:tab w:val="left" w:pos="3687"/>
          <w:tab w:val="center" w:pos="4535"/>
        </w:tabs>
        <w:jc w:val="left"/>
      </w:pPr>
    </w:p>
    <w:p w14:paraId="046BE8DD">
      <w:pPr>
        <w:pStyle w:val="2"/>
        <w:numPr>
          <w:ilvl w:val="0"/>
          <w:numId w:val="7"/>
        </w:numPr>
        <w:spacing w:after="156"/>
      </w:pPr>
      <w:bookmarkStart w:id="85" w:name="_Toc23479"/>
      <w:r>
        <w:rPr>
          <w:rFonts w:hint="eastAsia"/>
        </w:rPr>
        <w:t>主要生态环境保护措施</w:t>
      </w:r>
      <w:bookmarkEnd w:id="85"/>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840"/>
      </w:tblGrid>
      <w:tr w14:paraId="535E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8" w:hRule="atLeast"/>
        </w:trPr>
        <w:tc>
          <w:tcPr>
            <w:tcW w:w="562" w:type="dxa"/>
            <w:vAlign w:val="center"/>
          </w:tcPr>
          <w:p w14:paraId="230911A1">
            <w:r>
              <w:rPr>
                <w:rFonts w:hint="eastAsia"/>
              </w:rPr>
              <w:t>施工期生态环境保护措施</w:t>
            </w:r>
          </w:p>
        </w:tc>
        <w:tc>
          <w:tcPr>
            <w:tcW w:w="8840" w:type="dxa"/>
            <w:vAlign w:val="center"/>
          </w:tcPr>
          <w:p w14:paraId="01961434">
            <w:pPr>
              <w:pStyle w:val="3"/>
              <w:numPr>
                <w:ilvl w:val="1"/>
                <w:numId w:val="7"/>
              </w:numPr>
            </w:pPr>
            <w:bookmarkStart w:id="86" w:name="_Toc193096558"/>
            <w:bookmarkStart w:id="87" w:name="_Toc30652"/>
            <w:r>
              <w:rPr>
                <w:rFonts w:hint="eastAsia"/>
              </w:rPr>
              <w:t>施工期生态环境保护措施</w:t>
            </w:r>
            <w:bookmarkEnd w:id="86"/>
            <w:bookmarkEnd w:id="87"/>
          </w:p>
          <w:p w14:paraId="6275F407">
            <w:pPr>
              <w:pStyle w:val="5"/>
              <w:numPr>
                <w:ilvl w:val="3"/>
                <w:numId w:val="7"/>
              </w:numPr>
            </w:pPr>
            <w:r>
              <w:rPr>
                <w:rFonts w:hint="eastAsia"/>
                <w:lang w:val="en-US" w:eastAsia="zh-CN"/>
              </w:rPr>
              <w:t>植物及植被</w:t>
            </w:r>
            <w:r>
              <w:rPr>
                <w:rFonts w:hint="eastAsia"/>
              </w:rPr>
              <w:t>保护措施</w:t>
            </w:r>
          </w:p>
          <w:p w14:paraId="52756845">
            <w:pPr>
              <w:pStyle w:val="6"/>
              <w:rPr>
                <w:rFonts w:hint="eastAsia"/>
              </w:rPr>
            </w:pPr>
            <w:r>
              <w:rPr>
                <w:rFonts w:hint="eastAsia"/>
              </w:rPr>
              <w:t>①施工期间，在各主要工程区（如主体工程施工区、施工道路、堆料场等区域）设置生态保护警示牌。警示牌上标明工程施工区范围，禁止越界施工</w:t>
            </w:r>
            <w:r>
              <w:rPr>
                <w:rFonts w:hint="eastAsia"/>
                <w:lang w:eastAsia="zh-CN"/>
              </w:rPr>
              <w:t>，</w:t>
            </w:r>
            <w:r>
              <w:rPr>
                <w:rFonts w:hint="eastAsia"/>
              </w:rPr>
              <w:t>施工作业带清理尽量减少对林地、植被的破坏。</w:t>
            </w:r>
          </w:p>
          <w:p w14:paraId="40FE8588">
            <w:pPr>
              <w:pStyle w:val="6"/>
              <w:rPr>
                <w:rFonts w:hint="eastAsia"/>
                <w:lang w:val="en-US" w:eastAsia="zh-CN"/>
              </w:rPr>
            </w:pPr>
            <w:r>
              <w:rPr>
                <w:rFonts w:hint="eastAsia"/>
                <w:lang w:val="en-US" w:eastAsia="zh-CN"/>
              </w:rPr>
              <w:t>②规范施工机械和车辆行车线路，尽量避免车辆在运输过程中对当地植被的碾压，尽量减少对区域植被的破坏，同时要注意避免扬尘、施工废水及生活污水对区域土壤的污染，保证施工对区域植物生境的破坏最小化。</w:t>
            </w:r>
          </w:p>
          <w:p w14:paraId="62EB258E">
            <w:pPr>
              <w:pStyle w:val="6"/>
              <w:rPr>
                <w:rFonts w:hint="eastAsia"/>
              </w:rPr>
            </w:pPr>
            <w:r>
              <w:rPr>
                <w:rFonts w:hint="eastAsia"/>
                <w:lang w:val="en-US" w:eastAsia="zh-CN"/>
              </w:rPr>
              <w:t>③</w:t>
            </w:r>
            <w:r>
              <w:rPr>
                <w:rFonts w:hint="eastAsia"/>
              </w:rPr>
              <w:t>项目建设中施工单位应注意识别沿线保护植物资源，加强保护植物的保护宣传工作。</w:t>
            </w:r>
          </w:p>
          <w:p w14:paraId="1314E905">
            <w:pPr>
              <w:pStyle w:val="6"/>
              <w:rPr>
                <w:rFonts w:hint="eastAsia"/>
                <w:color w:val="0000FF"/>
              </w:rPr>
            </w:pPr>
            <w:r>
              <w:rPr>
                <w:rFonts w:hint="eastAsia"/>
                <w:lang w:val="en-US" w:eastAsia="zh-CN"/>
              </w:rPr>
              <w:t>④</w:t>
            </w:r>
            <w:r>
              <w:rPr>
                <w:rFonts w:hint="eastAsia"/>
              </w:rPr>
              <w:t>施工前对占地范围内的表土层熟土进行剥离，</w:t>
            </w:r>
            <w:r>
              <w:rPr>
                <w:rFonts w:hint="eastAsia"/>
                <w:lang w:val="en-US" w:eastAsia="zh-CN"/>
              </w:rPr>
              <w:t>堆放于临时堆料场</w:t>
            </w:r>
            <w:r>
              <w:rPr>
                <w:rFonts w:hint="eastAsia"/>
              </w:rPr>
              <w:t>，并用防水膜加以覆盖。待施工完成后，将熟土作为工程迹地恢复的表层覆土。</w:t>
            </w:r>
          </w:p>
          <w:p w14:paraId="2653EE73">
            <w:pPr>
              <w:pStyle w:val="6"/>
              <w:rPr>
                <w:rFonts w:hint="eastAsia"/>
              </w:rPr>
            </w:pPr>
            <w:r>
              <w:rPr>
                <w:rFonts w:hint="eastAsia"/>
                <w:lang w:val="en-US" w:eastAsia="zh-CN"/>
              </w:rPr>
              <w:t>⑤</w:t>
            </w:r>
            <w:r>
              <w:rPr>
                <w:rFonts w:hint="eastAsia"/>
              </w:rPr>
              <w:t>及时恢复地表植被，防止水土流失。因施工开挖造成的裸露面及临时堆料场，在未砌护或恢复植被前，应当根据水土保持方案要求用</w:t>
            </w:r>
            <w:r>
              <w:rPr>
                <w:rFonts w:hint="eastAsia"/>
                <w:lang w:eastAsia="zh-CN"/>
              </w:rPr>
              <w:t>篷布</w:t>
            </w:r>
            <w:r>
              <w:rPr>
                <w:rFonts w:hint="eastAsia"/>
              </w:rPr>
              <w:t>或</w:t>
            </w:r>
            <w:r>
              <w:rPr>
                <w:rFonts w:hint="eastAsia"/>
                <w:lang w:eastAsia="zh-CN"/>
              </w:rPr>
              <w:t>其他</w:t>
            </w:r>
            <w:r>
              <w:rPr>
                <w:rFonts w:hint="eastAsia"/>
              </w:rPr>
              <w:t>材料遮盖，以防雨季冲刷造成土壤侵蚀和水土流失。</w:t>
            </w:r>
          </w:p>
          <w:p w14:paraId="0268E7CC">
            <w:pPr>
              <w:pStyle w:val="6"/>
              <w:rPr>
                <w:rFonts w:hint="eastAsia" w:ascii="Times New Roman" w:hAnsi="Times New Roman"/>
                <w:color w:val="0000FF"/>
                <w:lang w:val="en-US" w:eastAsia="zh-CN"/>
              </w:rPr>
            </w:pPr>
            <w:r>
              <w:rPr>
                <w:rFonts w:hint="eastAsia"/>
                <w:lang w:val="en-US" w:eastAsia="zh-CN"/>
              </w:rPr>
              <w:t>⑥</w:t>
            </w:r>
            <w:r>
              <w:rPr>
                <w:rFonts w:hint="eastAsia"/>
              </w:rPr>
              <w:t>施工结束后，对施工</w:t>
            </w:r>
            <w:r>
              <w:rPr>
                <w:rFonts w:hint="eastAsia"/>
                <w:lang w:val="en-US" w:eastAsia="zh-CN"/>
              </w:rPr>
              <w:t>临时占地</w:t>
            </w:r>
            <w:r>
              <w:rPr>
                <w:rFonts w:hint="eastAsia"/>
              </w:rPr>
              <w:t>内设备</w:t>
            </w:r>
            <w:r>
              <w:rPr>
                <w:rFonts w:hint="eastAsia"/>
                <w:lang w:eastAsia="zh-CN"/>
              </w:rPr>
              <w:t>、</w:t>
            </w:r>
            <w:r>
              <w:rPr>
                <w:rFonts w:hint="eastAsia"/>
                <w:lang w:val="en-US" w:eastAsia="zh-CN"/>
              </w:rPr>
              <w:t>构筑物</w:t>
            </w:r>
            <w:r>
              <w:rPr>
                <w:rFonts w:hint="eastAsia"/>
              </w:rPr>
              <w:t>进行拆除，清除场地内的垃圾，并进行场地平整、表土回填、植被恢复。</w:t>
            </w:r>
          </w:p>
          <w:p w14:paraId="268717CD">
            <w:pPr>
              <w:pStyle w:val="6"/>
              <w:rPr>
                <w:rFonts w:hint="default" w:ascii="Times New Roman" w:hAnsi="Times New Roman"/>
                <w:lang w:val="en-US" w:eastAsia="zh-CN"/>
              </w:rPr>
            </w:pPr>
            <w:r>
              <w:rPr>
                <w:rFonts w:hint="eastAsia"/>
                <w:color w:val="auto"/>
                <w:lang w:val="en-US" w:eastAsia="zh-CN"/>
              </w:rPr>
              <w:t>⑦</w:t>
            </w:r>
            <w:r>
              <w:rPr>
                <w:rFonts w:hint="eastAsia" w:ascii="Times New Roman" w:hAnsi="Times New Roman"/>
                <w:color w:val="auto"/>
                <w:lang w:val="en-US" w:eastAsia="zh-CN"/>
              </w:rPr>
              <w:t>应</w:t>
            </w:r>
            <w:r>
              <w:rPr>
                <w:rFonts w:hint="eastAsia" w:ascii="Times New Roman" w:hAnsi="Times New Roman"/>
                <w:lang w:val="en-US" w:eastAsia="zh-CN"/>
              </w:rPr>
              <w:t>及时按照水土保持方案要求执行水土保持措施，做好工程区的植被恢复工作和水土保持措施，控制水土流失。</w:t>
            </w:r>
          </w:p>
          <w:p w14:paraId="5EBCE109">
            <w:pPr>
              <w:pStyle w:val="4"/>
              <w:numPr>
                <w:ilvl w:val="2"/>
                <w:numId w:val="7"/>
              </w:numPr>
              <w:bidi w:val="0"/>
              <w:rPr>
                <w:rFonts w:hint="eastAsia"/>
              </w:rPr>
            </w:pPr>
            <w:bookmarkStart w:id="88" w:name="_Toc13901"/>
            <w:r>
              <w:rPr>
                <w:rFonts w:hint="eastAsia"/>
              </w:rPr>
              <w:t>野生动物保护措施</w:t>
            </w:r>
            <w:bookmarkEnd w:id="88"/>
          </w:p>
          <w:p w14:paraId="279E4B6B">
            <w:pPr>
              <w:pStyle w:val="6"/>
              <w:rPr>
                <w:rFonts w:hint="eastAsia"/>
              </w:rPr>
            </w:pPr>
            <w:r>
              <w:rPr>
                <w:rFonts w:hint="eastAsia"/>
              </w:rPr>
              <w:t>（1）施工期间，以公告、宣传单、板报和会议等形式，加强对施工人员的环境保护宣传教育和保护野生动物常识的宣传，提高施工人员的环境保护意识，使其在施工中自觉保护生态环境及野生动物，并遵守相关的生态保护规定。</w:t>
            </w:r>
          </w:p>
          <w:p w14:paraId="32BA58B8">
            <w:pPr>
              <w:pStyle w:val="6"/>
              <w:rPr>
                <w:rFonts w:hint="eastAsia"/>
              </w:rPr>
            </w:pPr>
            <w:r>
              <w:rPr>
                <w:rFonts w:hint="eastAsia"/>
              </w:rPr>
              <w:t>（2）施工期间，在临时占地区及各主要施工作业区（如主体工程施工区、施工道路等区域）设置生态保护警示牌。警示牌上标示禁止捕猎野生动物。</w:t>
            </w:r>
          </w:p>
          <w:p w14:paraId="67CDB5F0">
            <w:pPr>
              <w:pStyle w:val="6"/>
              <w:rPr>
                <w:rFonts w:hint="eastAsia"/>
              </w:rPr>
            </w:pPr>
            <w:r>
              <w:rPr>
                <w:rFonts w:hint="eastAsia"/>
              </w:rPr>
              <w:t>（</w:t>
            </w:r>
            <w:r>
              <w:rPr>
                <w:rFonts w:hint="eastAsia"/>
                <w:lang w:val="en-US" w:eastAsia="zh-CN"/>
              </w:rPr>
              <w:t>3</w:t>
            </w:r>
            <w:r>
              <w:rPr>
                <w:rFonts w:hint="eastAsia"/>
              </w:rPr>
              <w:t>）为了减少工程施工噪声和灯光对野生动物的惊扰，应做好施工方式和时间的计划，并力求避免在晨昏、正午进行高噪声作业，在夜间开照高亮灯光施工。</w:t>
            </w:r>
          </w:p>
          <w:p w14:paraId="5E3BAB03">
            <w:pPr>
              <w:pStyle w:val="6"/>
              <w:rPr>
                <w:rFonts w:hint="eastAsia"/>
              </w:rPr>
            </w:pPr>
            <w:r>
              <w:rPr>
                <w:rFonts w:hint="eastAsia"/>
              </w:rPr>
              <w:t>（</w:t>
            </w:r>
            <w:r>
              <w:rPr>
                <w:rFonts w:hint="eastAsia"/>
                <w:lang w:val="en-US" w:eastAsia="zh-CN"/>
              </w:rPr>
              <w:t>4</w:t>
            </w:r>
            <w:r>
              <w:rPr>
                <w:rFonts w:hint="eastAsia"/>
              </w:rPr>
              <w:t>）采用人工降噪技术，尽量降低噪声的影响规模和程度，减少噪声对野生动物及鸟类的干扰。</w:t>
            </w:r>
          </w:p>
          <w:p w14:paraId="4F750B3C">
            <w:pPr>
              <w:pStyle w:val="4"/>
              <w:numPr>
                <w:ilvl w:val="2"/>
                <w:numId w:val="7"/>
              </w:numPr>
              <w:bidi w:val="0"/>
              <w:rPr>
                <w:rFonts w:hint="eastAsia"/>
              </w:rPr>
            </w:pPr>
            <w:bookmarkStart w:id="89" w:name="_Toc12395"/>
            <w:r>
              <w:rPr>
                <w:rFonts w:hint="eastAsia"/>
              </w:rPr>
              <w:t>水生生态保护措施</w:t>
            </w:r>
            <w:bookmarkEnd w:id="89"/>
          </w:p>
          <w:p w14:paraId="1702108A">
            <w:pPr>
              <w:pStyle w:val="6"/>
              <w:numPr>
                <w:ilvl w:val="0"/>
                <w:numId w:val="8"/>
              </w:numPr>
              <w:rPr>
                <w:rFonts w:hint="eastAsia"/>
                <w:color w:val="auto"/>
              </w:rPr>
            </w:pPr>
            <w:r>
              <w:rPr>
                <w:rFonts w:hint="eastAsia"/>
                <w:color w:val="auto"/>
              </w:rPr>
              <w:t>施工过程中工程建设业主应该充分认识到保护鱼类资源及其生存环境的重要性，施工前期要加强承包商和施工人员的环境保护、生物多样性保护的宣传教育工作。</w:t>
            </w:r>
            <w:r>
              <w:rPr>
                <w:rFonts w:hint="eastAsia"/>
                <w:color w:val="auto"/>
                <w:lang w:val="en-US" w:eastAsia="zh-CN"/>
              </w:rPr>
              <w:t>设置</w:t>
            </w:r>
            <w:r>
              <w:rPr>
                <w:rFonts w:hint="eastAsia"/>
                <w:color w:val="auto"/>
                <w:lang w:eastAsia="zh-CN"/>
              </w:rPr>
              <w:t>禁止下河捕鱼警示牌。</w:t>
            </w:r>
          </w:p>
          <w:p w14:paraId="6FDB9AB0">
            <w:pPr>
              <w:pStyle w:val="6"/>
              <w:numPr>
                <w:ilvl w:val="0"/>
                <w:numId w:val="8"/>
              </w:numPr>
              <w:rPr>
                <w:rFonts w:hint="eastAsia"/>
                <w:color w:val="auto"/>
              </w:rPr>
            </w:pPr>
            <w:r>
              <w:rPr>
                <w:rFonts w:hint="eastAsia"/>
                <w:color w:val="auto"/>
              </w:rPr>
              <w:t>施工用料通过外购解决，不得在河床采挖，以免改变鱼类的生境，保持河床的自然状态。</w:t>
            </w:r>
          </w:p>
          <w:p w14:paraId="7BF86B37">
            <w:pPr>
              <w:pStyle w:val="6"/>
              <w:numPr>
                <w:ilvl w:val="0"/>
                <w:numId w:val="8"/>
              </w:numPr>
              <w:rPr>
                <w:rFonts w:hint="eastAsia"/>
                <w:color w:val="auto"/>
              </w:rPr>
            </w:pPr>
            <w:r>
              <w:rPr>
                <w:rFonts w:hint="eastAsia"/>
                <w:color w:val="auto"/>
              </w:rPr>
              <w:t>工程建设</w:t>
            </w:r>
            <w:r>
              <w:rPr>
                <w:rFonts w:hint="eastAsia"/>
                <w:color w:val="auto"/>
                <w:lang w:eastAsia="zh-CN"/>
              </w:rPr>
              <w:t>噪声</w:t>
            </w:r>
            <w:r>
              <w:rPr>
                <w:rFonts w:hint="eastAsia"/>
                <w:color w:val="auto"/>
              </w:rPr>
              <w:t>会影响到鱼类活动。因此本工程的建设施工应尽量使用低噪声设备。</w:t>
            </w:r>
          </w:p>
          <w:p w14:paraId="09F9B57F">
            <w:pPr>
              <w:pStyle w:val="6"/>
              <w:numPr>
                <w:ilvl w:val="0"/>
                <w:numId w:val="8"/>
              </w:numPr>
              <w:rPr>
                <w:rFonts w:hint="eastAsia"/>
                <w:color w:val="auto"/>
              </w:rPr>
            </w:pPr>
            <w:r>
              <w:rPr>
                <w:rFonts w:hint="eastAsia"/>
                <w:color w:val="auto"/>
              </w:rPr>
              <w:t>本项目施工过程中的施工废水经沉淀后，回用于场地防尘洒水或</w:t>
            </w:r>
            <w:r>
              <w:rPr>
                <w:rFonts w:hint="eastAsia"/>
                <w:color w:val="auto"/>
                <w:lang w:val="en-US" w:eastAsia="zh-CN"/>
              </w:rPr>
              <w:t>混凝土拌合</w:t>
            </w:r>
            <w:r>
              <w:rPr>
                <w:rFonts w:hint="eastAsia"/>
                <w:color w:val="auto"/>
              </w:rPr>
              <w:t>等，不外排。施工办公生活在工程区就近民房租赁，产生的生活污水依托</w:t>
            </w:r>
            <w:r>
              <w:rPr>
                <w:rFonts w:hint="eastAsia"/>
                <w:color w:val="auto"/>
                <w:lang w:val="en-US" w:eastAsia="zh-CN"/>
              </w:rPr>
              <w:t>居民</w:t>
            </w:r>
            <w:r>
              <w:rPr>
                <w:rFonts w:hint="eastAsia"/>
                <w:color w:val="auto"/>
              </w:rPr>
              <w:t>旱厕回用，不外排。施工期不向</w:t>
            </w:r>
            <w:r>
              <w:rPr>
                <w:rFonts w:hint="eastAsia"/>
                <w:color w:val="auto"/>
                <w:lang w:val="en-US" w:eastAsia="zh-CN"/>
              </w:rPr>
              <w:t>天生河</w:t>
            </w:r>
            <w:r>
              <w:rPr>
                <w:rFonts w:hint="eastAsia"/>
                <w:color w:val="auto"/>
              </w:rPr>
              <w:t>倾倒废渣，减小施工废水对下游鱼类的影响。</w:t>
            </w:r>
          </w:p>
          <w:p w14:paraId="7794EA79">
            <w:pPr>
              <w:pStyle w:val="6"/>
              <w:numPr>
                <w:ilvl w:val="0"/>
                <w:numId w:val="8"/>
              </w:numPr>
              <w:rPr>
                <w:rFonts w:hint="eastAsia"/>
                <w:color w:val="auto"/>
                <w:lang w:val="en-US" w:eastAsia="zh-CN"/>
              </w:rPr>
            </w:pPr>
            <w:r>
              <w:rPr>
                <w:rFonts w:hint="eastAsia"/>
                <w:color w:val="auto"/>
              </w:rPr>
              <w:t>导流围堰使用结束后及时拆除，围堰拆除建筑垃圾禁止随意遗弃至河道。</w:t>
            </w:r>
            <w:r>
              <w:rPr>
                <w:rFonts w:hint="eastAsia"/>
                <w:color w:val="auto"/>
                <w:lang w:val="en-US" w:eastAsia="zh-CN"/>
              </w:rPr>
              <w:t>施工结束后恢复河道，河道内禁止遗留弃渣、建筑垃圾、生活垃圾。</w:t>
            </w:r>
          </w:p>
          <w:p w14:paraId="697F1770">
            <w:pPr>
              <w:pStyle w:val="6"/>
              <w:numPr>
                <w:ilvl w:val="0"/>
                <w:numId w:val="8"/>
              </w:numPr>
              <w:rPr>
                <w:rFonts w:hint="eastAsia"/>
                <w:color w:val="auto"/>
              </w:rPr>
            </w:pPr>
            <w:r>
              <w:rPr>
                <w:rFonts w:hint="eastAsia"/>
                <w:color w:val="auto"/>
              </w:rPr>
              <w:t>合理安排工程施工进度，</w:t>
            </w:r>
            <w:r>
              <w:rPr>
                <w:rFonts w:hint="eastAsia"/>
                <w:color w:val="auto"/>
                <w:lang w:val="en-US" w:eastAsia="zh-CN"/>
              </w:rPr>
              <w:t>涉水施工</w:t>
            </w:r>
            <w:r>
              <w:rPr>
                <w:rFonts w:hint="eastAsia"/>
                <w:color w:val="auto"/>
              </w:rPr>
              <w:t>应在枯水期内完成。禁止鱼类繁殖季节在近岸施工，禁止在夜间施工，白天应将噪声设备特别是挖掘机等做好消声隔声措施。</w:t>
            </w:r>
          </w:p>
          <w:p w14:paraId="3BB05081">
            <w:pPr>
              <w:pStyle w:val="4"/>
              <w:numPr>
                <w:ilvl w:val="2"/>
                <w:numId w:val="7"/>
              </w:numPr>
            </w:pPr>
            <w:bookmarkStart w:id="90" w:name="_Toc6030"/>
            <w:bookmarkStart w:id="91" w:name="_Toc193096560"/>
            <w:r>
              <w:rPr>
                <w:rFonts w:hint="eastAsia"/>
              </w:rPr>
              <w:t>施工期大气环境保护措施</w:t>
            </w:r>
            <w:bookmarkEnd w:id="90"/>
            <w:bookmarkEnd w:id="91"/>
          </w:p>
          <w:p w14:paraId="18D84C7F">
            <w:pPr>
              <w:pStyle w:val="6"/>
              <w:rPr>
                <w:rFonts w:hint="eastAsia"/>
              </w:rPr>
            </w:pPr>
            <w:r>
              <w:rPr>
                <w:rFonts w:hint="eastAsia"/>
              </w:rPr>
              <w:t>（1）施工扬尘防治措施</w:t>
            </w:r>
          </w:p>
          <w:p w14:paraId="02E5EF0A">
            <w:pPr>
              <w:pStyle w:val="6"/>
              <w:rPr>
                <w:rFonts w:hint="eastAsia"/>
              </w:rPr>
            </w:pPr>
            <w:r>
              <w:rPr>
                <w:rFonts w:hint="eastAsia"/>
                <w:lang w:val="en-US" w:eastAsia="zh-CN"/>
              </w:rPr>
              <w:t>①</w:t>
            </w:r>
            <w:r>
              <w:rPr>
                <w:rFonts w:hint="eastAsia"/>
              </w:rPr>
              <w:t>为防止施工产生扬尘污染，施工时应采用喷洒水的湿法作业方式，以降低作业面的扬尘污染，使用水车洒水可收到很好的降尘效果。在施工</w:t>
            </w:r>
            <w:r>
              <w:rPr>
                <w:rFonts w:hint="eastAsia"/>
                <w:lang w:val="en-US" w:eastAsia="zh-CN"/>
              </w:rPr>
              <w:t>工区</w:t>
            </w:r>
            <w:r>
              <w:rPr>
                <w:rFonts w:hint="eastAsia"/>
              </w:rPr>
              <w:t>每天洒水抑尘作业4～5次。</w:t>
            </w:r>
          </w:p>
          <w:p w14:paraId="509D149D">
            <w:pPr>
              <w:pStyle w:val="6"/>
              <w:rPr>
                <w:rFonts w:hint="eastAsia"/>
              </w:rPr>
            </w:pPr>
            <w:r>
              <w:rPr>
                <w:rFonts w:hint="eastAsia"/>
                <w:lang w:val="en-US" w:eastAsia="zh-CN"/>
              </w:rPr>
              <w:t>②在施工工区，</w:t>
            </w:r>
            <w:r>
              <w:rPr>
                <w:rFonts w:hint="eastAsia"/>
              </w:rPr>
              <w:t>对砂石、灰土</w:t>
            </w:r>
            <w:r>
              <w:rPr>
                <w:rFonts w:hint="eastAsia"/>
                <w:lang w:eastAsia="zh-CN"/>
              </w:rPr>
              <w:t>、</w:t>
            </w:r>
            <w:r>
              <w:rPr>
                <w:rFonts w:hint="eastAsia"/>
                <w:lang w:val="en-US" w:eastAsia="zh-CN"/>
              </w:rPr>
              <w:t>水泥</w:t>
            </w:r>
            <w:r>
              <w:rPr>
                <w:rFonts w:hint="eastAsia"/>
              </w:rPr>
              <w:t>等物料应采取遮盖等有效防尘措施，以减少扬尘造成的大气污染。</w:t>
            </w:r>
          </w:p>
          <w:p w14:paraId="7F5E4AF3">
            <w:pPr>
              <w:pStyle w:val="6"/>
              <w:rPr>
                <w:rFonts w:hint="eastAsia"/>
              </w:rPr>
            </w:pPr>
            <w:r>
              <w:rPr>
                <w:rFonts w:hint="eastAsia"/>
                <w:lang w:val="en-US" w:eastAsia="zh-CN"/>
              </w:rPr>
              <w:t>③</w:t>
            </w:r>
            <w:r>
              <w:rPr>
                <w:rFonts w:hint="eastAsia"/>
              </w:rPr>
              <w:t>为避免物料铺设过程中，在有风气象条件下产生扬尘对环境敏感点的不良影响，以湿料形式运至各施工点，以减少扬尘发生。湿料应随运随用，并压实，防止飞灰扩散。</w:t>
            </w:r>
          </w:p>
          <w:p w14:paraId="1FBDD37E">
            <w:pPr>
              <w:pStyle w:val="6"/>
              <w:rPr>
                <w:rFonts w:hint="default" w:eastAsia="宋体"/>
                <w:lang w:val="en-US" w:eastAsia="zh-CN"/>
              </w:rPr>
            </w:pPr>
            <w:r>
              <w:rPr>
                <w:rFonts w:hint="eastAsia"/>
                <w:lang w:val="en-US" w:eastAsia="zh-CN"/>
              </w:rPr>
              <w:t>④</w:t>
            </w:r>
            <w:r>
              <w:rPr>
                <w:rFonts w:hint="eastAsia"/>
              </w:rPr>
              <w:t>保持车辆出入口路面清洁、湿润，以减少汽车轮胎与路面接触而引起的地面扬尘污染，并尽量减缓行驶车</w:t>
            </w:r>
            <w:r>
              <w:rPr>
                <w:rFonts w:hint="eastAsia"/>
                <w:color w:val="auto"/>
              </w:rPr>
              <w:t>速。</w:t>
            </w:r>
            <w:r>
              <w:rPr>
                <w:rFonts w:hint="eastAsia"/>
                <w:color w:val="auto"/>
                <w:lang w:val="en-US" w:eastAsia="zh-CN"/>
              </w:rPr>
              <w:t>设置施工车辆冲洗设施，禁止施工车辆带泥上路。</w:t>
            </w:r>
          </w:p>
          <w:p w14:paraId="218124D4">
            <w:pPr>
              <w:pStyle w:val="6"/>
              <w:rPr>
                <w:rFonts w:hint="eastAsia"/>
              </w:rPr>
            </w:pPr>
            <w:r>
              <w:rPr>
                <w:rFonts w:hint="eastAsia"/>
                <w:lang w:val="en-US" w:eastAsia="zh-CN"/>
              </w:rPr>
              <w:t>⑤</w:t>
            </w:r>
            <w:r>
              <w:rPr>
                <w:rFonts w:hint="eastAsia"/>
              </w:rPr>
              <w:t>运输沙、石、水泥、垃圾的车辆装载高度应低于车厢上沿，不得超高超载。实行遮盖运输，以免车辆颠簸撒漏。坚持文明装卸，避免袋装水泥撒包。</w:t>
            </w:r>
          </w:p>
          <w:p w14:paraId="231FA140">
            <w:pPr>
              <w:pStyle w:val="6"/>
              <w:rPr>
                <w:rFonts w:hint="eastAsia"/>
              </w:rPr>
            </w:pPr>
            <w:r>
              <w:rPr>
                <w:rFonts w:hint="eastAsia"/>
                <w:lang w:val="en-US" w:eastAsia="zh-CN"/>
              </w:rPr>
              <w:t>⑥</w:t>
            </w:r>
            <w:r>
              <w:rPr>
                <w:rFonts w:hint="eastAsia"/>
              </w:rPr>
              <w:t>对施工场地建围墙实施围挡。场内堆料区要实施严格的苫盖措施，同时加强作业区内的洒水降尘，增加洒水频次。</w:t>
            </w:r>
          </w:p>
          <w:p w14:paraId="0E92DC14">
            <w:pPr>
              <w:pStyle w:val="6"/>
              <w:rPr>
                <w:rFonts w:hint="eastAsia"/>
              </w:rPr>
            </w:pPr>
            <w:r>
              <w:rPr>
                <w:rFonts w:hint="eastAsia"/>
                <w:lang w:val="en-US" w:eastAsia="zh-CN"/>
              </w:rPr>
              <w:t>⑦</w:t>
            </w:r>
            <w:r>
              <w:rPr>
                <w:rFonts w:hint="eastAsia"/>
              </w:rPr>
              <w:t>对项目堤线施工开挖土方的临时堆存采取苫盖和围挡措施。堆放场设置土草袋防护，以彩条布覆盖，减少土方的露天堆放时间。</w:t>
            </w:r>
          </w:p>
          <w:p w14:paraId="4573DD66">
            <w:pPr>
              <w:pStyle w:val="6"/>
              <w:rPr>
                <w:rFonts w:hint="eastAsia"/>
              </w:rPr>
            </w:pPr>
            <w:r>
              <w:rPr>
                <w:rFonts w:hint="eastAsia"/>
              </w:rPr>
              <w:t>（2）燃油废气防治措施</w:t>
            </w:r>
          </w:p>
          <w:p w14:paraId="162777C8">
            <w:pPr>
              <w:pStyle w:val="6"/>
              <w:rPr>
                <w:rFonts w:hint="eastAsia"/>
              </w:rPr>
            </w:pPr>
            <w:r>
              <w:rPr>
                <w:rFonts w:hint="eastAsia"/>
                <w:lang w:val="en-US" w:eastAsia="zh-CN"/>
              </w:rPr>
              <w:t>①</w:t>
            </w:r>
            <w:r>
              <w:rPr>
                <w:rFonts w:hint="eastAsia"/>
              </w:rPr>
              <w:t>施工中选择排气污染物稳定且达到国家规定排放标准的施工机械，使之处于良好运行状态。</w:t>
            </w:r>
          </w:p>
          <w:p w14:paraId="7A2F31CF">
            <w:pPr>
              <w:pStyle w:val="6"/>
              <w:rPr>
                <w:rFonts w:hint="eastAsia"/>
              </w:rPr>
            </w:pPr>
            <w:r>
              <w:rPr>
                <w:rFonts w:hint="eastAsia"/>
                <w:lang w:val="en-US" w:eastAsia="zh-CN"/>
              </w:rPr>
              <w:t>②</w:t>
            </w:r>
            <w:r>
              <w:rPr>
                <w:rFonts w:hint="eastAsia"/>
              </w:rPr>
              <w:t>加强施工机械和车辆的维护和保养，经常施工中选择排气污染物稳定且达到国家规定排放标准的施工机械，使之处于良好运行状态。</w:t>
            </w:r>
          </w:p>
          <w:p w14:paraId="5BDBDCD9">
            <w:pPr>
              <w:pStyle w:val="6"/>
              <w:numPr>
                <w:ilvl w:val="0"/>
                <w:numId w:val="6"/>
              </w:numPr>
              <w:ind w:left="0" w:leftChars="0" w:firstLine="480" w:firstLineChars="200"/>
              <w:rPr>
                <w:rFonts w:hint="eastAsia"/>
                <w:color w:val="auto"/>
                <w:lang w:val="en-US" w:eastAsia="zh-CN"/>
              </w:rPr>
            </w:pPr>
            <w:r>
              <w:rPr>
                <w:rFonts w:hint="eastAsia"/>
                <w:color w:val="auto"/>
                <w:lang w:val="en-US" w:eastAsia="zh-CN"/>
              </w:rPr>
              <w:t>河道疏浚臭气</w:t>
            </w:r>
          </w:p>
          <w:p w14:paraId="2DA6E407">
            <w:pPr>
              <w:pStyle w:val="6"/>
              <w:rPr>
                <w:rFonts w:hint="eastAsia"/>
                <w:color w:val="auto"/>
                <w:lang w:val="en-US" w:eastAsia="zh-CN"/>
              </w:rPr>
            </w:pPr>
            <w:r>
              <w:rPr>
                <w:rFonts w:hint="eastAsia"/>
                <w:lang w:val="en-US" w:eastAsia="zh-CN"/>
              </w:rPr>
              <w:t>本项目清淤物主要以无机砂砾石为主，基本不含有机河底淤泥，开挖淤料就近在河滩晾干后用于堤身和围堰填筑。晾晒干化期间产生的恶臭较小，项目施工场地开阔，通风良好，且施工时间有限，恶臭影响将会随着施工结束而消失，对周边环境影响较小，但项目位于天生镇周边，本评价要求清淤砂石滤水后及时用于堤防工程填筑，禁止长期堆放在河道边。</w:t>
            </w:r>
          </w:p>
          <w:p w14:paraId="4AC7C325">
            <w:pPr>
              <w:pStyle w:val="4"/>
              <w:numPr>
                <w:ilvl w:val="2"/>
                <w:numId w:val="7"/>
              </w:numPr>
            </w:pPr>
            <w:bookmarkStart w:id="92" w:name="_Toc193096561"/>
            <w:bookmarkStart w:id="93" w:name="_Toc15584"/>
            <w:r>
              <w:rPr>
                <w:rFonts w:hint="eastAsia"/>
              </w:rPr>
              <w:t>施工期地表水环境保护措施</w:t>
            </w:r>
            <w:bookmarkEnd w:id="92"/>
            <w:bookmarkEnd w:id="93"/>
          </w:p>
          <w:p w14:paraId="7DD22731">
            <w:pPr>
              <w:pStyle w:val="6"/>
              <w:numPr>
                <w:ilvl w:val="0"/>
                <w:numId w:val="9"/>
              </w:numPr>
              <w:rPr>
                <w:rFonts w:hint="eastAsia"/>
              </w:rPr>
            </w:pPr>
            <w:r>
              <w:rPr>
                <w:rFonts w:hint="eastAsia"/>
                <w:lang w:val="en-US" w:eastAsia="zh-CN"/>
              </w:rPr>
              <w:t>生活污水：施工场地生活污水依托附近民宅既有污水处理设施收集处理，不外排</w:t>
            </w:r>
            <w:r>
              <w:rPr>
                <w:rFonts w:hint="eastAsia"/>
              </w:rPr>
              <w:t>。</w:t>
            </w:r>
          </w:p>
          <w:p w14:paraId="4C02C700">
            <w:pPr>
              <w:pStyle w:val="6"/>
              <w:rPr>
                <w:rFonts w:hint="eastAsia"/>
                <w:lang w:eastAsia="zh-CN"/>
              </w:rPr>
            </w:pPr>
            <w:r>
              <w:rPr>
                <w:rFonts w:hint="eastAsia"/>
              </w:rPr>
              <w:t>（2）混凝土拌合系统废水</w:t>
            </w:r>
            <w:r>
              <w:rPr>
                <w:rFonts w:hint="eastAsia"/>
                <w:lang w:eastAsia="zh-CN"/>
              </w:rPr>
              <w:t>：项目在混凝土搅拌现场内设置简易</w:t>
            </w:r>
            <w:r>
              <w:rPr>
                <w:rFonts w:hint="eastAsia"/>
                <w:lang w:val="en-US" w:eastAsia="zh-CN"/>
              </w:rPr>
              <w:t>隔油</w:t>
            </w:r>
            <w:r>
              <w:rPr>
                <w:rFonts w:hint="eastAsia"/>
                <w:lang w:eastAsia="zh-CN"/>
              </w:rPr>
              <w:t>沉淀池（设计处理能力不小于</w:t>
            </w:r>
            <w:r>
              <w:rPr>
                <w:rFonts w:hint="eastAsia"/>
                <w:lang w:val="en-US" w:eastAsia="zh-CN"/>
              </w:rPr>
              <w:t>2</w:t>
            </w:r>
            <w:r>
              <w:rPr>
                <w:rFonts w:hint="eastAsia"/>
                <w:lang w:eastAsia="zh-CN"/>
              </w:rPr>
              <w:t>.0m</w:t>
            </w:r>
            <w:r>
              <w:rPr>
                <w:rFonts w:hint="eastAsia"/>
                <w:vertAlign w:val="superscript"/>
                <w:lang w:eastAsia="zh-CN"/>
              </w:rPr>
              <w:t>3</w:t>
            </w:r>
            <w:r>
              <w:rPr>
                <w:rFonts w:hint="eastAsia"/>
                <w:lang w:eastAsia="zh-CN"/>
              </w:rPr>
              <w:t>/d），废水经沉淀处理后全部回用于混凝土拌合系统，不外排。</w:t>
            </w:r>
          </w:p>
          <w:p w14:paraId="6907AC93">
            <w:pPr>
              <w:pStyle w:val="6"/>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机械设备冲洗废水：项目在施工场地内设置简易隔油沉淀池（设计处理能力不小于2.0m</w:t>
            </w:r>
            <w:r>
              <w:rPr>
                <w:rFonts w:hint="eastAsia"/>
                <w:vertAlign w:val="superscript"/>
                <w:lang w:val="en-US" w:eastAsia="zh-CN"/>
              </w:rPr>
              <w:t>3</w:t>
            </w:r>
            <w:r>
              <w:rPr>
                <w:rFonts w:hint="eastAsia"/>
                <w:lang w:val="en-US" w:eastAsia="zh-CN"/>
              </w:rPr>
              <w:t>/d），废水经隔油、沉淀处理后全部回用于施工场地洒水抑尘，不外排。</w:t>
            </w:r>
          </w:p>
          <w:p w14:paraId="779DF5C0">
            <w:pPr>
              <w:pStyle w:val="6"/>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基坑排水</w:t>
            </w:r>
            <w:r>
              <w:rPr>
                <w:rFonts w:hint="eastAsia"/>
                <w:color w:val="auto"/>
                <w:lang w:eastAsia="zh-CN"/>
              </w:rPr>
              <w:t>：项目废水抽排至沉淀池</w:t>
            </w:r>
            <w:r>
              <w:rPr>
                <w:rFonts w:hint="eastAsia" w:ascii="Times New Roman" w:eastAsia="宋体"/>
                <w:color w:val="auto"/>
                <w:lang w:val="en-US" w:eastAsia="zh-CN"/>
              </w:rPr>
              <w:t>（设计处理能力不小于2.0m</w:t>
            </w:r>
            <w:r>
              <w:rPr>
                <w:rFonts w:hint="eastAsia" w:ascii="Times New Roman" w:eastAsia="宋体"/>
                <w:color w:val="auto"/>
                <w:vertAlign w:val="superscript"/>
                <w:lang w:val="en-US" w:eastAsia="zh-CN"/>
              </w:rPr>
              <w:t>3</w:t>
            </w:r>
            <w:r>
              <w:rPr>
                <w:rFonts w:hint="eastAsia" w:ascii="Times New Roman" w:eastAsia="宋体"/>
                <w:color w:val="auto"/>
                <w:lang w:val="en-US" w:eastAsia="zh-CN"/>
              </w:rPr>
              <w:t>/d）</w:t>
            </w:r>
            <w:r>
              <w:rPr>
                <w:rFonts w:hint="eastAsia"/>
                <w:color w:val="auto"/>
                <w:lang w:eastAsia="zh-CN"/>
              </w:rPr>
              <w:t>，经沉淀处理后回用于施工场地洒水抑尘或混凝土养护，不外排。</w:t>
            </w:r>
          </w:p>
          <w:p w14:paraId="3C55445E">
            <w:pPr>
              <w:pStyle w:val="6"/>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ascii="Times New Roman" w:hAnsi="Times New Roman"/>
                <w:color w:val="auto"/>
                <w:lang w:val="en-US" w:eastAsia="zh-CN"/>
              </w:rPr>
              <w:t>河道</w:t>
            </w:r>
            <w:r>
              <w:rPr>
                <w:rFonts w:hint="eastAsia"/>
                <w:color w:val="auto"/>
                <w:lang w:val="en-US" w:eastAsia="zh-CN"/>
              </w:rPr>
              <w:t>疏浚</w:t>
            </w:r>
            <w:r>
              <w:rPr>
                <w:rFonts w:hint="eastAsia" w:ascii="Times New Roman" w:hAnsi="Times New Roman"/>
                <w:color w:val="auto"/>
                <w:lang w:val="en-US" w:eastAsia="zh-CN"/>
              </w:rPr>
              <w:t>滤水</w:t>
            </w:r>
            <w:r>
              <w:rPr>
                <w:rFonts w:hint="eastAsia"/>
                <w:color w:val="auto"/>
                <w:lang w:val="en-US" w:eastAsia="zh-CN"/>
              </w:rPr>
              <w:t>：疏浚料堆放于临时堆料场，堆放过程会产生滤水，污染物主要是SS。疏浚料堆放区设置排水沟，经沉淀池</w:t>
            </w:r>
            <w:r>
              <w:rPr>
                <w:rFonts w:hint="eastAsia" w:ascii="Times New Roman" w:eastAsia="宋体"/>
                <w:color w:val="auto"/>
                <w:lang w:val="en-US" w:eastAsia="zh-CN"/>
              </w:rPr>
              <w:t>（设计处理能力不小于</w:t>
            </w:r>
            <w:r>
              <w:rPr>
                <w:rFonts w:hint="eastAsia"/>
                <w:color w:val="auto"/>
                <w:lang w:val="en-US" w:eastAsia="zh-CN"/>
              </w:rPr>
              <w:t>2</w:t>
            </w:r>
            <w:r>
              <w:rPr>
                <w:rFonts w:hint="eastAsia" w:ascii="Times New Roman"/>
                <w:color w:val="auto"/>
                <w:lang w:val="en-US" w:eastAsia="zh-CN"/>
              </w:rPr>
              <w:t>.0</w:t>
            </w:r>
            <w:r>
              <w:rPr>
                <w:rFonts w:hint="eastAsia" w:ascii="Times New Roman" w:eastAsia="宋体"/>
                <w:color w:val="auto"/>
                <w:lang w:val="en-US" w:eastAsia="zh-CN"/>
              </w:rPr>
              <w:t>m</w:t>
            </w:r>
            <w:r>
              <w:rPr>
                <w:rFonts w:hint="eastAsia" w:ascii="Times New Roman" w:eastAsia="宋体"/>
                <w:color w:val="auto"/>
                <w:vertAlign w:val="superscript"/>
                <w:lang w:val="en-US" w:eastAsia="zh-CN"/>
              </w:rPr>
              <w:t>3</w:t>
            </w:r>
            <w:r>
              <w:rPr>
                <w:rFonts w:hint="eastAsia" w:ascii="Times New Roman" w:eastAsia="宋体"/>
                <w:color w:val="auto"/>
                <w:lang w:val="en-US" w:eastAsia="zh-CN"/>
              </w:rPr>
              <w:t>/d）</w:t>
            </w:r>
            <w:r>
              <w:rPr>
                <w:rFonts w:hint="eastAsia"/>
                <w:color w:val="auto"/>
                <w:lang w:val="en-US" w:eastAsia="zh-CN"/>
              </w:rPr>
              <w:t>处理后回用于施工场地洒水抑尘，不外排。</w:t>
            </w:r>
          </w:p>
          <w:p w14:paraId="42E9E4B9">
            <w:pPr>
              <w:pStyle w:val="6"/>
              <w:rPr>
                <w:rFonts w:hint="eastAsia"/>
              </w:rPr>
            </w:pPr>
            <w:r>
              <w:rPr>
                <w:rFonts w:hint="eastAsia"/>
              </w:rPr>
              <w:t>（</w:t>
            </w:r>
            <w:r>
              <w:rPr>
                <w:rFonts w:hint="eastAsia"/>
                <w:lang w:val="en-US" w:eastAsia="zh-CN"/>
              </w:rPr>
              <w:t>6</w:t>
            </w:r>
            <w:r>
              <w:rPr>
                <w:rFonts w:hint="eastAsia"/>
              </w:rPr>
              <w:t>）基础开挖在枯水期施工；合理安排施工组织，开挖期间尽量减少对河道底部的搅动，并采取防扩散和泄漏措施，保证高浓度吸入，避免处于悬浮状态的污染物对周围水体造成污染；提高定位精度和开挖精度，尽量减少超挖量，减轻对水体的扰动。</w:t>
            </w:r>
          </w:p>
          <w:p w14:paraId="26A05C01">
            <w:pPr>
              <w:pStyle w:val="4"/>
              <w:numPr>
                <w:ilvl w:val="2"/>
                <w:numId w:val="7"/>
              </w:numPr>
            </w:pPr>
            <w:bookmarkStart w:id="94" w:name="_Toc193096562"/>
            <w:bookmarkStart w:id="95" w:name="_Toc27439"/>
            <w:r>
              <w:rPr>
                <w:rFonts w:hint="eastAsia"/>
              </w:rPr>
              <w:t>施工期声环境保护措施</w:t>
            </w:r>
            <w:bookmarkEnd w:id="94"/>
            <w:bookmarkEnd w:id="95"/>
          </w:p>
          <w:p w14:paraId="4762D712">
            <w:pPr>
              <w:pStyle w:val="6"/>
              <w:rPr>
                <w:rFonts w:hint="eastAsia"/>
                <w:lang w:eastAsia="zh-CN"/>
              </w:rPr>
            </w:pPr>
            <w:r>
              <w:rPr>
                <w:rFonts w:hint="eastAsia"/>
                <w:lang w:eastAsia="zh-CN"/>
              </w:rPr>
              <w:t>（</w:t>
            </w:r>
            <w:r>
              <w:rPr>
                <w:rFonts w:hint="eastAsia"/>
                <w:lang w:val="en-US" w:eastAsia="zh-CN"/>
              </w:rPr>
              <w:t>1</w:t>
            </w:r>
            <w:r>
              <w:rPr>
                <w:rFonts w:hint="eastAsia"/>
                <w:lang w:eastAsia="zh-CN"/>
              </w:rPr>
              <w:t>）合理安排施工时间。土石方开挖等强噪声施工作业安排在昼间进行，</w:t>
            </w:r>
            <w:r>
              <w:rPr>
                <w:rFonts w:hint="eastAsia"/>
                <w:lang w:val="en-US" w:eastAsia="zh-CN"/>
              </w:rPr>
              <w:t>尽量避免高噪声机械设备在午休时间施工</w:t>
            </w:r>
            <w:r>
              <w:rPr>
                <w:rFonts w:hint="eastAsia"/>
                <w:lang w:eastAsia="zh-CN"/>
              </w:rPr>
              <w:t>。</w:t>
            </w:r>
          </w:p>
          <w:p w14:paraId="50E0230A">
            <w:pPr>
              <w:pStyle w:val="6"/>
              <w:rPr>
                <w:rFonts w:hint="eastAsia"/>
                <w:lang w:eastAsia="zh-CN"/>
              </w:rPr>
            </w:pPr>
            <w:r>
              <w:rPr>
                <w:rFonts w:hint="eastAsia"/>
                <w:lang w:eastAsia="zh-CN"/>
              </w:rPr>
              <w:t>（</w:t>
            </w:r>
            <w:r>
              <w:rPr>
                <w:rFonts w:hint="eastAsia"/>
                <w:lang w:val="en-US" w:eastAsia="zh-CN"/>
              </w:rPr>
              <w:t>2</w:t>
            </w:r>
            <w:r>
              <w:rPr>
                <w:rFonts w:hint="eastAsia"/>
                <w:lang w:eastAsia="zh-CN"/>
              </w:rPr>
              <w:t>）大型机械应尽量远离</w:t>
            </w:r>
            <w:r>
              <w:rPr>
                <w:rFonts w:hint="eastAsia"/>
                <w:lang w:val="en-US" w:eastAsia="zh-CN"/>
              </w:rPr>
              <w:t>环境保护目标</w:t>
            </w:r>
            <w:r>
              <w:rPr>
                <w:rFonts w:hint="eastAsia"/>
                <w:lang w:eastAsia="zh-CN"/>
              </w:rPr>
              <w:t>，在居民住宅附近施工时，应设置围挡，并加快施工进度，尽量减少对</w:t>
            </w:r>
            <w:r>
              <w:rPr>
                <w:rFonts w:hint="eastAsia"/>
                <w:lang w:val="en-US" w:eastAsia="zh-CN"/>
              </w:rPr>
              <w:t>环境保护目标</w:t>
            </w:r>
            <w:r>
              <w:rPr>
                <w:rFonts w:hint="eastAsia"/>
                <w:lang w:eastAsia="zh-CN"/>
              </w:rPr>
              <w:t>的影响时间。</w:t>
            </w:r>
          </w:p>
          <w:p w14:paraId="78FBF6A1">
            <w:pPr>
              <w:pStyle w:val="6"/>
              <w:rPr>
                <w:rFonts w:hint="eastAsia"/>
                <w:lang w:eastAsia="zh-CN"/>
              </w:rPr>
            </w:pPr>
            <w:r>
              <w:rPr>
                <w:rFonts w:hint="eastAsia"/>
                <w:lang w:eastAsia="zh-CN"/>
              </w:rPr>
              <w:t>（</w:t>
            </w:r>
            <w:r>
              <w:rPr>
                <w:rFonts w:hint="eastAsia"/>
                <w:lang w:val="en-US" w:eastAsia="zh-CN"/>
              </w:rPr>
              <w:t>3</w:t>
            </w:r>
            <w:r>
              <w:rPr>
                <w:rFonts w:hint="eastAsia"/>
                <w:lang w:eastAsia="zh-CN"/>
              </w:rPr>
              <w:t>）选用符合环保规定的低噪声机械设备，同时在施工过程中施工单位须设专人对设备进行定期保养和维护，并负责对现场工作人员进行培训，严格按操作规范使用各类机械。对振动大的机械设备安装减振垫。</w:t>
            </w:r>
          </w:p>
          <w:p w14:paraId="62B6B351">
            <w:pPr>
              <w:pStyle w:val="6"/>
              <w:rPr>
                <w:rFonts w:hint="eastAsia"/>
                <w:lang w:eastAsia="zh-CN"/>
              </w:rPr>
            </w:pPr>
            <w:r>
              <w:rPr>
                <w:rFonts w:hint="eastAsia"/>
                <w:lang w:eastAsia="zh-CN"/>
              </w:rPr>
              <w:t>（</w:t>
            </w:r>
            <w:r>
              <w:rPr>
                <w:rFonts w:hint="eastAsia"/>
                <w:lang w:val="en-US" w:eastAsia="zh-CN"/>
              </w:rPr>
              <w:t>4</w:t>
            </w:r>
            <w:r>
              <w:rPr>
                <w:rFonts w:hint="eastAsia"/>
                <w:lang w:eastAsia="zh-CN"/>
              </w:rPr>
              <w:t>）高噪声施工场所尽量布置在远离环境敏感点的区域，空压机等高噪声设备布置在房间内进行隔声降噪。</w:t>
            </w:r>
          </w:p>
          <w:p w14:paraId="6E71CA75">
            <w:pPr>
              <w:pStyle w:val="6"/>
              <w:rPr>
                <w:rFonts w:hint="eastAsia"/>
              </w:rPr>
            </w:pPr>
            <w:r>
              <w:rPr>
                <w:rFonts w:hint="eastAsia"/>
                <w:lang w:eastAsia="zh-CN"/>
              </w:rPr>
              <w:t>（</w:t>
            </w:r>
            <w:r>
              <w:rPr>
                <w:rFonts w:hint="eastAsia"/>
                <w:lang w:val="en-US" w:eastAsia="zh-CN"/>
              </w:rPr>
              <w:t>5</w:t>
            </w:r>
            <w:r>
              <w:rPr>
                <w:rFonts w:hint="eastAsia"/>
                <w:lang w:eastAsia="zh-CN"/>
              </w:rPr>
              <w:t>）</w:t>
            </w:r>
            <w:r>
              <w:rPr>
                <w:rFonts w:hint="eastAsia"/>
              </w:rPr>
              <w:t>物料运输应尽量安排在昼间进行，运输过程经过居民住宅时采取缓速、禁鸣等措施，并在场区进、出口应安排专人负责车辆组织和指挥，合理疏导防止引起交通阻塞和交通噪声影响。</w:t>
            </w:r>
          </w:p>
          <w:p w14:paraId="1CD06E28">
            <w:pPr>
              <w:pStyle w:val="6"/>
            </w:pPr>
            <w:r>
              <w:rPr>
                <w:rFonts w:hint="eastAsia"/>
                <w:lang w:eastAsia="zh-CN"/>
              </w:rPr>
              <w:t>（</w:t>
            </w:r>
            <w:r>
              <w:rPr>
                <w:rFonts w:hint="eastAsia"/>
                <w:lang w:val="en-US" w:eastAsia="zh-CN"/>
              </w:rPr>
              <w:t>6</w:t>
            </w:r>
            <w:r>
              <w:rPr>
                <w:rFonts w:hint="eastAsia"/>
                <w:lang w:eastAsia="zh-CN"/>
              </w:rPr>
              <w:t>）</w:t>
            </w:r>
            <w:r>
              <w:rPr>
                <w:rFonts w:hint="eastAsia"/>
              </w:rPr>
              <w:t>施工前应进行公示，与周围进行有效沟通，取得其理解。同时建设单位应要求施工单位在现场张贴通告和投诉电话，建设单位在接到投诉电话后及时与当地环保部门联系，及时处理各种环境纠纷。</w:t>
            </w:r>
          </w:p>
          <w:p w14:paraId="1231B1FC">
            <w:pPr>
              <w:pStyle w:val="4"/>
              <w:numPr>
                <w:ilvl w:val="2"/>
                <w:numId w:val="7"/>
              </w:numPr>
            </w:pPr>
            <w:bookmarkStart w:id="96" w:name="_Toc14881"/>
            <w:bookmarkStart w:id="97" w:name="_Toc193096563"/>
            <w:r>
              <w:rPr>
                <w:rFonts w:hint="eastAsia"/>
              </w:rPr>
              <w:t>施工期固体废物保护措施</w:t>
            </w:r>
            <w:bookmarkEnd w:id="96"/>
            <w:bookmarkEnd w:id="97"/>
          </w:p>
          <w:p w14:paraId="7F5466F5">
            <w:pPr>
              <w:pStyle w:val="6"/>
              <w:numPr>
                <w:ilvl w:val="0"/>
                <w:numId w:val="10"/>
              </w:numPr>
              <w:rPr>
                <w:rFonts w:hint="eastAsia"/>
                <w:lang w:val="en-US" w:eastAsia="zh-CN"/>
              </w:rPr>
            </w:pPr>
            <w:r>
              <w:rPr>
                <w:rFonts w:hint="eastAsia"/>
                <w:lang w:eastAsia="zh-CN"/>
              </w:rPr>
              <w:t>项目</w:t>
            </w:r>
            <w:r>
              <w:rPr>
                <w:rFonts w:hint="eastAsia"/>
                <w:lang w:val="en-US" w:eastAsia="zh-CN"/>
              </w:rPr>
              <w:t>弃渣主要来源于清淤疏浚、围堰拆除，土石方不得随意堆放，回填方及时清运回填，弃渣运至河道两侧堆填。</w:t>
            </w:r>
          </w:p>
          <w:p w14:paraId="18811757">
            <w:pPr>
              <w:pStyle w:val="6"/>
              <w:numPr>
                <w:ilvl w:val="0"/>
                <w:numId w:val="10"/>
              </w:numPr>
              <w:rPr>
                <w:rFonts w:hint="eastAsia"/>
                <w:lang w:val="en-US" w:eastAsia="zh-CN"/>
              </w:rPr>
            </w:pPr>
            <w:r>
              <w:rPr>
                <w:rFonts w:hint="eastAsia"/>
                <w:lang w:val="en-US" w:eastAsia="zh-CN"/>
              </w:rPr>
              <w:t>建筑垃圾能回收利用的首先进行回收利用，不能回收利用的运至合法弃渣场处置。</w:t>
            </w:r>
          </w:p>
          <w:p w14:paraId="5E4FD2FF">
            <w:pPr>
              <w:pStyle w:val="6"/>
              <w:numPr>
                <w:ilvl w:val="0"/>
                <w:numId w:val="10"/>
              </w:numPr>
              <w:rPr>
                <w:rFonts w:hint="default"/>
                <w:lang w:val="en-US"/>
              </w:rPr>
            </w:pPr>
            <w:r>
              <w:rPr>
                <w:rFonts w:hint="eastAsia"/>
                <w:lang w:val="en-US" w:eastAsia="zh-CN"/>
              </w:rPr>
              <w:t>施工场地内设置生活垃圾收集桶对施工人员产生的生活垃圾进行收集，定期由当地环卫部门进行收运处置。</w:t>
            </w:r>
          </w:p>
          <w:p w14:paraId="7512CD97">
            <w:pPr>
              <w:pStyle w:val="4"/>
              <w:numPr>
                <w:ilvl w:val="2"/>
                <w:numId w:val="7"/>
              </w:numPr>
            </w:pPr>
            <w:r>
              <w:rPr>
                <w:rFonts w:hint="eastAsia"/>
              </w:rPr>
              <w:t>施工期</w:t>
            </w:r>
            <w:r>
              <w:rPr>
                <w:rFonts w:hint="eastAsia"/>
                <w:lang w:val="en-US" w:eastAsia="zh-CN"/>
              </w:rPr>
              <w:t>环境风险防范</w:t>
            </w:r>
            <w:r>
              <w:rPr>
                <w:rFonts w:hint="eastAsia"/>
              </w:rPr>
              <w:t>措施</w:t>
            </w:r>
          </w:p>
          <w:p w14:paraId="36172902">
            <w:pPr>
              <w:pStyle w:val="6"/>
              <w:rPr>
                <w:rFonts w:hint="eastAsia"/>
                <w:lang w:val="en-US" w:eastAsia="zh-CN"/>
              </w:rPr>
            </w:pPr>
            <w:r>
              <w:rPr>
                <w:rFonts w:hint="eastAsia"/>
                <w:lang w:val="en-US" w:eastAsia="zh-CN"/>
              </w:rPr>
              <w:t>项目区域在施工过程中将涉及一定量的油料，属于易燃易爆物质，在运输和储存过程中，或由于操作不规范，可能引发一定的事故风险；工程施工或特殊气象条件，也可能造成滑坡或开挖面局部蹋跨，从而造成一定的环境风险；施工期间设备漏油进入土壤环境、河道水环境，对土壤和水环境产生污染。故应做好以下风险防护与减缓措施：</w:t>
            </w:r>
          </w:p>
          <w:p w14:paraId="6A6A6946">
            <w:pPr>
              <w:pStyle w:val="6"/>
              <w:rPr>
                <w:rFonts w:hint="eastAsia"/>
                <w:lang w:val="en-US" w:eastAsia="zh-CN"/>
              </w:rPr>
            </w:pPr>
            <w:r>
              <w:rPr>
                <w:rFonts w:hint="eastAsia"/>
                <w:lang w:val="en-US" w:eastAsia="zh-CN"/>
              </w:rPr>
              <w:t>①建立以本项目建设环境保护领导小组为核心的责任制，层层签订责任书，明确各级环保人员应承担的环境风险管理责任。</w:t>
            </w:r>
          </w:p>
          <w:p w14:paraId="4A209223">
            <w:pPr>
              <w:pStyle w:val="6"/>
              <w:rPr>
                <w:rFonts w:hint="eastAsia"/>
                <w:lang w:val="en-US" w:eastAsia="zh-CN"/>
              </w:rPr>
            </w:pPr>
            <w:r>
              <w:rPr>
                <w:rFonts w:hint="eastAsia"/>
                <w:lang w:val="en-US" w:eastAsia="zh-CN"/>
              </w:rPr>
              <w:t>②环境保护领导小组应加强各施工队伍的环境风险意识的宣传教育，并与油料的承包方签订事故责任合同，建立岗位责任制，明确管理责任。</w:t>
            </w:r>
          </w:p>
          <w:p w14:paraId="0C72AA79">
            <w:pPr>
              <w:pStyle w:val="6"/>
              <w:rPr>
                <w:rFonts w:hint="eastAsia"/>
                <w:lang w:val="en-US" w:eastAsia="zh-CN"/>
              </w:rPr>
            </w:pPr>
            <w:r>
              <w:rPr>
                <w:rFonts w:hint="eastAsia"/>
                <w:lang w:val="en-US" w:eastAsia="zh-CN"/>
              </w:rPr>
              <w:t>③在工程施工过程中，关注当地的气象、地质资料，紧密联络有关部门，合理安排工期，及时对各类构筑物、边坡开挖面及堆土场进行防护，尽可能降低环境风险。</w:t>
            </w:r>
          </w:p>
          <w:p w14:paraId="511998A7">
            <w:pPr>
              <w:pStyle w:val="6"/>
              <w:rPr>
                <w:rFonts w:hint="eastAsia"/>
                <w:lang w:val="en-US" w:eastAsia="zh-CN"/>
              </w:rPr>
            </w:pPr>
            <w:r>
              <w:rPr>
                <w:rFonts w:hint="eastAsia"/>
                <w:lang w:val="en-US" w:eastAsia="zh-CN"/>
              </w:rPr>
              <w:t>④施工期间设备漏油进入土壤环境、水环境，属于事故性泄漏，由于可及时被发现（10分钟内可发现并控制），泄漏源往往属于瞬时源，若泄露在土壤，影响范围为土壤表层，对土壤理化性质及微生物环境将产生明显影响，若泄露至天生河，随着溢油粒子飘散至下游，影响范围可达几十公里，对水质及水生生态会产生明显影响。若泄漏至土壤，采取的应急措施主要为及时发现并停止设备泄露，对污染土壤收集后交由相关资质单位处理，若泄漏至天生河，应立即使用围油栏对浮油进行阻拦，采用吸油泵收集后交由相关资质单位处理。</w:t>
            </w:r>
          </w:p>
          <w:p w14:paraId="0E71B1D6">
            <w:pPr>
              <w:pStyle w:val="6"/>
              <w:rPr>
                <w:rFonts w:hint="eastAsia"/>
                <w:lang w:val="en-US" w:eastAsia="zh-CN"/>
              </w:rPr>
            </w:pPr>
            <w:r>
              <w:rPr>
                <w:rFonts w:hint="eastAsia"/>
                <w:lang w:val="en-US" w:eastAsia="zh-CN"/>
              </w:rPr>
              <w:t>在正常施工期间建设单位应对施工设备进行定期维护保养，将泄漏事故概率控制在最低水平。</w:t>
            </w:r>
          </w:p>
          <w:p w14:paraId="010C0510">
            <w:pPr>
              <w:pStyle w:val="6"/>
              <w:rPr>
                <w:rFonts w:hint="eastAsia"/>
                <w:lang w:val="en-US" w:eastAsia="zh-CN"/>
              </w:rPr>
            </w:pPr>
            <w:r>
              <w:rPr>
                <w:rFonts w:hint="eastAsia"/>
                <w:lang w:val="en-US" w:eastAsia="zh-CN"/>
              </w:rPr>
              <w:t>评价要求施工现场配备围油栏、碎抹布、活性炭等环境应急物资。</w:t>
            </w:r>
          </w:p>
          <w:p w14:paraId="7846878D">
            <w:pPr>
              <w:pStyle w:val="6"/>
              <w:rPr>
                <w:rFonts w:hint="eastAsia"/>
                <w:lang w:val="en-US" w:eastAsia="zh-CN"/>
              </w:rPr>
            </w:pPr>
            <w:r>
              <w:rPr>
                <w:rFonts w:hint="eastAsia"/>
                <w:lang w:val="en-US" w:eastAsia="zh-CN"/>
              </w:rPr>
              <w:t>⑤施工队伍必须有紧急事故处理组织和准备，发现事故预兆要及时上报相关部门，并采取措施预防降低事故发生可能性。若一旦发生事故，应及时采取控制及缓解措施并及时进行赔偿，减少事故危害范围和程度对社会的影响。在施工结束后，施工队伍必须做好地表植被、施工临时用地的恢复工作，以防水土流失和生态破坏事故发生。</w:t>
            </w:r>
          </w:p>
          <w:p w14:paraId="6B4F38CD">
            <w:pPr>
              <w:pStyle w:val="6"/>
              <w:rPr>
                <w:rFonts w:hint="eastAsia"/>
                <w:lang w:val="en-US" w:eastAsia="zh-CN"/>
              </w:rPr>
            </w:pPr>
            <w:r>
              <w:rPr>
                <w:rFonts w:hint="eastAsia"/>
                <w:lang w:val="en-US" w:eastAsia="zh-CN"/>
              </w:rPr>
              <w:t>⑥配备必需的消防器材，并定期更换，以保证消防器材在任何时候均处于有效状态。</w:t>
            </w:r>
          </w:p>
          <w:p w14:paraId="51B11E65">
            <w:pPr>
              <w:pStyle w:val="6"/>
              <w:rPr>
                <w:rFonts w:hint="default"/>
                <w:lang w:val="en-US" w:eastAsia="zh-CN"/>
              </w:rPr>
            </w:pPr>
          </w:p>
        </w:tc>
      </w:tr>
      <w:tr w14:paraId="5578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4B52CC87">
            <w:r>
              <w:rPr>
                <w:rFonts w:hint="eastAsia"/>
              </w:rPr>
              <w:t>运营期生态环境保护措施</w:t>
            </w:r>
          </w:p>
        </w:tc>
        <w:tc>
          <w:tcPr>
            <w:tcW w:w="8840" w:type="dxa"/>
            <w:vAlign w:val="center"/>
          </w:tcPr>
          <w:p w14:paraId="6D418EA2">
            <w:pPr>
              <w:pStyle w:val="3"/>
              <w:numPr>
                <w:ilvl w:val="1"/>
                <w:numId w:val="7"/>
              </w:numPr>
            </w:pPr>
            <w:bookmarkStart w:id="98" w:name="_Toc2156"/>
            <w:bookmarkStart w:id="99" w:name="_Toc193096564"/>
            <w:r>
              <w:rPr>
                <w:rFonts w:hint="eastAsia"/>
              </w:rPr>
              <w:t>运营期生态环境保护措施</w:t>
            </w:r>
            <w:bookmarkEnd w:id="98"/>
            <w:bookmarkEnd w:id="99"/>
          </w:p>
          <w:p w14:paraId="47F902F6">
            <w:pPr>
              <w:pStyle w:val="6"/>
              <w:rPr>
                <w:rFonts w:hint="eastAsia"/>
                <w:lang w:eastAsia="zh-CN"/>
              </w:rPr>
            </w:pPr>
            <w:r>
              <w:rPr>
                <w:rFonts w:hint="eastAsia"/>
                <w:lang w:val="en-US" w:eastAsia="zh-CN"/>
              </w:rPr>
              <w:t>本项目为河道防洪治理工程，是以防洪为主，兼有防止水土流失和美化环境等综合效益，项目运营期无废水、废气、噪声、固废等污染物产生，不会对区域环境质量产生影响。</w:t>
            </w:r>
            <w:bookmarkStart w:id="100" w:name="_Toc4132"/>
            <w:bookmarkStart w:id="101" w:name="_Toc26487"/>
            <w:bookmarkStart w:id="102" w:name="_Toc9332"/>
          </w:p>
          <w:p w14:paraId="1E9E728E">
            <w:pPr>
              <w:pStyle w:val="6"/>
              <w:numPr>
                <w:ilvl w:val="0"/>
                <w:numId w:val="11"/>
              </w:numPr>
              <w:rPr>
                <w:rFonts w:hint="eastAsia"/>
                <w:lang w:eastAsia="zh-CN"/>
              </w:rPr>
            </w:pPr>
            <w:r>
              <w:rPr>
                <w:rFonts w:hint="eastAsia"/>
                <w:lang w:eastAsia="zh-CN"/>
              </w:rPr>
              <w:t>项目施工期结束，</w:t>
            </w:r>
            <w:r>
              <w:rPr>
                <w:rFonts w:hint="eastAsia"/>
                <w:lang w:val="en-US" w:eastAsia="zh-CN"/>
              </w:rPr>
              <w:t>后续须定期关注</w:t>
            </w:r>
            <w:r>
              <w:rPr>
                <w:rFonts w:hint="eastAsia"/>
                <w:lang w:eastAsia="zh-CN"/>
              </w:rPr>
              <w:t>植被恢复情况，</w:t>
            </w:r>
            <w:r>
              <w:rPr>
                <w:rFonts w:hint="eastAsia"/>
                <w:lang w:val="en-US" w:eastAsia="zh-CN"/>
              </w:rPr>
              <w:t>当出现</w:t>
            </w:r>
            <w:r>
              <w:rPr>
                <w:rFonts w:hint="eastAsia"/>
                <w:lang w:eastAsia="zh-CN"/>
              </w:rPr>
              <w:t>植被恢复率低时，需进行补种，以尽量恢复到施工前的生态环境现状。</w:t>
            </w:r>
            <w:bookmarkEnd w:id="100"/>
            <w:bookmarkEnd w:id="101"/>
            <w:bookmarkEnd w:id="102"/>
          </w:p>
          <w:p w14:paraId="7F32F04D">
            <w:pPr>
              <w:pStyle w:val="6"/>
              <w:numPr>
                <w:ilvl w:val="0"/>
                <w:numId w:val="11"/>
              </w:numPr>
              <w:rPr>
                <w:rFonts w:hint="eastAsia"/>
                <w:lang w:eastAsia="zh-CN"/>
              </w:rPr>
            </w:pPr>
            <w:r>
              <w:rPr>
                <w:rFonts w:hint="eastAsia"/>
                <w:lang w:eastAsia="zh-CN"/>
              </w:rPr>
              <w:t>加强渔政管理力量，扩大宣传力度，严格执法，设置水生生物保护警示牌，一是禁止在河道内挖沙采石，保护鱼类的产卵基质；二是加强执法管理，严禁酷渔滥捕，禁止电鱼、炸鱼、毒鱼等违法捕鱼行为。</w:t>
            </w:r>
          </w:p>
          <w:p w14:paraId="427D2172">
            <w:pPr>
              <w:pStyle w:val="6"/>
              <w:rPr>
                <w:rFonts w:hint="eastAsia"/>
                <w:lang w:eastAsia="zh-CN"/>
              </w:rPr>
            </w:pPr>
            <w:bookmarkStart w:id="103" w:name="_Toc12619"/>
            <w:bookmarkStart w:id="104" w:name="_Toc24515"/>
            <w:bookmarkStart w:id="105" w:name="_Toc27616"/>
            <w:r>
              <w:rPr>
                <w:rFonts w:hint="eastAsia"/>
                <w:lang w:eastAsia="zh-CN"/>
              </w:rPr>
              <w:t>（</w:t>
            </w:r>
            <w:r>
              <w:rPr>
                <w:rFonts w:hint="eastAsia"/>
                <w:lang w:val="en-US" w:eastAsia="zh-CN"/>
              </w:rPr>
              <w:t>3</w:t>
            </w:r>
            <w:r>
              <w:rPr>
                <w:rFonts w:hint="eastAsia"/>
                <w:lang w:eastAsia="zh-CN"/>
              </w:rPr>
              <w:t>）做好周边居民的生态环境保护宣传，增强居民环境保护意识，禁止往河道内随意丢弃生活垃圾等。</w:t>
            </w:r>
            <w:bookmarkEnd w:id="103"/>
            <w:bookmarkEnd w:id="104"/>
            <w:bookmarkEnd w:id="105"/>
          </w:p>
          <w:p w14:paraId="38A02433">
            <w:pPr>
              <w:pStyle w:val="6"/>
              <w:rPr>
                <w:rFonts w:hint="eastAsia"/>
                <w:lang w:eastAsia="zh-CN"/>
              </w:rPr>
            </w:pPr>
            <w:r>
              <w:rPr>
                <w:rFonts w:hint="eastAsia"/>
                <w:lang w:eastAsia="zh-CN"/>
              </w:rPr>
              <w:t>（</w:t>
            </w:r>
            <w:r>
              <w:rPr>
                <w:rFonts w:hint="eastAsia"/>
                <w:lang w:val="en-US" w:eastAsia="zh-CN"/>
              </w:rPr>
              <w:t>4</w:t>
            </w:r>
            <w:r>
              <w:rPr>
                <w:rFonts w:hint="eastAsia"/>
                <w:lang w:eastAsia="zh-CN"/>
              </w:rPr>
              <w:t>）在工程管理范围内，河道护岸、护岸设施等必须严加保护，任何单位和个人不得破坏，不准侵占。</w:t>
            </w:r>
          </w:p>
          <w:p w14:paraId="20E7BE2C">
            <w:pPr>
              <w:pStyle w:val="6"/>
              <w:rPr>
                <w:rFonts w:hint="eastAsia"/>
                <w:lang w:eastAsia="zh-CN"/>
              </w:rPr>
            </w:pPr>
            <w:r>
              <w:rPr>
                <w:rFonts w:hint="eastAsia"/>
                <w:lang w:eastAsia="zh-CN"/>
              </w:rPr>
              <w:t>（</w:t>
            </w:r>
            <w:r>
              <w:rPr>
                <w:rFonts w:hint="eastAsia"/>
                <w:lang w:val="en-US" w:eastAsia="zh-CN"/>
              </w:rPr>
              <w:t>5</w:t>
            </w:r>
            <w:r>
              <w:rPr>
                <w:rFonts w:hint="eastAsia"/>
                <w:lang w:eastAsia="zh-CN"/>
              </w:rPr>
              <w:t>）本项目作为防洪工程，运营期新建堤防段有极小的溃堤风险。建设单位在对项目设计、施工提出严格要求，确保工程质量的基础上，还应加强运营期对防洪堤的监管和维护。对堤防的安全水平定期进行观测，确保长期发挥防洪功能。</w:t>
            </w:r>
          </w:p>
        </w:tc>
      </w:tr>
      <w:tr w14:paraId="56A2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7CF9BF84">
            <w:r>
              <w:rPr>
                <w:rFonts w:hint="eastAsia"/>
              </w:rPr>
              <w:t>其他</w:t>
            </w:r>
          </w:p>
        </w:tc>
        <w:tc>
          <w:tcPr>
            <w:tcW w:w="8840" w:type="dxa"/>
            <w:vAlign w:val="center"/>
          </w:tcPr>
          <w:p w14:paraId="14352A42">
            <w:pPr>
              <w:pStyle w:val="3"/>
              <w:numPr>
                <w:ilvl w:val="1"/>
                <w:numId w:val="7"/>
              </w:numPr>
              <w:rPr>
                <w:rFonts w:hint="eastAsia" w:eastAsia="宋体"/>
                <w:lang w:eastAsia="zh-CN"/>
              </w:rPr>
            </w:pPr>
            <w:bookmarkStart w:id="106" w:name="_Toc28080"/>
            <w:r>
              <w:rPr>
                <w:rFonts w:hint="eastAsia" w:ascii="Times New Roman" w:hAnsi="Times New Roman"/>
                <w:lang w:val="en-US" w:eastAsia="zh-CN"/>
              </w:rPr>
              <w:t>环境管理</w:t>
            </w:r>
            <w:bookmarkEnd w:id="106"/>
          </w:p>
          <w:p w14:paraId="6CEE1EAC">
            <w:pPr>
              <w:pStyle w:val="6"/>
              <w:rPr>
                <w:rFonts w:hint="eastAsia" w:ascii="Times New Roman" w:hAnsi="Times New Roman"/>
                <w:lang w:val="en-US" w:eastAsia="zh-CN"/>
              </w:rPr>
            </w:pPr>
            <w:r>
              <w:rPr>
                <w:rFonts w:hint="eastAsia" w:ascii="Times New Roman" w:hAnsi="Times New Roman"/>
                <w:lang w:val="en-US" w:eastAsia="zh-CN"/>
              </w:rPr>
              <w:t>环境管理是保证环评制度得以实现的重要工作，其主要作用是督促建设单位在设计和施工过程中严格执行相关的各项环保制度，落实环评及批复中的有关环保措施和要求，保证污染治理设施的正常运行，实现污染物达标排放，实施环境污染监测。</w:t>
            </w:r>
          </w:p>
          <w:p w14:paraId="1FF4FCF8">
            <w:pPr>
              <w:pStyle w:val="6"/>
              <w:rPr>
                <w:rFonts w:hint="eastAsia" w:ascii="Times New Roman" w:hAnsi="Times New Roman"/>
                <w:lang w:val="en-US" w:eastAsia="zh-CN"/>
              </w:rPr>
            </w:pPr>
            <w:r>
              <w:rPr>
                <w:rFonts w:hint="eastAsia" w:ascii="Times New Roman" w:hAnsi="Times New Roman"/>
                <w:lang w:val="en-US" w:eastAsia="zh-CN"/>
              </w:rPr>
              <w:t>建设单位在设置工程管理机构中应建立环境保护管理机构，以便对施工期和运营期的环境保护工作进行监督和管理，设1名环保兼职人员，主要职责：</w:t>
            </w:r>
          </w:p>
          <w:p w14:paraId="78DC9C1C">
            <w:pPr>
              <w:pStyle w:val="6"/>
              <w:rPr>
                <w:rFonts w:hint="eastAsia" w:ascii="Times New Roman" w:hAnsi="Times New Roman"/>
                <w:lang w:val="en-US" w:eastAsia="zh-CN"/>
              </w:rPr>
            </w:pPr>
            <w:r>
              <w:rPr>
                <w:rFonts w:hint="eastAsia" w:ascii="Times New Roman" w:hAnsi="Times New Roman"/>
                <w:lang w:val="en-US" w:eastAsia="zh-CN"/>
              </w:rPr>
              <w:t>（1）贯彻执行国家、地方和行业环保部门的环境保护法规和标准；</w:t>
            </w:r>
          </w:p>
          <w:p w14:paraId="00F86652">
            <w:pPr>
              <w:pStyle w:val="6"/>
              <w:rPr>
                <w:rFonts w:hint="eastAsia" w:ascii="Times New Roman" w:hAnsi="Times New Roman"/>
                <w:lang w:val="en-US" w:eastAsia="zh-CN"/>
              </w:rPr>
            </w:pPr>
            <w:r>
              <w:rPr>
                <w:rFonts w:hint="eastAsia" w:ascii="Times New Roman" w:hAnsi="Times New Roman"/>
                <w:lang w:val="en-US" w:eastAsia="zh-CN"/>
              </w:rPr>
              <w:t>（2）建立健全各种环境保护规章制度并检查督促实施，建议在工程施工合同中包括落实环境保护、水土保持措施等有关条款；</w:t>
            </w:r>
          </w:p>
          <w:p w14:paraId="6E8ECE66">
            <w:pPr>
              <w:pStyle w:val="6"/>
              <w:rPr>
                <w:rFonts w:hint="eastAsia" w:ascii="Times New Roman" w:hAnsi="Times New Roman"/>
                <w:lang w:val="en-US" w:eastAsia="zh-CN"/>
              </w:rPr>
            </w:pPr>
            <w:r>
              <w:rPr>
                <w:rFonts w:hint="eastAsia" w:ascii="Times New Roman" w:hAnsi="Times New Roman"/>
                <w:lang w:val="en-US" w:eastAsia="zh-CN"/>
              </w:rPr>
              <w:t>（3）根据“三同时”制度，不断落实批复环评报告中的环境保护措施，组织环境监测工作，建立环境管理档案，对环保设施进行检查和维护；</w:t>
            </w:r>
          </w:p>
          <w:p w14:paraId="211659C3">
            <w:pPr>
              <w:pStyle w:val="6"/>
              <w:rPr>
                <w:rFonts w:hint="eastAsia" w:ascii="Times New Roman" w:hAnsi="Times New Roman"/>
                <w:lang w:val="en-US" w:eastAsia="zh-CN"/>
              </w:rPr>
            </w:pPr>
            <w:r>
              <w:rPr>
                <w:rFonts w:hint="eastAsia" w:ascii="Times New Roman" w:hAnsi="Times New Roman"/>
                <w:lang w:val="en-US" w:eastAsia="zh-CN"/>
              </w:rPr>
              <w:t>（4）协助当地环保部门开展环境保护工作，处理与工程有关的环境问题；</w:t>
            </w:r>
          </w:p>
          <w:p w14:paraId="73DD1712">
            <w:pPr>
              <w:pStyle w:val="6"/>
              <w:rPr>
                <w:rFonts w:hint="eastAsia" w:ascii="Times New Roman" w:hAnsi="Times New Roman"/>
                <w:lang w:val="en-US" w:eastAsia="zh-CN"/>
              </w:rPr>
            </w:pPr>
            <w:r>
              <w:rPr>
                <w:rFonts w:hint="eastAsia" w:ascii="Times New Roman" w:hAnsi="Times New Roman"/>
                <w:lang w:val="en-US" w:eastAsia="zh-CN"/>
              </w:rPr>
              <w:t>（5）掌握工程区环境状况，对污染物排放和生态破坏情况进行统计；</w:t>
            </w:r>
          </w:p>
          <w:p w14:paraId="51F89AF0">
            <w:pPr>
              <w:pStyle w:val="6"/>
              <w:rPr>
                <w:rFonts w:hint="eastAsia" w:ascii="Times New Roman" w:hAnsi="Times New Roman"/>
                <w:lang w:val="en-US" w:eastAsia="zh-CN"/>
              </w:rPr>
            </w:pPr>
            <w:r>
              <w:rPr>
                <w:rFonts w:hint="eastAsia" w:ascii="Times New Roman" w:hAnsi="Times New Roman"/>
                <w:lang w:val="en-US" w:eastAsia="zh-CN"/>
              </w:rPr>
              <w:t>（6）积累、保存、管理与拟建项目环境保护有关的资料、文件；</w:t>
            </w:r>
          </w:p>
          <w:p w14:paraId="26F1DEF0">
            <w:pPr>
              <w:pStyle w:val="6"/>
              <w:rPr>
                <w:rFonts w:hint="eastAsia" w:ascii="Times New Roman" w:hAnsi="Times New Roman"/>
                <w:lang w:val="en-US" w:eastAsia="zh-CN"/>
              </w:rPr>
            </w:pPr>
            <w:r>
              <w:rPr>
                <w:rFonts w:hint="eastAsia" w:ascii="Times New Roman" w:hAnsi="Times New Roman"/>
                <w:lang w:val="en-US" w:eastAsia="zh-CN"/>
              </w:rPr>
              <w:t>（7）做好环保宣传和教育工作，提高施工人员环保意识；</w:t>
            </w:r>
          </w:p>
          <w:p w14:paraId="70409DCD">
            <w:pPr>
              <w:pStyle w:val="6"/>
              <w:rPr>
                <w:rFonts w:hint="eastAsia" w:ascii="Times New Roman" w:hAnsi="Times New Roman"/>
                <w:lang w:val="en-US" w:eastAsia="zh-CN"/>
              </w:rPr>
            </w:pPr>
            <w:r>
              <w:rPr>
                <w:rFonts w:hint="eastAsia" w:ascii="Times New Roman" w:hAnsi="Times New Roman"/>
                <w:lang w:val="en-US" w:eastAsia="zh-CN"/>
              </w:rPr>
              <w:t>（8）定期积极向领导汇报项目环境保护相关情况。</w:t>
            </w:r>
          </w:p>
          <w:p w14:paraId="164E919F">
            <w:pPr>
              <w:pStyle w:val="3"/>
              <w:numPr>
                <w:ilvl w:val="1"/>
                <w:numId w:val="7"/>
              </w:numPr>
              <w:rPr>
                <w:rFonts w:hint="eastAsia" w:ascii="Times New Roman" w:hAnsi="Times New Roman"/>
                <w:lang w:val="en-US" w:eastAsia="zh-CN"/>
              </w:rPr>
            </w:pPr>
            <w:bookmarkStart w:id="107" w:name="_Toc23661"/>
            <w:r>
              <w:rPr>
                <w:rFonts w:hint="eastAsia" w:ascii="Times New Roman" w:hAnsi="Times New Roman"/>
                <w:lang w:val="en-US" w:eastAsia="zh-CN"/>
              </w:rPr>
              <w:t>环境监测计划</w:t>
            </w:r>
            <w:bookmarkEnd w:id="107"/>
          </w:p>
          <w:p w14:paraId="113C08E6">
            <w:pPr>
              <w:pStyle w:val="6"/>
              <w:rPr>
                <w:rFonts w:hint="eastAsia" w:ascii="Times New Roman" w:hAnsi="Times New Roman"/>
                <w:lang w:val="en-US" w:eastAsia="zh-CN"/>
              </w:rPr>
            </w:pPr>
            <w:r>
              <w:rPr>
                <w:rFonts w:hint="eastAsia" w:ascii="Times New Roman" w:hAnsi="Times New Roman"/>
                <w:lang w:val="en-US" w:eastAsia="zh-CN"/>
              </w:rPr>
              <w:t>本项目属于生态类项目，工程建设工期短，对周边环境影响较小，污染物产生量小，且工程建成后无污染物排放，因此，本项目不设置环境监测计划。</w:t>
            </w:r>
          </w:p>
        </w:tc>
      </w:tr>
      <w:tr w14:paraId="7B65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08443799">
            <w:pPr>
              <w:rPr>
                <w:rFonts w:hint="eastAsia"/>
              </w:rPr>
            </w:pPr>
            <w:r>
              <w:rPr>
                <w:rFonts w:hint="eastAsia"/>
              </w:rPr>
              <w:t>环保投资</w:t>
            </w:r>
          </w:p>
        </w:tc>
        <w:tc>
          <w:tcPr>
            <w:tcW w:w="8840" w:type="dxa"/>
            <w:vAlign w:val="center"/>
          </w:tcPr>
          <w:p w14:paraId="52D18753">
            <w:pPr>
              <w:keepNext/>
              <w:keepLines/>
              <w:widowControl w:val="0"/>
              <w:numPr>
                <w:ilvl w:val="1"/>
                <w:numId w:val="7"/>
              </w:numPr>
              <w:spacing w:line="400" w:lineRule="exact"/>
              <w:ind w:left="0" w:firstLine="0"/>
              <w:jc w:val="left"/>
              <w:outlineLvl w:val="1"/>
              <w:rPr>
                <w:rFonts w:ascii="Times New Roman" w:hAnsi="Times New Roman" w:eastAsia="宋体" w:cstheme="majorBidi"/>
                <w:b/>
                <w:bCs/>
                <w:kern w:val="2"/>
                <w:sz w:val="24"/>
                <w:szCs w:val="32"/>
                <w:lang w:val="en-US" w:eastAsia="zh-CN" w:bidi="ar-SA"/>
                <w14:ligatures w14:val="standardContextual"/>
              </w:rPr>
            </w:pPr>
            <w:bookmarkStart w:id="108" w:name="_Toc29065"/>
            <w:bookmarkStart w:id="109" w:name="_Toc193096574"/>
            <w:r>
              <w:rPr>
                <w:rFonts w:hint="eastAsia" w:ascii="Times New Roman" w:hAnsi="Times New Roman" w:eastAsia="宋体" w:cstheme="majorBidi"/>
                <w:b/>
                <w:bCs/>
                <w:kern w:val="2"/>
                <w:sz w:val="24"/>
                <w:szCs w:val="32"/>
                <w:lang w:val="en-US" w:eastAsia="zh-CN" w:bidi="ar-SA"/>
                <w14:ligatures w14:val="standardContextual"/>
              </w:rPr>
              <w:t>环保投资</w:t>
            </w:r>
            <w:bookmarkEnd w:id="108"/>
            <w:bookmarkEnd w:id="109"/>
          </w:p>
          <w:p w14:paraId="0E5AF24D">
            <w:pPr>
              <w:widowControl w:val="0"/>
              <w:spacing w:line="460" w:lineRule="exact"/>
              <w:ind w:firstLine="480" w:firstLineChars="200"/>
              <w:jc w:val="both"/>
              <w:rPr>
                <w:rFonts w:ascii="Times New Roman" w:hAnsi="Times New Roman" w:eastAsia="宋体" w:cstheme="minorBidi"/>
                <w:kern w:val="2"/>
                <w:sz w:val="24"/>
                <w:szCs w:val="21"/>
                <w:lang w:val="en-US" w:eastAsia="zh-CN" w:bidi="ar-SA"/>
                <w14:ligatures w14:val="standardContextual"/>
              </w:rPr>
            </w:pPr>
            <w:r>
              <w:rPr>
                <w:rFonts w:hint="eastAsia" w:ascii="Times New Roman" w:hAnsi="Times New Roman" w:eastAsia="宋体" w:cstheme="minorBidi"/>
                <w:kern w:val="2"/>
                <w:sz w:val="24"/>
                <w:szCs w:val="21"/>
                <w:lang w:val="en-US" w:eastAsia="zh-CN" w:bidi="ar-SA"/>
                <w14:ligatures w14:val="standardContextual"/>
              </w:rPr>
              <w:t>本项目总投资</w:t>
            </w:r>
            <w:r>
              <w:rPr>
                <w:rFonts w:hint="eastAsia" w:cstheme="minorBidi"/>
                <w:kern w:val="2"/>
                <w:sz w:val="24"/>
                <w:szCs w:val="21"/>
                <w:lang w:val="en-US" w:eastAsia="zh-CN" w:bidi="ar-SA"/>
                <w14:ligatures w14:val="standardContextual"/>
              </w:rPr>
              <w:t>2023.16</w:t>
            </w:r>
            <w:r>
              <w:rPr>
                <w:rFonts w:hint="eastAsia" w:ascii="Times New Roman" w:hAnsi="Times New Roman" w:eastAsia="宋体" w:cstheme="minorBidi"/>
                <w:kern w:val="2"/>
                <w:sz w:val="24"/>
                <w:szCs w:val="21"/>
                <w:lang w:val="en-US" w:eastAsia="zh-CN" w:bidi="ar-SA"/>
                <w14:ligatures w14:val="standardContextual"/>
              </w:rPr>
              <w:t>万元，其中环保投资</w:t>
            </w:r>
            <w:r>
              <w:rPr>
                <w:rFonts w:hint="eastAsia" w:cstheme="minorBidi"/>
                <w:kern w:val="2"/>
                <w:sz w:val="24"/>
                <w:szCs w:val="21"/>
                <w:lang w:val="en-US" w:eastAsia="zh-CN" w:bidi="ar-SA"/>
                <w14:ligatures w14:val="standardContextual"/>
              </w:rPr>
              <w:t>11.39</w:t>
            </w:r>
            <w:r>
              <w:rPr>
                <w:rFonts w:hint="eastAsia" w:ascii="Times New Roman" w:hAnsi="Times New Roman" w:eastAsia="宋体" w:cstheme="minorBidi"/>
                <w:kern w:val="2"/>
                <w:sz w:val="24"/>
                <w:szCs w:val="21"/>
                <w:lang w:val="en-US" w:eastAsia="zh-CN" w:bidi="ar-SA"/>
                <w14:ligatures w14:val="standardContextual"/>
              </w:rPr>
              <w:t>万元，占项目总投资的</w:t>
            </w:r>
            <w:r>
              <w:rPr>
                <w:rFonts w:hint="eastAsia" w:cstheme="minorBidi"/>
                <w:kern w:val="2"/>
                <w:sz w:val="24"/>
                <w:szCs w:val="21"/>
                <w:lang w:val="en-US" w:eastAsia="zh-CN" w:bidi="ar-SA"/>
                <w14:ligatures w14:val="standardContextual"/>
              </w:rPr>
              <w:t>0.56</w:t>
            </w:r>
            <w:r>
              <w:rPr>
                <w:rFonts w:hint="eastAsia" w:ascii="Times New Roman" w:hAnsi="Times New Roman" w:eastAsia="宋体" w:cstheme="minorBidi"/>
                <w:kern w:val="2"/>
                <w:sz w:val="24"/>
                <w:szCs w:val="21"/>
                <w:lang w:val="en-US" w:eastAsia="zh-CN" w:bidi="ar-SA"/>
                <w14:ligatures w14:val="standardContextual"/>
              </w:rPr>
              <w:t>%，项目环保投资估算见下表</w:t>
            </w:r>
            <w:r>
              <w:rPr>
                <w:rFonts w:hint="eastAsia" w:cstheme="minorBidi"/>
                <w:kern w:val="2"/>
                <w:sz w:val="24"/>
                <w:szCs w:val="21"/>
                <w:lang w:val="en-US" w:eastAsia="zh-CN" w:bidi="ar-SA"/>
                <w14:ligatures w14:val="standardContextual"/>
              </w:rPr>
              <w:t>。</w:t>
            </w:r>
          </w:p>
          <w:p w14:paraId="2E900328">
            <w:pPr>
              <w:pStyle w:val="7"/>
              <w:bidi w:val="0"/>
              <w:rPr>
                <w:lang w:val="en-US" w:eastAsia="zh-CN"/>
              </w:rPr>
            </w:pPr>
            <w:r>
              <w:rPr>
                <w:lang w:val="en-US" w:eastAsia="zh-CN"/>
              </w:rPr>
              <w:t>项目环保投资估算一览表</w:t>
            </w:r>
          </w:p>
          <w:tbl>
            <w:tblPr>
              <w:tblStyle w:val="45"/>
              <w:tblW w:w="86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1"/>
              <w:gridCol w:w="820"/>
              <w:gridCol w:w="1337"/>
              <w:gridCol w:w="4693"/>
              <w:gridCol w:w="1183"/>
            </w:tblGrid>
            <w:tr w14:paraId="38647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AE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名称</w:t>
                  </w:r>
                </w:p>
              </w:tc>
              <w:tc>
                <w:tcPr>
                  <w:tcW w:w="2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894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项目</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EB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处理措施内容</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95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金额（万元）</w:t>
                  </w:r>
                </w:p>
              </w:tc>
            </w:tr>
            <w:tr w14:paraId="2EFB3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A58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施工期</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577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生态保护</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2C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表土保护措施</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AB7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占地范围内可剥离表土的剥离，表土堆存的防护，表土回覆。</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FEC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项目水土保持方案已计列，不重复计列</w:t>
                  </w:r>
                </w:p>
              </w:tc>
            </w:tr>
            <w:tr w14:paraId="5256D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C88F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976C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9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植被恢复措施</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8DC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项目施工场地、临时施工道路、临时堆料场等扰动地表植被恢复措施。</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2F76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r>
            <w:tr w14:paraId="473D3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5B09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CD93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D0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施工人员管理教育</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A57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加强施工人员的教育和培训，增强其环保意识。</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71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r>
                    <w:rPr>
                      <w:rFonts w:hint="eastAsia" w:cs="Times New Roman"/>
                      <w:i w:val="0"/>
                      <w:iCs w:val="0"/>
                      <w:color w:val="000000"/>
                      <w:kern w:val="0"/>
                      <w:sz w:val="22"/>
                      <w:szCs w:val="22"/>
                      <w:u w:val="none"/>
                      <w:lang w:val="en-US" w:eastAsia="zh-CN" w:bidi="ar"/>
                      <w14:ligatures w14:val="standardContextual"/>
                    </w:rPr>
                    <w:t>3</w:t>
                  </w:r>
                </w:p>
              </w:tc>
            </w:tr>
            <w:tr w14:paraId="4665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468A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5551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00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警示宣传牌</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D44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施工期间设置警示宣传牌</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r>
                    <w:rPr>
                      <w:rFonts w:hint="eastAsia" w:ascii="宋体" w:hAnsi="宋体" w:eastAsia="宋体" w:cs="宋体"/>
                      <w:i w:val="0"/>
                      <w:iCs w:val="0"/>
                      <w:color w:val="000000"/>
                      <w:kern w:val="0"/>
                      <w:sz w:val="22"/>
                      <w:szCs w:val="22"/>
                      <w:u w:val="none"/>
                      <w:lang w:val="en-US" w:eastAsia="zh-CN" w:bidi="ar"/>
                      <w14:ligatures w14:val="standardContextual"/>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79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r>
                    <w:rPr>
                      <w:rFonts w:hint="eastAsia" w:cs="Times New Roman"/>
                      <w:i w:val="0"/>
                      <w:iCs w:val="0"/>
                      <w:color w:val="000000"/>
                      <w:kern w:val="0"/>
                      <w:sz w:val="22"/>
                      <w:szCs w:val="22"/>
                      <w:u w:val="none"/>
                      <w:lang w:val="en-US" w:eastAsia="zh-CN" w:bidi="ar"/>
                      <w14:ligatures w14:val="standardContextual"/>
                    </w:rPr>
                    <w:t>2</w:t>
                  </w:r>
                </w:p>
              </w:tc>
            </w:tr>
            <w:tr w14:paraId="0C80A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B81E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557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废气治理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23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施工扬尘</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3BC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采取湿法作业、洒水降尘、车辆冲洗、设置围挡、篷布遮盖等降尘措施；混凝土拌合系统应设置雾炮机或喷雾洒水措施降尘。</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B9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lang w:val="en-US"/>
                    </w:rPr>
                  </w:pPr>
                  <w:r>
                    <w:rPr>
                      <w:rFonts w:hint="eastAsia" w:cs="Times New Roman"/>
                      <w:i w:val="0"/>
                      <w:iCs w:val="0"/>
                      <w:color w:val="000000"/>
                      <w:kern w:val="0"/>
                      <w:sz w:val="22"/>
                      <w:szCs w:val="22"/>
                      <w:u w:val="none"/>
                      <w:lang w:val="en-US" w:eastAsia="zh-CN" w:bidi="ar"/>
                      <w14:ligatures w14:val="standardContextual"/>
                    </w:rPr>
                    <w:t>2.0</w:t>
                  </w:r>
                </w:p>
              </w:tc>
            </w:tr>
            <w:tr w14:paraId="6EDF9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342A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CC44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37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施工机械废气</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BEB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选择排气污染物稳定且达到国家规定排放标准的施工机械，加强施工机械维护管理和保养。</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8A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r>
            <w:tr w14:paraId="6B173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B8C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4E8C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4E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河道疏浚臭气</w:t>
                  </w:r>
                </w:p>
              </w:tc>
              <w:tc>
                <w:tcPr>
                  <w:tcW w:w="4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5D9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晾晒期间喷洒除臭剂。</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6A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r>
            <w:tr w14:paraId="3211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C1F6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2D0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废水治理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76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生活污水</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1EB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依托居民房旱厕收集后用于周边农田和林草地施肥，不外排。</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15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0.3</w:t>
                  </w:r>
                </w:p>
              </w:tc>
            </w:tr>
            <w:tr w14:paraId="3300E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3D75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116D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E6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混凝土拌合系统废水</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C87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在混凝土搅拌现场内设置简易沉淀池（设计处理能力不小于</w:t>
                  </w:r>
                  <w:r>
                    <w:rPr>
                      <w:rFonts w:hint="eastAsia" w:cs="Times New Roman"/>
                      <w:i w:val="0"/>
                      <w:iCs w:val="0"/>
                      <w:color w:val="000000"/>
                      <w:kern w:val="0"/>
                      <w:sz w:val="22"/>
                      <w:szCs w:val="22"/>
                      <w:u w:val="none"/>
                      <w:lang w:val="en-US" w:eastAsia="zh-CN" w:bidi="ar"/>
                      <w14:ligatures w14:val="standardContextual"/>
                    </w:rPr>
                    <w:t>2</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.0m</w:t>
                  </w:r>
                  <w:r>
                    <w:rPr>
                      <w:rFonts w:hint="default" w:ascii="Times New Roman" w:hAnsi="Times New Roman" w:eastAsia="宋体" w:cs="Times New Roman"/>
                      <w:i w:val="0"/>
                      <w:iCs w:val="0"/>
                      <w:color w:val="000000"/>
                      <w:kern w:val="0"/>
                      <w:sz w:val="22"/>
                      <w:szCs w:val="22"/>
                      <w:u w:val="none"/>
                      <w:vertAlign w:val="superscript"/>
                      <w:lang w:val="en-US" w:eastAsia="zh-CN" w:bidi="ar"/>
                      <w14:ligatures w14:val="standardContextual"/>
                    </w:rPr>
                    <w:t>3</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/d</w:t>
                  </w:r>
                  <w:r>
                    <w:rPr>
                      <w:rFonts w:hint="eastAsia" w:ascii="宋体" w:hAnsi="宋体" w:eastAsia="宋体" w:cs="宋体"/>
                      <w:i w:val="0"/>
                      <w:iCs w:val="0"/>
                      <w:color w:val="000000"/>
                      <w:kern w:val="0"/>
                      <w:sz w:val="22"/>
                      <w:szCs w:val="22"/>
                      <w:u w:val="none"/>
                      <w:lang w:val="en-US" w:eastAsia="zh-CN" w:bidi="ar"/>
                      <w14:ligatures w14:val="standardContextual"/>
                    </w:rPr>
                    <w:t>），废水经沉淀处理后全部回用于混凝土拌合系统，不外排。共设置</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r>
                    <w:rPr>
                      <w:rFonts w:hint="eastAsia" w:ascii="宋体" w:hAnsi="宋体" w:eastAsia="宋体" w:cs="宋体"/>
                      <w:i w:val="0"/>
                      <w:iCs w:val="0"/>
                      <w:color w:val="000000"/>
                      <w:kern w:val="0"/>
                      <w:sz w:val="22"/>
                      <w:szCs w:val="22"/>
                      <w:u w:val="none"/>
                      <w:lang w:val="en-US" w:eastAsia="zh-CN" w:bidi="ar"/>
                      <w14:ligatures w14:val="standardContextual"/>
                    </w:rPr>
                    <w:t>个沉淀池。</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F3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kern w:val="0"/>
                      <w:sz w:val="22"/>
                      <w:szCs w:val="22"/>
                      <w:u w:val="none"/>
                      <w:lang w:val="en-US" w:eastAsia="zh-CN" w:bidi="ar"/>
                      <w14:ligatures w14:val="standardContextual"/>
                    </w:rPr>
                    <w:t>1</w:t>
                  </w:r>
                </w:p>
              </w:tc>
            </w:tr>
            <w:tr w14:paraId="1CD8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25BB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A0CD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06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机械设备冲洗废水</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2B8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在施工场地内设置简易隔油沉淀池（设计处理能力不小于</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2.0m</w:t>
                  </w:r>
                  <w:r>
                    <w:rPr>
                      <w:rFonts w:hint="default" w:ascii="Times New Roman" w:hAnsi="Times New Roman" w:eastAsia="宋体" w:cs="Times New Roman"/>
                      <w:i w:val="0"/>
                      <w:iCs w:val="0"/>
                      <w:color w:val="000000"/>
                      <w:kern w:val="0"/>
                      <w:sz w:val="22"/>
                      <w:szCs w:val="22"/>
                      <w:u w:val="none"/>
                      <w:vertAlign w:val="superscript"/>
                      <w:lang w:val="en-US" w:eastAsia="zh-CN" w:bidi="ar"/>
                      <w14:ligatures w14:val="standardContextual"/>
                    </w:rPr>
                    <w:t>3</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/d</w:t>
                  </w:r>
                  <w:r>
                    <w:rPr>
                      <w:rFonts w:hint="eastAsia" w:ascii="宋体" w:hAnsi="宋体" w:eastAsia="宋体" w:cs="宋体"/>
                      <w:i w:val="0"/>
                      <w:iCs w:val="0"/>
                      <w:color w:val="000000"/>
                      <w:kern w:val="0"/>
                      <w:sz w:val="22"/>
                      <w:szCs w:val="22"/>
                      <w:u w:val="none"/>
                      <w:lang w:val="en-US" w:eastAsia="zh-CN" w:bidi="ar"/>
                      <w14:ligatures w14:val="standardContextual"/>
                    </w:rPr>
                    <w:t>），废水经隔油、沉淀处理后全部回用于施工场地洒水抑尘，不外排。共设置</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2</w:t>
                  </w:r>
                  <w:r>
                    <w:rPr>
                      <w:rFonts w:hint="eastAsia" w:ascii="宋体" w:hAnsi="宋体" w:eastAsia="宋体" w:cs="宋体"/>
                      <w:i w:val="0"/>
                      <w:iCs w:val="0"/>
                      <w:color w:val="000000"/>
                      <w:kern w:val="0"/>
                      <w:sz w:val="22"/>
                      <w:szCs w:val="22"/>
                      <w:u w:val="none"/>
                      <w:lang w:val="en-US" w:eastAsia="zh-CN" w:bidi="ar"/>
                      <w14:ligatures w14:val="standardContextual"/>
                    </w:rPr>
                    <w:t>个隔油沉淀池。</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59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w:t>
                  </w:r>
                </w:p>
              </w:tc>
            </w:tr>
            <w:tr w14:paraId="0CD48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FCE7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CF06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6A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基坑排水</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1B8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将废水抽排至沉淀池（设计处理能力不小于</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2.0m</w:t>
                  </w:r>
                  <w:r>
                    <w:rPr>
                      <w:rFonts w:hint="default" w:ascii="Times New Roman" w:hAnsi="Times New Roman" w:eastAsia="宋体" w:cs="Times New Roman"/>
                      <w:i w:val="0"/>
                      <w:iCs w:val="0"/>
                      <w:color w:val="000000"/>
                      <w:kern w:val="0"/>
                      <w:sz w:val="22"/>
                      <w:szCs w:val="22"/>
                      <w:u w:val="none"/>
                      <w:vertAlign w:val="superscript"/>
                      <w:lang w:val="en-US" w:eastAsia="zh-CN" w:bidi="ar"/>
                      <w14:ligatures w14:val="standardContextual"/>
                    </w:rPr>
                    <w:t>3</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/d</w:t>
                  </w:r>
                  <w:r>
                    <w:rPr>
                      <w:rFonts w:hint="eastAsia" w:ascii="宋体" w:hAnsi="宋体" w:eastAsia="宋体" w:cs="宋体"/>
                      <w:i w:val="0"/>
                      <w:iCs w:val="0"/>
                      <w:color w:val="000000"/>
                      <w:kern w:val="0"/>
                      <w:sz w:val="22"/>
                      <w:szCs w:val="22"/>
                      <w:u w:val="none"/>
                      <w:lang w:val="en-US" w:eastAsia="zh-CN" w:bidi="ar"/>
                      <w14:ligatures w14:val="standardContextual"/>
                    </w:rPr>
                    <w:t>），经沉淀处理后回用于施工场地洒水抑尘或混凝土养护，不外排。共设置</w:t>
                  </w:r>
                  <w:r>
                    <w:rPr>
                      <w:rFonts w:hint="eastAsia" w:cs="Times New Roman"/>
                      <w:i w:val="0"/>
                      <w:iCs w:val="0"/>
                      <w:color w:val="000000"/>
                      <w:kern w:val="0"/>
                      <w:sz w:val="22"/>
                      <w:szCs w:val="22"/>
                      <w:u w:val="none"/>
                      <w:lang w:val="en-US" w:eastAsia="zh-CN" w:bidi="ar"/>
                      <w14:ligatures w14:val="standardContextual"/>
                    </w:rPr>
                    <w:t>2</w:t>
                  </w:r>
                  <w:r>
                    <w:rPr>
                      <w:rFonts w:hint="eastAsia" w:ascii="宋体" w:hAnsi="宋体" w:eastAsia="宋体" w:cs="宋体"/>
                      <w:i w:val="0"/>
                      <w:iCs w:val="0"/>
                      <w:color w:val="000000"/>
                      <w:kern w:val="0"/>
                      <w:sz w:val="22"/>
                      <w:szCs w:val="22"/>
                      <w:u w:val="none"/>
                      <w:lang w:val="en-US" w:eastAsia="zh-CN" w:bidi="ar"/>
                      <w14:ligatures w14:val="standardContextual"/>
                    </w:rPr>
                    <w:t>个沉淀池。</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F2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kern w:val="0"/>
                      <w:sz w:val="22"/>
                      <w:szCs w:val="22"/>
                      <w:u w:val="none"/>
                      <w:lang w:val="en-US" w:eastAsia="zh-CN" w:bidi="ar"/>
                      <w14:ligatures w14:val="standardContextual"/>
                    </w:rPr>
                    <w:t>1</w:t>
                  </w:r>
                </w:p>
              </w:tc>
            </w:tr>
            <w:tr w14:paraId="40143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6A13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EEB0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9C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河道疏浚滤水</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8D8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清淤堆放区设置排水沟，经沉淀池（设计处理能力不小于</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1.0m</w:t>
                  </w:r>
                  <w:r>
                    <w:rPr>
                      <w:rFonts w:hint="default" w:ascii="Times New Roman" w:hAnsi="Times New Roman" w:eastAsia="宋体" w:cs="Times New Roman"/>
                      <w:i w:val="0"/>
                      <w:iCs w:val="0"/>
                      <w:color w:val="000000"/>
                      <w:kern w:val="0"/>
                      <w:sz w:val="22"/>
                      <w:szCs w:val="22"/>
                      <w:u w:val="none"/>
                      <w:vertAlign w:val="superscript"/>
                      <w:lang w:val="en-US" w:eastAsia="zh-CN" w:bidi="ar"/>
                      <w14:ligatures w14:val="standardContextual"/>
                    </w:rPr>
                    <w:t>3</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/d</w:t>
                  </w:r>
                  <w:r>
                    <w:rPr>
                      <w:rFonts w:hint="eastAsia" w:ascii="宋体" w:hAnsi="宋体" w:eastAsia="宋体" w:cs="宋体"/>
                      <w:i w:val="0"/>
                      <w:iCs w:val="0"/>
                      <w:color w:val="000000"/>
                      <w:kern w:val="0"/>
                      <w:sz w:val="22"/>
                      <w:szCs w:val="22"/>
                      <w:u w:val="none"/>
                      <w:lang w:val="en-US" w:eastAsia="zh-CN" w:bidi="ar"/>
                      <w14:ligatures w14:val="standardContextual"/>
                    </w:rPr>
                    <w:t>）处理后回用于施工场地洒水抑尘，不外排。共设置</w:t>
                  </w:r>
                  <w:r>
                    <w:rPr>
                      <w:rFonts w:hint="eastAsia" w:cs="Times New Roman"/>
                      <w:i w:val="0"/>
                      <w:iCs w:val="0"/>
                      <w:color w:val="000000"/>
                      <w:kern w:val="0"/>
                      <w:sz w:val="22"/>
                      <w:szCs w:val="22"/>
                      <w:u w:val="none"/>
                      <w:lang w:val="en-US" w:eastAsia="zh-CN" w:bidi="ar"/>
                      <w14:ligatures w14:val="standardContextual"/>
                    </w:rPr>
                    <w:t>2</w:t>
                  </w:r>
                  <w:r>
                    <w:rPr>
                      <w:rFonts w:hint="eastAsia" w:ascii="宋体" w:hAnsi="宋体" w:eastAsia="宋体" w:cs="宋体"/>
                      <w:i w:val="0"/>
                      <w:iCs w:val="0"/>
                      <w:color w:val="000000"/>
                      <w:kern w:val="0"/>
                      <w:sz w:val="22"/>
                      <w:szCs w:val="22"/>
                      <w:u w:val="none"/>
                      <w:lang w:val="en-US" w:eastAsia="zh-CN" w:bidi="ar"/>
                      <w14:ligatures w14:val="standardContextual"/>
                    </w:rPr>
                    <w:t>个沉淀池。</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8C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lang w:val="en-US"/>
                    </w:rPr>
                  </w:pPr>
                  <w:r>
                    <w:rPr>
                      <w:rFonts w:hint="eastAsia" w:cs="Times New Roman"/>
                      <w:i w:val="0"/>
                      <w:iCs w:val="0"/>
                      <w:color w:val="000000"/>
                      <w:kern w:val="0"/>
                      <w:sz w:val="22"/>
                      <w:szCs w:val="22"/>
                      <w:u w:val="none"/>
                      <w:lang w:val="en-US" w:eastAsia="zh-CN" w:bidi="ar"/>
                      <w14:ligatures w14:val="standardContextual"/>
                    </w:rPr>
                    <w:t>1.25</w:t>
                  </w:r>
                </w:p>
              </w:tc>
            </w:tr>
            <w:tr w14:paraId="6E838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823E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4FF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噪声治理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41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施工机械噪声</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C9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选择低噪声先进设备、合理安排施工时间、施工工地内合理布置施工机具和设备、加强管理并针对</w:t>
                  </w:r>
                  <w:r>
                    <w:rPr>
                      <w:rFonts w:hint="eastAsia" w:ascii="宋体" w:hAnsi="宋体" w:cs="宋体"/>
                      <w:i w:val="0"/>
                      <w:iCs w:val="0"/>
                      <w:color w:val="000000"/>
                      <w:kern w:val="0"/>
                      <w:sz w:val="22"/>
                      <w:szCs w:val="22"/>
                      <w:u w:val="none"/>
                      <w:lang w:val="en-US" w:eastAsia="zh-CN" w:bidi="ar"/>
                      <w14:ligatures w14:val="standardContextual"/>
                    </w:rPr>
                    <w:t>施工</w:t>
                  </w:r>
                  <w:r>
                    <w:rPr>
                      <w:rFonts w:hint="eastAsia" w:ascii="宋体" w:hAnsi="宋体" w:eastAsia="宋体" w:cs="宋体"/>
                      <w:i w:val="0"/>
                      <w:iCs w:val="0"/>
                      <w:color w:val="000000"/>
                      <w:kern w:val="0"/>
                      <w:sz w:val="22"/>
                      <w:szCs w:val="22"/>
                      <w:u w:val="none"/>
                      <w:lang w:val="en-US" w:eastAsia="zh-CN" w:bidi="ar"/>
                      <w14:ligatures w14:val="standardContextual"/>
                    </w:rPr>
                    <w:t>特点设置临时围挡等措施。</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24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r>
            <w:tr w14:paraId="51A7B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B77D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E850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1C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运输车辆噪声</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C8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敏感路段设置禁止鸣笛和减速标志牌共</w:t>
                  </w:r>
                  <w:r>
                    <w:rPr>
                      <w:rFonts w:hint="default" w:ascii="Times New Roman" w:hAnsi="Times New Roman" w:eastAsia="宋体" w:cs="Times New Roman"/>
                      <w:i w:val="0"/>
                      <w:iCs w:val="0"/>
                      <w:color w:val="000000"/>
                      <w:kern w:val="0"/>
                      <w:sz w:val="22"/>
                      <w:szCs w:val="22"/>
                      <w:u w:val="none"/>
                      <w:lang w:val="en-US" w:eastAsia="zh-CN" w:bidi="ar"/>
                      <w14:ligatures w14:val="standardContextual"/>
                    </w:rPr>
                    <w:t>3</w:t>
                  </w:r>
                  <w:r>
                    <w:rPr>
                      <w:rFonts w:hint="eastAsia" w:ascii="宋体" w:hAnsi="宋体" w:eastAsia="宋体" w:cs="宋体"/>
                      <w:i w:val="0"/>
                      <w:iCs w:val="0"/>
                      <w:color w:val="000000"/>
                      <w:kern w:val="0"/>
                      <w:sz w:val="22"/>
                      <w:szCs w:val="22"/>
                      <w:u w:val="none"/>
                      <w:lang w:val="en-US" w:eastAsia="zh-CN" w:bidi="ar"/>
                      <w14:ligatures w14:val="standardContextual"/>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EE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0.8</w:t>
                  </w:r>
                </w:p>
              </w:tc>
            </w:tr>
            <w:tr w14:paraId="5B74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4481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3E9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固废治理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7B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土石方</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B7A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弃渣运至河道两侧堆填。</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F8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r>
            <w:tr w14:paraId="43F50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E459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B407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E0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建筑垃圾</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294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能回收利用的首先进行回收利用，不能回收利用的运至合法弃渣场处置。</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BB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0.6</w:t>
                  </w:r>
                </w:p>
              </w:tc>
            </w:tr>
            <w:tr w14:paraId="1A577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F6B6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D81C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25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疏浚砂卵石</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8BE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晒干后用于堤身填筑、围堰填筑。</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E8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w:t>
                  </w:r>
                </w:p>
              </w:tc>
            </w:tr>
            <w:tr w14:paraId="6A676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83B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ADE4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2"/>
                      <w:szCs w:val="22"/>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BA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生活垃圾</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1E9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施工场地内设置生活垃圾收集桶，定期由当地环卫部门进行收运处置。</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6D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0.5</w:t>
                  </w:r>
                </w:p>
              </w:tc>
            </w:tr>
            <w:tr w14:paraId="60FC5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A0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运营期</w:t>
                  </w:r>
                </w:p>
              </w:tc>
              <w:tc>
                <w:tcPr>
                  <w:tcW w:w="2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664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管理措施</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F24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定期关注植被恢复情况，当出现植被恢复率低时，需进行补种，以尽量恢复到施工前的生态环境现状。做好周边居民的生态环境保护宣传，增强居民环境保护意识，禁止往河道内随意丢弃生活垃圾等。在工程管理范围内，河道护岸、护岸设施等必须严加保护，任何单位和个人不得破坏，不准侵占和偷盗。</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76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0.24</w:t>
                  </w:r>
                </w:p>
              </w:tc>
            </w:tr>
            <w:tr w14:paraId="64702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27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BEB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14:ligatures w14:val="standardContextual"/>
                    </w:rPr>
                    <w:t>合计</w:t>
                  </w:r>
                </w:p>
              </w:tc>
              <w:tc>
                <w:tcPr>
                  <w:tcW w:w="4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CF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7A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11.39</w:t>
                  </w:r>
                </w:p>
              </w:tc>
            </w:tr>
          </w:tbl>
          <w:p w14:paraId="3D3FD2AC">
            <w:pPr>
              <w:pStyle w:val="6"/>
              <w:rPr>
                <w:rFonts w:hint="eastAsia" w:ascii="Times New Roman" w:hAnsi="Times New Roman"/>
                <w:lang w:val="en-US" w:eastAsia="zh-CN"/>
              </w:rPr>
            </w:pPr>
          </w:p>
        </w:tc>
      </w:tr>
    </w:tbl>
    <w:p w14:paraId="3071C1E9">
      <w:pPr>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12" w:charSpace="0"/>
        </w:sectPr>
      </w:pPr>
    </w:p>
    <w:p w14:paraId="28C1D944">
      <w:pPr>
        <w:pStyle w:val="2"/>
        <w:numPr>
          <w:ilvl w:val="0"/>
          <w:numId w:val="7"/>
        </w:numPr>
        <w:spacing w:after="163"/>
      </w:pPr>
      <w:bookmarkStart w:id="110" w:name="_Toc6003"/>
      <w:r>
        <w:rPr>
          <w:rFonts w:hint="eastAsia"/>
        </w:rPr>
        <w:t>生态环境保护措施监督检查清单</w:t>
      </w:r>
      <w:bookmarkEnd w:id="110"/>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3873"/>
        <w:gridCol w:w="2024"/>
        <w:gridCol w:w="1491"/>
        <w:gridCol w:w="842"/>
      </w:tblGrid>
      <w:tr w14:paraId="6C9E6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6" w:type="pct"/>
            <w:vMerge w:val="restart"/>
            <w:tcBorders>
              <w:tl2br w:val="single" w:color="auto" w:sz="4" w:space="0"/>
            </w:tcBorders>
            <w:noWrap w:val="0"/>
            <w:vAlign w:val="top"/>
          </w:tcPr>
          <w:p w14:paraId="2F9CE6F8">
            <w:pPr>
              <w:pStyle w:val="40"/>
              <w:keepNext w:val="0"/>
              <w:keepLines w:val="0"/>
              <w:pageBreakBefore w:val="0"/>
              <w:kinsoku/>
              <w:wordWrap/>
              <w:overflowPunct/>
              <w:topLinePunct w:val="0"/>
              <w:bidi w:val="0"/>
              <w:adjustRightInd w:val="0"/>
              <w:snapToGrid w:val="0"/>
              <w:spacing w:before="72" w:beforeLines="30" w:beforeAutospacing="0" w:after="0" w:afterAutospacing="0" w:line="320" w:lineRule="atLeast"/>
              <w:jc w:val="right"/>
              <w:textAlignment w:val="auto"/>
              <w:outlineLvl w:val="0"/>
              <w:rPr>
                <w:rFonts w:ascii="Times New Roman" w:hAnsi="Times New Roman"/>
                <w:b/>
                <w:bCs/>
                <w:kern w:val="2"/>
                <w:sz w:val="22"/>
                <w:szCs w:val="22"/>
              </w:rPr>
            </w:pPr>
            <w:bookmarkStart w:id="111" w:name="_Toc6762"/>
            <w:bookmarkStart w:id="112" w:name="_Toc81657383"/>
            <w:r>
              <w:rPr>
                <w:rFonts w:ascii="Times New Roman" w:hAnsi="Times New Roman"/>
                <w:b/>
                <w:bCs/>
                <w:kern w:val="2"/>
                <w:sz w:val="22"/>
                <w:szCs w:val="22"/>
              </w:rPr>
              <w:t>内容</w:t>
            </w:r>
            <w:bookmarkEnd w:id="111"/>
            <w:bookmarkEnd w:id="112"/>
          </w:p>
          <w:p w14:paraId="2E5C7447">
            <w:pPr>
              <w:pStyle w:val="40"/>
              <w:keepNext w:val="0"/>
              <w:keepLines w:val="0"/>
              <w:pageBreakBefore w:val="0"/>
              <w:kinsoku/>
              <w:wordWrap/>
              <w:overflowPunct/>
              <w:topLinePunct w:val="0"/>
              <w:bidi w:val="0"/>
              <w:adjustRightInd w:val="0"/>
              <w:snapToGrid w:val="0"/>
              <w:spacing w:before="0" w:beforeAutospacing="0" w:after="0" w:afterAutospacing="0" w:line="320" w:lineRule="atLeast"/>
              <w:textAlignment w:val="auto"/>
              <w:outlineLvl w:val="0"/>
              <w:rPr>
                <w:rFonts w:ascii="Times New Roman" w:hAnsi="Times New Roman"/>
                <w:b/>
                <w:bCs/>
                <w:kern w:val="2"/>
                <w:sz w:val="22"/>
                <w:szCs w:val="22"/>
              </w:rPr>
            </w:pPr>
            <w:bookmarkStart w:id="113" w:name="_Toc81657384"/>
            <w:bookmarkStart w:id="114" w:name="_Toc1558"/>
            <w:r>
              <w:rPr>
                <w:rFonts w:ascii="Times New Roman" w:hAnsi="Times New Roman"/>
                <w:b/>
                <w:bCs/>
                <w:kern w:val="2"/>
                <w:sz w:val="22"/>
                <w:szCs w:val="22"/>
              </w:rPr>
              <w:t>要素</w:t>
            </w:r>
            <w:bookmarkEnd w:id="113"/>
            <w:bookmarkEnd w:id="114"/>
          </w:p>
        </w:tc>
        <w:tc>
          <w:tcPr>
            <w:tcW w:w="3062" w:type="pct"/>
            <w:gridSpan w:val="2"/>
            <w:noWrap w:val="0"/>
            <w:vAlign w:val="center"/>
          </w:tcPr>
          <w:p w14:paraId="7F825803">
            <w:pPr>
              <w:pStyle w:val="40"/>
              <w:keepNext w:val="0"/>
              <w:keepLines w:val="0"/>
              <w:pageBreakBefore w:val="0"/>
              <w:kinsoku/>
              <w:wordWrap/>
              <w:overflowPunct/>
              <w:topLinePunct w:val="0"/>
              <w:bidi w:val="0"/>
              <w:adjustRightInd w:val="0"/>
              <w:snapToGrid w:val="0"/>
              <w:spacing w:before="0" w:beforeAutospacing="0" w:after="0" w:afterAutospacing="0" w:line="320" w:lineRule="atLeast"/>
              <w:jc w:val="center"/>
              <w:textAlignment w:val="auto"/>
              <w:outlineLvl w:val="0"/>
              <w:rPr>
                <w:rFonts w:ascii="Times New Roman" w:hAnsi="Times New Roman"/>
                <w:b/>
                <w:bCs/>
                <w:kern w:val="2"/>
                <w:sz w:val="22"/>
                <w:szCs w:val="22"/>
              </w:rPr>
            </w:pPr>
            <w:bookmarkStart w:id="115" w:name="_Toc81657385"/>
            <w:bookmarkStart w:id="116" w:name="_Toc11598"/>
            <w:r>
              <w:rPr>
                <w:rFonts w:ascii="Times New Roman" w:hAnsi="Times New Roman"/>
                <w:b/>
                <w:bCs/>
                <w:kern w:val="2"/>
                <w:sz w:val="22"/>
                <w:szCs w:val="22"/>
              </w:rPr>
              <w:t>施工期</w:t>
            </w:r>
            <w:bookmarkEnd w:id="115"/>
            <w:bookmarkEnd w:id="116"/>
          </w:p>
        </w:tc>
        <w:tc>
          <w:tcPr>
            <w:tcW w:w="1211" w:type="pct"/>
            <w:gridSpan w:val="2"/>
            <w:noWrap w:val="0"/>
            <w:vAlign w:val="center"/>
          </w:tcPr>
          <w:p w14:paraId="62A2AE5F">
            <w:pPr>
              <w:pStyle w:val="40"/>
              <w:keepNext w:val="0"/>
              <w:keepLines w:val="0"/>
              <w:pageBreakBefore w:val="0"/>
              <w:kinsoku/>
              <w:wordWrap/>
              <w:overflowPunct/>
              <w:topLinePunct w:val="0"/>
              <w:bidi w:val="0"/>
              <w:adjustRightInd w:val="0"/>
              <w:snapToGrid w:val="0"/>
              <w:spacing w:before="0" w:beforeAutospacing="0" w:after="0" w:afterAutospacing="0" w:line="320" w:lineRule="atLeast"/>
              <w:jc w:val="center"/>
              <w:textAlignment w:val="auto"/>
              <w:outlineLvl w:val="0"/>
              <w:rPr>
                <w:rFonts w:ascii="Times New Roman" w:hAnsi="Times New Roman"/>
                <w:b/>
                <w:bCs/>
                <w:kern w:val="2"/>
                <w:sz w:val="22"/>
                <w:szCs w:val="22"/>
              </w:rPr>
            </w:pPr>
            <w:bookmarkStart w:id="117" w:name="_Toc81657386"/>
            <w:bookmarkStart w:id="118" w:name="_Toc24864"/>
            <w:r>
              <w:rPr>
                <w:rFonts w:ascii="Times New Roman" w:hAnsi="Times New Roman"/>
                <w:b/>
                <w:bCs/>
                <w:kern w:val="2"/>
                <w:sz w:val="22"/>
                <w:szCs w:val="22"/>
              </w:rPr>
              <w:t>运营期</w:t>
            </w:r>
            <w:bookmarkEnd w:id="117"/>
            <w:bookmarkEnd w:id="118"/>
          </w:p>
        </w:tc>
      </w:tr>
      <w:tr w14:paraId="5D237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26" w:type="pct"/>
            <w:vMerge w:val="continue"/>
            <w:noWrap w:val="0"/>
            <w:vAlign w:val="top"/>
          </w:tcPr>
          <w:p w14:paraId="229467D2">
            <w:pPr>
              <w:pStyle w:val="40"/>
              <w:keepNext w:val="0"/>
              <w:keepLines w:val="0"/>
              <w:pageBreakBefore w:val="0"/>
              <w:kinsoku/>
              <w:wordWrap/>
              <w:overflowPunct/>
              <w:topLinePunct w:val="0"/>
              <w:bidi w:val="0"/>
              <w:adjustRightInd w:val="0"/>
              <w:snapToGrid w:val="0"/>
              <w:spacing w:before="0" w:beforeAutospacing="0" w:after="0" w:afterAutospacing="0" w:line="320" w:lineRule="atLeast"/>
              <w:ind w:firstLine="840"/>
              <w:jc w:val="center"/>
              <w:textAlignment w:val="auto"/>
              <w:outlineLvl w:val="0"/>
              <w:rPr>
                <w:rFonts w:ascii="Times New Roman" w:hAnsi="Times New Roman"/>
                <w:b/>
                <w:bCs/>
                <w:kern w:val="2"/>
                <w:sz w:val="22"/>
                <w:szCs w:val="22"/>
              </w:rPr>
            </w:pPr>
          </w:p>
        </w:tc>
        <w:tc>
          <w:tcPr>
            <w:tcW w:w="2011" w:type="pct"/>
            <w:noWrap w:val="0"/>
            <w:vAlign w:val="center"/>
          </w:tcPr>
          <w:p w14:paraId="4614F889">
            <w:pPr>
              <w:pStyle w:val="40"/>
              <w:keepNext w:val="0"/>
              <w:keepLines w:val="0"/>
              <w:pageBreakBefore w:val="0"/>
              <w:kinsoku/>
              <w:wordWrap/>
              <w:overflowPunct/>
              <w:topLinePunct w:val="0"/>
              <w:bidi w:val="0"/>
              <w:adjustRightInd w:val="0"/>
              <w:snapToGrid w:val="0"/>
              <w:spacing w:before="0" w:beforeAutospacing="0" w:after="0" w:afterAutospacing="0" w:line="320" w:lineRule="atLeast"/>
              <w:jc w:val="center"/>
              <w:textAlignment w:val="auto"/>
              <w:outlineLvl w:val="0"/>
              <w:rPr>
                <w:rFonts w:ascii="Times New Roman" w:hAnsi="Times New Roman"/>
                <w:b/>
                <w:bCs/>
                <w:kern w:val="2"/>
                <w:sz w:val="22"/>
                <w:szCs w:val="22"/>
              </w:rPr>
            </w:pPr>
            <w:bookmarkStart w:id="119" w:name="_Toc81657387"/>
            <w:bookmarkStart w:id="120" w:name="_Toc20650"/>
            <w:r>
              <w:rPr>
                <w:rFonts w:ascii="Times New Roman" w:hAnsi="Times New Roman"/>
                <w:b/>
                <w:bCs/>
                <w:kern w:val="2"/>
                <w:sz w:val="22"/>
                <w:szCs w:val="22"/>
              </w:rPr>
              <w:t>环境保护措施</w:t>
            </w:r>
            <w:bookmarkEnd w:id="119"/>
            <w:bookmarkEnd w:id="120"/>
          </w:p>
        </w:tc>
        <w:tc>
          <w:tcPr>
            <w:tcW w:w="1051" w:type="pct"/>
            <w:noWrap w:val="0"/>
            <w:vAlign w:val="center"/>
          </w:tcPr>
          <w:p w14:paraId="2291FABF">
            <w:pPr>
              <w:pStyle w:val="40"/>
              <w:keepNext w:val="0"/>
              <w:keepLines w:val="0"/>
              <w:pageBreakBefore w:val="0"/>
              <w:kinsoku/>
              <w:wordWrap/>
              <w:overflowPunct/>
              <w:topLinePunct w:val="0"/>
              <w:bidi w:val="0"/>
              <w:adjustRightInd w:val="0"/>
              <w:snapToGrid w:val="0"/>
              <w:spacing w:before="0" w:beforeAutospacing="0" w:after="0" w:afterAutospacing="0" w:line="320" w:lineRule="atLeast"/>
              <w:jc w:val="center"/>
              <w:textAlignment w:val="auto"/>
              <w:outlineLvl w:val="0"/>
              <w:rPr>
                <w:rFonts w:ascii="Times New Roman" w:hAnsi="Times New Roman"/>
                <w:b/>
                <w:bCs/>
                <w:kern w:val="2"/>
                <w:sz w:val="22"/>
                <w:szCs w:val="22"/>
              </w:rPr>
            </w:pPr>
            <w:bookmarkStart w:id="121" w:name="_Toc81657388"/>
            <w:bookmarkStart w:id="122" w:name="_Toc2751"/>
            <w:r>
              <w:rPr>
                <w:rFonts w:ascii="Times New Roman" w:hAnsi="Times New Roman"/>
                <w:b/>
                <w:bCs/>
                <w:kern w:val="2"/>
                <w:sz w:val="22"/>
                <w:szCs w:val="22"/>
              </w:rPr>
              <w:t>验收要求</w:t>
            </w:r>
            <w:bookmarkEnd w:id="121"/>
            <w:bookmarkEnd w:id="122"/>
          </w:p>
        </w:tc>
        <w:tc>
          <w:tcPr>
            <w:tcW w:w="774" w:type="pct"/>
            <w:noWrap w:val="0"/>
            <w:vAlign w:val="center"/>
          </w:tcPr>
          <w:p w14:paraId="31078CA8">
            <w:pPr>
              <w:pStyle w:val="40"/>
              <w:keepNext w:val="0"/>
              <w:keepLines w:val="0"/>
              <w:pageBreakBefore w:val="0"/>
              <w:kinsoku/>
              <w:wordWrap/>
              <w:overflowPunct/>
              <w:topLinePunct w:val="0"/>
              <w:bidi w:val="0"/>
              <w:adjustRightInd w:val="0"/>
              <w:snapToGrid w:val="0"/>
              <w:spacing w:before="0" w:beforeAutospacing="0" w:after="0" w:afterAutospacing="0" w:line="320" w:lineRule="atLeast"/>
              <w:jc w:val="center"/>
              <w:textAlignment w:val="auto"/>
              <w:outlineLvl w:val="0"/>
              <w:rPr>
                <w:rFonts w:ascii="Times New Roman" w:hAnsi="Times New Roman"/>
                <w:b/>
                <w:bCs/>
                <w:kern w:val="2"/>
                <w:sz w:val="22"/>
                <w:szCs w:val="22"/>
              </w:rPr>
            </w:pPr>
            <w:bookmarkStart w:id="123" w:name="_Toc1364"/>
            <w:bookmarkStart w:id="124" w:name="_Toc81657389"/>
            <w:r>
              <w:rPr>
                <w:rFonts w:ascii="Times New Roman" w:hAnsi="Times New Roman"/>
                <w:b/>
                <w:bCs/>
                <w:kern w:val="2"/>
                <w:sz w:val="22"/>
                <w:szCs w:val="22"/>
              </w:rPr>
              <w:t>环境保护措施</w:t>
            </w:r>
            <w:bookmarkEnd w:id="123"/>
            <w:bookmarkEnd w:id="124"/>
          </w:p>
        </w:tc>
        <w:tc>
          <w:tcPr>
            <w:tcW w:w="437" w:type="pct"/>
            <w:noWrap w:val="0"/>
            <w:vAlign w:val="center"/>
          </w:tcPr>
          <w:p w14:paraId="70F7C982">
            <w:pPr>
              <w:pStyle w:val="40"/>
              <w:keepNext w:val="0"/>
              <w:keepLines w:val="0"/>
              <w:pageBreakBefore w:val="0"/>
              <w:kinsoku/>
              <w:wordWrap/>
              <w:overflowPunct/>
              <w:topLinePunct w:val="0"/>
              <w:bidi w:val="0"/>
              <w:adjustRightInd w:val="0"/>
              <w:snapToGrid w:val="0"/>
              <w:spacing w:before="0" w:beforeAutospacing="0" w:after="0" w:afterAutospacing="0" w:line="320" w:lineRule="atLeast"/>
              <w:jc w:val="center"/>
              <w:textAlignment w:val="auto"/>
              <w:outlineLvl w:val="0"/>
              <w:rPr>
                <w:rFonts w:ascii="Times New Roman" w:hAnsi="Times New Roman"/>
                <w:b/>
                <w:bCs/>
                <w:kern w:val="2"/>
                <w:sz w:val="22"/>
                <w:szCs w:val="22"/>
              </w:rPr>
            </w:pPr>
            <w:bookmarkStart w:id="125" w:name="_Toc81657390"/>
            <w:bookmarkStart w:id="126" w:name="_Toc4682"/>
            <w:r>
              <w:rPr>
                <w:rFonts w:ascii="Times New Roman" w:hAnsi="Times New Roman"/>
                <w:b/>
                <w:bCs/>
                <w:kern w:val="2"/>
                <w:sz w:val="22"/>
                <w:szCs w:val="22"/>
              </w:rPr>
              <w:t>验收要求</w:t>
            </w:r>
            <w:bookmarkEnd w:id="125"/>
            <w:bookmarkEnd w:id="126"/>
          </w:p>
        </w:tc>
      </w:tr>
      <w:tr w14:paraId="574B3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6" w:type="pct"/>
            <w:noWrap w:val="0"/>
            <w:vAlign w:val="center"/>
          </w:tcPr>
          <w:p w14:paraId="5A07ACC0">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陆生生态</w:t>
            </w:r>
          </w:p>
        </w:tc>
        <w:tc>
          <w:tcPr>
            <w:tcW w:w="2011" w:type="pct"/>
            <w:noWrap w:val="0"/>
            <w:vAlign w:val="center"/>
          </w:tcPr>
          <w:p w14:paraId="44D8CA66">
            <w:pPr>
              <w:pStyle w:val="165"/>
              <w:keepNext w:val="0"/>
              <w:keepLines w:val="0"/>
              <w:pageBreakBefore w:val="0"/>
              <w:kinsoku/>
              <w:wordWrap/>
              <w:overflowPunct/>
              <w:topLinePunct w:val="0"/>
              <w:bidi w:val="0"/>
              <w:adjustRightInd w:val="0"/>
              <w:snapToGrid w:val="0"/>
              <w:spacing w:line="320" w:lineRule="atLeast"/>
              <w:jc w:val="both"/>
              <w:textAlignment w:val="auto"/>
              <w:rPr>
                <w:rFonts w:hint="eastAsia" w:ascii="Times New Roman" w:eastAsia="宋体"/>
                <w:color w:val="auto"/>
                <w:sz w:val="22"/>
                <w:szCs w:val="22"/>
              </w:rPr>
            </w:pPr>
            <w:r>
              <w:rPr>
                <w:rFonts w:hint="eastAsia" w:ascii="Times New Roman" w:eastAsia="宋体"/>
                <w:color w:val="auto"/>
                <w:sz w:val="22"/>
                <w:szCs w:val="22"/>
              </w:rPr>
              <w:t>（1）施工期间在各主要工程区设置生态保护警示牌</w:t>
            </w:r>
            <w:r>
              <w:rPr>
                <w:rFonts w:hint="eastAsia" w:ascii="Times New Roman" w:eastAsia="宋体"/>
                <w:color w:val="auto"/>
                <w:sz w:val="22"/>
                <w:szCs w:val="22"/>
                <w:lang w:eastAsia="zh-CN"/>
              </w:rPr>
              <w:t>，禁止越界施工，施工作业带清理尽量减少对林地、植被的破坏；警示牌上标示禁止捕猎野生动物、禁止下河捕鱼</w:t>
            </w:r>
            <w:r>
              <w:rPr>
                <w:rFonts w:hint="eastAsia" w:ascii="Times New Roman" w:eastAsia="宋体"/>
                <w:color w:val="auto"/>
                <w:sz w:val="22"/>
                <w:szCs w:val="22"/>
              </w:rPr>
              <w:t>。</w:t>
            </w:r>
          </w:p>
          <w:p w14:paraId="623D7C64">
            <w:pPr>
              <w:pStyle w:val="165"/>
              <w:keepNext w:val="0"/>
              <w:keepLines w:val="0"/>
              <w:pageBreakBefore w:val="0"/>
              <w:kinsoku/>
              <w:wordWrap/>
              <w:overflowPunct/>
              <w:topLinePunct w:val="0"/>
              <w:bidi w:val="0"/>
              <w:adjustRightInd w:val="0"/>
              <w:snapToGrid w:val="0"/>
              <w:spacing w:line="320" w:lineRule="atLeast"/>
              <w:jc w:val="both"/>
              <w:textAlignment w:val="auto"/>
              <w:rPr>
                <w:rFonts w:ascii="Times New Roman" w:eastAsia="宋体"/>
                <w:color w:val="auto"/>
                <w:sz w:val="22"/>
                <w:szCs w:val="22"/>
              </w:rPr>
            </w:pPr>
            <w:r>
              <w:rPr>
                <w:rFonts w:hint="eastAsia" w:ascii="Times New Roman" w:eastAsia="宋体"/>
                <w:color w:val="auto"/>
                <w:sz w:val="22"/>
                <w:szCs w:val="22"/>
              </w:rPr>
              <w:t>（2）规范施工机械和车辆行车线路，尽量避免车辆在运输过程中对当地植被的碾压。</w:t>
            </w:r>
          </w:p>
          <w:p w14:paraId="65095C50">
            <w:pPr>
              <w:pStyle w:val="165"/>
              <w:keepNext w:val="0"/>
              <w:keepLines w:val="0"/>
              <w:pageBreakBefore w:val="0"/>
              <w:kinsoku/>
              <w:wordWrap/>
              <w:overflowPunct/>
              <w:topLinePunct w:val="0"/>
              <w:bidi w:val="0"/>
              <w:adjustRightInd w:val="0"/>
              <w:snapToGrid w:val="0"/>
              <w:spacing w:line="320" w:lineRule="atLeast"/>
              <w:jc w:val="both"/>
              <w:textAlignment w:val="auto"/>
              <w:rPr>
                <w:rFonts w:hint="eastAsia" w:ascii="Times New Roman" w:eastAsia="宋体"/>
                <w:color w:val="auto"/>
                <w:sz w:val="22"/>
                <w:szCs w:val="22"/>
                <w:lang w:eastAsia="zh-CN"/>
              </w:rPr>
            </w:pPr>
            <w:r>
              <w:rPr>
                <w:rFonts w:hint="eastAsia" w:ascii="Times New Roman" w:eastAsia="宋体"/>
                <w:color w:val="auto"/>
                <w:sz w:val="22"/>
                <w:szCs w:val="22"/>
              </w:rPr>
              <w:t>（</w:t>
            </w:r>
            <w:r>
              <w:rPr>
                <w:rFonts w:hint="eastAsia" w:ascii="Times New Roman" w:eastAsia="宋体"/>
                <w:color w:val="auto"/>
                <w:sz w:val="22"/>
                <w:szCs w:val="22"/>
                <w:lang w:val="en-US" w:eastAsia="zh-CN"/>
              </w:rPr>
              <w:t>3</w:t>
            </w:r>
            <w:r>
              <w:rPr>
                <w:rFonts w:hint="eastAsia" w:ascii="Times New Roman" w:eastAsia="宋体"/>
                <w:color w:val="auto"/>
                <w:sz w:val="22"/>
                <w:szCs w:val="22"/>
              </w:rPr>
              <w:t>）施工前将占地范围内的表土层熟土进行剥离，</w:t>
            </w:r>
            <w:r>
              <w:rPr>
                <w:rFonts w:hint="eastAsia" w:ascii="Times New Roman" w:eastAsia="宋体"/>
                <w:color w:val="auto"/>
                <w:sz w:val="22"/>
                <w:szCs w:val="22"/>
                <w:lang w:val="en-US" w:eastAsia="zh-CN"/>
              </w:rPr>
              <w:t>堆放于临时堆料场</w:t>
            </w:r>
            <w:r>
              <w:rPr>
                <w:rFonts w:hint="eastAsia" w:ascii="Times New Roman" w:eastAsia="宋体"/>
                <w:color w:val="auto"/>
                <w:sz w:val="22"/>
                <w:szCs w:val="22"/>
              </w:rPr>
              <w:t>，并用防水膜加以覆盖。</w:t>
            </w:r>
            <w:r>
              <w:rPr>
                <w:rFonts w:hint="eastAsia" w:ascii="Times New Roman" w:eastAsia="宋体"/>
                <w:color w:val="auto"/>
                <w:sz w:val="22"/>
                <w:szCs w:val="22"/>
                <w:lang w:val="en-US" w:eastAsia="zh-CN"/>
              </w:rPr>
              <w:t>表土定期进行洒水养护，以保证养护的草皮处于湿润状态，草皮的养护时间不宜过长，施工完成后应立即用于生态恢复覆土</w:t>
            </w:r>
            <w:r>
              <w:rPr>
                <w:rFonts w:hint="eastAsia" w:ascii="Times New Roman" w:eastAsia="宋体"/>
                <w:color w:val="auto"/>
                <w:sz w:val="22"/>
                <w:szCs w:val="22"/>
                <w:lang w:eastAsia="zh-CN"/>
              </w:rPr>
              <w:t>。</w:t>
            </w:r>
          </w:p>
          <w:p w14:paraId="3BC2BB6A">
            <w:pPr>
              <w:pStyle w:val="165"/>
              <w:keepNext w:val="0"/>
              <w:keepLines w:val="0"/>
              <w:pageBreakBefore w:val="0"/>
              <w:kinsoku/>
              <w:wordWrap/>
              <w:overflowPunct/>
              <w:topLinePunct w:val="0"/>
              <w:bidi w:val="0"/>
              <w:adjustRightInd w:val="0"/>
              <w:snapToGrid w:val="0"/>
              <w:spacing w:line="320" w:lineRule="atLeast"/>
              <w:jc w:val="both"/>
              <w:textAlignment w:val="auto"/>
              <w:rPr>
                <w:rFonts w:hint="default" w:ascii="Times New Roman" w:eastAsia="宋体"/>
                <w:color w:val="auto"/>
                <w:sz w:val="22"/>
                <w:szCs w:val="22"/>
                <w:lang w:val="en-US"/>
              </w:rPr>
            </w:pPr>
            <w:r>
              <w:rPr>
                <w:rFonts w:hint="eastAsia" w:ascii="Times New Roman" w:eastAsia="宋体"/>
                <w:color w:val="auto"/>
                <w:sz w:val="22"/>
                <w:szCs w:val="22"/>
                <w:lang w:eastAsia="zh-CN"/>
              </w:rPr>
              <w:t>（</w:t>
            </w:r>
            <w:r>
              <w:rPr>
                <w:rFonts w:hint="eastAsia" w:ascii="Times New Roman" w:eastAsia="宋体"/>
                <w:color w:val="auto"/>
                <w:sz w:val="22"/>
                <w:szCs w:val="22"/>
                <w:lang w:val="en-US" w:eastAsia="zh-CN"/>
              </w:rPr>
              <w:t>4</w:t>
            </w:r>
            <w:r>
              <w:rPr>
                <w:rFonts w:hint="eastAsia" w:ascii="Times New Roman" w:eastAsia="宋体"/>
                <w:color w:val="auto"/>
                <w:sz w:val="22"/>
                <w:szCs w:val="22"/>
                <w:lang w:eastAsia="zh-CN"/>
              </w:rPr>
              <w:t>）施工结束后对施工</w:t>
            </w:r>
            <w:r>
              <w:rPr>
                <w:rFonts w:hint="eastAsia" w:ascii="Times New Roman" w:eastAsia="宋体"/>
                <w:color w:val="auto"/>
                <w:sz w:val="22"/>
                <w:szCs w:val="22"/>
                <w:lang w:val="en-US" w:eastAsia="zh-CN"/>
              </w:rPr>
              <w:t>临时占地</w:t>
            </w:r>
            <w:r>
              <w:rPr>
                <w:rFonts w:hint="eastAsia" w:ascii="Times New Roman" w:eastAsia="宋体"/>
                <w:color w:val="auto"/>
                <w:sz w:val="22"/>
                <w:szCs w:val="22"/>
                <w:lang w:eastAsia="zh-CN"/>
              </w:rPr>
              <w:t>内设备、</w:t>
            </w:r>
            <w:r>
              <w:rPr>
                <w:rFonts w:hint="eastAsia" w:ascii="Times New Roman" w:eastAsia="宋体"/>
                <w:color w:val="auto"/>
                <w:sz w:val="22"/>
                <w:szCs w:val="22"/>
                <w:lang w:val="en-US" w:eastAsia="zh-CN"/>
              </w:rPr>
              <w:t>构筑物</w:t>
            </w:r>
            <w:r>
              <w:rPr>
                <w:rFonts w:hint="eastAsia" w:ascii="Times New Roman" w:eastAsia="宋体"/>
                <w:color w:val="auto"/>
                <w:sz w:val="22"/>
                <w:szCs w:val="22"/>
                <w:lang w:eastAsia="zh-CN"/>
              </w:rPr>
              <w:t>进行拆除，清除场地内的垃圾，并进行场地平整、表土回填、植被恢复</w:t>
            </w:r>
            <w:r>
              <w:rPr>
                <w:rFonts w:hint="eastAsia" w:ascii="Times New Roman" w:eastAsia="宋体"/>
                <w:color w:val="auto"/>
                <w:sz w:val="22"/>
                <w:szCs w:val="22"/>
              </w:rPr>
              <w:t>。</w:t>
            </w:r>
            <w:r>
              <w:rPr>
                <w:rFonts w:hint="eastAsia" w:ascii="Times New Roman" w:eastAsia="宋体"/>
                <w:color w:val="auto"/>
                <w:sz w:val="22"/>
                <w:szCs w:val="22"/>
                <w:lang w:val="en-US" w:eastAsia="zh-CN"/>
              </w:rPr>
              <w:t>其他林地表土回填后补植杨树、柳树等，林下播撒草籽，已恢复原有土地类型；其他草地、裸土地、河滩地表土回填后播撒草籽恢复植被。</w:t>
            </w:r>
          </w:p>
          <w:p w14:paraId="3C72CAB2">
            <w:pPr>
              <w:pStyle w:val="165"/>
              <w:keepNext w:val="0"/>
              <w:keepLines w:val="0"/>
              <w:pageBreakBefore w:val="0"/>
              <w:kinsoku/>
              <w:wordWrap/>
              <w:overflowPunct/>
              <w:topLinePunct w:val="0"/>
              <w:bidi w:val="0"/>
              <w:adjustRightInd w:val="0"/>
              <w:snapToGrid w:val="0"/>
              <w:spacing w:line="320" w:lineRule="atLeast"/>
              <w:jc w:val="both"/>
              <w:textAlignment w:val="auto"/>
              <w:rPr>
                <w:rFonts w:hint="eastAsia" w:ascii="Times New Roman" w:eastAsia="宋体"/>
                <w:color w:val="auto"/>
                <w:sz w:val="22"/>
                <w:szCs w:val="22"/>
              </w:rPr>
            </w:pPr>
            <w:r>
              <w:rPr>
                <w:rFonts w:hint="eastAsia" w:ascii="Times New Roman" w:eastAsia="宋体"/>
                <w:color w:val="auto"/>
                <w:sz w:val="22"/>
                <w:szCs w:val="22"/>
              </w:rPr>
              <w:t>（</w:t>
            </w:r>
            <w:r>
              <w:rPr>
                <w:rFonts w:ascii="Times New Roman" w:eastAsia="宋体"/>
                <w:color w:val="auto"/>
                <w:sz w:val="22"/>
                <w:szCs w:val="22"/>
              </w:rPr>
              <w:t>5</w:t>
            </w:r>
            <w:r>
              <w:rPr>
                <w:rFonts w:hint="eastAsia" w:ascii="Times New Roman" w:eastAsia="宋体"/>
                <w:color w:val="auto"/>
                <w:sz w:val="22"/>
                <w:szCs w:val="22"/>
              </w:rPr>
              <w:t>）施工期间以公告、宣传单、板报和会议等形式，加强对施工人员的环境保护宣传教育和保护</w:t>
            </w:r>
            <w:r>
              <w:rPr>
                <w:rFonts w:hint="eastAsia" w:ascii="Times New Roman" w:eastAsia="宋体"/>
                <w:color w:val="auto"/>
                <w:sz w:val="22"/>
                <w:szCs w:val="22"/>
                <w:lang w:val="en-US" w:eastAsia="zh-CN"/>
              </w:rPr>
              <w:t>植物、</w:t>
            </w:r>
            <w:r>
              <w:rPr>
                <w:rFonts w:hint="eastAsia" w:ascii="Times New Roman" w:eastAsia="宋体"/>
                <w:color w:val="auto"/>
                <w:sz w:val="22"/>
                <w:szCs w:val="22"/>
              </w:rPr>
              <w:t>野生动物常识的宣传。</w:t>
            </w:r>
          </w:p>
          <w:p w14:paraId="32443256">
            <w:pPr>
              <w:pStyle w:val="165"/>
              <w:keepNext w:val="0"/>
              <w:keepLines w:val="0"/>
              <w:pageBreakBefore w:val="0"/>
              <w:kinsoku/>
              <w:wordWrap/>
              <w:overflowPunct/>
              <w:topLinePunct w:val="0"/>
              <w:bidi w:val="0"/>
              <w:adjustRightInd w:val="0"/>
              <w:snapToGrid w:val="0"/>
              <w:spacing w:line="320" w:lineRule="atLeast"/>
              <w:jc w:val="both"/>
              <w:textAlignment w:val="auto"/>
              <w:rPr>
                <w:rFonts w:hint="eastAsia" w:ascii="Times New Roman" w:eastAsia="宋体"/>
                <w:color w:val="auto"/>
                <w:sz w:val="22"/>
                <w:szCs w:val="22"/>
              </w:rPr>
            </w:pPr>
            <w:r>
              <w:rPr>
                <w:rFonts w:hint="eastAsia" w:ascii="Times New Roman" w:eastAsia="宋体"/>
                <w:color w:val="auto"/>
                <w:sz w:val="22"/>
                <w:szCs w:val="22"/>
              </w:rPr>
              <w:t>（</w:t>
            </w:r>
            <w:r>
              <w:rPr>
                <w:rFonts w:ascii="Times New Roman" w:eastAsia="宋体"/>
                <w:color w:val="auto"/>
                <w:sz w:val="22"/>
                <w:szCs w:val="22"/>
              </w:rPr>
              <w:t>6</w:t>
            </w:r>
            <w:r>
              <w:rPr>
                <w:rFonts w:hint="eastAsia" w:ascii="Times New Roman" w:eastAsia="宋体"/>
                <w:color w:val="auto"/>
                <w:sz w:val="22"/>
                <w:szCs w:val="22"/>
              </w:rPr>
              <w:t>）为了减少工程施工噪声和灯光对野生动物的惊扰，应做好施工方式和时间的计划，并力求避免在晨昏、正午进行高噪声作业，在夜间开照高亮灯光施工。</w:t>
            </w:r>
          </w:p>
        </w:tc>
        <w:tc>
          <w:tcPr>
            <w:tcW w:w="1051" w:type="pct"/>
            <w:noWrap w:val="0"/>
            <w:vAlign w:val="center"/>
          </w:tcPr>
          <w:p w14:paraId="307E3EC1">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rPr>
            </w:pPr>
            <w:r>
              <w:rPr>
                <w:rFonts w:hint="eastAsia"/>
                <w:sz w:val="22"/>
                <w:szCs w:val="22"/>
              </w:rPr>
              <w:t>施工期间设置了相关警示牌，未随意扩大施工范围</w:t>
            </w:r>
            <w:r>
              <w:rPr>
                <w:rFonts w:hint="eastAsia"/>
                <w:sz w:val="22"/>
                <w:szCs w:val="22"/>
                <w:lang w:eastAsia="zh-CN"/>
              </w:rPr>
              <w:t>；临时占地生产设施已拆除，场地内无明显弃渣，弃土弃渣规范堆置，施工场地、</w:t>
            </w:r>
            <w:r>
              <w:rPr>
                <w:rFonts w:hint="eastAsia"/>
                <w:sz w:val="22"/>
                <w:szCs w:val="22"/>
                <w:lang w:val="en-US" w:eastAsia="zh-CN"/>
              </w:rPr>
              <w:t>临时堆料场</w:t>
            </w:r>
            <w:r>
              <w:rPr>
                <w:rFonts w:hint="eastAsia"/>
                <w:sz w:val="22"/>
                <w:szCs w:val="22"/>
                <w:lang w:eastAsia="zh-CN"/>
              </w:rPr>
              <w:t>等临时占地进行生态恢复及土地复垦，无明显的裸地。</w:t>
            </w:r>
          </w:p>
        </w:tc>
        <w:tc>
          <w:tcPr>
            <w:tcW w:w="774" w:type="pct"/>
            <w:noWrap w:val="0"/>
            <w:vAlign w:val="center"/>
          </w:tcPr>
          <w:p w14:paraId="07ED1E51">
            <w:pPr>
              <w:keepNext w:val="0"/>
              <w:keepLines w:val="0"/>
              <w:pageBreakBefore w:val="0"/>
              <w:kinsoku/>
              <w:wordWrap/>
              <w:overflowPunct/>
              <w:topLinePunct w:val="0"/>
              <w:bidi w:val="0"/>
              <w:adjustRightInd w:val="0"/>
              <w:snapToGrid w:val="0"/>
              <w:spacing w:line="320" w:lineRule="atLeast"/>
              <w:jc w:val="both"/>
              <w:textAlignment w:val="auto"/>
              <w:rPr>
                <w:rFonts w:hint="eastAsia" w:eastAsia="宋体"/>
                <w:sz w:val="22"/>
                <w:szCs w:val="22"/>
                <w:lang w:val="en-US" w:eastAsia="zh-CN"/>
              </w:rPr>
            </w:pPr>
            <w:r>
              <w:rPr>
                <w:rFonts w:hint="eastAsia" w:eastAsia="宋体"/>
                <w:sz w:val="22"/>
                <w:szCs w:val="22"/>
                <w:lang w:val="en-US" w:eastAsia="zh-CN"/>
              </w:rPr>
              <w:t>后续须定期关注植被恢复情况，当出现植被恢复率低时，需进行补种，以尽量恢复到施工前的生态环境现状</w:t>
            </w:r>
            <w:r>
              <w:rPr>
                <w:rFonts w:hint="eastAsia"/>
                <w:sz w:val="22"/>
                <w:szCs w:val="22"/>
                <w:lang w:val="en-US" w:eastAsia="zh-CN"/>
              </w:rPr>
              <w:t>。</w:t>
            </w:r>
          </w:p>
        </w:tc>
        <w:tc>
          <w:tcPr>
            <w:tcW w:w="437" w:type="pct"/>
            <w:noWrap w:val="0"/>
            <w:vAlign w:val="center"/>
          </w:tcPr>
          <w:p w14:paraId="434FADA8">
            <w:pPr>
              <w:keepNext w:val="0"/>
              <w:keepLines w:val="0"/>
              <w:pageBreakBefore w:val="0"/>
              <w:kinsoku/>
              <w:wordWrap/>
              <w:overflowPunct/>
              <w:topLinePunct w:val="0"/>
              <w:bidi w:val="0"/>
              <w:adjustRightInd w:val="0"/>
              <w:snapToGrid w:val="0"/>
              <w:spacing w:line="320" w:lineRule="atLeast"/>
              <w:jc w:val="both"/>
              <w:textAlignment w:val="auto"/>
              <w:rPr>
                <w:rFonts w:hint="eastAsia" w:eastAsia="宋体"/>
                <w:sz w:val="22"/>
                <w:szCs w:val="22"/>
                <w:lang w:val="en-US" w:eastAsia="zh-CN"/>
              </w:rPr>
            </w:pPr>
            <w:r>
              <w:rPr>
                <w:rFonts w:hint="eastAsia" w:eastAsia="宋体"/>
                <w:sz w:val="22"/>
                <w:szCs w:val="22"/>
                <w:lang w:val="en-US" w:eastAsia="zh-CN"/>
              </w:rPr>
              <w:t>植被长势较好，基本恢复原有生态环境</w:t>
            </w:r>
            <w:r>
              <w:rPr>
                <w:rFonts w:hint="eastAsia"/>
                <w:sz w:val="22"/>
                <w:szCs w:val="22"/>
                <w:lang w:val="en-US" w:eastAsia="zh-CN"/>
              </w:rPr>
              <w:t>。</w:t>
            </w:r>
          </w:p>
        </w:tc>
      </w:tr>
      <w:tr w14:paraId="6D736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6" w:type="pct"/>
            <w:noWrap w:val="0"/>
            <w:vAlign w:val="center"/>
          </w:tcPr>
          <w:p w14:paraId="01D8F042">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水生生态</w:t>
            </w:r>
          </w:p>
        </w:tc>
        <w:tc>
          <w:tcPr>
            <w:tcW w:w="2011" w:type="pct"/>
            <w:noWrap w:val="0"/>
            <w:vAlign w:val="center"/>
          </w:tcPr>
          <w:p w14:paraId="20725132">
            <w:pPr>
              <w:pStyle w:val="165"/>
              <w:keepNext w:val="0"/>
              <w:keepLines w:val="0"/>
              <w:pageBreakBefore w:val="0"/>
              <w:kinsoku/>
              <w:wordWrap/>
              <w:overflowPunct/>
              <w:topLinePunct w:val="0"/>
              <w:bidi w:val="0"/>
              <w:adjustRightInd w:val="0"/>
              <w:snapToGrid w:val="0"/>
              <w:spacing w:line="320" w:lineRule="atLeast"/>
              <w:jc w:val="both"/>
              <w:textAlignment w:val="auto"/>
              <w:rPr>
                <w:rFonts w:hint="eastAsia" w:ascii="Times New Roman" w:eastAsia="宋体"/>
                <w:color w:val="auto"/>
                <w:sz w:val="22"/>
                <w:szCs w:val="22"/>
              </w:rPr>
            </w:pPr>
            <w:r>
              <w:rPr>
                <w:rFonts w:hint="eastAsia" w:ascii="Times New Roman" w:eastAsia="宋体"/>
                <w:color w:val="auto"/>
                <w:sz w:val="22"/>
                <w:szCs w:val="22"/>
              </w:rPr>
              <w:t>（</w:t>
            </w:r>
            <w:r>
              <w:rPr>
                <w:rFonts w:ascii="Times New Roman" w:eastAsia="宋体"/>
                <w:color w:val="auto"/>
                <w:sz w:val="22"/>
                <w:szCs w:val="22"/>
              </w:rPr>
              <w:t>1</w:t>
            </w:r>
            <w:r>
              <w:rPr>
                <w:rFonts w:hint="eastAsia" w:ascii="Times New Roman" w:eastAsia="宋体"/>
                <w:color w:val="auto"/>
                <w:sz w:val="22"/>
                <w:szCs w:val="22"/>
              </w:rPr>
              <w:t>）合理安排工程施工进度，</w:t>
            </w:r>
            <w:r>
              <w:rPr>
                <w:rFonts w:hint="eastAsia" w:ascii="Times New Roman" w:eastAsia="宋体"/>
                <w:color w:val="auto"/>
                <w:sz w:val="22"/>
                <w:szCs w:val="22"/>
                <w:lang w:val="en-US" w:eastAsia="zh-CN"/>
              </w:rPr>
              <w:t>涉水施工</w:t>
            </w:r>
            <w:r>
              <w:rPr>
                <w:rFonts w:hint="eastAsia" w:ascii="Times New Roman" w:eastAsia="宋体"/>
                <w:color w:val="auto"/>
                <w:sz w:val="22"/>
                <w:szCs w:val="22"/>
              </w:rPr>
              <w:t>应在枯水期内完成。禁止鱼类繁殖季节在近岸施工，禁止在夜间施工，白天应将噪声设备特别是挖掘机等做好消声隔声措施。</w:t>
            </w:r>
          </w:p>
          <w:p w14:paraId="15830CC6">
            <w:pPr>
              <w:keepNext w:val="0"/>
              <w:keepLines w:val="0"/>
              <w:pageBreakBefore w:val="0"/>
              <w:kinsoku/>
              <w:wordWrap/>
              <w:overflowPunct/>
              <w:topLinePunct w:val="0"/>
              <w:bidi w:val="0"/>
              <w:adjustRightInd w:val="0"/>
              <w:snapToGrid w:val="0"/>
              <w:spacing w:line="320" w:lineRule="atLeast"/>
              <w:jc w:val="both"/>
              <w:textAlignment w:val="auto"/>
              <w:rPr>
                <w:color w:val="auto"/>
                <w:sz w:val="22"/>
                <w:szCs w:val="22"/>
              </w:rPr>
            </w:pPr>
            <w:r>
              <w:rPr>
                <w:rFonts w:hint="eastAsia"/>
                <w:color w:val="auto"/>
                <w:sz w:val="22"/>
                <w:szCs w:val="22"/>
              </w:rPr>
              <w:t>（</w:t>
            </w:r>
            <w:r>
              <w:rPr>
                <w:color w:val="auto"/>
                <w:sz w:val="22"/>
                <w:szCs w:val="22"/>
              </w:rPr>
              <w:t>2</w:t>
            </w:r>
            <w:r>
              <w:rPr>
                <w:rFonts w:hint="eastAsia"/>
                <w:color w:val="auto"/>
                <w:sz w:val="22"/>
                <w:szCs w:val="22"/>
              </w:rPr>
              <w:t>）导流围堰使用结束后及时拆除，围堰拆除建筑垃圾禁止随意遗弃至河道。</w:t>
            </w:r>
            <w:r>
              <w:rPr>
                <w:rFonts w:hint="eastAsia"/>
                <w:color w:val="auto"/>
                <w:sz w:val="22"/>
                <w:szCs w:val="22"/>
                <w:lang w:val="en-US" w:eastAsia="zh-CN"/>
              </w:rPr>
              <w:t>施工结束后恢复河道，河道内禁止遗留弃渣、建筑垃圾、生活垃圾</w:t>
            </w:r>
            <w:r>
              <w:rPr>
                <w:rFonts w:hint="eastAsia"/>
                <w:color w:val="auto"/>
                <w:sz w:val="22"/>
                <w:szCs w:val="22"/>
              </w:rPr>
              <w:t>。</w:t>
            </w:r>
          </w:p>
          <w:p w14:paraId="69E12904">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rPr>
              <w:t>（</w:t>
            </w:r>
            <w:r>
              <w:rPr>
                <w:sz w:val="22"/>
                <w:szCs w:val="22"/>
              </w:rPr>
              <w:t>3</w:t>
            </w:r>
            <w:r>
              <w:rPr>
                <w:rFonts w:hint="eastAsia"/>
                <w:sz w:val="22"/>
                <w:szCs w:val="22"/>
              </w:rPr>
              <w:t>）</w:t>
            </w:r>
            <w:r>
              <w:rPr>
                <w:rFonts w:hint="eastAsia"/>
                <w:sz w:val="22"/>
                <w:szCs w:val="22"/>
                <w:lang w:val="en-US" w:eastAsia="zh-CN"/>
              </w:rPr>
              <w:t>严禁施工废水排入天生河。</w:t>
            </w:r>
          </w:p>
          <w:p w14:paraId="517EEAF6">
            <w:pPr>
              <w:keepNext w:val="0"/>
              <w:keepLines w:val="0"/>
              <w:pageBreakBefore w:val="0"/>
              <w:kinsoku/>
              <w:wordWrap/>
              <w:overflowPunct/>
              <w:topLinePunct w:val="0"/>
              <w:bidi w:val="0"/>
              <w:adjustRightInd w:val="0"/>
              <w:snapToGrid w:val="0"/>
              <w:spacing w:line="320" w:lineRule="atLeast"/>
              <w:jc w:val="both"/>
              <w:textAlignment w:val="auto"/>
              <w:rPr>
                <w:sz w:val="22"/>
                <w:szCs w:val="22"/>
              </w:rPr>
            </w:pPr>
            <w:r>
              <w:rPr>
                <w:rFonts w:hint="eastAsia"/>
                <w:sz w:val="22"/>
                <w:szCs w:val="22"/>
                <w:lang w:val="en-US" w:eastAsia="zh-CN"/>
              </w:rPr>
              <w:t>（4）加强施工人员的环境保护宣传教育和保护水生生物常识的宣传</w:t>
            </w:r>
            <w:r>
              <w:rPr>
                <w:rFonts w:hint="eastAsia"/>
                <w:sz w:val="22"/>
                <w:szCs w:val="22"/>
              </w:rPr>
              <w:t>。</w:t>
            </w:r>
          </w:p>
        </w:tc>
        <w:tc>
          <w:tcPr>
            <w:tcW w:w="1051" w:type="pct"/>
            <w:noWrap w:val="0"/>
            <w:vAlign w:val="center"/>
          </w:tcPr>
          <w:p w14:paraId="49948D9F">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rPr>
            </w:pPr>
            <w:r>
              <w:rPr>
                <w:rFonts w:hint="eastAsia"/>
                <w:sz w:val="22"/>
                <w:szCs w:val="22"/>
              </w:rPr>
              <w:t>未在鱼类产卵期施工作业，施工人员未下河捕鱼，施工期间水生生态环境未遭到明显的破坏和影响。</w:t>
            </w:r>
          </w:p>
        </w:tc>
        <w:tc>
          <w:tcPr>
            <w:tcW w:w="774" w:type="pct"/>
            <w:noWrap w:val="0"/>
            <w:vAlign w:val="center"/>
          </w:tcPr>
          <w:p w14:paraId="2177D9F0">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573DD813">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4790C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6" w:type="pct"/>
            <w:noWrap w:val="0"/>
            <w:vAlign w:val="center"/>
          </w:tcPr>
          <w:p w14:paraId="3F7B24A3">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地表水环境</w:t>
            </w:r>
          </w:p>
        </w:tc>
        <w:tc>
          <w:tcPr>
            <w:tcW w:w="2011" w:type="pct"/>
            <w:noWrap w:val="0"/>
            <w:vAlign w:val="center"/>
          </w:tcPr>
          <w:p w14:paraId="74B10E65">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rPr>
            </w:pPr>
            <w:r>
              <w:rPr>
                <w:rFonts w:hint="eastAsia"/>
                <w:sz w:val="22"/>
                <w:szCs w:val="22"/>
                <w:lang w:val="en-US" w:eastAsia="zh-CN"/>
              </w:rPr>
              <w:t>（1）生活污水：依托居民房旱厕收集后用于周边农田和林草地施肥，不外排</w:t>
            </w:r>
            <w:r>
              <w:rPr>
                <w:rFonts w:hint="eastAsia"/>
                <w:sz w:val="22"/>
                <w:szCs w:val="22"/>
              </w:rPr>
              <w:t>。</w:t>
            </w:r>
          </w:p>
          <w:p w14:paraId="38EF79A5">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eastAsia="zh-CN"/>
              </w:rPr>
            </w:pPr>
            <w:r>
              <w:rPr>
                <w:rFonts w:hint="eastAsia"/>
                <w:sz w:val="22"/>
                <w:szCs w:val="22"/>
              </w:rPr>
              <w:t>（2）混凝土拌合系统废水</w:t>
            </w:r>
            <w:r>
              <w:rPr>
                <w:rFonts w:hint="eastAsia"/>
                <w:sz w:val="22"/>
                <w:szCs w:val="22"/>
                <w:lang w:eastAsia="zh-CN"/>
              </w:rPr>
              <w:t>：项目在混凝土搅拌现场内设置简易沉淀池（设计处理能力不小于</w:t>
            </w:r>
            <w:r>
              <w:rPr>
                <w:rFonts w:hint="eastAsia"/>
                <w:sz w:val="22"/>
                <w:szCs w:val="22"/>
                <w:lang w:val="en-US" w:eastAsia="zh-CN"/>
              </w:rPr>
              <w:t>2</w:t>
            </w:r>
            <w:r>
              <w:rPr>
                <w:rFonts w:hint="eastAsia"/>
                <w:sz w:val="22"/>
                <w:szCs w:val="22"/>
                <w:lang w:eastAsia="zh-CN"/>
              </w:rPr>
              <w:t>.0m</w:t>
            </w:r>
            <w:r>
              <w:rPr>
                <w:rFonts w:hint="eastAsia"/>
                <w:sz w:val="22"/>
                <w:szCs w:val="22"/>
                <w:vertAlign w:val="superscript"/>
                <w:lang w:eastAsia="zh-CN"/>
              </w:rPr>
              <w:t>3</w:t>
            </w:r>
            <w:r>
              <w:rPr>
                <w:rFonts w:hint="eastAsia"/>
                <w:sz w:val="22"/>
                <w:szCs w:val="22"/>
                <w:lang w:eastAsia="zh-CN"/>
              </w:rPr>
              <w:t>/d），废水经沉淀处理后全部回用于混凝土拌合系统，不外排。</w:t>
            </w:r>
          </w:p>
          <w:p w14:paraId="5302D81D">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lang w:eastAsia="zh-CN"/>
              </w:rPr>
              <w:t>（</w:t>
            </w:r>
            <w:r>
              <w:rPr>
                <w:rFonts w:hint="eastAsia"/>
                <w:sz w:val="22"/>
                <w:szCs w:val="22"/>
                <w:lang w:val="en-US" w:eastAsia="zh-CN"/>
              </w:rPr>
              <w:t>3</w:t>
            </w:r>
            <w:r>
              <w:rPr>
                <w:rFonts w:hint="eastAsia"/>
                <w:sz w:val="22"/>
                <w:szCs w:val="22"/>
                <w:lang w:eastAsia="zh-CN"/>
              </w:rPr>
              <w:t>）</w:t>
            </w:r>
            <w:r>
              <w:rPr>
                <w:rFonts w:hint="eastAsia"/>
                <w:sz w:val="22"/>
                <w:szCs w:val="22"/>
                <w:lang w:val="en-US" w:eastAsia="zh-CN"/>
              </w:rPr>
              <w:t>机械设备冲洗废水：项目在施工场地内设置简易隔油沉淀池（设计处理能力不小于2.0m</w:t>
            </w:r>
            <w:r>
              <w:rPr>
                <w:rFonts w:hint="eastAsia"/>
                <w:sz w:val="22"/>
                <w:szCs w:val="22"/>
                <w:vertAlign w:val="superscript"/>
                <w:lang w:val="en-US" w:eastAsia="zh-CN"/>
              </w:rPr>
              <w:t>3</w:t>
            </w:r>
            <w:r>
              <w:rPr>
                <w:rFonts w:hint="eastAsia"/>
                <w:sz w:val="22"/>
                <w:szCs w:val="22"/>
                <w:lang w:val="en-US" w:eastAsia="zh-CN"/>
              </w:rPr>
              <w:t>/d），废水经隔油、沉淀处理后全部回用于施工场地洒水抑尘，不外排。</w:t>
            </w:r>
          </w:p>
          <w:p w14:paraId="7B37B6F5">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eastAsia="zh-CN"/>
              </w:rPr>
            </w:pPr>
            <w:r>
              <w:rPr>
                <w:rFonts w:hint="eastAsia"/>
                <w:sz w:val="22"/>
                <w:szCs w:val="22"/>
                <w:lang w:eastAsia="zh-CN"/>
              </w:rPr>
              <w:t>（</w:t>
            </w:r>
            <w:r>
              <w:rPr>
                <w:rFonts w:hint="eastAsia"/>
                <w:sz w:val="22"/>
                <w:szCs w:val="22"/>
                <w:lang w:val="en-US" w:eastAsia="zh-CN"/>
              </w:rPr>
              <w:t>4</w:t>
            </w:r>
            <w:r>
              <w:rPr>
                <w:rFonts w:hint="eastAsia"/>
                <w:sz w:val="22"/>
                <w:szCs w:val="22"/>
                <w:lang w:eastAsia="zh-CN"/>
              </w:rPr>
              <w:t>）</w:t>
            </w:r>
            <w:r>
              <w:rPr>
                <w:rFonts w:hint="eastAsia"/>
                <w:sz w:val="22"/>
                <w:szCs w:val="22"/>
                <w:lang w:val="en-US" w:eastAsia="zh-CN"/>
              </w:rPr>
              <w:t>基坑排水</w:t>
            </w:r>
            <w:r>
              <w:rPr>
                <w:rFonts w:hint="eastAsia"/>
                <w:sz w:val="22"/>
                <w:szCs w:val="22"/>
                <w:lang w:eastAsia="zh-CN"/>
              </w:rPr>
              <w:t>：废水抽排至沉淀池</w:t>
            </w:r>
            <w:r>
              <w:rPr>
                <w:rFonts w:hint="eastAsia"/>
                <w:sz w:val="22"/>
                <w:szCs w:val="22"/>
                <w:lang w:val="en-US" w:eastAsia="zh-CN"/>
              </w:rPr>
              <w:t>（设计处理能力不小于2.0m</w:t>
            </w:r>
            <w:r>
              <w:rPr>
                <w:rFonts w:hint="eastAsia"/>
                <w:sz w:val="22"/>
                <w:szCs w:val="22"/>
                <w:vertAlign w:val="superscript"/>
                <w:lang w:val="en-US" w:eastAsia="zh-CN"/>
              </w:rPr>
              <w:t>3</w:t>
            </w:r>
            <w:r>
              <w:rPr>
                <w:rFonts w:hint="eastAsia"/>
                <w:sz w:val="22"/>
                <w:szCs w:val="22"/>
                <w:lang w:val="en-US" w:eastAsia="zh-CN"/>
              </w:rPr>
              <w:t>/d）</w:t>
            </w:r>
            <w:r>
              <w:rPr>
                <w:rFonts w:hint="eastAsia"/>
                <w:sz w:val="22"/>
                <w:szCs w:val="22"/>
                <w:lang w:eastAsia="zh-CN"/>
              </w:rPr>
              <w:t>，经沉淀处理后回用于施工场地洒水抑尘或混凝土养护，不外排。</w:t>
            </w:r>
          </w:p>
          <w:p w14:paraId="626A2548">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lang w:eastAsia="zh-CN"/>
              </w:rPr>
              <w:t>（</w:t>
            </w:r>
            <w:r>
              <w:rPr>
                <w:rFonts w:hint="eastAsia"/>
                <w:sz w:val="22"/>
                <w:szCs w:val="22"/>
                <w:lang w:val="en-US" w:eastAsia="zh-CN"/>
              </w:rPr>
              <w:t>5</w:t>
            </w:r>
            <w:r>
              <w:rPr>
                <w:rFonts w:hint="eastAsia"/>
                <w:sz w:val="22"/>
                <w:szCs w:val="22"/>
                <w:lang w:eastAsia="zh-CN"/>
              </w:rPr>
              <w:t>）</w:t>
            </w:r>
            <w:r>
              <w:rPr>
                <w:rFonts w:hint="eastAsia" w:ascii="Times New Roman" w:hAnsi="Times New Roman"/>
                <w:color w:val="auto"/>
                <w:sz w:val="22"/>
                <w:szCs w:val="22"/>
                <w:lang w:val="en-US" w:eastAsia="zh-CN"/>
              </w:rPr>
              <w:t>河道</w:t>
            </w:r>
            <w:r>
              <w:rPr>
                <w:rFonts w:hint="eastAsia"/>
                <w:color w:val="auto"/>
                <w:sz w:val="22"/>
                <w:szCs w:val="22"/>
                <w:lang w:val="en-US" w:eastAsia="zh-CN"/>
              </w:rPr>
              <w:t>疏浚</w:t>
            </w:r>
            <w:r>
              <w:rPr>
                <w:rFonts w:hint="eastAsia" w:ascii="Times New Roman" w:hAnsi="Times New Roman"/>
                <w:color w:val="auto"/>
                <w:sz w:val="22"/>
                <w:szCs w:val="22"/>
                <w:lang w:val="en-US" w:eastAsia="zh-CN"/>
              </w:rPr>
              <w:t>滤水</w:t>
            </w:r>
            <w:r>
              <w:rPr>
                <w:rFonts w:hint="eastAsia"/>
                <w:sz w:val="22"/>
                <w:szCs w:val="22"/>
                <w:lang w:val="en-US" w:eastAsia="zh-CN"/>
              </w:rPr>
              <w:t>：疏浚料堆放区设置排水沟，经沉淀池（设计处理能力不小于2.0m</w:t>
            </w:r>
            <w:r>
              <w:rPr>
                <w:rFonts w:hint="eastAsia"/>
                <w:sz w:val="22"/>
                <w:szCs w:val="22"/>
                <w:vertAlign w:val="superscript"/>
                <w:lang w:val="en-US" w:eastAsia="zh-CN"/>
              </w:rPr>
              <w:t>3</w:t>
            </w:r>
            <w:r>
              <w:rPr>
                <w:rFonts w:hint="eastAsia"/>
                <w:sz w:val="22"/>
                <w:szCs w:val="22"/>
                <w:lang w:val="en-US" w:eastAsia="zh-CN"/>
              </w:rPr>
              <w:t>/d）处理后回用于施工场地洒水抑尘，不外排。</w:t>
            </w:r>
          </w:p>
          <w:p w14:paraId="401AFCBE">
            <w:pPr>
              <w:keepNext w:val="0"/>
              <w:keepLines w:val="0"/>
              <w:pageBreakBefore w:val="0"/>
              <w:kinsoku/>
              <w:wordWrap/>
              <w:overflowPunct/>
              <w:topLinePunct w:val="0"/>
              <w:bidi w:val="0"/>
              <w:adjustRightInd w:val="0"/>
              <w:snapToGrid w:val="0"/>
              <w:spacing w:line="320" w:lineRule="atLeast"/>
              <w:jc w:val="both"/>
              <w:textAlignment w:val="auto"/>
              <w:rPr>
                <w:rFonts w:hint="eastAsia" w:eastAsia="宋体"/>
                <w:sz w:val="22"/>
                <w:szCs w:val="22"/>
                <w:lang w:eastAsia="zh-CN"/>
              </w:rPr>
            </w:pPr>
            <w:r>
              <w:rPr>
                <w:rFonts w:hint="eastAsia"/>
                <w:sz w:val="22"/>
                <w:szCs w:val="22"/>
                <w:lang w:eastAsia="zh-CN"/>
              </w:rPr>
              <w:t>（</w:t>
            </w:r>
            <w:r>
              <w:rPr>
                <w:rFonts w:hint="eastAsia"/>
                <w:sz w:val="22"/>
                <w:szCs w:val="22"/>
                <w:lang w:val="en-US" w:eastAsia="zh-CN"/>
              </w:rPr>
              <w:t>6</w:t>
            </w:r>
            <w:r>
              <w:rPr>
                <w:rFonts w:hint="eastAsia"/>
                <w:sz w:val="22"/>
                <w:szCs w:val="22"/>
                <w:lang w:eastAsia="zh-CN"/>
              </w:rPr>
              <w:t>）基础开挖在枯水期施工；合理安排施工组织，开挖期间尽量减少对河道底部的搅动，并采取防扩散和泄漏措施，保证高浓度吸入，避免处于悬浮状态的污染物对周围水体造成污染；提高定位精度和开挖精度，尽量减少超挖量，减轻对水体的扰动。</w:t>
            </w:r>
          </w:p>
        </w:tc>
        <w:tc>
          <w:tcPr>
            <w:tcW w:w="1051" w:type="pct"/>
            <w:noWrap w:val="0"/>
            <w:vAlign w:val="center"/>
          </w:tcPr>
          <w:p w14:paraId="00E7402D">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rPr>
            </w:pPr>
            <w:r>
              <w:rPr>
                <w:rFonts w:hint="eastAsia"/>
                <w:sz w:val="22"/>
                <w:szCs w:val="22"/>
                <w:lang w:val="en-US" w:eastAsia="zh-CN"/>
              </w:rPr>
              <w:t>施工期</w:t>
            </w:r>
            <w:r>
              <w:rPr>
                <w:rFonts w:hint="eastAsia"/>
                <w:sz w:val="22"/>
                <w:szCs w:val="22"/>
              </w:rPr>
              <w:t>废水不外排，在枯水期进行基础施工</w:t>
            </w:r>
            <w:r>
              <w:rPr>
                <w:rFonts w:hint="eastAsia"/>
                <w:sz w:val="22"/>
                <w:szCs w:val="22"/>
                <w:lang w:eastAsia="zh-CN"/>
              </w:rPr>
              <w:t>，施工期间无废水污染事故发生</w:t>
            </w:r>
            <w:r>
              <w:rPr>
                <w:rFonts w:hint="eastAsia"/>
                <w:sz w:val="22"/>
                <w:szCs w:val="22"/>
              </w:rPr>
              <w:t>。</w:t>
            </w:r>
          </w:p>
        </w:tc>
        <w:tc>
          <w:tcPr>
            <w:tcW w:w="774" w:type="pct"/>
            <w:noWrap w:val="0"/>
            <w:vAlign w:val="center"/>
          </w:tcPr>
          <w:p w14:paraId="5E569977">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4A1C817D">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4BFBF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6" w:type="pct"/>
            <w:noWrap w:val="0"/>
            <w:vAlign w:val="center"/>
          </w:tcPr>
          <w:p w14:paraId="0A9EA6C9">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地下水及土壤环境</w:t>
            </w:r>
          </w:p>
        </w:tc>
        <w:tc>
          <w:tcPr>
            <w:tcW w:w="2011" w:type="pct"/>
            <w:shd w:val="clear" w:color="auto" w:fill="auto"/>
            <w:noWrap w:val="0"/>
            <w:vAlign w:val="center"/>
          </w:tcPr>
          <w:p w14:paraId="391EE022">
            <w:pPr>
              <w:keepNext w:val="0"/>
              <w:keepLines w:val="0"/>
              <w:pageBreakBefore w:val="0"/>
              <w:kinsoku/>
              <w:wordWrap/>
              <w:overflowPunct/>
              <w:topLinePunct w:val="0"/>
              <w:bidi w:val="0"/>
              <w:adjustRightInd w:val="0"/>
              <w:snapToGrid w:val="0"/>
              <w:spacing w:line="320" w:lineRule="atLeast"/>
              <w:jc w:val="center"/>
              <w:textAlignment w:val="auto"/>
              <w:rPr>
                <w:rFonts w:ascii="Times New Roman" w:hAnsi="Times New Roman" w:eastAsia="宋体" w:cstheme="minorBidi"/>
                <w:kern w:val="2"/>
                <w:sz w:val="22"/>
                <w:szCs w:val="22"/>
                <w:lang w:val="en-US" w:eastAsia="zh-CN" w:bidi="ar-SA"/>
                <w14:ligatures w14:val="standardContextual"/>
              </w:rPr>
            </w:pPr>
            <w:r>
              <w:rPr>
                <w:sz w:val="22"/>
                <w:szCs w:val="22"/>
              </w:rPr>
              <w:t>/</w:t>
            </w:r>
          </w:p>
        </w:tc>
        <w:tc>
          <w:tcPr>
            <w:tcW w:w="1051" w:type="pct"/>
            <w:shd w:val="clear" w:color="auto" w:fill="auto"/>
            <w:noWrap w:val="0"/>
            <w:vAlign w:val="center"/>
          </w:tcPr>
          <w:p w14:paraId="7F0042C6">
            <w:pPr>
              <w:keepNext w:val="0"/>
              <w:keepLines w:val="0"/>
              <w:pageBreakBefore w:val="0"/>
              <w:kinsoku/>
              <w:wordWrap/>
              <w:overflowPunct/>
              <w:topLinePunct w:val="0"/>
              <w:bidi w:val="0"/>
              <w:adjustRightInd w:val="0"/>
              <w:snapToGrid w:val="0"/>
              <w:spacing w:line="320" w:lineRule="atLeast"/>
              <w:jc w:val="center"/>
              <w:textAlignment w:val="auto"/>
              <w:rPr>
                <w:rFonts w:hint="eastAsia" w:ascii="Times New Roman" w:hAnsi="Times New Roman" w:eastAsia="宋体" w:cstheme="minorBidi"/>
                <w:kern w:val="2"/>
                <w:sz w:val="22"/>
                <w:szCs w:val="22"/>
                <w:lang w:val="en-US" w:eastAsia="zh-CN" w:bidi="ar-SA"/>
                <w14:ligatures w14:val="standardContextual"/>
              </w:rPr>
            </w:pPr>
            <w:r>
              <w:rPr>
                <w:sz w:val="22"/>
                <w:szCs w:val="22"/>
              </w:rPr>
              <w:t>/</w:t>
            </w:r>
          </w:p>
        </w:tc>
        <w:tc>
          <w:tcPr>
            <w:tcW w:w="774" w:type="pct"/>
            <w:noWrap w:val="0"/>
            <w:vAlign w:val="center"/>
          </w:tcPr>
          <w:p w14:paraId="5C1F2134">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7826AB1E">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394E9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6" w:type="pct"/>
            <w:noWrap w:val="0"/>
            <w:vAlign w:val="center"/>
          </w:tcPr>
          <w:p w14:paraId="48A7A418">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声环境</w:t>
            </w:r>
          </w:p>
        </w:tc>
        <w:tc>
          <w:tcPr>
            <w:tcW w:w="2011" w:type="pct"/>
            <w:noWrap w:val="0"/>
            <w:vAlign w:val="center"/>
          </w:tcPr>
          <w:p w14:paraId="4578712E">
            <w:pPr>
              <w:keepNext w:val="0"/>
              <w:keepLines w:val="0"/>
              <w:pageBreakBefore w:val="0"/>
              <w:kinsoku/>
              <w:wordWrap/>
              <w:overflowPunct/>
              <w:topLinePunct w:val="0"/>
              <w:bidi w:val="0"/>
              <w:adjustRightInd w:val="0"/>
              <w:snapToGrid w:val="0"/>
              <w:spacing w:line="320" w:lineRule="atLeast"/>
              <w:jc w:val="both"/>
              <w:textAlignment w:val="auto"/>
              <w:rPr>
                <w:sz w:val="22"/>
                <w:szCs w:val="22"/>
              </w:rPr>
            </w:pPr>
            <w:r>
              <w:rPr>
                <w:rFonts w:hint="eastAsia"/>
                <w:sz w:val="22"/>
                <w:szCs w:val="22"/>
                <w:lang w:val="en-US" w:eastAsia="zh-CN"/>
              </w:rPr>
              <w:t>选择低噪声先进设备、合理安排施工时间、施工工地内合理布置施工机具和设备、加强管理并针对施工特点设置临时围挡等措施</w:t>
            </w:r>
            <w:r>
              <w:rPr>
                <w:rFonts w:hint="eastAsia"/>
                <w:sz w:val="22"/>
                <w:szCs w:val="22"/>
              </w:rPr>
              <w:t>。</w:t>
            </w:r>
            <w:r>
              <w:rPr>
                <w:rFonts w:hint="eastAsia"/>
                <w:sz w:val="22"/>
                <w:szCs w:val="22"/>
                <w:lang w:val="en-US" w:eastAsia="zh-CN"/>
              </w:rPr>
              <w:t>敏感路段设置禁止鸣笛和减速标志牌。</w:t>
            </w:r>
          </w:p>
        </w:tc>
        <w:tc>
          <w:tcPr>
            <w:tcW w:w="1051" w:type="pct"/>
            <w:noWrap w:val="0"/>
            <w:vAlign w:val="center"/>
          </w:tcPr>
          <w:p w14:paraId="694F0C70">
            <w:pPr>
              <w:keepNext w:val="0"/>
              <w:keepLines w:val="0"/>
              <w:pageBreakBefore w:val="0"/>
              <w:kinsoku/>
              <w:wordWrap/>
              <w:overflowPunct/>
              <w:topLinePunct w:val="0"/>
              <w:bidi w:val="0"/>
              <w:adjustRightInd w:val="0"/>
              <w:snapToGrid w:val="0"/>
              <w:spacing w:line="320" w:lineRule="atLeast"/>
              <w:textAlignment w:val="auto"/>
              <w:rPr>
                <w:sz w:val="22"/>
                <w:szCs w:val="22"/>
              </w:rPr>
            </w:pPr>
            <w:r>
              <w:rPr>
                <w:rFonts w:hint="eastAsia"/>
                <w:sz w:val="22"/>
                <w:szCs w:val="22"/>
              </w:rPr>
              <w:t>噪声不扰民、无</w:t>
            </w:r>
            <w:r>
              <w:rPr>
                <w:rFonts w:hint="eastAsia"/>
                <w:sz w:val="22"/>
                <w:szCs w:val="22"/>
                <w:lang w:val="en-US" w:eastAsia="zh-CN"/>
              </w:rPr>
              <w:t>环保</w:t>
            </w:r>
            <w:r>
              <w:rPr>
                <w:rFonts w:hint="eastAsia"/>
                <w:sz w:val="22"/>
                <w:szCs w:val="22"/>
              </w:rPr>
              <w:t>投诉。</w:t>
            </w:r>
          </w:p>
        </w:tc>
        <w:tc>
          <w:tcPr>
            <w:tcW w:w="774" w:type="pct"/>
            <w:noWrap w:val="0"/>
            <w:vAlign w:val="center"/>
          </w:tcPr>
          <w:p w14:paraId="53BD6A35">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5FB8CF39">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4B2B1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6" w:type="pct"/>
            <w:noWrap w:val="0"/>
            <w:vAlign w:val="center"/>
          </w:tcPr>
          <w:p w14:paraId="12C9A0F5">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振动</w:t>
            </w:r>
          </w:p>
        </w:tc>
        <w:tc>
          <w:tcPr>
            <w:tcW w:w="2011" w:type="pct"/>
            <w:noWrap w:val="0"/>
            <w:vAlign w:val="center"/>
          </w:tcPr>
          <w:p w14:paraId="1B254BBB">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1051" w:type="pct"/>
            <w:noWrap w:val="0"/>
            <w:vAlign w:val="center"/>
          </w:tcPr>
          <w:p w14:paraId="55C841F0">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774" w:type="pct"/>
            <w:noWrap w:val="0"/>
            <w:vAlign w:val="center"/>
          </w:tcPr>
          <w:p w14:paraId="591961CC">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7A30BB66">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020E6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pct"/>
            <w:noWrap w:val="0"/>
            <w:vAlign w:val="center"/>
          </w:tcPr>
          <w:p w14:paraId="0B7E8CDE">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大气环境</w:t>
            </w:r>
          </w:p>
        </w:tc>
        <w:tc>
          <w:tcPr>
            <w:tcW w:w="2011" w:type="pct"/>
            <w:noWrap w:val="0"/>
            <w:vAlign w:val="center"/>
          </w:tcPr>
          <w:p w14:paraId="122161EC">
            <w:pPr>
              <w:keepNext w:val="0"/>
              <w:keepLines w:val="0"/>
              <w:pageBreakBefore w:val="0"/>
              <w:numPr>
                <w:ilvl w:val="0"/>
                <w:numId w:val="0"/>
              </w:numPr>
              <w:kinsoku/>
              <w:wordWrap/>
              <w:overflowPunct/>
              <w:topLinePunct w:val="0"/>
              <w:bidi w:val="0"/>
              <w:adjustRightInd w:val="0"/>
              <w:snapToGrid w:val="0"/>
              <w:spacing w:line="320" w:lineRule="atLeast"/>
              <w:jc w:val="both"/>
              <w:textAlignment w:val="auto"/>
              <w:rPr>
                <w:sz w:val="22"/>
                <w:szCs w:val="22"/>
              </w:rPr>
            </w:pPr>
            <w:r>
              <w:rPr>
                <w:rFonts w:hint="eastAsia"/>
                <w:sz w:val="22"/>
                <w:szCs w:val="22"/>
                <w:lang w:val="en-US" w:eastAsia="zh-CN"/>
              </w:rPr>
              <w:t>采取湿法作业、洒水降尘、车辆冲洗、设置围挡、篷布遮盖等降尘措施；混凝土拌合系统应设置雾炮机或喷雾洒水措施降尘。选择排气污染物稳定且达到国家规定排放标准的施工机械，加强施工机械维护管理和保养。</w:t>
            </w:r>
          </w:p>
        </w:tc>
        <w:tc>
          <w:tcPr>
            <w:tcW w:w="1051" w:type="pct"/>
            <w:noWrap w:val="0"/>
            <w:vAlign w:val="center"/>
          </w:tcPr>
          <w:p w14:paraId="34D9A9D9">
            <w:pPr>
              <w:keepNext w:val="0"/>
              <w:keepLines w:val="0"/>
              <w:pageBreakBefore w:val="0"/>
              <w:kinsoku/>
              <w:wordWrap/>
              <w:overflowPunct/>
              <w:topLinePunct w:val="0"/>
              <w:bidi w:val="0"/>
              <w:adjustRightInd w:val="0"/>
              <w:snapToGrid w:val="0"/>
              <w:spacing w:line="320" w:lineRule="atLeast"/>
              <w:jc w:val="both"/>
              <w:textAlignment w:val="auto"/>
              <w:rPr>
                <w:sz w:val="22"/>
                <w:szCs w:val="22"/>
              </w:rPr>
            </w:pPr>
            <w:r>
              <w:rPr>
                <w:sz w:val="22"/>
                <w:szCs w:val="22"/>
              </w:rPr>
              <w:t>减少施工扬尘、尾气等的环境影响</w:t>
            </w:r>
            <w:r>
              <w:rPr>
                <w:rFonts w:hint="eastAsia"/>
                <w:sz w:val="22"/>
                <w:szCs w:val="22"/>
                <w:lang w:eastAsia="zh-CN"/>
              </w:rPr>
              <w:t>，无</w:t>
            </w:r>
            <w:r>
              <w:rPr>
                <w:rFonts w:hint="eastAsia"/>
                <w:sz w:val="22"/>
                <w:szCs w:val="22"/>
                <w:lang w:val="en-US" w:eastAsia="zh-CN"/>
              </w:rPr>
              <w:t>环保</w:t>
            </w:r>
            <w:r>
              <w:rPr>
                <w:rFonts w:hint="eastAsia"/>
                <w:sz w:val="22"/>
                <w:szCs w:val="22"/>
                <w:lang w:eastAsia="zh-CN"/>
              </w:rPr>
              <w:t>投诉。</w:t>
            </w:r>
          </w:p>
        </w:tc>
        <w:tc>
          <w:tcPr>
            <w:tcW w:w="774" w:type="pct"/>
            <w:noWrap w:val="0"/>
            <w:vAlign w:val="center"/>
          </w:tcPr>
          <w:p w14:paraId="10ED2071">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4B3A4FC3">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10060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26" w:type="pct"/>
            <w:noWrap w:val="0"/>
            <w:vAlign w:val="center"/>
          </w:tcPr>
          <w:p w14:paraId="33BA258B">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固体废物</w:t>
            </w:r>
          </w:p>
        </w:tc>
        <w:tc>
          <w:tcPr>
            <w:tcW w:w="2011" w:type="pct"/>
            <w:noWrap w:val="0"/>
            <w:vAlign w:val="center"/>
          </w:tcPr>
          <w:p w14:paraId="48691675">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lang w:val="en-US" w:eastAsia="zh-CN"/>
              </w:rPr>
              <w:t>弃渣运至河道两侧堆填。</w:t>
            </w:r>
          </w:p>
          <w:p w14:paraId="48A528AA">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lang w:val="en-US" w:eastAsia="zh-CN"/>
              </w:rPr>
              <w:t>建筑垃圾能回收利用的首先进行回收利用，不能回收利用的运至合法弃渣场处置。</w:t>
            </w:r>
          </w:p>
          <w:p w14:paraId="41FB5B0A">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lang w:val="en-US" w:eastAsia="zh-CN"/>
              </w:rPr>
              <w:t>施工场地内设置生活垃圾收集桶，定期由当地环卫部门进行收运处置。</w:t>
            </w:r>
          </w:p>
          <w:p w14:paraId="01ED2C76">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lang w:val="en-US" w:eastAsia="zh-CN"/>
              </w:rPr>
            </w:pPr>
            <w:r>
              <w:rPr>
                <w:rFonts w:hint="eastAsia"/>
                <w:sz w:val="22"/>
                <w:szCs w:val="22"/>
                <w:lang w:val="en-US" w:eastAsia="zh-CN"/>
              </w:rPr>
              <w:t>疏浚料就近河道晒干后用于堤身填筑、围堰填筑。</w:t>
            </w:r>
          </w:p>
        </w:tc>
        <w:tc>
          <w:tcPr>
            <w:tcW w:w="1051" w:type="pct"/>
            <w:noWrap w:val="0"/>
            <w:vAlign w:val="center"/>
          </w:tcPr>
          <w:p w14:paraId="14388833">
            <w:pPr>
              <w:keepNext w:val="0"/>
              <w:keepLines w:val="0"/>
              <w:pageBreakBefore w:val="0"/>
              <w:kinsoku/>
              <w:wordWrap/>
              <w:overflowPunct/>
              <w:topLinePunct w:val="0"/>
              <w:bidi w:val="0"/>
              <w:adjustRightInd w:val="0"/>
              <w:snapToGrid w:val="0"/>
              <w:spacing w:line="320" w:lineRule="atLeast"/>
              <w:jc w:val="both"/>
              <w:textAlignment w:val="auto"/>
              <w:rPr>
                <w:rFonts w:hint="eastAsia"/>
                <w:sz w:val="22"/>
                <w:szCs w:val="22"/>
              </w:rPr>
            </w:pPr>
            <w:r>
              <w:rPr>
                <w:sz w:val="22"/>
                <w:szCs w:val="22"/>
              </w:rPr>
              <w:t>不出现</w:t>
            </w:r>
            <w:r>
              <w:rPr>
                <w:rFonts w:hint="eastAsia"/>
                <w:sz w:val="22"/>
                <w:szCs w:val="22"/>
                <w:lang w:val="en-US" w:eastAsia="zh-CN"/>
              </w:rPr>
              <w:t>弃渣、建筑垃圾及</w:t>
            </w:r>
            <w:r>
              <w:rPr>
                <w:sz w:val="22"/>
                <w:szCs w:val="22"/>
              </w:rPr>
              <w:t>生活垃圾随意丢弃情况</w:t>
            </w:r>
            <w:r>
              <w:rPr>
                <w:rFonts w:hint="eastAsia"/>
                <w:sz w:val="22"/>
                <w:szCs w:val="22"/>
              </w:rPr>
              <w:t>。</w:t>
            </w:r>
          </w:p>
        </w:tc>
        <w:tc>
          <w:tcPr>
            <w:tcW w:w="774" w:type="pct"/>
            <w:noWrap w:val="0"/>
            <w:vAlign w:val="center"/>
          </w:tcPr>
          <w:p w14:paraId="3D667758">
            <w:pPr>
              <w:keepNext w:val="0"/>
              <w:keepLines w:val="0"/>
              <w:pageBreakBefore w:val="0"/>
              <w:kinsoku/>
              <w:wordWrap/>
              <w:overflowPunct/>
              <w:topLinePunct w:val="0"/>
              <w:bidi w:val="0"/>
              <w:adjustRightInd w:val="0"/>
              <w:snapToGrid w:val="0"/>
              <w:spacing w:line="320" w:lineRule="atLeast"/>
              <w:jc w:val="both"/>
              <w:textAlignment w:val="auto"/>
              <w:rPr>
                <w:sz w:val="22"/>
                <w:szCs w:val="22"/>
              </w:rPr>
            </w:pPr>
            <w:r>
              <w:rPr>
                <w:rFonts w:hint="eastAsia"/>
                <w:sz w:val="22"/>
                <w:szCs w:val="22"/>
                <w:lang w:eastAsia="zh-CN"/>
              </w:rPr>
              <w:t>做好周边居民的生态环境保护宣传，增强居民环境保护意识，禁止往河道内随意丢弃生活垃圾等。</w:t>
            </w:r>
          </w:p>
        </w:tc>
        <w:tc>
          <w:tcPr>
            <w:tcW w:w="437" w:type="pct"/>
            <w:noWrap w:val="0"/>
            <w:vAlign w:val="center"/>
          </w:tcPr>
          <w:p w14:paraId="0066F91A">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09A51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noWrap w:val="0"/>
            <w:vAlign w:val="center"/>
          </w:tcPr>
          <w:p w14:paraId="2E465C67">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电磁环境</w:t>
            </w:r>
          </w:p>
        </w:tc>
        <w:tc>
          <w:tcPr>
            <w:tcW w:w="2011" w:type="pct"/>
            <w:noWrap w:val="0"/>
            <w:vAlign w:val="center"/>
          </w:tcPr>
          <w:p w14:paraId="30A06B43">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1051" w:type="pct"/>
            <w:noWrap w:val="0"/>
            <w:vAlign w:val="center"/>
          </w:tcPr>
          <w:p w14:paraId="3CCFBD30">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774" w:type="pct"/>
            <w:noWrap w:val="0"/>
            <w:vAlign w:val="center"/>
          </w:tcPr>
          <w:p w14:paraId="6883EF95">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47E35F0B">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62B6E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noWrap w:val="0"/>
            <w:vAlign w:val="center"/>
          </w:tcPr>
          <w:p w14:paraId="3124121C">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环境风险</w:t>
            </w:r>
          </w:p>
        </w:tc>
        <w:tc>
          <w:tcPr>
            <w:tcW w:w="2011" w:type="pct"/>
            <w:noWrap w:val="0"/>
            <w:vAlign w:val="center"/>
          </w:tcPr>
          <w:p w14:paraId="04788187">
            <w:pPr>
              <w:keepNext w:val="0"/>
              <w:keepLines w:val="0"/>
              <w:pageBreakBefore w:val="0"/>
              <w:kinsoku/>
              <w:wordWrap/>
              <w:overflowPunct/>
              <w:topLinePunct w:val="0"/>
              <w:bidi w:val="0"/>
              <w:adjustRightInd w:val="0"/>
              <w:snapToGrid w:val="0"/>
              <w:spacing w:line="320" w:lineRule="atLeast"/>
              <w:jc w:val="both"/>
              <w:textAlignment w:val="auto"/>
              <w:rPr>
                <w:sz w:val="22"/>
                <w:szCs w:val="22"/>
              </w:rPr>
            </w:pPr>
            <w:r>
              <w:rPr>
                <w:rFonts w:hint="eastAsia"/>
                <w:sz w:val="22"/>
                <w:szCs w:val="22"/>
                <w:lang w:val="en-US" w:eastAsia="zh-CN"/>
              </w:rPr>
              <w:t>综合仓库配置灭火器、防护用品等；仓库内严禁烟火、携带火种，明显位置张贴防火安全警示标识。加强日常管理，建立出入库检查、登记制度。加强施工人员安全培训，制定应急防范措施。</w:t>
            </w:r>
          </w:p>
        </w:tc>
        <w:tc>
          <w:tcPr>
            <w:tcW w:w="1051" w:type="pct"/>
            <w:noWrap w:val="0"/>
            <w:vAlign w:val="center"/>
          </w:tcPr>
          <w:p w14:paraId="4B6A9656">
            <w:pPr>
              <w:keepNext w:val="0"/>
              <w:keepLines w:val="0"/>
              <w:pageBreakBefore w:val="0"/>
              <w:kinsoku/>
              <w:wordWrap/>
              <w:overflowPunct/>
              <w:topLinePunct w:val="0"/>
              <w:bidi w:val="0"/>
              <w:adjustRightInd w:val="0"/>
              <w:snapToGrid w:val="0"/>
              <w:spacing w:line="320" w:lineRule="atLeast"/>
              <w:jc w:val="center"/>
              <w:textAlignment w:val="auto"/>
              <w:rPr>
                <w:rFonts w:hint="eastAsia" w:eastAsia="宋体"/>
                <w:sz w:val="22"/>
                <w:szCs w:val="22"/>
                <w:lang w:eastAsia="zh-CN"/>
              </w:rPr>
            </w:pPr>
            <w:r>
              <w:rPr>
                <w:sz w:val="22"/>
                <w:szCs w:val="22"/>
              </w:rPr>
              <w:t>不发生环境风险事故</w:t>
            </w:r>
            <w:r>
              <w:rPr>
                <w:rFonts w:hint="eastAsia"/>
                <w:sz w:val="22"/>
                <w:szCs w:val="22"/>
                <w:lang w:eastAsia="zh-CN"/>
              </w:rPr>
              <w:t>。</w:t>
            </w:r>
          </w:p>
        </w:tc>
        <w:tc>
          <w:tcPr>
            <w:tcW w:w="774" w:type="pct"/>
            <w:noWrap w:val="0"/>
            <w:vAlign w:val="center"/>
          </w:tcPr>
          <w:p w14:paraId="528662B6">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51FDD4AF">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2A4D5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noWrap w:val="0"/>
            <w:vAlign w:val="center"/>
          </w:tcPr>
          <w:p w14:paraId="29E8A074">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环境监测</w:t>
            </w:r>
          </w:p>
        </w:tc>
        <w:tc>
          <w:tcPr>
            <w:tcW w:w="2011" w:type="pct"/>
            <w:noWrap w:val="0"/>
            <w:vAlign w:val="center"/>
          </w:tcPr>
          <w:p w14:paraId="78E14E23">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1051" w:type="pct"/>
            <w:noWrap w:val="0"/>
            <w:vAlign w:val="center"/>
          </w:tcPr>
          <w:p w14:paraId="7D2A29BF">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774" w:type="pct"/>
            <w:noWrap w:val="0"/>
            <w:vAlign w:val="center"/>
          </w:tcPr>
          <w:p w14:paraId="5588247B">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c>
          <w:tcPr>
            <w:tcW w:w="437" w:type="pct"/>
            <w:noWrap w:val="0"/>
            <w:vAlign w:val="center"/>
          </w:tcPr>
          <w:p w14:paraId="4035956F">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r w14:paraId="7CACE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noWrap w:val="0"/>
            <w:vAlign w:val="center"/>
          </w:tcPr>
          <w:p w14:paraId="66507FE3">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其他</w:t>
            </w:r>
          </w:p>
        </w:tc>
        <w:tc>
          <w:tcPr>
            <w:tcW w:w="2011" w:type="pct"/>
            <w:noWrap w:val="0"/>
            <w:vAlign w:val="center"/>
          </w:tcPr>
          <w:p w14:paraId="3BD4F031">
            <w:pPr>
              <w:pStyle w:val="59"/>
              <w:bidi w:val="0"/>
              <w:jc w:val="both"/>
              <w:rPr>
                <w:sz w:val="22"/>
                <w:szCs w:val="22"/>
              </w:rPr>
            </w:pPr>
            <w:r>
              <w:rPr>
                <w:rFonts w:hint="eastAsia"/>
                <w:color w:val="auto"/>
                <w:sz w:val="22"/>
                <w:szCs w:val="22"/>
              </w:rPr>
              <w:t>设置环境管理机构、</w:t>
            </w:r>
            <w:r>
              <w:rPr>
                <w:rFonts w:hint="eastAsia"/>
                <w:color w:val="auto"/>
                <w:sz w:val="22"/>
                <w:szCs w:val="22"/>
                <w:lang w:val="en-US" w:eastAsia="zh-CN"/>
              </w:rPr>
              <w:t>制定</w:t>
            </w:r>
            <w:r>
              <w:rPr>
                <w:rFonts w:hint="eastAsia"/>
                <w:color w:val="auto"/>
                <w:sz w:val="22"/>
                <w:szCs w:val="22"/>
              </w:rPr>
              <w:t>环境管理计划</w:t>
            </w:r>
            <w:r>
              <w:rPr>
                <w:rFonts w:hint="eastAsia"/>
                <w:color w:val="auto"/>
                <w:sz w:val="22"/>
                <w:szCs w:val="22"/>
                <w:lang w:eastAsia="zh-CN"/>
              </w:rPr>
              <w:t>。</w:t>
            </w:r>
          </w:p>
        </w:tc>
        <w:tc>
          <w:tcPr>
            <w:tcW w:w="1051" w:type="pct"/>
            <w:noWrap w:val="0"/>
            <w:vAlign w:val="center"/>
          </w:tcPr>
          <w:p w14:paraId="4334C5C8">
            <w:pPr>
              <w:pStyle w:val="59"/>
              <w:bidi w:val="0"/>
              <w:jc w:val="both"/>
              <w:rPr>
                <w:sz w:val="22"/>
                <w:szCs w:val="22"/>
              </w:rPr>
            </w:pPr>
            <w:r>
              <w:rPr>
                <w:rFonts w:hint="eastAsia"/>
                <w:color w:val="auto"/>
                <w:sz w:val="22"/>
                <w:szCs w:val="22"/>
              </w:rPr>
              <w:t>落实施工期的各项环境保护措施</w:t>
            </w:r>
            <w:r>
              <w:rPr>
                <w:rFonts w:hint="eastAsia"/>
                <w:color w:val="auto"/>
                <w:sz w:val="22"/>
                <w:szCs w:val="22"/>
                <w:lang w:eastAsia="zh-CN"/>
              </w:rPr>
              <w:t>。</w:t>
            </w:r>
          </w:p>
        </w:tc>
        <w:tc>
          <w:tcPr>
            <w:tcW w:w="774" w:type="pct"/>
            <w:noWrap w:val="0"/>
            <w:vAlign w:val="center"/>
          </w:tcPr>
          <w:p w14:paraId="4F34AA0B">
            <w:pPr>
              <w:keepNext w:val="0"/>
              <w:keepLines w:val="0"/>
              <w:pageBreakBefore w:val="0"/>
              <w:kinsoku/>
              <w:wordWrap/>
              <w:overflowPunct/>
              <w:topLinePunct w:val="0"/>
              <w:bidi w:val="0"/>
              <w:adjustRightInd w:val="0"/>
              <w:snapToGrid w:val="0"/>
              <w:spacing w:line="320" w:lineRule="atLeast"/>
              <w:jc w:val="both"/>
              <w:textAlignment w:val="auto"/>
              <w:rPr>
                <w:sz w:val="22"/>
                <w:szCs w:val="22"/>
              </w:rPr>
            </w:pPr>
            <w:r>
              <w:rPr>
                <w:rFonts w:hint="eastAsia"/>
                <w:sz w:val="22"/>
                <w:szCs w:val="22"/>
                <w:lang w:eastAsia="zh-CN"/>
              </w:rPr>
              <w:t>在工程管理范围内，河道护岸、护岸设施等必须严加保护，任何单位和个人不得破坏，不准侵占。</w:t>
            </w:r>
          </w:p>
        </w:tc>
        <w:tc>
          <w:tcPr>
            <w:tcW w:w="437" w:type="pct"/>
            <w:noWrap w:val="0"/>
            <w:vAlign w:val="center"/>
          </w:tcPr>
          <w:p w14:paraId="2A84BD82">
            <w:pPr>
              <w:keepNext w:val="0"/>
              <w:keepLines w:val="0"/>
              <w:pageBreakBefore w:val="0"/>
              <w:kinsoku/>
              <w:wordWrap/>
              <w:overflowPunct/>
              <w:topLinePunct w:val="0"/>
              <w:bidi w:val="0"/>
              <w:adjustRightInd w:val="0"/>
              <w:snapToGrid w:val="0"/>
              <w:spacing w:line="320" w:lineRule="atLeast"/>
              <w:jc w:val="center"/>
              <w:textAlignment w:val="auto"/>
              <w:rPr>
                <w:sz w:val="22"/>
                <w:szCs w:val="22"/>
              </w:rPr>
            </w:pPr>
            <w:r>
              <w:rPr>
                <w:sz w:val="22"/>
                <w:szCs w:val="22"/>
              </w:rPr>
              <w:t>/</w:t>
            </w:r>
          </w:p>
        </w:tc>
      </w:tr>
    </w:tbl>
    <w:p w14:paraId="2A5CBBC2"/>
    <w:p w14:paraId="7693D522">
      <w:pPr>
        <w:ind w:firstLine="480"/>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26" w:charSpace="0"/>
        </w:sectPr>
      </w:pPr>
    </w:p>
    <w:p w14:paraId="2C01D122">
      <w:pPr>
        <w:pStyle w:val="2"/>
        <w:numPr>
          <w:ilvl w:val="0"/>
          <w:numId w:val="7"/>
        </w:numPr>
        <w:spacing w:after="156"/>
      </w:pPr>
      <w:bookmarkStart w:id="127" w:name="_Toc20411"/>
      <w:r>
        <w:rPr>
          <w:rFonts w:hint="eastAsia"/>
        </w:rPr>
        <w:t>结论</w:t>
      </w:r>
      <w:bookmarkEnd w:id="127"/>
    </w:p>
    <w:tbl>
      <w:tblPr>
        <w:tblStyle w:val="4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628"/>
      </w:tblGrid>
      <w:tr w14:paraId="1A68D4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vAlign w:val="center"/>
          </w:tcPr>
          <w:p w14:paraId="5CC0D333">
            <w:pPr>
              <w:pStyle w:val="6"/>
            </w:pPr>
            <w:r>
              <w:rPr>
                <w:rFonts w:hint="eastAsia"/>
              </w:rPr>
              <w:t>“</w:t>
            </w:r>
            <w:r>
              <w:rPr>
                <w:rFonts w:hint="eastAsia"/>
                <w:lang w:val="en-US" w:eastAsia="zh-CN"/>
              </w:rPr>
              <w:t>四川省宣汉县新宁河天生镇防洪治理工程</w:t>
            </w:r>
            <w:r>
              <w:rPr>
                <w:rFonts w:hint="eastAsia"/>
              </w:rPr>
              <w:t>”</w:t>
            </w:r>
            <w:r>
              <w:rPr>
                <w:rFonts w:hint="eastAsia"/>
                <w:lang w:val="en-US" w:eastAsia="zh-CN"/>
              </w:rPr>
              <w:t>的建设符合国家产业政策，符合当地相关规划、生态环境分区管控要求，项目实施后可以改善河道行洪条件，提升岸坡防护能力，并且能够美化沿岸环境，提升乡村形象，促进该区域社会、经济、环境的可持续发展。</w:t>
            </w:r>
            <w:r>
              <w:rPr>
                <w:rFonts w:hint="eastAsia"/>
              </w:rPr>
              <w:t>项目在严格落实本报告所提出的生态保护措施和</w:t>
            </w:r>
            <w:r>
              <w:rPr>
                <w:rFonts w:hint="eastAsia"/>
                <w:lang w:eastAsia="zh-CN"/>
              </w:rPr>
              <w:t>环境治理</w:t>
            </w:r>
            <w:r>
              <w:rPr>
                <w:rFonts w:hint="eastAsia"/>
              </w:rPr>
              <w:t>措施的情况下，污染物可实现达标排放，对环境影响较小，不会改变区域环境功能。因此，从环境角度考虑，项目选址是合理的，建设是可行的。</w:t>
            </w:r>
          </w:p>
          <w:p w14:paraId="6C73412A">
            <w:pPr>
              <w:pStyle w:val="6"/>
            </w:pPr>
          </w:p>
          <w:p w14:paraId="1C97C8D8">
            <w:pPr>
              <w:pStyle w:val="6"/>
            </w:pPr>
          </w:p>
          <w:p w14:paraId="0600BF31">
            <w:pPr>
              <w:pStyle w:val="6"/>
            </w:pPr>
          </w:p>
          <w:p w14:paraId="65B38188">
            <w:pPr>
              <w:pStyle w:val="6"/>
            </w:pPr>
          </w:p>
          <w:p w14:paraId="327D2A3B">
            <w:pPr>
              <w:pStyle w:val="6"/>
            </w:pPr>
          </w:p>
          <w:p w14:paraId="06C9DB86">
            <w:pPr>
              <w:pStyle w:val="6"/>
            </w:pPr>
          </w:p>
          <w:p w14:paraId="08F75F1A">
            <w:pPr>
              <w:pStyle w:val="6"/>
            </w:pPr>
          </w:p>
          <w:p w14:paraId="15081D7F">
            <w:pPr>
              <w:pStyle w:val="6"/>
            </w:pPr>
          </w:p>
          <w:p w14:paraId="73605BB0">
            <w:pPr>
              <w:pStyle w:val="6"/>
            </w:pPr>
          </w:p>
          <w:p w14:paraId="52AA64E0">
            <w:pPr>
              <w:pStyle w:val="6"/>
            </w:pPr>
          </w:p>
          <w:p w14:paraId="6DECBB9D">
            <w:pPr>
              <w:pStyle w:val="6"/>
            </w:pPr>
          </w:p>
          <w:p w14:paraId="2DE678DD">
            <w:pPr>
              <w:pStyle w:val="6"/>
            </w:pPr>
          </w:p>
          <w:p w14:paraId="7DB76F74">
            <w:pPr>
              <w:pStyle w:val="6"/>
            </w:pPr>
          </w:p>
          <w:p w14:paraId="013BA5B0">
            <w:pPr>
              <w:pStyle w:val="6"/>
            </w:pPr>
          </w:p>
          <w:p w14:paraId="684FFDD1">
            <w:pPr>
              <w:pStyle w:val="6"/>
            </w:pPr>
          </w:p>
          <w:p w14:paraId="5FC9338F">
            <w:pPr>
              <w:pStyle w:val="6"/>
            </w:pPr>
          </w:p>
          <w:p w14:paraId="44CBEB30">
            <w:pPr>
              <w:pStyle w:val="6"/>
            </w:pPr>
          </w:p>
          <w:p w14:paraId="5E0A5C0A">
            <w:pPr>
              <w:pStyle w:val="6"/>
            </w:pPr>
          </w:p>
          <w:p w14:paraId="4E79D009"/>
          <w:p w14:paraId="322ED265"/>
          <w:p w14:paraId="494A4076"/>
          <w:p w14:paraId="4097CB8E"/>
        </w:tc>
      </w:tr>
    </w:tbl>
    <w:p w14:paraId="08C32C22">
      <w:pPr>
        <w:tabs>
          <w:tab w:val="left" w:pos="3819"/>
          <w:tab w:val="center" w:pos="4946"/>
        </w:tabs>
        <w:ind w:firstLine="480"/>
        <w:jc w:val="left"/>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12" w:charSpace="0"/>
        </w:sectPr>
      </w:pPr>
      <w:r>
        <w:tab/>
      </w:r>
    </w:p>
    <w:p w14:paraId="7AB22A8A">
      <w:pPr>
        <w:pStyle w:val="6"/>
        <w:adjustRightInd w:val="0"/>
        <w:snapToGrid w:val="0"/>
        <w:rPr>
          <w:rFonts w:hint="eastAsia"/>
          <w:b/>
          <w:bCs/>
          <w:lang w:val="en-US" w:eastAsia="zh-CN"/>
        </w:rPr>
      </w:pPr>
      <w:r>
        <w:rPr>
          <w:rFonts w:hint="eastAsia"/>
          <w:b/>
          <w:bCs/>
          <w:lang w:val="en-US" w:eastAsia="zh-CN"/>
        </w:rPr>
        <w:t>附图附件</w:t>
      </w:r>
    </w:p>
    <w:p w14:paraId="3BE0197A">
      <w:pPr>
        <w:pStyle w:val="6"/>
        <w:adjustRightInd w:val="0"/>
        <w:snapToGrid w:val="0"/>
        <w:rPr>
          <w:rFonts w:hint="eastAsia"/>
          <w:b/>
          <w:bCs/>
          <w:lang w:val="en-US" w:eastAsia="zh-CN"/>
        </w:rPr>
      </w:pPr>
      <w:r>
        <w:rPr>
          <w:rFonts w:hint="eastAsia"/>
          <w:b/>
          <w:bCs/>
          <w:lang w:val="en-US" w:eastAsia="zh-CN"/>
        </w:rPr>
        <w:t>附图：</w:t>
      </w:r>
    </w:p>
    <w:p w14:paraId="4228F925">
      <w:pPr>
        <w:pStyle w:val="6"/>
        <w:adjustRightInd w:val="0"/>
        <w:snapToGrid w:val="0"/>
        <w:rPr>
          <w:rFonts w:hint="eastAsia"/>
          <w:highlight w:val="none"/>
          <w:lang w:val="en-US" w:eastAsia="zh-CN"/>
        </w:rPr>
      </w:pPr>
      <w:r>
        <w:rPr>
          <w:rFonts w:hint="eastAsia"/>
          <w:highlight w:val="none"/>
          <w:lang w:val="en-US" w:eastAsia="zh-CN"/>
        </w:rPr>
        <w:t>附图1 项目地理位置图</w:t>
      </w:r>
    </w:p>
    <w:p w14:paraId="00AC343D">
      <w:pPr>
        <w:pStyle w:val="6"/>
        <w:adjustRightInd w:val="0"/>
        <w:snapToGrid w:val="0"/>
        <w:rPr>
          <w:rFonts w:hint="eastAsia"/>
          <w:highlight w:val="none"/>
          <w:lang w:val="en-US" w:eastAsia="zh-CN"/>
        </w:rPr>
      </w:pPr>
      <w:r>
        <w:rPr>
          <w:rFonts w:hint="eastAsia"/>
          <w:highlight w:val="none"/>
          <w:lang w:val="en-US" w:eastAsia="zh-CN"/>
        </w:rPr>
        <w:t>附图2 项目区水系图</w:t>
      </w:r>
    </w:p>
    <w:p w14:paraId="7F8AF73F">
      <w:pPr>
        <w:pStyle w:val="6"/>
        <w:adjustRightInd w:val="0"/>
        <w:snapToGrid w:val="0"/>
        <w:rPr>
          <w:rFonts w:hint="default"/>
          <w:highlight w:val="none"/>
          <w:lang w:val="en-US" w:eastAsia="zh-CN"/>
        </w:rPr>
      </w:pPr>
      <w:r>
        <w:rPr>
          <w:rFonts w:hint="eastAsia"/>
          <w:highlight w:val="none"/>
          <w:lang w:val="en-US" w:eastAsia="zh-CN"/>
        </w:rPr>
        <w:t>附图3 项目线路走向图</w:t>
      </w:r>
    </w:p>
    <w:p w14:paraId="6B93BD08">
      <w:pPr>
        <w:pStyle w:val="6"/>
        <w:adjustRightInd w:val="0"/>
        <w:snapToGrid w:val="0"/>
        <w:rPr>
          <w:rFonts w:hint="eastAsia"/>
          <w:highlight w:val="none"/>
          <w:lang w:val="en-US" w:eastAsia="zh-CN"/>
        </w:rPr>
      </w:pPr>
      <w:r>
        <w:rPr>
          <w:rFonts w:hint="eastAsia"/>
          <w:highlight w:val="none"/>
          <w:lang w:val="en-US" w:eastAsia="zh-CN"/>
        </w:rPr>
        <w:t>附图4 项目总平面布置图</w:t>
      </w:r>
    </w:p>
    <w:p w14:paraId="7B7D26AC">
      <w:pPr>
        <w:pStyle w:val="6"/>
        <w:adjustRightInd w:val="0"/>
        <w:snapToGrid w:val="0"/>
        <w:rPr>
          <w:rFonts w:hint="eastAsia"/>
          <w:highlight w:val="none"/>
          <w:lang w:val="en-US" w:eastAsia="zh-CN"/>
        </w:rPr>
      </w:pPr>
      <w:r>
        <w:rPr>
          <w:rFonts w:hint="eastAsia"/>
          <w:highlight w:val="none"/>
          <w:lang w:val="en-US" w:eastAsia="zh-CN"/>
        </w:rPr>
        <w:t>附图5-1 项目施工总布置设计图</w:t>
      </w:r>
    </w:p>
    <w:p w14:paraId="483674DD">
      <w:pPr>
        <w:pStyle w:val="6"/>
        <w:adjustRightInd w:val="0"/>
        <w:snapToGrid w:val="0"/>
        <w:rPr>
          <w:rFonts w:hint="default"/>
          <w:highlight w:val="none"/>
          <w:lang w:val="en-US" w:eastAsia="zh-CN"/>
        </w:rPr>
      </w:pPr>
      <w:r>
        <w:rPr>
          <w:rFonts w:hint="eastAsia"/>
          <w:highlight w:val="none"/>
          <w:lang w:val="en-US" w:eastAsia="zh-CN"/>
        </w:rPr>
        <w:t>附图5-2 项目施工总布置卫星图</w:t>
      </w:r>
    </w:p>
    <w:p w14:paraId="41EC5071">
      <w:pPr>
        <w:pStyle w:val="6"/>
        <w:adjustRightInd w:val="0"/>
        <w:snapToGrid w:val="0"/>
        <w:rPr>
          <w:rFonts w:hint="eastAsia"/>
          <w:highlight w:val="none"/>
          <w:lang w:val="en-US" w:eastAsia="zh-CN"/>
        </w:rPr>
      </w:pPr>
      <w:r>
        <w:rPr>
          <w:rFonts w:hint="eastAsia"/>
          <w:highlight w:val="none"/>
          <w:lang w:val="en-US" w:eastAsia="zh-CN"/>
        </w:rPr>
        <w:t>附图6-1 项目环境保护目标分布及位置关系图</w:t>
      </w:r>
    </w:p>
    <w:p w14:paraId="4F970D06">
      <w:pPr>
        <w:pStyle w:val="6"/>
        <w:adjustRightInd w:val="0"/>
        <w:snapToGrid w:val="0"/>
        <w:rPr>
          <w:rFonts w:hint="eastAsia"/>
          <w:highlight w:val="none"/>
          <w:lang w:val="en-US" w:eastAsia="zh-CN"/>
        </w:rPr>
      </w:pPr>
      <w:r>
        <w:rPr>
          <w:rFonts w:hint="eastAsia"/>
          <w:highlight w:val="none"/>
          <w:lang w:val="en-US" w:eastAsia="zh-CN"/>
        </w:rPr>
        <w:t>附图6-2 项目施工场地外环境关系图1#</w:t>
      </w:r>
    </w:p>
    <w:p w14:paraId="19CF9C70">
      <w:pPr>
        <w:pStyle w:val="6"/>
        <w:adjustRightInd w:val="0"/>
        <w:snapToGrid w:val="0"/>
        <w:rPr>
          <w:rFonts w:hint="default"/>
          <w:highlight w:val="none"/>
          <w:lang w:val="en-US" w:eastAsia="zh-CN"/>
        </w:rPr>
      </w:pPr>
      <w:r>
        <w:rPr>
          <w:rFonts w:hint="eastAsia"/>
          <w:highlight w:val="none"/>
          <w:lang w:val="en-US" w:eastAsia="zh-CN"/>
        </w:rPr>
        <w:t>附图6-3 项目施工场地外环境关系图2#</w:t>
      </w:r>
    </w:p>
    <w:p w14:paraId="0370C341">
      <w:pPr>
        <w:pStyle w:val="6"/>
        <w:adjustRightInd w:val="0"/>
        <w:snapToGrid w:val="0"/>
        <w:rPr>
          <w:rFonts w:hint="default"/>
          <w:color w:val="auto"/>
          <w:highlight w:val="none"/>
          <w:lang w:val="en-US" w:eastAsia="zh-CN"/>
        </w:rPr>
      </w:pPr>
      <w:r>
        <w:rPr>
          <w:rFonts w:hint="eastAsia"/>
          <w:color w:val="auto"/>
          <w:highlight w:val="none"/>
          <w:lang w:val="en-US" w:eastAsia="zh-CN"/>
        </w:rPr>
        <w:t>附图7 项目生态环境监测布点图</w:t>
      </w:r>
    </w:p>
    <w:p w14:paraId="40BA93E0">
      <w:pPr>
        <w:pStyle w:val="6"/>
        <w:adjustRightInd w:val="0"/>
        <w:snapToGrid w:val="0"/>
        <w:rPr>
          <w:rFonts w:hint="eastAsia"/>
          <w:highlight w:val="none"/>
          <w:lang w:val="en-US" w:eastAsia="zh-CN"/>
        </w:rPr>
      </w:pPr>
      <w:r>
        <w:rPr>
          <w:rFonts w:hint="eastAsia"/>
          <w:highlight w:val="none"/>
          <w:lang w:val="en-US" w:eastAsia="zh-CN"/>
        </w:rPr>
        <w:t>附图8 项目生态环境保护措施平面布置示意图</w:t>
      </w:r>
    </w:p>
    <w:p w14:paraId="02D658CA">
      <w:pPr>
        <w:pStyle w:val="6"/>
        <w:adjustRightInd w:val="0"/>
        <w:snapToGrid w:val="0"/>
        <w:rPr>
          <w:rFonts w:hint="eastAsia"/>
          <w:highlight w:val="none"/>
          <w:lang w:val="en-US" w:eastAsia="zh-CN"/>
        </w:rPr>
      </w:pPr>
      <w:r>
        <w:rPr>
          <w:rFonts w:hint="eastAsia"/>
          <w:highlight w:val="none"/>
          <w:lang w:val="en-US" w:eastAsia="zh-CN"/>
        </w:rPr>
        <w:t>附图9 项目与“三区三线”叠图</w:t>
      </w:r>
    </w:p>
    <w:p w14:paraId="004B82A2">
      <w:pPr>
        <w:pStyle w:val="6"/>
        <w:adjustRightInd w:val="0"/>
        <w:snapToGrid w:val="0"/>
        <w:rPr>
          <w:rFonts w:hint="default"/>
          <w:highlight w:val="none"/>
          <w:lang w:val="en-US" w:eastAsia="zh-CN"/>
        </w:rPr>
      </w:pPr>
      <w:r>
        <w:rPr>
          <w:rFonts w:hint="eastAsia"/>
          <w:highlight w:val="none"/>
          <w:lang w:val="en-US" w:eastAsia="zh-CN"/>
        </w:rPr>
        <w:t>附图10 项目土地利用现状图</w:t>
      </w:r>
    </w:p>
    <w:p w14:paraId="530623E0">
      <w:pPr>
        <w:pStyle w:val="6"/>
        <w:adjustRightInd w:val="0"/>
        <w:snapToGrid w:val="0"/>
        <w:rPr>
          <w:rFonts w:hint="default"/>
          <w:b w:val="0"/>
          <w:bCs w:val="0"/>
          <w:color w:val="auto"/>
          <w:highlight w:val="none"/>
          <w:lang w:val="en-US" w:eastAsia="zh-CN"/>
        </w:rPr>
      </w:pPr>
      <w:r>
        <w:rPr>
          <w:rFonts w:hint="eastAsia"/>
          <w:b w:val="0"/>
          <w:bCs w:val="0"/>
          <w:color w:val="auto"/>
          <w:highlight w:val="none"/>
          <w:lang w:val="en-US" w:eastAsia="zh-CN"/>
        </w:rPr>
        <w:t>附图11 项目与周边饮用水水源保护区位置关系示意图</w:t>
      </w:r>
    </w:p>
    <w:p w14:paraId="33EBB8DC">
      <w:pPr>
        <w:pStyle w:val="6"/>
        <w:adjustRightInd w:val="0"/>
        <w:snapToGrid w:val="0"/>
        <w:rPr>
          <w:rFonts w:hint="default"/>
          <w:b w:val="0"/>
          <w:bCs w:val="0"/>
          <w:color w:val="auto"/>
          <w:highlight w:val="none"/>
          <w:lang w:val="en-US" w:eastAsia="zh-CN"/>
        </w:rPr>
      </w:pPr>
      <w:r>
        <w:rPr>
          <w:rFonts w:hint="eastAsia"/>
          <w:b w:val="0"/>
          <w:bCs w:val="0"/>
          <w:color w:val="auto"/>
          <w:highlight w:val="none"/>
          <w:lang w:val="en-US" w:eastAsia="zh-CN"/>
        </w:rPr>
        <w:t>附图12 项目现状照片</w:t>
      </w:r>
    </w:p>
    <w:p w14:paraId="02674F0B">
      <w:pPr>
        <w:pStyle w:val="6"/>
        <w:adjustRightInd w:val="0"/>
        <w:snapToGrid w:val="0"/>
        <w:rPr>
          <w:rFonts w:hint="eastAsia"/>
          <w:b/>
          <w:bCs/>
          <w:lang w:val="en-US" w:eastAsia="zh-CN"/>
        </w:rPr>
      </w:pPr>
    </w:p>
    <w:p w14:paraId="44FDD739">
      <w:pPr>
        <w:pStyle w:val="6"/>
        <w:adjustRightInd w:val="0"/>
        <w:snapToGrid w:val="0"/>
        <w:rPr>
          <w:rFonts w:hint="eastAsia"/>
          <w:b/>
          <w:bCs/>
          <w:lang w:val="en-US" w:eastAsia="zh-CN"/>
        </w:rPr>
      </w:pPr>
    </w:p>
    <w:p w14:paraId="7724D9F3">
      <w:pPr>
        <w:pStyle w:val="6"/>
        <w:adjustRightInd w:val="0"/>
        <w:snapToGrid w:val="0"/>
        <w:rPr>
          <w:rFonts w:hint="eastAsia"/>
          <w:b/>
          <w:bCs/>
          <w:color w:val="auto"/>
          <w:highlight w:val="none"/>
          <w:lang w:val="en-US" w:eastAsia="zh-CN"/>
        </w:rPr>
      </w:pPr>
      <w:r>
        <w:rPr>
          <w:rFonts w:hint="eastAsia"/>
          <w:b/>
          <w:bCs/>
          <w:color w:val="auto"/>
          <w:highlight w:val="none"/>
          <w:lang w:val="en-US" w:eastAsia="zh-CN"/>
        </w:rPr>
        <w:t>附件：</w:t>
      </w:r>
    </w:p>
    <w:p w14:paraId="13DB2541">
      <w:pPr>
        <w:pStyle w:val="6"/>
        <w:adjustRightInd w:val="0"/>
        <w:snapToGrid w:val="0"/>
        <w:rPr>
          <w:rFonts w:hint="default"/>
          <w:color w:val="auto"/>
          <w:highlight w:val="none"/>
          <w:lang w:val="en-US" w:eastAsia="zh-CN"/>
        </w:rPr>
      </w:pPr>
      <w:r>
        <w:rPr>
          <w:rFonts w:hint="default"/>
          <w:color w:val="auto"/>
          <w:highlight w:val="none"/>
          <w:lang w:val="en-US" w:eastAsia="zh-CN"/>
        </w:rPr>
        <w:t>附件1 达市水务函〔2022〕135号关于印发四川省宣汉县新宁河天生镇防洪治理工程初步设计报告技术审查意见的函</w:t>
      </w:r>
    </w:p>
    <w:p w14:paraId="6B118476">
      <w:pPr>
        <w:pStyle w:val="6"/>
        <w:adjustRightInd w:val="0"/>
        <w:snapToGrid w:val="0"/>
        <w:rPr>
          <w:rFonts w:hint="eastAsia"/>
          <w:color w:val="auto"/>
          <w:highlight w:val="none"/>
          <w:lang w:val="en-US" w:eastAsia="zh-CN"/>
        </w:rPr>
      </w:pPr>
      <w:r>
        <w:rPr>
          <w:rFonts w:hint="eastAsia"/>
          <w:color w:val="auto"/>
          <w:highlight w:val="none"/>
          <w:lang w:val="en-US" w:eastAsia="zh-CN"/>
        </w:rPr>
        <w:t>附件2 达市水审函〔2022〕89号关于四川省宣汉县新宁河天生镇防洪治理工程初步设计报告的批复</w:t>
      </w:r>
    </w:p>
    <w:p w14:paraId="3A0AEC83">
      <w:pPr>
        <w:pStyle w:val="6"/>
        <w:adjustRightInd w:val="0"/>
        <w:snapToGrid w:val="0"/>
        <w:rPr>
          <w:rFonts w:hint="eastAsia"/>
          <w:color w:val="auto"/>
          <w:highlight w:val="none"/>
          <w:lang w:val="en-US" w:eastAsia="zh-CN"/>
        </w:rPr>
      </w:pPr>
      <w:r>
        <w:rPr>
          <w:rFonts w:hint="eastAsia"/>
          <w:color w:val="auto"/>
          <w:highlight w:val="none"/>
          <w:lang w:val="en-US" w:eastAsia="zh-CN"/>
        </w:rPr>
        <w:t>附件3 宣汉县水产局关于项目建设对水生生态影响的情况说明</w:t>
      </w:r>
    </w:p>
    <w:p w14:paraId="7B56582E">
      <w:pPr>
        <w:pStyle w:val="6"/>
        <w:adjustRightInd w:val="0"/>
        <w:snapToGrid w:val="0"/>
        <w:rPr>
          <w:rFonts w:hint="default"/>
          <w:color w:val="auto"/>
          <w:highlight w:val="none"/>
          <w:lang w:val="en-US" w:eastAsia="zh-CN"/>
        </w:rPr>
      </w:pPr>
      <w:r>
        <w:rPr>
          <w:rFonts w:hint="default"/>
          <w:color w:val="auto"/>
          <w:highlight w:val="none"/>
          <w:lang w:val="en-US" w:eastAsia="zh-CN"/>
        </w:rPr>
        <w:t>附件4 项目环境质量现状监测报告</w:t>
      </w:r>
    </w:p>
    <w:sectPr>
      <w:pgSz w:w="11906" w:h="16838"/>
      <w:pgMar w:top="1247" w:right="1247" w:bottom="1247" w:left="1247" w:header="851" w:footer="992" w:gutter="0"/>
      <w:pgBorders>
        <w:top w:val="none" w:sz="0" w:space="0"/>
        <w:left w:val="none" w:sz="0" w:space="0"/>
        <w:bottom w:val="none" w:sz="0" w:space="0"/>
        <w:right w:val="none" w:sz="0" w:space="0"/>
      </w:pgBorders>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DejaVu Sans">
    <w:panose1 w:val="020B0603030804020204"/>
    <w:charset w:val="00"/>
    <w:family w:val="auto"/>
    <w:pitch w:val="default"/>
    <w:sig w:usb0="E7006EFF" w:usb1="D200FDFF" w:usb2="0A246029" w:usb3="0400200C" w:csb0="600001FF" w:csb1="DFFF0000"/>
  </w:font>
  <w:font w:name="Arial Narrow">
    <w:altName w:val="Times New Roman"/>
    <w:panose1 w:val="020B0606020202030204"/>
    <w:charset w:val="00"/>
    <w:family w:val="swiss"/>
    <w:pitch w:val="default"/>
    <w:sig w:usb0="00000000"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Arial Black">
    <w:altName w:val="Times New Roman"/>
    <w:panose1 w:val="020B0A04020102020204"/>
    <w:charset w:val="00"/>
    <w:family w:val="swiss"/>
    <w:pitch w:val="default"/>
    <w:sig w:usb0="00000000" w:usb1="00000000" w:usb2="00000000" w:usb3="00000000" w:csb0="6000009F" w:csb1="DFD70000"/>
  </w:font>
  <w:font w:name="隶书">
    <w:altName w:val="方正隶书_GBK"/>
    <w:panose1 w:val="02010509060101010101"/>
    <w:charset w:val="86"/>
    <w:family w:val="modern"/>
    <w:pitch w:val="default"/>
    <w:sig w:usb0="00000000" w:usb1="00000000" w:usb2="00000000" w:usb3="00000000" w:csb0="00040000" w:csb1="00000000"/>
  </w:font>
  <w:font w:name="方正隶书_GBK">
    <w:panose1 w:val="03000509000000000000"/>
    <w:charset w:val="86"/>
    <w:family w:val="auto"/>
    <w:pitch w:val="default"/>
    <w:sig w:usb0="00000001" w:usb1="080E0000" w:usb2="00000000" w:usb3="00000000" w:csb0="00040000" w:csb1="00000000"/>
  </w:font>
  <w:font w:name="FZSONGS--GB1-5">
    <w:altName w:val="仿宋_GB2312"/>
    <w:panose1 w:val="00000000000000000000"/>
    <w:charset w:val="00"/>
    <w:family w:val="auto"/>
    <w:pitch w:val="default"/>
    <w:sig w:usb0="00000000" w:usb1="00000000" w:usb2="00000000" w:usb3="00000000" w:csb0="00000000" w:csb1="00000000"/>
  </w:font>
  <w:font w:name="仿宋">
    <w:altName w:val="仿宋_GB2312"/>
    <w:panose1 w:val="02010609060101010101"/>
    <w:charset w:val="86"/>
    <w:family w:val="auto"/>
    <w:pitch w:val="default"/>
    <w:sig w:usb0="00000000" w:usb1="00000000"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Segoe UI Symbol">
    <w:altName w:val="Noto Sans"/>
    <w:panose1 w:val="020B0502040204020203"/>
    <w:charset w:val="00"/>
    <w:family w:val="swiss"/>
    <w:pitch w:val="default"/>
    <w:sig w:usb0="00000000" w:usb1="00000000" w:usb2="00040000" w:usb3="04000000" w:csb0="00000001" w:csb1="40000000"/>
  </w:font>
  <w:font w:name="Noto Sans">
    <w:panose1 w:val="020B0502040504020204"/>
    <w:charset w:val="00"/>
    <w:family w:val="auto"/>
    <w:pitch w:val="default"/>
    <w:sig w:usb0="E00002FF" w:usb1="4000201F" w:usb2="08000029" w:usb3="00100000" w:csb0="0000019F" w:csb1="00000000"/>
  </w:font>
  <w:font w:name="Helvetica">
    <w:altName w:val="汉仪叶叶相思体简"/>
    <w:panose1 w:val="00000000000000000000"/>
    <w:charset w:val="00"/>
    <w:family w:val="roman"/>
    <w:pitch w:val="default"/>
    <w:sig w:usb0="00000000" w:usb1="00000000" w:usb2="00000000" w:usb3="00000000" w:csb0="00000001" w:csb1="00000000"/>
  </w:font>
  <w:font w:name="汉仪叶叶相思体简">
    <w:panose1 w:val="0201050906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GWZT-EN">
    <w:panose1 w:val="02020400000000000000"/>
    <w:charset w:val="86"/>
    <w:family w:val="auto"/>
    <w:pitch w:val="default"/>
    <w:sig w:usb0="A00002BF" w:usb1="38CF7CFA" w:usb2="00082016" w:usb3="00000000" w:csb0="00040001" w:csb1="00000000"/>
  </w:font>
  <w:font w:name="思源宋体">
    <w:panose1 w:val="02020400000000000000"/>
    <w:charset w:val="86"/>
    <w:family w:val="auto"/>
    <w:pitch w:val="default"/>
    <w:sig w:usb0="30000083" w:usb1="2BDF3C10" w:usb2="00000016" w:usb3="00000000" w:csb0="602E0107" w:csb1="00000000"/>
  </w:font>
  <w:font w:name="等线">
    <w:altName w:val="Noto Sans CJK SC"/>
    <w:panose1 w:val="00000000000000000000"/>
    <w:charset w:val="00"/>
    <w:family w:val="auto"/>
    <w:pitch w:val="default"/>
    <w:sig w:usb0="00000000" w:usb1="00000000" w:usb2="00000000" w:usb3="00000000" w:csb0="00000000" w:csb1="00000000"/>
  </w:font>
  <w:font w:name="等线 Light">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0535254"/>
    </w:sdtPr>
    <w:sdtContent>
      <w:p w14:paraId="6409E159">
        <w:pPr>
          <w:pStyle w:val="29"/>
          <w:jc w:val="center"/>
        </w:pPr>
        <w:r>
          <w:fldChar w:fldCharType="begin"/>
        </w:r>
        <w:r>
          <w:instrText xml:space="preserve">PAGE   \* MERGEFORMAT</w:instrText>
        </w:r>
        <w:r>
          <w:fldChar w:fldCharType="separate"/>
        </w:r>
        <w:r>
          <w:rPr>
            <w:lang w:val="zh-CN"/>
          </w:rPr>
          <w:t>2</w:t>
        </w:r>
        <w:r>
          <w:fldChar w:fldCharType="end"/>
        </w:r>
      </w:p>
    </w:sdtContent>
  </w:sdt>
  <w:p w14:paraId="6A1704D9">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B3AD">
    <w:pPr>
      <w:pStyle w:val="29"/>
      <w:jc w:val="center"/>
    </w:pPr>
  </w:p>
  <w:p w14:paraId="6387BDBA">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6031731"/>
    </w:sdtPr>
    <w:sdtContent>
      <w:p w14:paraId="79CBAB96">
        <w:pPr>
          <w:pStyle w:val="29"/>
          <w:jc w:val="center"/>
        </w:pPr>
        <w:r>
          <w:fldChar w:fldCharType="begin"/>
        </w:r>
        <w:r>
          <w:instrText xml:space="preserve">PAGE   \* MERGEFORMAT</w:instrText>
        </w:r>
        <w:r>
          <w:fldChar w:fldCharType="separate"/>
        </w:r>
        <w:r>
          <w:rPr>
            <w:lang w:val="zh-CN"/>
          </w:rPr>
          <w:t>2</w:t>
        </w:r>
        <w:r>
          <w:fldChar w:fldCharType="end"/>
        </w:r>
      </w:p>
    </w:sdtContent>
  </w:sdt>
  <w:p w14:paraId="15829CC5">
    <w:pPr>
      <w:pStyle w:val="2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4505F"/>
    <w:multiLevelType w:val="singleLevel"/>
    <w:tmpl w:val="A8F4505F"/>
    <w:lvl w:ilvl="0" w:tentative="0">
      <w:start w:val="1"/>
      <w:numFmt w:val="decimal"/>
      <w:suff w:val="nothing"/>
      <w:lvlText w:val="（%1）"/>
      <w:lvlJc w:val="left"/>
    </w:lvl>
  </w:abstractNum>
  <w:abstractNum w:abstractNumId="1">
    <w:nsid w:val="FFFFFF89"/>
    <w:multiLevelType w:val="singleLevel"/>
    <w:tmpl w:val="FFFFFF89"/>
    <w:lvl w:ilvl="0" w:tentative="0">
      <w:start w:val="1"/>
      <w:numFmt w:val="bullet"/>
      <w:pStyle w:val="17"/>
      <w:lvlText w:val=""/>
      <w:lvlJc w:val="left"/>
      <w:pPr>
        <w:tabs>
          <w:tab w:val="left" w:pos="360"/>
        </w:tabs>
        <w:ind w:left="360" w:hanging="360" w:hangingChars="200"/>
      </w:pPr>
      <w:rPr>
        <w:rFonts w:hint="default" w:ascii="Wingdings" w:hAnsi="Wingdings"/>
      </w:rPr>
    </w:lvl>
  </w:abstractNum>
  <w:abstractNum w:abstractNumId="2">
    <w:nsid w:val="01473EA1"/>
    <w:multiLevelType w:val="multilevel"/>
    <w:tmpl w:val="01473EA1"/>
    <w:lvl w:ilvl="0" w:tentative="0">
      <w:start w:val="1"/>
      <w:numFmt w:val="chineseCountingThousand"/>
      <w:pStyle w:val="2"/>
      <w:suff w:val="space"/>
      <w:lvlText w:val="%1、"/>
      <w:lvlJc w:val="left"/>
      <w:pPr>
        <w:ind w:left="0" w:firstLine="0"/>
      </w:pPr>
      <w:rPr>
        <w:rFonts w:hint="eastAsia"/>
      </w:rPr>
    </w:lvl>
    <w:lvl w:ilvl="1" w:tentative="0">
      <w:start w:val="1"/>
      <w:numFmt w:val="decimal"/>
      <w:pStyle w:val="3"/>
      <w:isLgl/>
      <w:suff w:val="space"/>
      <w:lvlText w:val="%1.%2"/>
      <w:lvlJc w:val="left"/>
      <w:pPr>
        <w:ind w:left="0" w:firstLine="0"/>
      </w:pPr>
    </w:lvl>
    <w:lvl w:ilvl="2" w:tentative="0">
      <w:start w:val="1"/>
      <w:numFmt w:val="decimal"/>
      <w:pStyle w:val="4"/>
      <w:isLgl/>
      <w:suff w:val="space"/>
      <w:lvlText w:val="%1.%2.%3"/>
      <w:lvlJc w:val="left"/>
      <w:pPr>
        <w:ind w:left="0" w:firstLine="0"/>
      </w:pPr>
    </w:lvl>
    <w:lvl w:ilvl="3" w:tentative="0">
      <w:start w:val="1"/>
      <w:numFmt w:val="decimal"/>
      <w:pStyle w:val="5"/>
      <w:isLgl/>
      <w:suff w:val="space"/>
      <w:lvlText w:val="%1.%2.%3.%4"/>
      <w:lvlJc w:val="left"/>
      <w:pPr>
        <w:ind w:left="0" w:firstLine="0"/>
      </w:pPr>
      <w:rPr>
        <w:rFonts w:hint="default" w:ascii="Times New Roman" w:hAnsi="Times New Roman" w:cs="Times New Roman"/>
      </w:rPr>
    </w:lvl>
    <w:lvl w:ilvl="4" w:tentative="0">
      <w:start w:val="1"/>
      <w:numFmt w:val="decimal"/>
      <w:lvlRestart w:val="2"/>
      <w:pStyle w:val="7"/>
      <w:isLgl/>
      <w:suff w:val="space"/>
      <w:lvlText w:val="表%1.%2-%5"/>
      <w:lvlJc w:val="center"/>
      <w:pPr>
        <w:ind w:left="2835" w:firstLine="0"/>
      </w:pPr>
    </w:lvl>
    <w:lvl w:ilvl="5" w:tentative="0">
      <w:start w:val="1"/>
      <w:numFmt w:val="decimal"/>
      <w:lvlRestart w:val="2"/>
      <w:pStyle w:val="8"/>
      <w:isLgl/>
      <w:lvlText w:val="图%1.%2-%6"/>
      <w:lvlJc w:val="left"/>
      <w:pPr>
        <w:ind w:left="0" w:firstLine="0"/>
      </w:pPr>
      <w:rPr>
        <w:rFonts w:hint="eastAsia"/>
      </w:rPr>
    </w:lvl>
    <w:lvl w:ilvl="6" w:tentative="0">
      <w:start w:val="1"/>
      <w:numFmt w:val="decimal"/>
      <w:pStyle w:val="9"/>
      <w:lvlText w:val="%1.%2.%3.%4.%5.%6.%7"/>
      <w:lvlJc w:val="left"/>
      <w:pPr>
        <w:ind w:left="0" w:firstLine="0"/>
      </w:pPr>
      <w:rPr>
        <w:rFonts w:hint="eastAsia"/>
      </w:rPr>
    </w:lvl>
    <w:lvl w:ilvl="7" w:tentative="0">
      <w:start w:val="1"/>
      <w:numFmt w:val="decimal"/>
      <w:pStyle w:val="10"/>
      <w:lvlText w:val="%1.%2.%3.%4.%5.%6.%7.%8"/>
      <w:lvlJc w:val="left"/>
      <w:pPr>
        <w:ind w:left="0" w:firstLine="0"/>
      </w:pPr>
      <w:rPr>
        <w:rFonts w:hint="eastAsia"/>
      </w:rPr>
    </w:lvl>
    <w:lvl w:ilvl="8" w:tentative="0">
      <w:start w:val="1"/>
      <w:numFmt w:val="decimal"/>
      <w:pStyle w:val="11"/>
      <w:lvlText w:val="%1.%2.%3.%4.%5.%6.%7.%8.%9"/>
      <w:lvlJc w:val="left"/>
      <w:pPr>
        <w:ind w:left="0" w:firstLine="0"/>
      </w:pPr>
      <w:rPr>
        <w:rFonts w:hint="eastAsia"/>
      </w:rPr>
    </w:lvl>
  </w:abstractNum>
  <w:abstractNum w:abstractNumId="3">
    <w:nsid w:val="1437C0BD"/>
    <w:multiLevelType w:val="singleLevel"/>
    <w:tmpl w:val="1437C0BD"/>
    <w:lvl w:ilvl="0" w:tentative="0">
      <w:start w:val="1"/>
      <w:numFmt w:val="decimal"/>
      <w:suff w:val="nothing"/>
      <w:lvlText w:val="（%1）"/>
      <w:lvlJc w:val="left"/>
    </w:lvl>
  </w:abstractNum>
  <w:abstractNum w:abstractNumId="4">
    <w:nsid w:val="32D8D3CB"/>
    <w:multiLevelType w:val="singleLevel"/>
    <w:tmpl w:val="32D8D3CB"/>
    <w:lvl w:ilvl="0" w:tentative="0">
      <w:start w:val="1"/>
      <w:numFmt w:val="decimal"/>
      <w:suff w:val="nothing"/>
      <w:lvlText w:val="（%1）"/>
      <w:lvlJc w:val="left"/>
    </w:lvl>
  </w:abstractNum>
  <w:abstractNum w:abstractNumId="5">
    <w:nsid w:val="33E3F09A"/>
    <w:multiLevelType w:val="singleLevel"/>
    <w:tmpl w:val="33E3F09A"/>
    <w:lvl w:ilvl="0" w:tentative="0">
      <w:start w:val="2"/>
      <w:numFmt w:val="decimal"/>
      <w:suff w:val="nothing"/>
      <w:lvlText w:val="（%1）"/>
      <w:lvlJc w:val="left"/>
    </w:lvl>
  </w:abstractNum>
  <w:abstractNum w:abstractNumId="6">
    <w:nsid w:val="40E7489B"/>
    <w:multiLevelType w:val="singleLevel"/>
    <w:tmpl w:val="40E7489B"/>
    <w:lvl w:ilvl="0" w:tentative="0">
      <w:start w:val="1"/>
      <w:numFmt w:val="decimal"/>
      <w:suff w:val="nothing"/>
      <w:lvlText w:val="（%1）"/>
      <w:lvlJc w:val="left"/>
    </w:lvl>
  </w:abstractNum>
  <w:abstractNum w:abstractNumId="7">
    <w:nsid w:val="42C4E7C9"/>
    <w:multiLevelType w:val="singleLevel"/>
    <w:tmpl w:val="42C4E7C9"/>
    <w:lvl w:ilvl="0" w:tentative="0">
      <w:start w:val="1"/>
      <w:numFmt w:val="bullet"/>
      <w:pStyle w:val="26"/>
      <w:lvlText w:val=""/>
      <w:lvlJc w:val="left"/>
      <w:pPr>
        <w:tabs>
          <w:tab w:val="left" w:pos="2040"/>
        </w:tabs>
        <w:ind w:left="2040" w:hanging="360"/>
      </w:pPr>
      <w:rPr>
        <w:rFonts w:hint="default" w:ascii="Wingdings" w:hAnsi="Wingdings"/>
      </w:rPr>
    </w:lvl>
  </w:abstractNum>
  <w:abstractNum w:abstractNumId="8">
    <w:nsid w:val="49271AF4"/>
    <w:multiLevelType w:val="multilevel"/>
    <w:tmpl w:val="49271AF4"/>
    <w:lvl w:ilvl="0" w:tentative="0">
      <w:start w:val="1"/>
      <w:numFmt w:val="decimal"/>
      <w:pStyle w:val="115"/>
      <w:suff w:val="nothing"/>
      <w:lvlText w:val="（%1）"/>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A6D0443"/>
    <w:multiLevelType w:val="multilevel"/>
    <w:tmpl w:val="4A6D0443"/>
    <w:lvl w:ilvl="0" w:tentative="0">
      <w:start w:val="1"/>
      <w:numFmt w:val="decimal"/>
      <w:pStyle w:val="14"/>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9"/>
  </w:num>
  <w:num w:numId="3">
    <w:abstractNumId w:val="1"/>
  </w:num>
  <w:num w:numId="4">
    <w:abstractNumId w:val="7"/>
  </w:num>
  <w:num w:numId="5">
    <w:abstractNumId w:val="8"/>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VlNTQzZWZiYTI1ODc1MGM3ZWI5ZWIyMjAyOTBkZjEifQ=="/>
  </w:docVars>
  <w:rsids>
    <w:rsidRoot w:val="00172A27"/>
    <w:rsid w:val="00001339"/>
    <w:rsid w:val="000018FC"/>
    <w:rsid w:val="00003892"/>
    <w:rsid w:val="00003F18"/>
    <w:rsid w:val="0000440B"/>
    <w:rsid w:val="00004A4B"/>
    <w:rsid w:val="00005CB4"/>
    <w:rsid w:val="0001062C"/>
    <w:rsid w:val="000118CB"/>
    <w:rsid w:val="00014966"/>
    <w:rsid w:val="000151BB"/>
    <w:rsid w:val="000160A2"/>
    <w:rsid w:val="000169AE"/>
    <w:rsid w:val="00020845"/>
    <w:rsid w:val="00020BAD"/>
    <w:rsid w:val="000224C1"/>
    <w:rsid w:val="00024813"/>
    <w:rsid w:val="0002503B"/>
    <w:rsid w:val="000300F7"/>
    <w:rsid w:val="000306E6"/>
    <w:rsid w:val="00030A05"/>
    <w:rsid w:val="00031083"/>
    <w:rsid w:val="00034D3F"/>
    <w:rsid w:val="000357C8"/>
    <w:rsid w:val="00035969"/>
    <w:rsid w:val="00041B97"/>
    <w:rsid w:val="000423C0"/>
    <w:rsid w:val="000429A1"/>
    <w:rsid w:val="00042DFB"/>
    <w:rsid w:val="00043C21"/>
    <w:rsid w:val="0004421F"/>
    <w:rsid w:val="00044F97"/>
    <w:rsid w:val="0004667C"/>
    <w:rsid w:val="0004704F"/>
    <w:rsid w:val="00050DC7"/>
    <w:rsid w:val="000539C9"/>
    <w:rsid w:val="00057708"/>
    <w:rsid w:val="000603B4"/>
    <w:rsid w:val="000603F5"/>
    <w:rsid w:val="000625DF"/>
    <w:rsid w:val="0006340E"/>
    <w:rsid w:val="00065A0B"/>
    <w:rsid w:val="00065BCA"/>
    <w:rsid w:val="00067D16"/>
    <w:rsid w:val="00074339"/>
    <w:rsid w:val="000743D9"/>
    <w:rsid w:val="00075459"/>
    <w:rsid w:val="00076011"/>
    <w:rsid w:val="000774CA"/>
    <w:rsid w:val="00081220"/>
    <w:rsid w:val="00081606"/>
    <w:rsid w:val="00081E4E"/>
    <w:rsid w:val="00084C49"/>
    <w:rsid w:val="000879BE"/>
    <w:rsid w:val="00087A2D"/>
    <w:rsid w:val="00092324"/>
    <w:rsid w:val="00092A2F"/>
    <w:rsid w:val="00092F71"/>
    <w:rsid w:val="00093731"/>
    <w:rsid w:val="000951CF"/>
    <w:rsid w:val="00096744"/>
    <w:rsid w:val="00096F39"/>
    <w:rsid w:val="000A1D6A"/>
    <w:rsid w:val="000A262F"/>
    <w:rsid w:val="000A4709"/>
    <w:rsid w:val="000A5C78"/>
    <w:rsid w:val="000B2A24"/>
    <w:rsid w:val="000B368E"/>
    <w:rsid w:val="000B3931"/>
    <w:rsid w:val="000B69EC"/>
    <w:rsid w:val="000B7305"/>
    <w:rsid w:val="000C093A"/>
    <w:rsid w:val="000C120C"/>
    <w:rsid w:val="000C198D"/>
    <w:rsid w:val="000C358C"/>
    <w:rsid w:val="000C5E7B"/>
    <w:rsid w:val="000C633D"/>
    <w:rsid w:val="000C7BF2"/>
    <w:rsid w:val="000D09C2"/>
    <w:rsid w:val="000D462C"/>
    <w:rsid w:val="000D4949"/>
    <w:rsid w:val="000D4AA2"/>
    <w:rsid w:val="000D5B57"/>
    <w:rsid w:val="000D642D"/>
    <w:rsid w:val="000D726B"/>
    <w:rsid w:val="000E434F"/>
    <w:rsid w:val="000E4593"/>
    <w:rsid w:val="000F1CCF"/>
    <w:rsid w:val="000F2731"/>
    <w:rsid w:val="000F2AC5"/>
    <w:rsid w:val="000F41F3"/>
    <w:rsid w:val="000F5122"/>
    <w:rsid w:val="000F731C"/>
    <w:rsid w:val="000F7BE7"/>
    <w:rsid w:val="00104302"/>
    <w:rsid w:val="0010464C"/>
    <w:rsid w:val="0010530A"/>
    <w:rsid w:val="001061A0"/>
    <w:rsid w:val="00111B49"/>
    <w:rsid w:val="00113504"/>
    <w:rsid w:val="001135B1"/>
    <w:rsid w:val="00113C0F"/>
    <w:rsid w:val="001140A3"/>
    <w:rsid w:val="00115264"/>
    <w:rsid w:val="00120A9D"/>
    <w:rsid w:val="00120B58"/>
    <w:rsid w:val="001213EE"/>
    <w:rsid w:val="00121443"/>
    <w:rsid w:val="00121C0B"/>
    <w:rsid w:val="001222D6"/>
    <w:rsid w:val="00122834"/>
    <w:rsid w:val="00122AB0"/>
    <w:rsid w:val="00122E50"/>
    <w:rsid w:val="00124072"/>
    <w:rsid w:val="00126859"/>
    <w:rsid w:val="00126C96"/>
    <w:rsid w:val="00126F77"/>
    <w:rsid w:val="0013012A"/>
    <w:rsid w:val="001301A5"/>
    <w:rsid w:val="001312AD"/>
    <w:rsid w:val="00131D7E"/>
    <w:rsid w:val="0013267B"/>
    <w:rsid w:val="001335F4"/>
    <w:rsid w:val="001338EF"/>
    <w:rsid w:val="001340F5"/>
    <w:rsid w:val="00137C53"/>
    <w:rsid w:val="00140A9E"/>
    <w:rsid w:val="00141C29"/>
    <w:rsid w:val="00141CEA"/>
    <w:rsid w:val="001435EB"/>
    <w:rsid w:val="00143A92"/>
    <w:rsid w:val="00144338"/>
    <w:rsid w:val="001443C4"/>
    <w:rsid w:val="001450FE"/>
    <w:rsid w:val="00146184"/>
    <w:rsid w:val="00147698"/>
    <w:rsid w:val="00150038"/>
    <w:rsid w:val="001517FE"/>
    <w:rsid w:val="00152462"/>
    <w:rsid w:val="00154114"/>
    <w:rsid w:val="00154436"/>
    <w:rsid w:val="00154B4A"/>
    <w:rsid w:val="00155DBE"/>
    <w:rsid w:val="00156F32"/>
    <w:rsid w:val="0015739A"/>
    <w:rsid w:val="0016009D"/>
    <w:rsid w:val="001648CC"/>
    <w:rsid w:val="001649F7"/>
    <w:rsid w:val="001652AF"/>
    <w:rsid w:val="001702CC"/>
    <w:rsid w:val="001705B7"/>
    <w:rsid w:val="00174299"/>
    <w:rsid w:val="00180297"/>
    <w:rsid w:val="001819FB"/>
    <w:rsid w:val="00183193"/>
    <w:rsid w:val="00190BA7"/>
    <w:rsid w:val="00191EF9"/>
    <w:rsid w:val="00193506"/>
    <w:rsid w:val="001A2590"/>
    <w:rsid w:val="001A5C33"/>
    <w:rsid w:val="001A7B0B"/>
    <w:rsid w:val="001B0640"/>
    <w:rsid w:val="001B40E1"/>
    <w:rsid w:val="001B429D"/>
    <w:rsid w:val="001B4D9E"/>
    <w:rsid w:val="001C02F7"/>
    <w:rsid w:val="001C1C82"/>
    <w:rsid w:val="001C3014"/>
    <w:rsid w:val="001C4B10"/>
    <w:rsid w:val="001D1260"/>
    <w:rsid w:val="001D2709"/>
    <w:rsid w:val="001D45B0"/>
    <w:rsid w:val="001D4F4C"/>
    <w:rsid w:val="001D50EF"/>
    <w:rsid w:val="001D61C9"/>
    <w:rsid w:val="001E2425"/>
    <w:rsid w:val="001E2580"/>
    <w:rsid w:val="001E40EA"/>
    <w:rsid w:val="001E4597"/>
    <w:rsid w:val="001E616A"/>
    <w:rsid w:val="001E72FC"/>
    <w:rsid w:val="001E7AA6"/>
    <w:rsid w:val="001F0711"/>
    <w:rsid w:val="001F11EA"/>
    <w:rsid w:val="001F206B"/>
    <w:rsid w:val="001F2A0B"/>
    <w:rsid w:val="001F5E4D"/>
    <w:rsid w:val="001F62CB"/>
    <w:rsid w:val="001F6CA8"/>
    <w:rsid w:val="001F6FA7"/>
    <w:rsid w:val="001F79CF"/>
    <w:rsid w:val="00201367"/>
    <w:rsid w:val="00202B5D"/>
    <w:rsid w:val="00204460"/>
    <w:rsid w:val="00204533"/>
    <w:rsid w:val="00204D8B"/>
    <w:rsid w:val="00205411"/>
    <w:rsid w:val="002060F4"/>
    <w:rsid w:val="002064FC"/>
    <w:rsid w:val="002067A4"/>
    <w:rsid w:val="00206CB5"/>
    <w:rsid w:val="00211221"/>
    <w:rsid w:val="0021164F"/>
    <w:rsid w:val="002129CE"/>
    <w:rsid w:val="00213144"/>
    <w:rsid w:val="002144DD"/>
    <w:rsid w:val="0021571F"/>
    <w:rsid w:val="00217ED6"/>
    <w:rsid w:val="002200E8"/>
    <w:rsid w:val="00220F16"/>
    <w:rsid w:val="00221C26"/>
    <w:rsid w:val="00223CBE"/>
    <w:rsid w:val="002269F2"/>
    <w:rsid w:val="00226DDB"/>
    <w:rsid w:val="002276FD"/>
    <w:rsid w:val="0023154A"/>
    <w:rsid w:val="00231619"/>
    <w:rsid w:val="00231F3D"/>
    <w:rsid w:val="002320CA"/>
    <w:rsid w:val="00233C9E"/>
    <w:rsid w:val="002351B9"/>
    <w:rsid w:val="00235ABB"/>
    <w:rsid w:val="002360FA"/>
    <w:rsid w:val="00236E4F"/>
    <w:rsid w:val="00237B06"/>
    <w:rsid w:val="002415EC"/>
    <w:rsid w:val="0024292F"/>
    <w:rsid w:val="002447D7"/>
    <w:rsid w:val="00244C9E"/>
    <w:rsid w:val="00244E50"/>
    <w:rsid w:val="00245D86"/>
    <w:rsid w:val="002469AF"/>
    <w:rsid w:val="0024767C"/>
    <w:rsid w:val="00250C62"/>
    <w:rsid w:val="00251B58"/>
    <w:rsid w:val="00251F33"/>
    <w:rsid w:val="0025417B"/>
    <w:rsid w:val="00254D9E"/>
    <w:rsid w:val="00257DFA"/>
    <w:rsid w:val="002601D5"/>
    <w:rsid w:val="00260C2F"/>
    <w:rsid w:val="00262240"/>
    <w:rsid w:val="00262537"/>
    <w:rsid w:val="002635A8"/>
    <w:rsid w:val="0026434F"/>
    <w:rsid w:val="00266289"/>
    <w:rsid w:val="002709E5"/>
    <w:rsid w:val="00273B1E"/>
    <w:rsid w:val="00275593"/>
    <w:rsid w:val="00276526"/>
    <w:rsid w:val="002767DC"/>
    <w:rsid w:val="00281437"/>
    <w:rsid w:val="002929DD"/>
    <w:rsid w:val="002950B1"/>
    <w:rsid w:val="002961F8"/>
    <w:rsid w:val="002A1DE0"/>
    <w:rsid w:val="002A1EE3"/>
    <w:rsid w:val="002A4119"/>
    <w:rsid w:val="002A76A3"/>
    <w:rsid w:val="002A78F4"/>
    <w:rsid w:val="002B03B0"/>
    <w:rsid w:val="002B6531"/>
    <w:rsid w:val="002B6F77"/>
    <w:rsid w:val="002B6FCF"/>
    <w:rsid w:val="002C0BA6"/>
    <w:rsid w:val="002C1DE8"/>
    <w:rsid w:val="002C3BF1"/>
    <w:rsid w:val="002C6405"/>
    <w:rsid w:val="002D067D"/>
    <w:rsid w:val="002D20EF"/>
    <w:rsid w:val="002D225C"/>
    <w:rsid w:val="002D38F4"/>
    <w:rsid w:val="002D3C61"/>
    <w:rsid w:val="002D3F8A"/>
    <w:rsid w:val="002D5219"/>
    <w:rsid w:val="002E006C"/>
    <w:rsid w:val="002E1682"/>
    <w:rsid w:val="002E57FB"/>
    <w:rsid w:val="002E5987"/>
    <w:rsid w:val="002E5DC3"/>
    <w:rsid w:val="002E5F63"/>
    <w:rsid w:val="002E710B"/>
    <w:rsid w:val="002F3B58"/>
    <w:rsid w:val="002F4FD5"/>
    <w:rsid w:val="002F5E4B"/>
    <w:rsid w:val="002F7884"/>
    <w:rsid w:val="002F79B4"/>
    <w:rsid w:val="003016A5"/>
    <w:rsid w:val="00303073"/>
    <w:rsid w:val="00304021"/>
    <w:rsid w:val="00306577"/>
    <w:rsid w:val="0031034C"/>
    <w:rsid w:val="00311D6E"/>
    <w:rsid w:val="00312BBD"/>
    <w:rsid w:val="00312E66"/>
    <w:rsid w:val="00312F56"/>
    <w:rsid w:val="0031457F"/>
    <w:rsid w:val="00314A53"/>
    <w:rsid w:val="00317CE6"/>
    <w:rsid w:val="00320B36"/>
    <w:rsid w:val="00321233"/>
    <w:rsid w:val="00324511"/>
    <w:rsid w:val="00324ABD"/>
    <w:rsid w:val="003258AF"/>
    <w:rsid w:val="00330B79"/>
    <w:rsid w:val="00330E9E"/>
    <w:rsid w:val="0033139E"/>
    <w:rsid w:val="00332022"/>
    <w:rsid w:val="00332398"/>
    <w:rsid w:val="00332451"/>
    <w:rsid w:val="00334145"/>
    <w:rsid w:val="00335161"/>
    <w:rsid w:val="00336012"/>
    <w:rsid w:val="0033653F"/>
    <w:rsid w:val="003369FF"/>
    <w:rsid w:val="00337006"/>
    <w:rsid w:val="00337BD4"/>
    <w:rsid w:val="00340387"/>
    <w:rsid w:val="00342ADB"/>
    <w:rsid w:val="003450C9"/>
    <w:rsid w:val="00345388"/>
    <w:rsid w:val="00345F68"/>
    <w:rsid w:val="00347358"/>
    <w:rsid w:val="0034740A"/>
    <w:rsid w:val="00347662"/>
    <w:rsid w:val="00350763"/>
    <w:rsid w:val="00351B8F"/>
    <w:rsid w:val="003547AC"/>
    <w:rsid w:val="00362BC8"/>
    <w:rsid w:val="003640F4"/>
    <w:rsid w:val="00364936"/>
    <w:rsid w:val="00366065"/>
    <w:rsid w:val="00366C36"/>
    <w:rsid w:val="00370CE9"/>
    <w:rsid w:val="00371B8B"/>
    <w:rsid w:val="00371D03"/>
    <w:rsid w:val="00373CB0"/>
    <w:rsid w:val="00375EF3"/>
    <w:rsid w:val="00376003"/>
    <w:rsid w:val="003764D8"/>
    <w:rsid w:val="0037773A"/>
    <w:rsid w:val="003813D6"/>
    <w:rsid w:val="0038289A"/>
    <w:rsid w:val="0038559B"/>
    <w:rsid w:val="00387560"/>
    <w:rsid w:val="00391B7F"/>
    <w:rsid w:val="00393337"/>
    <w:rsid w:val="00395E0F"/>
    <w:rsid w:val="0039766B"/>
    <w:rsid w:val="00397EE6"/>
    <w:rsid w:val="003A3338"/>
    <w:rsid w:val="003A4B1F"/>
    <w:rsid w:val="003B10C5"/>
    <w:rsid w:val="003B1F5A"/>
    <w:rsid w:val="003B29DE"/>
    <w:rsid w:val="003B3088"/>
    <w:rsid w:val="003B5EC2"/>
    <w:rsid w:val="003B69DC"/>
    <w:rsid w:val="003B709C"/>
    <w:rsid w:val="003C0496"/>
    <w:rsid w:val="003C1B92"/>
    <w:rsid w:val="003C2FB7"/>
    <w:rsid w:val="003C3182"/>
    <w:rsid w:val="003C3EE0"/>
    <w:rsid w:val="003C4434"/>
    <w:rsid w:val="003C64A1"/>
    <w:rsid w:val="003C6E99"/>
    <w:rsid w:val="003C7F1D"/>
    <w:rsid w:val="003D000D"/>
    <w:rsid w:val="003D107F"/>
    <w:rsid w:val="003D267A"/>
    <w:rsid w:val="003D3FE9"/>
    <w:rsid w:val="003D6293"/>
    <w:rsid w:val="003D6699"/>
    <w:rsid w:val="003D751C"/>
    <w:rsid w:val="003D7568"/>
    <w:rsid w:val="003D7D6A"/>
    <w:rsid w:val="003E0281"/>
    <w:rsid w:val="003E16D3"/>
    <w:rsid w:val="003E512E"/>
    <w:rsid w:val="003E605D"/>
    <w:rsid w:val="003E6866"/>
    <w:rsid w:val="003E75FB"/>
    <w:rsid w:val="003F312E"/>
    <w:rsid w:val="003F5C95"/>
    <w:rsid w:val="003F7AA2"/>
    <w:rsid w:val="00406133"/>
    <w:rsid w:val="00410342"/>
    <w:rsid w:val="00411A65"/>
    <w:rsid w:val="00414301"/>
    <w:rsid w:val="00414347"/>
    <w:rsid w:val="0041496D"/>
    <w:rsid w:val="00417602"/>
    <w:rsid w:val="00420B93"/>
    <w:rsid w:val="00421F7D"/>
    <w:rsid w:val="00422F64"/>
    <w:rsid w:val="00424228"/>
    <w:rsid w:val="00424640"/>
    <w:rsid w:val="00424ECD"/>
    <w:rsid w:val="00425D9C"/>
    <w:rsid w:val="00431F81"/>
    <w:rsid w:val="0043340B"/>
    <w:rsid w:val="004343FC"/>
    <w:rsid w:val="00435535"/>
    <w:rsid w:val="0043684A"/>
    <w:rsid w:val="00436BA2"/>
    <w:rsid w:val="00440B68"/>
    <w:rsid w:val="00443FE9"/>
    <w:rsid w:val="004454EA"/>
    <w:rsid w:val="00450D27"/>
    <w:rsid w:val="0045125E"/>
    <w:rsid w:val="004544F3"/>
    <w:rsid w:val="00455975"/>
    <w:rsid w:val="00456563"/>
    <w:rsid w:val="00456E29"/>
    <w:rsid w:val="00457533"/>
    <w:rsid w:val="00460AE2"/>
    <w:rsid w:val="004620B9"/>
    <w:rsid w:val="004648AB"/>
    <w:rsid w:val="00465F5D"/>
    <w:rsid w:val="00470299"/>
    <w:rsid w:val="00473861"/>
    <w:rsid w:val="0047530F"/>
    <w:rsid w:val="0047567A"/>
    <w:rsid w:val="00480ED7"/>
    <w:rsid w:val="00481025"/>
    <w:rsid w:val="0048137C"/>
    <w:rsid w:val="00483E28"/>
    <w:rsid w:val="00484B25"/>
    <w:rsid w:val="004859D5"/>
    <w:rsid w:val="00485FB8"/>
    <w:rsid w:val="0049161D"/>
    <w:rsid w:val="00497198"/>
    <w:rsid w:val="004A29CF"/>
    <w:rsid w:val="004A6C20"/>
    <w:rsid w:val="004A7DCE"/>
    <w:rsid w:val="004B1795"/>
    <w:rsid w:val="004B4236"/>
    <w:rsid w:val="004B4914"/>
    <w:rsid w:val="004B4E6C"/>
    <w:rsid w:val="004C04F7"/>
    <w:rsid w:val="004C1C0F"/>
    <w:rsid w:val="004C2F13"/>
    <w:rsid w:val="004C40B7"/>
    <w:rsid w:val="004C4EFD"/>
    <w:rsid w:val="004C6073"/>
    <w:rsid w:val="004C69A1"/>
    <w:rsid w:val="004D005B"/>
    <w:rsid w:val="004D4E00"/>
    <w:rsid w:val="004D573D"/>
    <w:rsid w:val="004D5A34"/>
    <w:rsid w:val="004D5C78"/>
    <w:rsid w:val="004D66F6"/>
    <w:rsid w:val="004D7347"/>
    <w:rsid w:val="004E045E"/>
    <w:rsid w:val="004E1239"/>
    <w:rsid w:val="004E1D5E"/>
    <w:rsid w:val="004E2381"/>
    <w:rsid w:val="004E3FF0"/>
    <w:rsid w:val="004E4D7A"/>
    <w:rsid w:val="004E5292"/>
    <w:rsid w:val="004E5AE5"/>
    <w:rsid w:val="004E5BA0"/>
    <w:rsid w:val="004E7227"/>
    <w:rsid w:val="004F05E3"/>
    <w:rsid w:val="004F068B"/>
    <w:rsid w:val="004F0C46"/>
    <w:rsid w:val="004F1242"/>
    <w:rsid w:val="004F228E"/>
    <w:rsid w:val="004F4E72"/>
    <w:rsid w:val="004F5C3B"/>
    <w:rsid w:val="004F6739"/>
    <w:rsid w:val="00500EFE"/>
    <w:rsid w:val="00501E2C"/>
    <w:rsid w:val="00505260"/>
    <w:rsid w:val="00505956"/>
    <w:rsid w:val="00505AA5"/>
    <w:rsid w:val="00506579"/>
    <w:rsid w:val="00506D61"/>
    <w:rsid w:val="0050778E"/>
    <w:rsid w:val="005109AA"/>
    <w:rsid w:val="005215F7"/>
    <w:rsid w:val="00522CDC"/>
    <w:rsid w:val="0052598D"/>
    <w:rsid w:val="00525B62"/>
    <w:rsid w:val="005262CD"/>
    <w:rsid w:val="005279BB"/>
    <w:rsid w:val="00527EF7"/>
    <w:rsid w:val="00530FE2"/>
    <w:rsid w:val="00533BB3"/>
    <w:rsid w:val="0053461E"/>
    <w:rsid w:val="00535438"/>
    <w:rsid w:val="0053620E"/>
    <w:rsid w:val="00536C3A"/>
    <w:rsid w:val="00540D14"/>
    <w:rsid w:val="00541251"/>
    <w:rsid w:val="00541258"/>
    <w:rsid w:val="0054584F"/>
    <w:rsid w:val="00545CD6"/>
    <w:rsid w:val="00545EE5"/>
    <w:rsid w:val="00546118"/>
    <w:rsid w:val="0054663B"/>
    <w:rsid w:val="00546B0C"/>
    <w:rsid w:val="00547317"/>
    <w:rsid w:val="00547693"/>
    <w:rsid w:val="00547C93"/>
    <w:rsid w:val="00551B6C"/>
    <w:rsid w:val="00553C3C"/>
    <w:rsid w:val="00555100"/>
    <w:rsid w:val="00555B03"/>
    <w:rsid w:val="0055690F"/>
    <w:rsid w:val="005572B3"/>
    <w:rsid w:val="0056158A"/>
    <w:rsid w:val="005618A9"/>
    <w:rsid w:val="0056297C"/>
    <w:rsid w:val="005639AC"/>
    <w:rsid w:val="0056636E"/>
    <w:rsid w:val="0057173F"/>
    <w:rsid w:val="00571E9E"/>
    <w:rsid w:val="00572542"/>
    <w:rsid w:val="0057360B"/>
    <w:rsid w:val="00573A52"/>
    <w:rsid w:val="00575112"/>
    <w:rsid w:val="0057534D"/>
    <w:rsid w:val="005757A2"/>
    <w:rsid w:val="00576363"/>
    <w:rsid w:val="00582612"/>
    <w:rsid w:val="00583C48"/>
    <w:rsid w:val="00587E16"/>
    <w:rsid w:val="00590159"/>
    <w:rsid w:val="00590D8A"/>
    <w:rsid w:val="00591460"/>
    <w:rsid w:val="00592105"/>
    <w:rsid w:val="005947BE"/>
    <w:rsid w:val="00597B00"/>
    <w:rsid w:val="005A2B94"/>
    <w:rsid w:val="005A41B5"/>
    <w:rsid w:val="005A51E7"/>
    <w:rsid w:val="005B1E4F"/>
    <w:rsid w:val="005B3493"/>
    <w:rsid w:val="005B381E"/>
    <w:rsid w:val="005B7218"/>
    <w:rsid w:val="005B78CB"/>
    <w:rsid w:val="005B7DB6"/>
    <w:rsid w:val="005C0E8F"/>
    <w:rsid w:val="005C30D4"/>
    <w:rsid w:val="005C6367"/>
    <w:rsid w:val="005C7AE2"/>
    <w:rsid w:val="005D0B41"/>
    <w:rsid w:val="005D1715"/>
    <w:rsid w:val="005D1E19"/>
    <w:rsid w:val="005D3092"/>
    <w:rsid w:val="005D31AB"/>
    <w:rsid w:val="005D376C"/>
    <w:rsid w:val="005D3DAA"/>
    <w:rsid w:val="005D4170"/>
    <w:rsid w:val="005D586A"/>
    <w:rsid w:val="005D7E22"/>
    <w:rsid w:val="005E2161"/>
    <w:rsid w:val="005E4257"/>
    <w:rsid w:val="005E4A11"/>
    <w:rsid w:val="005E5AA4"/>
    <w:rsid w:val="005E5AAC"/>
    <w:rsid w:val="005E60E7"/>
    <w:rsid w:val="005F04E8"/>
    <w:rsid w:val="005F0908"/>
    <w:rsid w:val="005F2230"/>
    <w:rsid w:val="005F3F40"/>
    <w:rsid w:val="005F4AF3"/>
    <w:rsid w:val="005F5A46"/>
    <w:rsid w:val="005F62CE"/>
    <w:rsid w:val="005F68FD"/>
    <w:rsid w:val="005F6A04"/>
    <w:rsid w:val="005F7628"/>
    <w:rsid w:val="0060034F"/>
    <w:rsid w:val="00600D06"/>
    <w:rsid w:val="006010A8"/>
    <w:rsid w:val="00601479"/>
    <w:rsid w:val="00603231"/>
    <w:rsid w:val="00603ED2"/>
    <w:rsid w:val="006054CB"/>
    <w:rsid w:val="00606D59"/>
    <w:rsid w:val="0060771E"/>
    <w:rsid w:val="00611072"/>
    <w:rsid w:val="00612C32"/>
    <w:rsid w:val="0061330F"/>
    <w:rsid w:val="006139A7"/>
    <w:rsid w:val="00614212"/>
    <w:rsid w:val="00614321"/>
    <w:rsid w:val="00615688"/>
    <w:rsid w:val="00615CFD"/>
    <w:rsid w:val="00623C4A"/>
    <w:rsid w:val="006264A1"/>
    <w:rsid w:val="006316D4"/>
    <w:rsid w:val="00632EA8"/>
    <w:rsid w:val="00633127"/>
    <w:rsid w:val="00633EAA"/>
    <w:rsid w:val="00635057"/>
    <w:rsid w:val="00635D18"/>
    <w:rsid w:val="00636E02"/>
    <w:rsid w:val="006372B3"/>
    <w:rsid w:val="00637B35"/>
    <w:rsid w:val="00643A2A"/>
    <w:rsid w:val="00644B16"/>
    <w:rsid w:val="00644F1C"/>
    <w:rsid w:val="00645134"/>
    <w:rsid w:val="006477DB"/>
    <w:rsid w:val="0065048C"/>
    <w:rsid w:val="00651C9A"/>
    <w:rsid w:val="00653041"/>
    <w:rsid w:val="006551AA"/>
    <w:rsid w:val="00655758"/>
    <w:rsid w:val="00656A33"/>
    <w:rsid w:val="00657366"/>
    <w:rsid w:val="006578DC"/>
    <w:rsid w:val="0066382B"/>
    <w:rsid w:val="00663A5A"/>
    <w:rsid w:val="00666880"/>
    <w:rsid w:val="00666E5A"/>
    <w:rsid w:val="006673D7"/>
    <w:rsid w:val="00667DE5"/>
    <w:rsid w:val="0067411F"/>
    <w:rsid w:val="00676343"/>
    <w:rsid w:val="00680F98"/>
    <w:rsid w:val="00682757"/>
    <w:rsid w:val="00682FDD"/>
    <w:rsid w:val="00683C5F"/>
    <w:rsid w:val="00683EFB"/>
    <w:rsid w:val="00684442"/>
    <w:rsid w:val="00685D8C"/>
    <w:rsid w:val="00686CC1"/>
    <w:rsid w:val="00687F52"/>
    <w:rsid w:val="006919EC"/>
    <w:rsid w:val="00692DB2"/>
    <w:rsid w:val="006935A8"/>
    <w:rsid w:val="00693F35"/>
    <w:rsid w:val="00694040"/>
    <w:rsid w:val="0069521C"/>
    <w:rsid w:val="006957EB"/>
    <w:rsid w:val="00697093"/>
    <w:rsid w:val="006A0DEB"/>
    <w:rsid w:val="006A2AAF"/>
    <w:rsid w:val="006A3CAA"/>
    <w:rsid w:val="006A4F6E"/>
    <w:rsid w:val="006A640C"/>
    <w:rsid w:val="006B0B94"/>
    <w:rsid w:val="006B0CDF"/>
    <w:rsid w:val="006B212E"/>
    <w:rsid w:val="006B28FA"/>
    <w:rsid w:val="006B3691"/>
    <w:rsid w:val="006B4281"/>
    <w:rsid w:val="006B641D"/>
    <w:rsid w:val="006B7DF6"/>
    <w:rsid w:val="006C15ED"/>
    <w:rsid w:val="006C24EE"/>
    <w:rsid w:val="006C296C"/>
    <w:rsid w:val="006C3BCD"/>
    <w:rsid w:val="006C425E"/>
    <w:rsid w:val="006C7963"/>
    <w:rsid w:val="006C7EC0"/>
    <w:rsid w:val="006D04CA"/>
    <w:rsid w:val="006D1C3B"/>
    <w:rsid w:val="006D2546"/>
    <w:rsid w:val="006D7338"/>
    <w:rsid w:val="006D74CE"/>
    <w:rsid w:val="006E2483"/>
    <w:rsid w:val="006E308F"/>
    <w:rsid w:val="006E4A7F"/>
    <w:rsid w:val="006E55AF"/>
    <w:rsid w:val="006E6365"/>
    <w:rsid w:val="006E7028"/>
    <w:rsid w:val="006E7D49"/>
    <w:rsid w:val="006F4AEA"/>
    <w:rsid w:val="006F4B99"/>
    <w:rsid w:val="006F6BA5"/>
    <w:rsid w:val="0070063D"/>
    <w:rsid w:val="00700F31"/>
    <w:rsid w:val="00710FF4"/>
    <w:rsid w:val="00711DB3"/>
    <w:rsid w:val="0071532A"/>
    <w:rsid w:val="00715A3E"/>
    <w:rsid w:val="00715CA5"/>
    <w:rsid w:val="00716BE4"/>
    <w:rsid w:val="00720504"/>
    <w:rsid w:val="00721E94"/>
    <w:rsid w:val="007236F2"/>
    <w:rsid w:val="0072551F"/>
    <w:rsid w:val="00726035"/>
    <w:rsid w:val="00726369"/>
    <w:rsid w:val="0072718D"/>
    <w:rsid w:val="0073080B"/>
    <w:rsid w:val="007326C4"/>
    <w:rsid w:val="00732D13"/>
    <w:rsid w:val="0073313B"/>
    <w:rsid w:val="007343EF"/>
    <w:rsid w:val="00734B59"/>
    <w:rsid w:val="00734D74"/>
    <w:rsid w:val="00735523"/>
    <w:rsid w:val="0073554C"/>
    <w:rsid w:val="007401F0"/>
    <w:rsid w:val="00740867"/>
    <w:rsid w:val="00741239"/>
    <w:rsid w:val="007413F8"/>
    <w:rsid w:val="0074164B"/>
    <w:rsid w:val="00744A33"/>
    <w:rsid w:val="007454D1"/>
    <w:rsid w:val="00745D88"/>
    <w:rsid w:val="0074755F"/>
    <w:rsid w:val="00752B83"/>
    <w:rsid w:val="00752E3B"/>
    <w:rsid w:val="00755994"/>
    <w:rsid w:val="007600BD"/>
    <w:rsid w:val="007606C6"/>
    <w:rsid w:val="007619A0"/>
    <w:rsid w:val="00762A76"/>
    <w:rsid w:val="00762CC2"/>
    <w:rsid w:val="00764752"/>
    <w:rsid w:val="00764ABC"/>
    <w:rsid w:val="00770193"/>
    <w:rsid w:val="00770D87"/>
    <w:rsid w:val="00771324"/>
    <w:rsid w:val="00772338"/>
    <w:rsid w:val="00772839"/>
    <w:rsid w:val="00775053"/>
    <w:rsid w:val="007764A3"/>
    <w:rsid w:val="007765AC"/>
    <w:rsid w:val="00776E76"/>
    <w:rsid w:val="00782643"/>
    <w:rsid w:val="00782C3E"/>
    <w:rsid w:val="00783509"/>
    <w:rsid w:val="0078466C"/>
    <w:rsid w:val="00786EFF"/>
    <w:rsid w:val="00790F21"/>
    <w:rsid w:val="007912CA"/>
    <w:rsid w:val="007939DE"/>
    <w:rsid w:val="00793CB3"/>
    <w:rsid w:val="00793DDE"/>
    <w:rsid w:val="00794D9A"/>
    <w:rsid w:val="007950C5"/>
    <w:rsid w:val="007A133E"/>
    <w:rsid w:val="007A1635"/>
    <w:rsid w:val="007A2976"/>
    <w:rsid w:val="007A5E9F"/>
    <w:rsid w:val="007B1AD8"/>
    <w:rsid w:val="007B2036"/>
    <w:rsid w:val="007B22E4"/>
    <w:rsid w:val="007B23C3"/>
    <w:rsid w:val="007B3DCF"/>
    <w:rsid w:val="007C1A2D"/>
    <w:rsid w:val="007C2506"/>
    <w:rsid w:val="007D06DD"/>
    <w:rsid w:val="007D7112"/>
    <w:rsid w:val="007D73BF"/>
    <w:rsid w:val="007D7B6A"/>
    <w:rsid w:val="007E033B"/>
    <w:rsid w:val="007E0A4C"/>
    <w:rsid w:val="007E23B8"/>
    <w:rsid w:val="007E444D"/>
    <w:rsid w:val="007E60F3"/>
    <w:rsid w:val="007E7211"/>
    <w:rsid w:val="007F0B14"/>
    <w:rsid w:val="007F2641"/>
    <w:rsid w:val="007F2E5D"/>
    <w:rsid w:val="007F5C10"/>
    <w:rsid w:val="007F6627"/>
    <w:rsid w:val="007F6F77"/>
    <w:rsid w:val="007F75B5"/>
    <w:rsid w:val="00801830"/>
    <w:rsid w:val="0080187B"/>
    <w:rsid w:val="00803F43"/>
    <w:rsid w:val="008047D8"/>
    <w:rsid w:val="008073E1"/>
    <w:rsid w:val="00810DCA"/>
    <w:rsid w:val="00810ED0"/>
    <w:rsid w:val="00811B7F"/>
    <w:rsid w:val="00812419"/>
    <w:rsid w:val="008130F8"/>
    <w:rsid w:val="00813209"/>
    <w:rsid w:val="0081559F"/>
    <w:rsid w:val="00816DF2"/>
    <w:rsid w:val="00817295"/>
    <w:rsid w:val="00822831"/>
    <w:rsid w:val="00823BE8"/>
    <w:rsid w:val="00825EA6"/>
    <w:rsid w:val="00826FBC"/>
    <w:rsid w:val="00830789"/>
    <w:rsid w:val="00831DA9"/>
    <w:rsid w:val="00832D29"/>
    <w:rsid w:val="00832F38"/>
    <w:rsid w:val="00834AC4"/>
    <w:rsid w:val="00835B8F"/>
    <w:rsid w:val="00835F5B"/>
    <w:rsid w:val="0083692C"/>
    <w:rsid w:val="00837B68"/>
    <w:rsid w:val="00841E35"/>
    <w:rsid w:val="00846158"/>
    <w:rsid w:val="008469DC"/>
    <w:rsid w:val="00846F65"/>
    <w:rsid w:val="00851A19"/>
    <w:rsid w:val="008531BB"/>
    <w:rsid w:val="00860964"/>
    <w:rsid w:val="00861670"/>
    <w:rsid w:val="00863A54"/>
    <w:rsid w:val="00865599"/>
    <w:rsid w:val="00865AD7"/>
    <w:rsid w:val="0086623D"/>
    <w:rsid w:val="00867359"/>
    <w:rsid w:val="00870D42"/>
    <w:rsid w:val="008719BC"/>
    <w:rsid w:val="00872354"/>
    <w:rsid w:val="008724DA"/>
    <w:rsid w:val="0087408C"/>
    <w:rsid w:val="00874711"/>
    <w:rsid w:val="00876FC1"/>
    <w:rsid w:val="008770F7"/>
    <w:rsid w:val="00880152"/>
    <w:rsid w:val="0088361C"/>
    <w:rsid w:val="008860C3"/>
    <w:rsid w:val="0088615B"/>
    <w:rsid w:val="00886761"/>
    <w:rsid w:val="00886B7D"/>
    <w:rsid w:val="00887AE0"/>
    <w:rsid w:val="008933EA"/>
    <w:rsid w:val="008936D9"/>
    <w:rsid w:val="00894700"/>
    <w:rsid w:val="00894C79"/>
    <w:rsid w:val="00895EAE"/>
    <w:rsid w:val="00896133"/>
    <w:rsid w:val="008968BC"/>
    <w:rsid w:val="00897D60"/>
    <w:rsid w:val="008A0FB6"/>
    <w:rsid w:val="008A23BA"/>
    <w:rsid w:val="008A26D0"/>
    <w:rsid w:val="008A6710"/>
    <w:rsid w:val="008A736C"/>
    <w:rsid w:val="008B1395"/>
    <w:rsid w:val="008B18D5"/>
    <w:rsid w:val="008B1F70"/>
    <w:rsid w:val="008B2315"/>
    <w:rsid w:val="008B4243"/>
    <w:rsid w:val="008B6706"/>
    <w:rsid w:val="008B6EC3"/>
    <w:rsid w:val="008C2140"/>
    <w:rsid w:val="008C235E"/>
    <w:rsid w:val="008C4EC4"/>
    <w:rsid w:val="008C5284"/>
    <w:rsid w:val="008C5A2B"/>
    <w:rsid w:val="008C6030"/>
    <w:rsid w:val="008C70CA"/>
    <w:rsid w:val="008C7352"/>
    <w:rsid w:val="008C7A6C"/>
    <w:rsid w:val="008D0F75"/>
    <w:rsid w:val="008D14E1"/>
    <w:rsid w:val="008D19E8"/>
    <w:rsid w:val="008D4324"/>
    <w:rsid w:val="008D514E"/>
    <w:rsid w:val="008D5860"/>
    <w:rsid w:val="008D6580"/>
    <w:rsid w:val="008E214C"/>
    <w:rsid w:val="008E28A4"/>
    <w:rsid w:val="008E2B26"/>
    <w:rsid w:val="008E3D68"/>
    <w:rsid w:val="008E5A8C"/>
    <w:rsid w:val="008E6D80"/>
    <w:rsid w:val="008E7A4B"/>
    <w:rsid w:val="008F3E1C"/>
    <w:rsid w:val="008F5453"/>
    <w:rsid w:val="008F6334"/>
    <w:rsid w:val="0090323A"/>
    <w:rsid w:val="0090604D"/>
    <w:rsid w:val="00911915"/>
    <w:rsid w:val="009135BB"/>
    <w:rsid w:val="00915139"/>
    <w:rsid w:val="00917425"/>
    <w:rsid w:val="009216F9"/>
    <w:rsid w:val="00922A53"/>
    <w:rsid w:val="00924AD7"/>
    <w:rsid w:val="00926357"/>
    <w:rsid w:val="009273C7"/>
    <w:rsid w:val="00930A94"/>
    <w:rsid w:val="00935782"/>
    <w:rsid w:val="00936BB1"/>
    <w:rsid w:val="00937724"/>
    <w:rsid w:val="00940086"/>
    <w:rsid w:val="00941F97"/>
    <w:rsid w:val="00943D77"/>
    <w:rsid w:val="00944855"/>
    <w:rsid w:val="00945BE4"/>
    <w:rsid w:val="00946E04"/>
    <w:rsid w:val="0094752A"/>
    <w:rsid w:val="0095321F"/>
    <w:rsid w:val="009535CA"/>
    <w:rsid w:val="00954D40"/>
    <w:rsid w:val="0095783D"/>
    <w:rsid w:val="00957AC1"/>
    <w:rsid w:val="00960520"/>
    <w:rsid w:val="009613D1"/>
    <w:rsid w:val="009635AD"/>
    <w:rsid w:val="00963F2F"/>
    <w:rsid w:val="00964BC0"/>
    <w:rsid w:val="009659ED"/>
    <w:rsid w:val="009660D2"/>
    <w:rsid w:val="009673CE"/>
    <w:rsid w:val="0096760F"/>
    <w:rsid w:val="00967BA2"/>
    <w:rsid w:val="00970BA1"/>
    <w:rsid w:val="009710FF"/>
    <w:rsid w:val="009722BA"/>
    <w:rsid w:val="009733F6"/>
    <w:rsid w:val="009806E1"/>
    <w:rsid w:val="00980D69"/>
    <w:rsid w:val="00980E60"/>
    <w:rsid w:val="009818F4"/>
    <w:rsid w:val="00981F39"/>
    <w:rsid w:val="00982602"/>
    <w:rsid w:val="009849BC"/>
    <w:rsid w:val="0098527C"/>
    <w:rsid w:val="009876FF"/>
    <w:rsid w:val="00987B26"/>
    <w:rsid w:val="009912DD"/>
    <w:rsid w:val="0099195C"/>
    <w:rsid w:val="0099232E"/>
    <w:rsid w:val="00992D4C"/>
    <w:rsid w:val="0099370C"/>
    <w:rsid w:val="009941D1"/>
    <w:rsid w:val="009951F9"/>
    <w:rsid w:val="009A1F18"/>
    <w:rsid w:val="009A22CF"/>
    <w:rsid w:val="009A3674"/>
    <w:rsid w:val="009A37A2"/>
    <w:rsid w:val="009A693E"/>
    <w:rsid w:val="009A6F1E"/>
    <w:rsid w:val="009A7D9A"/>
    <w:rsid w:val="009B069B"/>
    <w:rsid w:val="009B2A15"/>
    <w:rsid w:val="009B2EF6"/>
    <w:rsid w:val="009B40B1"/>
    <w:rsid w:val="009B4299"/>
    <w:rsid w:val="009B57FA"/>
    <w:rsid w:val="009B58ED"/>
    <w:rsid w:val="009B67B1"/>
    <w:rsid w:val="009C3090"/>
    <w:rsid w:val="009C49B1"/>
    <w:rsid w:val="009C5ECB"/>
    <w:rsid w:val="009C6231"/>
    <w:rsid w:val="009D0A8F"/>
    <w:rsid w:val="009D3B83"/>
    <w:rsid w:val="009D4410"/>
    <w:rsid w:val="009D4756"/>
    <w:rsid w:val="009D5626"/>
    <w:rsid w:val="009D5EC2"/>
    <w:rsid w:val="009D604B"/>
    <w:rsid w:val="009D60E0"/>
    <w:rsid w:val="009D6848"/>
    <w:rsid w:val="009D6D4F"/>
    <w:rsid w:val="009E00DB"/>
    <w:rsid w:val="009E0F69"/>
    <w:rsid w:val="009E11C2"/>
    <w:rsid w:val="009E1949"/>
    <w:rsid w:val="009E2116"/>
    <w:rsid w:val="009E2908"/>
    <w:rsid w:val="009E53C4"/>
    <w:rsid w:val="009E6EF3"/>
    <w:rsid w:val="009F1EB9"/>
    <w:rsid w:val="009F37DD"/>
    <w:rsid w:val="009F45FA"/>
    <w:rsid w:val="009F4E33"/>
    <w:rsid w:val="009F56C4"/>
    <w:rsid w:val="00A0293F"/>
    <w:rsid w:val="00A02FFB"/>
    <w:rsid w:val="00A030D3"/>
    <w:rsid w:val="00A04AB8"/>
    <w:rsid w:val="00A04CF8"/>
    <w:rsid w:val="00A056FD"/>
    <w:rsid w:val="00A102A3"/>
    <w:rsid w:val="00A115D2"/>
    <w:rsid w:val="00A123B5"/>
    <w:rsid w:val="00A12481"/>
    <w:rsid w:val="00A12E55"/>
    <w:rsid w:val="00A141BD"/>
    <w:rsid w:val="00A162A9"/>
    <w:rsid w:val="00A20B9A"/>
    <w:rsid w:val="00A229FA"/>
    <w:rsid w:val="00A24F06"/>
    <w:rsid w:val="00A2768C"/>
    <w:rsid w:val="00A31C52"/>
    <w:rsid w:val="00A32A56"/>
    <w:rsid w:val="00A335FD"/>
    <w:rsid w:val="00A34725"/>
    <w:rsid w:val="00A34E86"/>
    <w:rsid w:val="00A35EBD"/>
    <w:rsid w:val="00A36A68"/>
    <w:rsid w:val="00A41E06"/>
    <w:rsid w:val="00A42049"/>
    <w:rsid w:val="00A4255F"/>
    <w:rsid w:val="00A45688"/>
    <w:rsid w:val="00A45A02"/>
    <w:rsid w:val="00A460A2"/>
    <w:rsid w:val="00A46C66"/>
    <w:rsid w:val="00A506EA"/>
    <w:rsid w:val="00A51897"/>
    <w:rsid w:val="00A5288F"/>
    <w:rsid w:val="00A53BDD"/>
    <w:rsid w:val="00A55045"/>
    <w:rsid w:val="00A55F7D"/>
    <w:rsid w:val="00A56122"/>
    <w:rsid w:val="00A5699A"/>
    <w:rsid w:val="00A56FB7"/>
    <w:rsid w:val="00A574A2"/>
    <w:rsid w:val="00A60C6C"/>
    <w:rsid w:val="00A628E2"/>
    <w:rsid w:val="00A63BD4"/>
    <w:rsid w:val="00A6798B"/>
    <w:rsid w:val="00A67EB9"/>
    <w:rsid w:val="00A73215"/>
    <w:rsid w:val="00A74322"/>
    <w:rsid w:val="00A757BC"/>
    <w:rsid w:val="00A80017"/>
    <w:rsid w:val="00A80244"/>
    <w:rsid w:val="00A80C00"/>
    <w:rsid w:val="00A82862"/>
    <w:rsid w:val="00A85861"/>
    <w:rsid w:val="00A87764"/>
    <w:rsid w:val="00A909B9"/>
    <w:rsid w:val="00A91425"/>
    <w:rsid w:val="00A91A55"/>
    <w:rsid w:val="00A91E07"/>
    <w:rsid w:val="00A9223F"/>
    <w:rsid w:val="00A9662D"/>
    <w:rsid w:val="00AA3D73"/>
    <w:rsid w:val="00AA4480"/>
    <w:rsid w:val="00AB12E0"/>
    <w:rsid w:val="00AB3410"/>
    <w:rsid w:val="00AB3A4E"/>
    <w:rsid w:val="00AB5842"/>
    <w:rsid w:val="00AB65FA"/>
    <w:rsid w:val="00AB6F70"/>
    <w:rsid w:val="00AB7E40"/>
    <w:rsid w:val="00AB7EDE"/>
    <w:rsid w:val="00AC5854"/>
    <w:rsid w:val="00AC6C5B"/>
    <w:rsid w:val="00AC7E04"/>
    <w:rsid w:val="00AD1A46"/>
    <w:rsid w:val="00AD46DC"/>
    <w:rsid w:val="00AD4C66"/>
    <w:rsid w:val="00AD4E9A"/>
    <w:rsid w:val="00AE0681"/>
    <w:rsid w:val="00AE28A9"/>
    <w:rsid w:val="00AE3DDC"/>
    <w:rsid w:val="00AE709D"/>
    <w:rsid w:val="00AE74A7"/>
    <w:rsid w:val="00AF0572"/>
    <w:rsid w:val="00AF25F1"/>
    <w:rsid w:val="00AF3E10"/>
    <w:rsid w:val="00B00DF6"/>
    <w:rsid w:val="00B00EFD"/>
    <w:rsid w:val="00B02059"/>
    <w:rsid w:val="00B02DDC"/>
    <w:rsid w:val="00B057EA"/>
    <w:rsid w:val="00B05F10"/>
    <w:rsid w:val="00B062AF"/>
    <w:rsid w:val="00B07483"/>
    <w:rsid w:val="00B077AA"/>
    <w:rsid w:val="00B10400"/>
    <w:rsid w:val="00B10F14"/>
    <w:rsid w:val="00B12F8F"/>
    <w:rsid w:val="00B14DE4"/>
    <w:rsid w:val="00B17EFE"/>
    <w:rsid w:val="00B20157"/>
    <w:rsid w:val="00B21322"/>
    <w:rsid w:val="00B21718"/>
    <w:rsid w:val="00B2470E"/>
    <w:rsid w:val="00B247AA"/>
    <w:rsid w:val="00B24948"/>
    <w:rsid w:val="00B27B79"/>
    <w:rsid w:val="00B305DA"/>
    <w:rsid w:val="00B32AF7"/>
    <w:rsid w:val="00B336DC"/>
    <w:rsid w:val="00B34FD6"/>
    <w:rsid w:val="00B37BA3"/>
    <w:rsid w:val="00B40657"/>
    <w:rsid w:val="00B4099B"/>
    <w:rsid w:val="00B41D57"/>
    <w:rsid w:val="00B44BF4"/>
    <w:rsid w:val="00B4544C"/>
    <w:rsid w:val="00B45A22"/>
    <w:rsid w:val="00B45B27"/>
    <w:rsid w:val="00B45E8F"/>
    <w:rsid w:val="00B4715C"/>
    <w:rsid w:val="00B5010C"/>
    <w:rsid w:val="00B50907"/>
    <w:rsid w:val="00B50BEB"/>
    <w:rsid w:val="00B51AF8"/>
    <w:rsid w:val="00B52690"/>
    <w:rsid w:val="00B53843"/>
    <w:rsid w:val="00B54C06"/>
    <w:rsid w:val="00B57D00"/>
    <w:rsid w:val="00B60AA9"/>
    <w:rsid w:val="00B631CB"/>
    <w:rsid w:val="00B63348"/>
    <w:rsid w:val="00B637AA"/>
    <w:rsid w:val="00B65CE8"/>
    <w:rsid w:val="00B6664E"/>
    <w:rsid w:val="00B713CC"/>
    <w:rsid w:val="00B714F7"/>
    <w:rsid w:val="00B73760"/>
    <w:rsid w:val="00B73A63"/>
    <w:rsid w:val="00B74494"/>
    <w:rsid w:val="00B77FC3"/>
    <w:rsid w:val="00B80540"/>
    <w:rsid w:val="00B83A14"/>
    <w:rsid w:val="00B85631"/>
    <w:rsid w:val="00B8594D"/>
    <w:rsid w:val="00B86773"/>
    <w:rsid w:val="00B878A2"/>
    <w:rsid w:val="00B91447"/>
    <w:rsid w:val="00B91A3C"/>
    <w:rsid w:val="00B91BCF"/>
    <w:rsid w:val="00B93760"/>
    <w:rsid w:val="00B94E67"/>
    <w:rsid w:val="00B96AF5"/>
    <w:rsid w:val="00B970E4"/>
    <w:rsid w:val="00BA0204"/>
    <w:rsid w:val="00BA35F3"/>
    <w:rsid w:val="00BA40DA"/>
    <w:rsid w:val="00BA4605"/>
    <w:rsid w:val="00BA4650"/>
    <w:rsid w:val="00BA52E5"/>
    <w:rsid w:val="00BA7D37"/>
    <w:rsid w:val="00BB0F17"/>
    <w:rsid w:val="00BB2CEB"/>
    <w:rsid w:val="00BB391E"/>
    <w:rsid w:val="00BB75A7"/>
    <w:rsid w:val="00BB7A28"/>
    <w:rsid w:val="00BC11CD"/>
    <w:rsid w:val="00BC1F4E"/>
    <w:rsid w:val="00BC2D28"/>
    <w:rsid w:val="00BC2DEF"/>
    <w:rsid w:val="00BC376D"/>
    <w:rsid w:val="00BC4FCF"/>
    <w:rsid w:val="00BC6FBB"/>
    <w:rsid w:val="00BD064A"/>
    <w:rsid w:val="00BD40A2"/>
    <w:rsid w:val="00BD47DD"/>
    <w:rsid w:val="00BD59B0"/>
    <w:rsid w:val="00BD5CFA"/>
    <w:rsid w:val="00BD60A7"/>
    <w:rsid w:val="00BD6F23"/>
    <w:rsid w:val="00BD7347"/>
    <w:rsid w:val="00BE2541"/>
    <w:rsid w:val="00BE29AC"/>
    <w:rsid w:val="00BE2F2E"/>
    <w:rsid w:val="00BE4F78"/>
    <w:rsid w:val="00BE5D2F"/>
    <w:rsid w:val="00BE5ECF"/>
    <w:rsid w:val="00BE6F65"/>
    <w:rsid w:val="00BE7985"/>
    <w:rsid w:val="00BF1EDE"/>
    <w:rsid w:val="00BF27F2"/>
    <w:rsid w:val="00BF2AC7"/>
    <w:rsid w:val="00BF4302"/>
    <w:rsid w:val="00BF4FCD"/>
    <w:rsid w:val="00BF5CD1"/>
    <w:rsid w:val="00BF6E66"/>
    <w:rsid w:val="00C02B6E"/>
    <w:rsid w:val="00C02C96"/>
    <w:rsid w:val="00C04698"/>
    <w:rsid w:val="00C05E98"/>
    <w:rsid w:val="00C07B93"/>
    <w:rsid w:val="00C1046E"/>
    <w:rsid w:val="00C10782"/>
    <w:rsid w:val="00C134A9"/>
    <w:rsid w:val="00C140D6"/>
    <w:rsid w:val="00C1587C"/>
    <w:rsid w:val="00C206BF"/>
    <w:rsid w:val="00C207B3"/>
    <w:rsid w:val="00C22171"/>
    <w:rsid w:val="00C23422"/>
    <w:rsid w:val="00C24E76"/>
    <w:rsid w:val="00C2625E"/>
    <w:rsid w:val="00C26793"/>
    <w:rsid w:val="00C27C39"/>
    <w:rsid w:val="00C31402"/>
    <w:rsid w:val="00C31A1A"/>
    <w:rsid w:val="00C31A71"/>
    <w:rsid w:val="00C34009"/>
    <w:rsid w:val="00C35685"/>
    <w:rsid w:val="00C36235"/>
    <w:rsid w:val="00C3674D"/>
    <w:rsid w:val="00C40607"/>
    <w:rsid w:val="00C40AFC"/>
    <w:rsid w:val="00C4123D"/>
    <w:rsid w:val="00C41C69"/>
    <w:rsid w:val="00C42C9F"/>
    <w:rsid w:val="00C443B8"/>
    <w:rsid w:val="00C44B81"/>
    <w:rsid w:val="00C45423"/>
    <w:rsid w:val="00C46C9E"/>
    <w:rsid w:val="00C47432"/>
    <w:rsid w:val="00C47CAC"/>
    <w:rsid w:val="00C51D51"/>
    <w:rsid w:val="00C54AE2"/>
    <w:rsid w:val="00C57479"/>
    <w:rsid w:val="00C579EA"/>
    <w:rsid w:val="00C57C9C"/>
    <w:rsid w:val="00C618CF"/>
    <w:rsid w:val="00C62F01"/>
    <w:rsid w:val="00C63DFB"/>
    <w:rsid w:val="00C64AF0"/>
    <w:rsid w:val="00C64F83"/>
    <w:rsid w:val="00C662FE"/>
    <w:rsid w:val="00C70DA7"/>
    <w:rsid w:val="00C70FBD"/>
    <w:rsid w:val="00C7132D"/>
    <w:rsid w:val="00C71BD1"/>
    <w:rsid w:val="00C720AB"/>
    <w:rsid w:val="00C72840"/>
    <w:rsid w:val="00C736C9"/>
    <w:rsid w:val="00C75345"/>
    <w:rsid w:val="00C767C3"/>
    <w:rsid w:val="00C77AE5"/>
    <w:rsid w:val="00C80D56"/>
    <w:rsid w:val="00C81018"/>
    <w:rsid w:val="00C812E2"/>
    <w:rsid w:val="00C82320"/>
    <w:rsid w:val="00C83448"/>
    <w:rsid w:val="00C83852"/>
    <w:rsid w:val="00C85A75"/>
    <w:rsid w:val="00C87BAE"/>
    <w:rsid w:val="00C90539"/>
    <w:rsid w:val="00C910C1"/>
    <w:rsid w:val="00C95536"/>
    <w:rsid w:val="00CA122B"/>
    <w:rsid w:val="00CA7139"/>
    <w:rsid w:val="00CA79AE"/>
    <w:rsid w:val="00CA7A56"/>
    <w:rsid w:val="00CA7E0D"/>
    <w:rsid w:val="00CA7F90"/>
    <w:rsid w:val="00CB09F4"/>
    <w:rsid w:val="00CB19A0"/>
    <w:rsid w:val="00CB1CE2"/>
    <w:rsid w:val="00CB3A80"/>
    <w:rsid w:val="00CB4F93"/>
    <w:rsid w:val="00CB65BB"/>
    <w:rsid w:val="00CC20E7"/>
    <w:rsid w:val="00CC2558"/>
    <w:rsid w:val="00CC461C"/>
    <w:rsid w:val="00CC4CDC"/>
    <w:rsid w:val="00CC4EBF"/>
    <w:rsid w:val="00CC7016"/>
    <w:rsid w:val="00CC7837"/>
    <w:rsid w:val="00CD15B9"/>
    <w:rsid w:val="00CD6B6A"/>
    <w:rsid w:val="00CE0E74"/>
    <w:rsid w:val="00CE4CEC"/>
    <w:rsid w:val="00CE5295"/>
    <w:rsid w:val="00CE57E1"/>
    <w:rsid w:val="00CE6DC2"/>
    <w:rsid w:val="00CF04E3"/>
    <w:rsid w:val="00CF3CEA"/>
    <w:rsid w:val="00CF51FB"/>
    <w:rsid w:val="00CF5E3D"/>
    <w:rsid w:val="00CF68A7"/>
    <w:rsid w:val="00D008AD"/>
    <w:rsid w:val="00D0303B"/>
    <w:rsid w:val="00D040D0"/>
    <w:rsid w:val="00D056BD"/>
    <w:rsid w:val="00D05A18"/>
    <w:rsid w:val="00D07424"/>
    <w:rsid w:val="00D10E10"/>
    <w:rsid w:val="00D124D2"/>
    <w:rsid w:val="00D1260B"/>
    <w:rsid w:val="00D12A1B"/>
    <w:rsid w:val="00D15498"/>
    <w:rsid w:val="00D16B26"/>
    <w:rsid w:val="00D209B7"/>
    <w:rsid w:val="00D20E7B"/>
    <w:rsid w:val="00D21AAE"/>
    <w:rsid w:val="00D221BD"/>
    <w:rsid w:val="00D227BB"/>
    <w:rsid w:val="00D233D1"/>
    <w:rsid w:val="00D23A62"/>
    <w:rsid w:val="00D25FB6"/>
    <w:rsid w:val="00D303E7"/>
    <w:rsid w:val="00D31095"/>
    <w:rsid w:val="00D319BD"/>
    <w:rsid w:val="00D31B82"/>
    <w:rsid w:val="00D3404C"/>
    <w:rsid w:val="00D342E8"/>
    <w:rsid w:val="00D342F5"/>
    <w:rsid w:val="00D34B65"/>
    <w:rsid w:val="00D37D8E"/>
    <w:rsid w:val="00D40339"/>
    <w:rsid w:val="00D40422"/>
    <w:rsid w:val="00D4302C"/>
    <w:rsid w:val="00D43D82"/>
    <w:rsid w:val="00D4531F"/>
    <w:rsid w:val="00D457AB"/>
    <w:rsid w:val="00D47941"/>
    <w:rsid w:val="00D51554"/>
    <w:rsid w:val="00D51C03"/>
    <w:rsid w:val="00D5246B"/>
    <w:rsid w:val="00D53834"/>
    <w:rsid w:val="00D55ECB"/>
    <w:rsid w:val="00D563DD"/>
    <w:rsid w:val="00D5647B"/>
    <w:rsid w:val="00D579FA"/>
    <w:rsid w:val="00D57D14"/>
    <w:rsid w:val="00D6140D"/>
    <w:rsid w:val="00D6155A"/>
    <w:rsid w:val="00D6220C"/>
    <w:rsid w:val="00D6254B"/>
    <w:rsid w:val="00D64110"/>
    <w:rsid w:val="00D6452E"/>
    <w:rsid w:val="00D64952"/>
    <w:rsid w:val="00D64E46"/>
    <w:rsid w:val="00D67B6D"/>
    <w:rsid w:val="00D70D07"/>
    <w:rsid w:val="00D712F0"/>
    <w:rsid w:val="00D74B25"/>
    <w:rsid w:val="00D75C23"/>
    <w:rsid w:val="00D76B2D"/>
    <w:rsid w:val="00D771FE"/>
    <w:rsid w:val="00D77893"/>
    <w:rsid w:val="00D8138F"/>
    <w:rsid w:val="00D823B9"/>
    <w:rsid w:val="00D8362D"/>
    <w:rsid w:val="00D84441"/>
    <w:rsid w:val="00D84C70"/>
    <w:rsid w:val="00D87950"/>
    <w:rsid w:val="00D90A89"/>
    <w:rsid w:val="00D91EFB"/>
    <w:rsid w:val="00D9456D"/>
    <w:rsid w:val="00D971D2"/>
    <w:rsid w:val="00D97250"/>
    <w:rsid w:val="00D97CD0"/>
    <w:rsid w:val="00DA14A6"/>
    <w:rsid w:val="00DA1945"/>
    <w:rsid w:val="00DA1BCB"/>
    <w:rsid w:val="00DA20AC"/>
    <w:rsid w:val="00DA2A9A"/>
    <w:rsid w:val="00DB12A9"/>
    <w:rsid w:val="00DB1BA6"/>
    <w:rsid w:val="00DB321F"/>
    <w:rsid w:val="00DC0A90"/>
    <w:rsid w:val="00DC4315"/>
    <w:rsid w:val="00DC5B46"/>
    <w:rsid w:val="00DD0958"/>
    <w:rsid w:val="00DD0985"/>
    <w:rsid w:val="00DD13AB"/>
    <w:rsid w:val="00DD1486"/>
    <w:rsid w:val="00DD2E7D"/>
    <w:rsid w:val="00DD594C"/>
    <w:rsid w:val="00DE0252"/>
    <w:rsid w:val="00DE15F9"/>
    <w:rsid w:val="00DE22B1"/>
    <w:rsid w:val="00DE4FA4"/>
    <w:rsid w:val="00DE4FCE"/>
    <w:rsid w:val="00DE57AE"/>
    <w:rsid w:val="00DE596E"/>
    <w:rsid w:val="00DE7252"/>
    <w:rsid w:val="00DF0388"/>
    <w:rsid w:val="00DF16D2"/>
    <w:rsid w:val="00DF22FD"/>
    <w:rsid w:val="00DF2A0F"/>
    <w:rsid w:val="00DF3229"/>
    <w:rsid w:val="00DF36AB"/>
    <w:rsid w:val="00DF3931"/>
    <w:rsid w:val="00DF428C"/>
    <w:rsid w:val="00DF4A20"/>
    <w:rsid w:val="00E0228F"/>
    <w:rsid w:val="00E028DC"/>
    <w:rsid w:val="00E03E07"/>
    <w:rsid w:val="00E043FD"/>
    <w:rsid w:val="00E0532D"/>
    <w:rsid w:val="00E05B7D"/>
    <w:rsid w:val="00E05BCD"/>
    <w:rsid w:val="00E07F67"/>
    <w:rsid w:val="00E106D0"/>
    <w:rsid w:val="00E10971"/>
    <w:rsid w:val="00E140F5"/>
    <w:rsid w:val="00E14977"/>
    <w:rsid w:val="00E15412"/>
    <w:rsid w:val="00E16075"/>
    <w:rsid w:val="00E16D39"/>
    <w:rsid w:val="00E2180B"/>
    <w:rsid w:val="00E22679"/>
    <w:rsid w:val="00E2293E"/>
    <w:rsid w:val="00E24A06"/>
    <w:rsid w:val="00E25C2E"/>
    <w:rsid w:val="00E2674D"/>
    <w:rsid w:val="00E267AC"/>
    <w:rsid w:val="00E3033B"/>
    <w:rsid w:val="00E30A92"/>
    <w:rsid w:val="00E31878"/>
    <w:rsid w:val="00E33B09"/>
    <w:rsid w:val="00E33BF8"/>
    <w:rsid w:val="00E345C5"/>
    <w:rsid w:val="00E34A78"/>
    <w:rsid w:val="00E35B4F"/>
    <w:rsid w:val="00E37CCF"/>
    <w:rsid w:val="00E435BA"/>
    <w:rsid w:val="00E43877"/>
    <w:rsid w:val="00E460D5"/>
    <w:rsid w:val="00E46A44"/>
    <w:rsid w:val="00E50ACB"/>
    <w:rsid w:val="00E53991"/>
    <w:rsid w:val="00E53E35"/>
    <w:rsid w:val="00E5584C"/>
    <w:rsid w:val="00E568CD"/>
    <w:rsid w:val="00E56D90"/>
    <w:rsid w:val="00E57554"/>
    <w:rsid w:val="00E57B08"/>
    <w:rsid w:val="00E604D3"/>
    <w:rsid w:val="00E6441A"/>
    <w:rsid w:val="00E65691"/>
    <w:rsid w:val="00E67468"/>
    <w:rsid w:val="00E67BC0"/>
    <w:rsid w:val="00E71764"/>
    <w:rsid w:val="00E71A7C"/>
    <w:rsid w:val="00E76E17"/>
    <w:rsid w:val="00E77489"/>
    <w:rsid w:val="00E80DD2"/>
    <w:rsid w:val="00E81A17"/>
    <w:rsid w:val="00E840CE"/>
    <w:rsid w:val="00E857F3"/>
    <w:rsid w:val="00E877D0"/>
    <w:rsid w:val="00E87E32"/>
    <w:rsid w:val="00E90927"/>
    <w:rsid w:val="00E90E6D"/>
    <w:rsid w:val="00E917BE"/>
    <w:rsid w:val="00E9456E"/>
    <w:rsid w:val="00E9623D"/>
    <w:rsid w:val="00E96C4B"/>
    <w:rsid w:val="00E9718F"/>
    <w:rsid w:val="00E97262"/>
    <w:rsid w:val="00EA0C48"/>
    <w:rsid w:val="00EA3E35"/>
    <w:rsid w:val="00EA4603"/>
    <w:rsid w:val="00EA5825"/>
    <w:rsid w:val="00EA6EC3"/>
    <w:rsid w:val="00EB34CD"/>
    <w:rsid w:val="00EB69F0"/>
    <w:rsid w:val="00EB6B08"/>
    <w:rsid w:val="00EB77B4"/>
    <w:rsid w:val="00EB7F16"/>
    <w:rsid w:val="00EC0385"/>
    <w:rsid w:val="00EC04E8"/>
    <w:rsid w:val="00EC0A21"/>
    <w:rsid w:val="00EC358E"/>
    <w:rsid w:val="00EC590E"/>
    <w:rsid w:val="00ED1247"/>
    <w:rsid w:val="00ED3BB5"/>
    <w:rsid w:val="00ED43DA"/>
    <w:rsid w:val="00ED4ECF"/>
    <w:rsid w:val="00ED5146"/>
    <w:rsid w:val="00ED56F8"/>
    <w:rsid w:val="00ED69A0"/>
    <w:rsid w:val="00ED7AC3"/>
    <w:rsid w:val="00EE024B"/>
    <w:rsid w:val="00EE2892"/>
    <w:rsid w:val="00EE533B"/>
    <w:rsid w:val="00EE587A"/>
    <w:rsid w:val="00EE71ED"/>
    <w:rsid w:val="00EE7E68"/>
    <w:rsid w:val="00EF0B13"/>
    <w:rsid w:val="00EF0B6B"/>
    <w:rsid w:val="00EF19B4"/>
    <w:rsid w:val="00EF1B06"/>
    <w:rsid w:val="00EF1F41"/>
    <w:rsid w:val="00EF2723"/>
    <w:rsid w:val="00EF29A6"/>
    <w:rsid w:val="00EF5ECF"/>
    <w:rsid w:val="00EF7605"/>
    <w:rsid w:val="00EF7E59"/>
    <w:rsid w:val="00F00F3C"/>
    <w:rsid w:val="00F01875"/>
    <w:rsid w:val="00F02851"/>
    <w:rsid w:val="00F032C0"/>
    <w:rsid w:val="00F05BCF"/>
    <w:rsid w:val="00F10CE4"/>
    <w:rsid w:val="00F135FF"/>
    <w:rsid w:val="00F1564E"/>
    <w:rsid w:val="00F1704B"/>
    <w:rsid w:val="00F17BB7"/>
    <w:rsid w:val="00F20081"/>
    <w:rsid w:val="00F24B02"/>
    <w:rsid w:val="00F2512B"/>
    <w:rsid w:val="00F26501"/>
    <w:rsid w:val="00F27023"/>
    <w:rsid w:val="00F33619"/>
    <w:rsid w:val="00F342AB"/>
    <w:rsid w:val="00F34A0D"/>
    <w:rsid w:val="00F3506B"/>
    <w:rsid w:val="00F3648E"/>
    <w:rsid w:val="00F379A7"/>
    <w:rsid w:val="00F403D6"/>
    <w:rsid w:val="00F413EF"/>
    <w:rsid w:val="00F41A60"/>
    <w:rsid w:val="00F4569F"/>
    <w:rsid w:val="00F47CEB"/>
    <w:rsid w:val="00F51A89"/>
    <w:rsid w:val="00F534B8"/>
    <w:rsid w:val="00F536E3"/>
    <w:rsid w:val="00F53EB6"/>
    <w:rsid w:val="00F53FDD"/>
    <w:rsid w:val="00F560D1"/>
    <w:rsid w:val="00F56CB9"/>
    <w:rsid w:val="00F57E54"/>
    <w:rsid w:val="00F60718"/>
    <w:rsid w:val="00F61750"/>
    <w:rsid w:val="00F6177F"/>
    <w:rsid w:val="00F6603B"/>
    <w:rsid w:val="00F66226"/>
    <w:rsid w:val="00F66819"/>
    <w:rsid w:val="00F73E0C"/>
    <w:rsid w:val="00F7424C"/>
    <w:rsid w:val="00F7482A"/>
    <w:rsid w:val="00F769E6"/>
    <w:rsid w:val="00F803B3"/>
    <w:rsid w:val="00F839D5"/>
    <w:rsid w:val="00F8495C"/>
    <w:rsid w:val="00F84FE7"/>
    <w:rsid w:val="00F869FF"/>
    <w:rsid w:val="00F86C26"/>
    <w:rsid w:val="00F87581"/>
    <w:rsid w:val="00F907B0"/>
    <w:rsid w:val="00F9278E"/>
    <w:rsid w:val="00F95158"/>
    <w:rsid w:val="00F95928"/>
    <w:rsid w:val="00F95C95"/>
    <w:rsid w:val="00F97A4D"/>
    <w:rsid w:val="00FA03BC"/>
    <w:rsid w:val="00FA1198"/>
    <w:rsid w:val="00FA21AB"/>
    <w:rsid w:val="00FA4085"/>
    <w:rsid w:val="00FA597C"/>
    <w:rsid w:val="00FA6467"/>
    <w:rsid w:val="00FB011C"/>
    <w:rsid w:val="00FB01AD"/>
    <w:rsid w:val="00FB3E39"/>
    <w:rsid w:val="00FB5E4B"/>
    <w:rsid w:val="00FB61BF"/>
    <w:rsid w:val="00FB634A"/>
    <w:rsid w:val="00FB6FC7"/>
    <w:rsid w:val="00FB7611"/>
    <w:rsid w:val="00FB7FF8"/>
    <w:rsid w:val="00FC0CFA"/>
    <w:rsid w:val="00FC1010"/>
    <w:rsid w:val="00FC4928"/>
    <w:rsid w:val="00FD0445"/>
    <w:rsid w:val="00FD1290"/>
    <w:rsid w:val="00FD3DAA"/>
    <w:rsid w:val="00FD3EEE"/>
    <w:rsid w:val="00FD7D12"/>
    <w:rsid w:val="00FE0B48"/>
    <w:rsid w:val="00FE1C21"/>
    <w:rsid w:val="00FE40C6"/>
    <w:rsid w:val="00FE5112"/>
    <w:rsid w:val="00FF5E9D"/>
    <w:rsid w:val="01853E11"/>
    <w:rsid w:val="01BD7A4F"/>
    <w:rsid w:val="020967F0"/>
    <w:rsid w:val="02BE3A7E"/>
    <w:rsid w:val="02EA0D80"/>
    <w:rsid w:val="02FC45A7"/>
    <w:rsid w:val="03AB7A6D"/>
    <w:rsid w:val="044F72A8"/>
    <w:rsid w:val="045D6A08"/>
    <w:rsid w:val="047563BF"/>
    <w:rsid w:val="04AD224F"/>
    <w:rsid w:val="04BB45DF"/>
    <w:rsid w:val="05505BF3"/>
    <w:rsid w:val="057A1A3A"/>
    <w:rsid w:val="05A045D0"/>
    <w:rsid w:val="05A14F91"/>
    <w:rsid w:val="06854F5A"/>
    <w:rsid w:val="06984E0E"/>
    <w:rsid w:val="069A3EBB"/>
    <w:rsid w:val="070B300A"/>
    <w:rsid w:val="07124399"/>
    <w:rsid w:val="071C6CE0"/>
    <w:rsid w:val="07481B68"/>
    <w:rsid w:val="078B5EF9"/>
    <w:rsid w:val="07994839"/>
    <w:rsid w:val="07A4199C"/>
    <w:rsid w:val="07BF4B46"/>
    <w:rsid w:val="07FB50B6"/>
    <w:rsid w:val="07FB6BDB"/>
    <w:rsid w:val="08055CAB"/>
    <w:rsid w:val="08231CB7"/>
    <w:rsid w:val="08C47938"/>
    <w:rsid w:val="08E77E2A"/>
    <w:rsid w:val="09181A0E"/>
    <w:rsid w:val="09187C60"/>
    <w:rsid w:val="09B23C11"/>
    <w:rsid w:val="09CD0A4B"/>
    <w:rsid w:val="09E7549D"/>
    <w:rsid w:val="0A2451AF"/>
    <w:rsid w:val="0A391C3C"/>
    <w:rsid w:val="0A501AA3"/>
    <w:rsid w:val="0A60366D"/>
    <w:rsid w:val="0A71587A"/>
    <w:rsid w:val="0A856C30"/>
    <w:rsid w:val="0A8F5D00"/>
    <w:rsid w:val="0AE0030A"/>
    <w:rsid w:val="0AE96510"/>
    <w:rsid w:val="0B510E78"/>
    <w:rsid w:val="0B753148"/>
    <w:rsid w:val="0BEA7692"/>
    <w:rsid w:val="0C0A1AE2"/>
    <w:rsid w:val="0C0F0EA7"/>
    <w:rsid w:val="0C540FAF"/>
    <w:rsid w:val="0C6C2574"/>
    <w:rsid w:val="0C6F61CA"/>
    <w:rsid w:val="0C877CDB"/>
    <w:rsid w:val="0CBB102F"/>
    <w:rsid w:val="0CC223BD"/>
    <w:rsid w:val="0CD43E9E"/>
    <w:rsid w:val="0D35493D"/>
    <w:rsid w:val="0D3B51BC"/>
    <w:rsid w:val="0D4C5FCC"/>
    <w:rsid w:val="0D5F7C0C"/>
    <w:rsid w:val="0D662D48"/>
    <w:rsid w:val="0E1171BD"/>
    <w:rsid w:val="0E3B2427"/>
    <w:rsid w:val="0E3C1CFB"/>
    <w:rsid w:val="0E635EF9"/>
    <w:rsid w:val="0E6B438E"/>
    <w:rsid w:val="0E8A2F6A"/>
    <w:rsid w:val="0E94632D"/>
    <w:rsid w:val="0F2E3D3A"/>
    <w:rsid w:val="0FB0474F"/>
    <w:rsid w:val="0FCF68E2"/>
    <w:rsid w:val="0FD76C0F"/>
    <w:rsid w:val="0FE67D3D"/>
    <w:rsid w:val="10036F74"/>
    <w:rsid w:val="108300B5"/>
    <w:rsid w:val="10831E63"/>
    <w:rsid w:val="108B5E35"/>
    <w:rsid w:val="10BB784F"/>
    <w:rsid w:val="10F60887"/>
    <w:rsid w:val="111156C1"/>
    <w:rsid w:val="1131366D"/>
    <w:rsid w:val="118F6484"/>
    <w:rsid w:val="119D0D03"/>
    <w:rsid w:val="11D619F2"/>
    <w:rsid w:val="11E4475A"/>
    <w:rsid w:val="12394ECF"/>
    <w:rsid w:val="128123D2"/>
    <w:rsid w:val="131F6560"/>
    <w:rsid w:val="13C94031"/>
    <w:rsid w:val="13D5487D"/>
    <w:rsid w:val="13E75572"/>
    <w:rsid w:val="145E745C"/>
    <w:rsid w:val="146D2C0E"/>
    <w:rsid w:val="147A4A64"/>
    <w:rsid w:val="147D6BCA"/>
    <w:rsid w:val="14CD18FF"/>
    <w:rsid w:val="14CE5C44"/>
    <w:rsid w:val="14D7452C"/>
    <w:rsid w:val="15820E0E"/>
    <w:rsid w:val="15892CDA"/>
    <w:rsid w:val="159A3ED7"/>
    <w:rsid w:val="15B7652D"/>
    <w:rsid w:val="163C3E32"/>
    <w:rsid w:val="16464112"/>
    <w:rsid w:val="16791B72"/>
    <w:rsid w:val="170B4961"/>
    <w:rsid w:val="17154204"/>
    <w:rsid w:val="17367C2F"/>
    <w:rsid w:val="178A5981"/>
    <w:rsid w:val="17C3523B"/>
    <w:rsid w:val="17FC5493"/>
    <w:rsid w:val="180725A6"/>
    <w:rsid w:val="1833416F"/>
    <w:rsid w:val="186B2511"/>
    <w:rsid w:val="18CE3E98"/>
    <w:rsid w:val="18DC65B5"/>
    <w:rsid w:val="197467ED"/>
    <w:rsid w:val="198F3627"/>
    <w:rsid w:val="19C77265"/>
    <w:rsid w:val="1A09570F"/>
    <w:rsid w:val="1A0C111B"/>
    <w:rsid w:val="1A5328A6"/>
    <w:rsid w:val="1A615197"/>
    <w:rsid w:val="1A651AAC"/>
    <w:rsid w:val="1AC76DF0"/>
    <w:rsid w:val="1ACC1784"/>
    <w:rsid w:val="1B6F7600"/>
    <w:rsid w:val="1B745632"/>
    <w:rsid w:val="1B7538D9"/>
    <w:rsid w:val="1B7C02B4"/>
    <w:rsid w:val="1B7C05B7"/>
    <w:rsid w:val="1BB6133F"/>
    <w:rsid w:val="1C0E2F29"/>
    <w:rsid w:val="1C345D5E"/>
    <w:rsid w:val="1C4B67C1"/>
    <w:rsid w:val="1C752FA8"/>
    <w:rsid w:val="1CEE0979"/>
    <w:rsid w:val="1D2A0352"/>
    <w:rsid w:val="1D4B5AB7"/>
    <w:rsid w:val="1D540406"/>
    <w:rsid w:val="1D547061"/>
    <w:rsid w:val="1D570900"/>
    <w:rsid w:val="1DA01BE8"/>
    <w:rsid w:val="1DBE44DB"/>
    <w:rsid w:val="1DE101C9"/>
    <w:rsid w:val="1DE859FC"/>
    <w:rsid w:val="1E237C5A"/>
    <w:rsid w:val="1E5D0198"/>
    <w:rsid w:val="1EA272C8"/>
    <w:rsid w:val="1EDE05B1"/>
    <w:rsid w:val="1EDE26C4"/>
    <w:rsid w:val="1EED151B"/>
    <w:rsid w:val="1EFA7794"/>
    <w:rsid w:val="1F2B2044"/>
    <w:rsid w:val="1F420707"/>
    <w:rsid w:val="1F6B32B7"/>
    <w:rsid w:val="1FC17307"/>
    <w:rsid w:val="1FD47FE6"/>
    <w:rsid w:val="1FED554B"/>
    <w:rsid w:val="1FF1600F"/>
    <w:rsid w:val="20014FB8"/>
    <w:rsid w:val="200A2D92"/>
    <w:rsid w:val="20270A5D"/>
    <w:rsid w:val="20855784"/>
    <w:rsid w:val="21005984"/>
    <w:rsid w:val="21206EE5"/>
    <w:rsid w:val="21661111"/>
    <w:rsid w:val="21A32365"/>
    <w:rsid w:val="22153965"/>
    <w:rsid w:val="22282297"/>
    <w:rsid w:val="22602004"/>
    <w:rsid w:val="22623FCE"/>
    <w:rsid w:val="22833F45"/>
    <w:rsid w:val="22A2261D"/>
    <w:rsid w:val="22EB7084"/>
    <w:rsid w:val="23201794"/>
    <w:rsid w:val="236B2FA8"/>
    <w:rsid w:val="23700025"/>
    <w:rsid w:val="23D42CAA"/>
    <w:rsid w:val="23D50D59"/>
    <w:rsid w:val="24156E1F"/>
    <w:rsid w:val="24305A06"/>
    <w:rsid w:val="24CF521F"/>
    <w:rsid w:val="24D90223"/>
    <w:rsid w:val="25951FC5"/>
    <w:rsid w:val="25BA7C7E"/>
    <w:rsid w:val="25C1100C"/>
    <w:rsid w:val="26926505"/>
    <w:rsid w:val="274F0899"/>
    <w:rsid w:val="27CE17BE"/>
    <w:rsid w:val="282B6C11"/>
    <w:rsid w:val="293715E5"/>
    <w:rsid w:val="29B67B1F"/>
    <w:rsid w:val="29F7651B"/>
    <w:rsid w:val="2A0C4820"/>
    <w:rsid w:val="2A2349B0"/>
    <w:rsid w:val="2A3A3EBE"/>
    <w:rsid w:val="2A5527A7"/>
    <w:rsid w:val="2A895E70"/>
    <w:rsid w:val="2A9C3DF6"/>
    <w:rsid w:val="2AEB2687"/>
    <w:rsid w:val="2B08148B"/>
    <w:rsid w:val="2B116592"/>
    <w:rsid w:val="2B20734A"/>
    <w:rsid w:val="2B2A31B0"/>
    <w:rsid w:val="2B423609"/>
    <w:rsid w:val="2BEF7F55"/>
    <w:rsid w:val="2C277A68"/>
    <w:rsid w:val="2C772424"/>
    <w:rsid w:val="2C7F265E"/>
    <w:rsid w:val="2C9432CC"/>
    <w:rsid w:val="2D71156A"/>
    <w:rsid w:val="2DA354EC"/>
    <w:rsid w:val="2DF66D0F"/>
    <w:rsid w:val="2EE163B6"/>
    <w:rsid w:val="2F6C023B"/>
    <w:rsid w:val="300A35B0"/>
    <w:rsid w:val="302929DE"/>
    <w:rsid w:val="30405F11"/>
    <w:rsid w:val="30C05D17"/>
    <w:rsid w:val="30F5607D"/>
    <w:rsid w:val="30FA3624"/>
    <w:rsid w:val="311B2F15"/>
    <w:rsid w:val="31485649"/>
    <w:rsid w:val="3183651F"/>
    <w:rsid w:val="320318B4"/>
    <w:rsid w:val="327D62BB"/>
    <w:rsid w:val="32AC6BA0"/>
    <w:rsid w:val="32EB1476"/>
    <w:rsid w:val="33093FF2"/>
    <w:rsid w:val="330E64E9"/>
    <w:rsid w:val="331A7FAD"/>
    <w:rsid w:val="33291F9F"/>
    <w:rsid w:val="33707BCD"/>
    <w:rsid w:val="345E036E"/>
    <w:rsid w:val="3482405C"/>
    <w:rsid w:val="34831B82"/>
    <w:rsid w:val="34AA5967"/>
    <w:rsid w:val="34BD1E74"/>
    <w:rsid w:val="34C12DD7"/>
    <w:rsid w:val="34E9200B"/>
    <w:rsid w:val="35621BE6"/>
    <w:rsid w:val="35C27027"/>
    <w:rsid w:val="35D54660"/>
    <w:rsid w:val="360016DD"/>
    <w:rsid w:val="364315C9"/>
    <w:rsid w:val="367E0853"/>
    <w:rsid w:val="368D0A96"/>
    <w:rsid w:val="36E06005"/>
    <w:rsid w:val="37313B18"/>
    <w:rsid w:val="37504525"/>
    <w:rsid w:val="37735EDE"/>
    <w:rsid w:val="37DE3C9F"/>
    <w:rsid w:val="38284F1B"/>
    <w:rsid w:val="3882287D"/>
    <w:rsid w:val="388F4F35"/>
    <w:rsid w:val="390D2827"/>
    <w:rsid w:val="39A64349"/>
    <w:rsid w:val="39BB5D43"/>
    <w:rsid w:val="3A3414EA"/>
    <w:rsid w:val="3A383AE9"/>
    <w:rsid w:val="3A5E4C24"/>
    <w:rsid w:val="3A751F6D"/>
    <w:rsid w:val="3A850402"/>
    <w:rsid w:val="3AA10350"/>
    <w:rsid w:val="3AE3337B"/>
    <w:rsid w:val="3AF410E4"/>
    <w:rsid w:val="3B6C511E"/>
    <w:rsid w:val="3BB56AC5"/>
    <w:rsid w:val="3BC47524"/>
    <w:rsid w:val="3C157564"/>
    <w:rsid w:val="3CB26377"/>
    <w:rsid w:val="3CC55D91"/>
    <w:rsid w:val="3CD1792F"/>
    <w:rsid w:val="3D5D5666"/>
    <w:rsid w:val="3DC456E6"/>
    <w:rsid w:val="3DE22043"/>
    <w:rsid w:val="3DEA67CE"/>
    <w:rsid w:val="3E0B0C1F"/>
    <w:rsid w:val="3ECA7BB7"/>
    <w:rsid w:val="3F4F7231"/>
    <w:rsid w:val="3F854A01"/>
    <w:rsid w:val="403311B0"/>
    <w:rsid w:val="40BA1D0E"/>
    <w:rsid w:val="40C45355"/>
    <w:rsid w:val="41281AE7"/>
    <w:rsid w:val="412C5A7C"/>
    <w:rsid w:val="41320BB8"/>
    <w:rsid w:val="413E30C7"/>
    <w:rsid w:val="41425945"/>
    <w:rsid w:val="41696778"/>
    <w:rsid w:val="41C40652"/>
    <w:rsid w:val="41CF1EF3"/>
    <w:rsid w:val="41D37CA5"/>
    <w:rsid w:val="41FE4420"/>
    <w:rsid w:val="420E5181"/>
    <w:rsid w:val="42293D69"/>
    <w:rsid w:val="42A95791"/>
    <w:rsid w:val="42AC7A7E"/>
    <w:rsid w:val="42DE2DA6"/>
    <w:rsid w:val="42FB0C72"/>
    <w:rsid w:val="43192030"/>
    <w:rsid w:val="43B21B3C"/>
    <w:rsid w:val="43DA3792"/>
    <w:rsid w:val="442567B2"/>
    <w:rsid w:val="442A3DC9"/>
    <w:rsid w:val="446B68BB"/>
    <w:rsid w:val="449B1E09"/>
    <w:rsid w:val="44B518E4"/>
    <w:rsid w:val="44CD1324"/>
    <w:rsid w:val="44D04970"/>
    <w:rsid w:val="44F639B0"/>
    <w:rsid w:val="45191600"/>
    <w:rsid w:val="451B0D4C"/>
    <w:rsid w:val="45724207"/>
    <w:rsid w:val="45806396"/>
    <w:rsid w:val="45813EBC"/>
    <w:rsid w:val="45C857C3"/>
    <w:rsid w:val="4678706D"/>
    <w:rsid w:val="46911EDD"/>
    <w:rsid w:val="469730DC"/>
    <w:rsid w:val="46CC3DD3"/>
    <w:rsid w:val="46EE732F"/>
    <w:rsid w:val="47070DC3"/>
    <w:rsid w:val="47121270"/>
    <w:rsid w:val="47270E2B"/>
    <w:rsid w:val="47307948"/>
    <w:rsid w:val="474E7DCE"/>
    <w:rsid w:val="47916D80"/>
    <w:rsid w:val="48200DA0"/>
    <w:rsid w:val="484A4A39"/>
    <w:rsid w:val="485730A2"/>
    <w:rsid w:val="4880045B"/>
    <w:rsid w:val="48FC21D7"/>
    <w:rsid w:val="49137521"/>
    <w:rsid w:val="49260292"/>
    <w:rsid w:val="49891591"/>
    <w:rsid w:val="49D97B26"/>
    <w:rsid w:val="4A3753B6"/>
    <w:rsid w:val="4A590F64"/>
    <w:rsid w:val="4A8E49CC"/>
    <w:rsid w:val="4B0E7FA0"/>
    <w:rsid w:val="4BE56B11"/>
    <w:rsid w:val="4C275E5D"/>
    <w:rsid w:val="4C6065D9"/>
    <w:rsid w:val="4C9B3B4E"/>
    <w:rsid w:val="4CF66490"/>
    <w:rsid w:val="4D2B55C7"/>
    <w:rsid w:val="4D57657B"/>
    <w:rsid w:val="4D64034B"/>
    <w:rsid w:val="4D697710"/>
    <w:rsid w:val="4D9D560B"/>
    <w:rsid w:val="4DAC1BAF"/>
    <w:rsid w:val="4E015B87"/>
    <w:rsid w:val="4E037B64"/>
    <w:rsid w:val="4E0D2791"/>
    <w:rsid w:val="4E0F4E9D"/>
    <w:rsid w:val="4E4151FC"/>
    <w:rsid w:val="4E4F16FD"/>
    <w:rsid w:val="4E8D5680"/>
    <w:rsid w:val="4E93713A"/>
    <w:rsid w:val="4EE9296D"/>
    <w:rsid w:val="4F2935FA"/>
    <w:rsid w:val="4F2E29BF"/>
    <w:rsid w:val="500C2FA1"/>
    <w:rsid w:val="5023629C"/>
    <w:rsid w:val="50242014"/>
    <w:rsid w:val="508D1967"/>
    <w:rsid w:val="50DE69A2"/>
    <w:rsid w:val="50E377D9"/>
    <w:rsid w:val="511B3417"/>
    <w:rsid w:val="516A1CA8"/>
    <w:rsid w:val="51840539"/>
    <w:rsid w:val="51B11685"/>
    <w:rsid w:val="51BC6150"/>
    <w:rsid w:val="51C23892"/>
    <w:rsid w:val="52097B31"/>
    <w:rsid w:val="520E0886"/>
    <w:rsid w:val="52392202"/>
    <w:rsid w:val="52834E19"/>
    <w:rsid w:val="532F31A9"/>
    <w:rsid w:val="53434365"/>
    <w:rsid w:val="535F6489"/>
    <w:rsid w:val="53D0401B"/>
    <w:rsid w:val="544F3B03"/>
    <w:rsid w:val="54A61249"/>
    <w:rsid w:val="54B37502"/>
    <w:rsid w:val="54E70E41"/>
    <w:rsid w:val="54FC530D"/>
    <w:rsid w:val="5525273D"/>
    <w:rsid w:val="556709D9"/>
    <w:rsid w:val="557F1439"/>
    <w:rsid w:val="55990DAE"/>
    <w:rsid w:val="55A162DB"/>
    <w:rsid w:val="55C92AC4"/>
    <w:rsid w:val="55CD58BC"/>
    <w:rsid w:val="567D5FDA"/>
    <w:rsid w:val="56B37C4E"/>
    <w:rsid w:val="5705494D"/>
    <w:rsid w:val="57081D47"/>
    <w:rsid w:val="570E3DAE"/>
    <w:rsid w:val="572C012C"/>
    <w:rsid w:val="573B036F"/>
    <w:rsid w:val="57521214"/>
    <w:rsid w:val="57521257"/>
    <w:rsid w:val="57790E97"/>
    <w:rsid w:val="577C44E3"/>
    <w:rsid w:val="57803FD4"/>
    <w:rsid w:val="579A543A"/>
    <w:rsid w:val="580C3AB9"/>
    <w:rsid w:val="583E72E3"/>
    <w:rsid w:val="586B1694"/>
    <w:rsid w:val="587250A7"/>
    <w:rsid w:val="58871392"/>
    <w:rsid w:val="58B35EB8"/>
    <w:rsid w:val="58DF0AFA"/>
    <w:rsid w:val="58F87855"/>
    <w:rsid w:val="59C208D3"/>
    <w:rsid w:val="59E23A9A"/>
    <w:rsid w:val="59E47CE2"/>
    <w:rsid w:val="5A0A227A"/>
    <w:rsid w:val="5A4620CF"/>
    <w:rsid w:val="5A715F5A"/>
    <w:rsid w:val="5A9A3496"/>
    <w:rsid w:val="5AB346C0"/>
    <w:rsid w:val="5AF21780"/>
    <w:rsid w:val="5AFD593B"/>
    <w:rsid w:val="5B441028"/>
    <w:rsid w:val="5B597769"/>
    <w:rsid w:val="5BE2432E"/>
    <w:rsid w:val="5C0E6052"/>
    <w:rsid w:val="5C910737"/>
    <w:rsid w:val="5CA11989"/>
    <w:rsid w:val="5D584DCA"/>
    <w:rsid w:val="5D5B0294"/>
    <w:rsid w:val="5D900CE9"/>
    <w:rsid w:val="5D92680F"/>
    <w:rsid w:val="5D997B9D"/>
    <w:rsid w:val="5DDA5439"/>
    <w:rsid w:val="5E021BF1"/>
    <w:rsid w:val="5E383752"/>
    <w:rsid w:val="5E4775F9"/>
    <w:rsid w:val="5E9D3904"/>
    <w:rsid w:val="5F2142EE"/>
    <w:rsid w:val="5F697A43"/>
    <w:rsid w:val="5FB009D6"/>
    <w:rsid w:val="60172113"/>
    <w:rsid w:val="6042276E"/>
    <w:rsid w:val="60634B9E"/>
    <w:rsid w:val="606D766C"/>
    <w:rsid w:val="606F2E37"/>
    <w:rsid w:val="608B2FED"/>
    <w:rsid w:val="60CC7399"/>
    <w:rsid w:val="60CE5DB0"/>
    <w:rsid w:val="6115578D"/>
    <w:rsid w:val="61227EAA"/>
    <w:rsid w:val="61263134"/>
    <w:rsid w:val="613F6CAD"/>
    <w:rsid w:val="61425A64"/>
    <w:rsid w:val="61453FB3"/>
    <w:rsid w:val="616E7E64"/>
    <w:rsid w:val="61904D0C"/>
    <w:rsid w:val="61AE682E"/>
    <w:rsid w:val="61D92C5E"/>
    <w:rsid w:val="61F21F72"/>
    <w:rsid w:val="620C3034"/>
    <w:rsid w:val="625B7B17"/>
    <w:rsid w:val="6269142E"/>
    <w:rsid w:val="629D3C8C"/>
    <w:rsid w:val="633A3BD0"/>
    <w:rsid w:val="63972DD1"/>
    <w:rsid w:val="6415023F"/>
    <w:rsid w:val="64947310"/>
    <w:rsid w:val="64C5571C"/>
    <w:rsid w:val="64D63485"/>
    <w:rsid w:val="64F42E3A"/>
    <w:rsid w:val="65476131"/>
    <w:rsid w:val="65534D5A"/>
    <w:rsid w:val="65587EC8"/>
    <w:rsid w:val="65615E7B"/>
    <w:rsid w:val="65855276"/>
    <w:rsid w:val="65BD63F3"/>
    <w:rsid w:val="65F77B57"/>
    <w:rsid w:val="66782EA9"/>
    <w:rsid w:val="66887883"/>
    <w:rsid w:val="66C814F3"/>
    <w:rsid w:val="66D15D4D"/>
    <w:rsid w:val="66E60A07"/>
    <w:rsid w:val="67163848"/>
    <w:rsid w:val="67254250"/>
    <w:rsid w:val="673D77EB"/>
    <w:rsid w:val="679426D1"/>
    <w:rsid w:val="67CA4DF7"/>
    <w:rsid w:val="67D77C40"/>
    <w:rsid w:val="68550B65"/>
    <w:rsid w:val="68B860A6"/>
    <w:rsid w:val="68E341EC"/>
    <w:rsid w:val="694F3806"/>
    <w:rsid w:val="69A578CA"/>
    <w:rsid w:val="69CE6E20"/>
    <w:rsid w:val="69E93C5A"/>
    <w:rsid w:val="69EC619F"/>
    <w:rsid w:val="69EE1F30"/>
    <w:rsid w:val="6A4731ED"/>
    <w:rsid w:val="6A507835"/>
    <w:rsid w:val="6ACF4D1C"/>
    <w:rsid w:val="6B200D16"/>
    <w:rsid w:val="6B737C7F"/>
    <w:rsid w:val="6BD53A2F"/>
    <w:rsid w:val="6BE50451"/>
    <w:rsid w:val="6C066D46"/>
    <w:rsid w:val="6C4C04D0"/>
    <w:rsid w:val="6C6F77A9"/>
    <w:rsid w:val="6C751C44"/>
    <w:rsid w:val="6C9B7BBF"/>
    <w:rsid w:val="6CC27773"/>
    <w:rsid w:val="6D154D66"/>
    <w:rsid w:val="6D6F091A"/>
    <w:rsid w:val="6D981170"/>
    <w:rsid w:val="6DBE1582"/>
    <w:rsid w:val="6DE211D7"/>
    <w:rsid w:val="6E39349F"/>
    <w:rsid w:val="6E4A5F9F"/>
    <w:rsid w:val="6E587601"/>
    <w:rsid w:val="6EA72C59"/>
    <w:rsid w:val="6EBC7B8F"/>
    <w:rsid w:val="6EE953B1"/>
    <w:rsid w:val="6F2A2D4B"/>
    <w:rsid w:val="6F79782E"/>
    <w:rsid w:val="6F7C5426"/>
    <w:rsid w:val="6FA128E1"/>
    <w:rsid w:val="701D61EA"/>
    <w:rsid w:val="70386B81"/>
    <w:rsid w:val="7060279C"/>
    <w:rsid w:val="70F76266"/>
    <w:rsid w:val="71053BD0"/>
    <w:rsid w:val="71286D1A"/>
    <w:rsid w:val="714A76D4"/>
    <w:rsid w:val="71516C68"/>
    <w:rsid w:val="71744751"/>
    <w:rsid w:val="719646C8"/>
    <w:rsid w:val="71D46F9E"/>
    <w:rsid w:val="720C6A8D"/>
    <w:rsid w:val="721E46BD"/>
    <w:rsid w:val="727367B7"/>
    <w:rsid w:val="72A050D2"/>
    <w:rsid w:val="72B33057"/>
    <w:rsid w:val="72BB015E"/>
    <w:rsid w:val="72D07765"/>
    <w:rsid w:val="734B1181"/>
    <w:rsid w:val="7352461E"/>
    <w:rsid w:val="739369E5"/>
    <w:rsid w:val="73A6496A"/>
    <w:rsid w:val="73DB2866"/>
    <w:rsid w:val="740F1765"/>
    <w:rsid w:val="74416441"/>
    <w:rsid w:val="74F90479"/>
    <w:rsid w:val="75096F5F"/>
    <w:rsid w:val="752D14B1"/>
    <w:rsid w:val="75426C6E"/>
    <w:rsid w:val="756845CD"/>
    <w:rsid w:val="759E1D9D"/>
    <w:rsid w:val="75F75951"/>
    <w:rsid w:val="760140DA"/>
    <w:rsid w:val="76067942"/>
    <w:rsid w:val="7641097A"/>
    <w:rsid w:val="76522B87"/>
    <w:rsid w:val="765B7C8E"/>
    <w:rsid w:val="765F2777"/>
    <w:rsid w:val="76A07D97"/>
    <w:rsid w:val="76C77902"/>
    <w:rsid w:val="76D50943"/>
    <w:rsid w:val="76E62CF0"/>
    <w:rsid w:val="77167266"/>
    <w:rsid w:val="77187AFF"/>
    <w:rsid w:val="77334767"/>
    <w:rsid w:val="77701CC3"/>
    <w:rsid w:val="778E18B2"/>
    <w:rsid w:val="77D22ABF"/>
    <w:rsid w:val="77D5581E"/>
    <w:rsid w:val="77E141C3"/>
    <w:rsid w:val="77F47012"/>
    <w:rsid w:val="780A196C"/>
    <w:rsid w:val="78393FFF"/>
    <w:rsid w:val="787E5EB6"/>
    <w:rsid w:val="78983E26"/>
    <w:rsid w:val="78CE2999"/>
    <w:rsid w:val="78CF0B43"/>
    <w:rsid w:val="78EC2E1F"/>
    <w:rsid w:val="78FD0B8F"/>
    <w:rsid w:val="79314CD6"/>
    <w:rsid w:val="793B7EA5"/>
    <w:rsid w:val="7940545D"/>
    <w:rsid w:val="79641194"/>
    <w:rsid w:val="798219D5"/>
    <w:rsid w:val="799C2A97"/>
    <w:rsid w:val="7A150893"/>
    <w:rsid w:val="7A2A63CC"/>
    <w:rsid w:val="7A454EDD"/>
    <w:rsid w:val="7A543372"/>
    <w:rsid w:val="7A925C48"/>
    <w:rsid w:val="7A9E283F"/>
    <w:rsid w:val="7AA24C40"/>
    <w:rsid w:val="7AC7009C"/>
    <w:rsid w:val="7B0326A2"/>
    <w:rsid w:val="7B203504"/>
    <w:rsid w:val="7B6969A9"/>
    <w:rsid w:val="7B8E0D59"/>
    <w:rsid w:val="7BA06143"/>
    <w:rsid w:val="7BC10593"/>
    <w:rsid w:val="7BFA3AA5"/>
    <w:rsid w:val="7C4B6803"/>
    <w:rsid w:val="7C666AFE"/>
    <w:rsid w:val="7C7C2D77"/>
    <w:rsid w:val="7CCC0134"/>
    <w:rsid w:val="7CE24C65"/>
    <w:rsid w:val="7CF130FA"/>
    <w:rsid w:val="7D276B1C"/>
    <w:rsid w:val="7D2C0D03"/>
    <w:rsid w:val="7D7E4647"/>
    <w:rsid w:val="7D870FE1"/>
    <w:rsid w:val="7DAA32A9"/>
    <w:rsid w:val="7E071053"/>
    <w:rsid w:val="7E0C387C"/>
    <w:rsid w:val="7E4E1E86"/>
    <w:rsid w:val="7E9E4BBC"/>
    <w:rsid w:val="7F0326EE"/>
    <w:rsid w:val="7F231565"/>
    <w:rsid w:val="7F470832"/>
    <w:rsid w:val="7F83488F"/>
    <w:rsid w:val="7F8527B8"/>
    <w:rsid w:val="7FC8639F"/>
    <w:rsid w:val="7FD75F49"/>
    <w:rsid w:val="F9FFA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center"/>
    </w:pPr>
    <w:rPr>
      <w:rFonts w:ascii="Times New Roman" w:hAnsi="Times New Roman" w:eastAsia="宋体" w:cstheme="minorBidi"/>
      <w:kern w:val="2"/>
      <w:sz w:val="24"/>
      <w:szCs w:val="21"/>
      <w:lang w:val="en-US" w:eastAsia="zh-CN" w:bidi="ar-SA"/>
      <w14:ligatures w14:val="standardContextual"/>
    </w:rPr>
  </w:style>
  <w:style w:type="paragraph" w:styleId="2">
    <w:name w:val="heading 1"/>
    <w:basedOn w:val="1"/>
    <w:next w:val="1"/>
    <w:link w:val="54"/>
    <w:qFormat/>
    <w:uiPriority w:val="9"/>
    <w:pPr>
      <w:keepNext/>
      <w:keepLines/>
      <w:numPr>
        <w:ilvl w:val="0"/>
        <w:numId w:val="1"/>
      </w:numPr>
      <w:adjustRightInd w:val="0"/>
      <w:snapToGrid w:val="0"/>
      <w:spacing w:after="50" w:afterLines="50"/>
      <w:outlineLvl w:val="0"/>
    </w:pPr>
    <w:rPr>
      <w:b/>
      <w:bCs/>
      <w:kern w:val="44"/>
      <w:sz w:val="30"/>
      <w:szCs w:val="44"/>
    </w:rPr>
  </w:style>
  <w:style w:type="paragraph" w:styleId="3">
    <w:name w:val="heading 2"/>
    <w:basedOn w:val="1"/>
    <w:next w:val="1"/>
    <w:link w:val="53"/>
    <w:unhideWhenUsed/>
    <w:qFormat/>
    <w:uiPriority w:val="9"/>
    <w:pPr>
      <w:keepNext/>
      <w:keepLines/>
      <w:numPr>
        <w:ilvl w:val="1"/>
        <w:numId w:val="1"/>
      </w:numPr>
      <w:jc w:val="left"/>
      <w:outlineLvl w:val="1"/>
    </w:pPr>
    <w:rPr>
      <w:rFonts w:cstheme="majorBidi"/>
      <w:b/>
      <w:bCs/>
      <w:szCs w:val="32"/>
    </w:rPr>
  </w:style>
  <w:style w:type="paragraph" w:styleId="4">
    <w:name w:val="heading 3"/>
    <w:basedOn w:val="1"/>
    <w:next w:val="1"/>
    <w:link w:val="55"/>
    <w:unhideWhenUsed/>
    <w:qFormat/>
    <w:uiPriority w:val="9"/>
    <w:pPr>
      <w:keepNext/>
      <w:keepLines/>
      <w:numPr>
        <w:ilvl w:val="2"/>
        <w:numId w:val="1"/>
      </w:numPr>
      <w:snapToGrid w:val="0"/>
      <w:contextualSpacing/>
      <w:jc w:val="left"/>
      <w:outlineLvl w:val="2"/>
    </w:pPr>
    <w:rPr>
      <w:b/>
      <w:szCs w:val="32"/>
    </w:rPr>
  </w:style>
  <w:style w:type="paragraph" w:styleId="5">
    <w:name w:val="heading 4"/>
    <w:basedOn w:val="1"/>
    <w:next w:val="6"/>
    <w:link w:val="56"/>
    <w:unhideWhenUsed/>
    <w:qFormat/>
    <w:uiPriority w:val="9"/>
    <w:pPr>
      <w:keepNext/>
      <w:keepLines/>
      <w:numPr>
        <w:ilvl w:val="3"/>
        <w:numId w:val="1"/>
      </w:numPr>
      <w:jc w:val="left"/>
      <w:outlineLvl w:val="3"/>
    </w:pPr>
    <w:rPr>
      <w:rFonts w:ascii="Times New Roman" w:hAnsi="Times New Roman" w:eastAsia="宋体" w:cstheme="majorBidi"/>
      <w:b/>
      <w:bCs/>
      <w:szCs w:val="28"/>
    </w:rPr>
  </w:style>
  <w:style w:type="paragraph" w:styleId="7">
    <w:name w:val="heading 5"/>
    <w:basedOn w:val="1"/>
    <w:next w:val="1"/>
    <w:link w:val="60"/>
    <w:unhideWhenUsed/>
    <w:qFormat/>
    <w:uiPriority w:val="9"/>
    <w:pPr>
      <w:keepNext/>
      <w:keepLines/>
      <w:numPr>
        <w:ilvl w:val="4"/>
        <w:numId w:val="1"/>
      </w:numPr>
      <w:spacing w:before="50" w:beforeLines="50"/>
      <w:ind w:left="0"/>
      <w:outlineLvl w:val="4"/>
    </w:pPr>
    <w:rPr>
      <w:rFonts w:ascii="Times New Roman" w:hAnsi="Times New Roman" w:eastAsia="宋体"/>
      <w:b/>
      <w:szCs w:val="28"/>
    </w:rPr>
  </w:style>
  <w:style w:type="paragraph" w:styleId="8">
    <w:name w:val="heading 6"/>
    <w:basedOn w:val="1"/>
    <w:next w:val="1"/>
    <w:link w:val="69"/>
    <w:unhideWhenUsed/>
    <w:qFormat/>
    <w:uiPriority w:val="9"/>
    <w:pPr>
      <w:keepNext/>
      <w:keepLines/>
      <w:numPr>
        <w:ilvl w:val="5"/>
        <w:numId w:val="1"/>
      </w:numPr>
      <w:outlineLvl w:val="5"/>
    </w:pPr>
    <w:rPr>
      <w:rFonts w:cstheme="majorBidi"/>
      <w:b/>
      <w:bCs/>
      <w:szCs w:val="24"/>
    </w:rPr>
  </w:style>
  <w:style w:type="paragraph" w:styleId="9">
    <w:name w:val="heading 7"/>
    <w:basedOn w:val="1"/>
    <w:next w:val="1"/>
    <w:link w:val="70"/>
    <w:unhideWhenUsed/>
    <w:qFormat/>
    <w:uiPriority w:val="9"/>
    <w:pPr>
      <w:keepNext/>
      <w:keepLines/>
      <w:numPr>
        <w:ilvl w:val="6"/>
        <w:numId w:val="1"/>
      </w:numPr>
      <w:spacing w:before="240" w:after="64" w:line="320" w:lineRule="auto"/>
      <w:outlineLvl w:val="6"/>
    </w:pPr>
    <w:rPr>
      <w:b/>
      <w:bCs/>
      <w:szCs w:val="24"/>
    </w:rPr>
  </w:style>
  <w:style w:type="paragraph" w:styleId="10">
    <w:name w:val="heading 8"/>
    <w:basedOn w:val="1"/>
    <w:next w:val="1"/>
    <w:link w:val="71"/>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link w:val="72"/>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6">
    <w:name w:val="zh正文"/>
    <w:basedOn w:val="1"/>
    <w:link w:val="58"/>
    <w:qFormat/>
    <w:uiPriority w:val="0"/>
    <w:pPr>
      <w:spacing w:line="460" w:lineRule="exact"/>
      <w:ind w:firstLine="480" w:firstLineChars="200"/>
      <w:jc w:val="both"/>
    </w:pPr>
  </w:style>
  <w:style w:type="paragraph" w:styleId="12">
    <w:name w:val="toc 7"/>
    <w:basedOn w:val="1"/>
    <w:next w:val="1"/>
    <w:autoRedefine/>
    <w:unhideWhenUsed/>
    <w:qFormat/>
    <w:uiPriority w:val="39"/>
    <w:pPr>
      <w:spacing w:after="160" w:line="278" w:lineRule="auto"/>
      <w:ind w:left="2520" w:leftChars="1200"/>
      <w:jc w:val="left"/>
    </w:pPr>
    <w:rPr>
      <w:rFonts w:asciiTheme="minorHAnsi" w:hAnsiTheme="minorHAnsi" w:eastAsiaTheme="minorEastAsia"/>
      <w:sz w:val="22"/>
      <w:szCs w:val="24"/>
    </w:rPr>
  </w:style>
  <w:style w:type="paragraph" w:styleId="13">
    <w:name w:val="Note Heading"/>
    <w:basedOn w:val="1"/>
    <w:next w:val="1"/>
    <w:link w:val="140"/>
    <w:qFormat/>
    <w:uiPriority w:val="0"/>
    <w:pPr>
      <w:spacing w:line="240" w:lineRule="auto"/>
    </w:pPr>
    <w:rPr>
      <w:rFonts w:cs="宋体"/>
      <w:b/>
      <w:sz w:val="21"/>
      <w:szCs w:val="24"/>
      <w14:ligatures w14:val="none"/>
    </w:rPr>
  </w:style>
  <w:style w:type="paragraph" w:styleId="14">
    <w:name w:val="List Number"/>
    <w:basedOn w:val="1"/>
    <w:qFormat/>
    <w:uiPriority w:val="0"/>
    <w:pPr>
      <w:numPr>
        <w:ilvl w:val="0"/>
        <w:numId w:val="2"/>
      </w:numPr>
      <w:tabs>
        <w:tab w:val="left" w:pos="833"/>
      </w:tabs>
      <w:adjustRightInd w:val="0"/>
      <w:snapToGrid w:val="0"/>
      <w:spacing w:beforeLines="10" w:line="460" w:lineRule="exact"/>
      <w:ind w:firstLine="200" w:firstLineChars="200"/>
      <w:jc w:val="both"/>
    </w:pPr>
    <w:rPr>
      <w:rFonts w:cs="Times New Roman"/>
      <w:snapToGrid w:val="0"/>
      <w:kern w:val="0"/>
      <w:szCs w:val="24"/>
      <w:lang w:val="zh-CN"/>
      <w14:ligatures w14:val="none"/>
    </w:rPr>
  </w:style>
  <w:style w:type="paragraph" w:styleId="15">
    <w:name w:val="Normal Indent"/>
    <w:basedOn w:val="1"/>
    <w:qFormat/>
    <w:uiPriority w:val="0"/>
    <w:pPr>
      <w:ind w:firstLine="420" w:firstLineChars="200"/>
    </w:pPr>
    <w:rPr>
      <w:rFonts w:ascii="Times New Roman" w:hAnsi="Times New Roman" w:eastAsia="宋体" w:cs="Times New Roman"/>
    </w:rPr>
  </w:style>
  <w:style w:type="paragraph" w:styleId="16">
    <w:name w:val="caption"/>
    <w:basedOn w:val="1"/>
    <w:next w:val="1"/>
    <w:qFormat/>
    <w:uiPriority w:val="0"/>
    <w:pPr>
      <w:widowControl/>
      <w:spacing w:before="152" w:after="160"/>
    </w:pPr>
    <w:rPr>
      <w:rFonts w:ascii="Arial" w:hAnsi="Arial" w:eastAsia="黑体" w:cs="Arial"/>
      <w:kern w:val="0"/>
      <w:sz w:val="20"/>
      <w:szCs w:val="20"/>
    </w:rPr>
  </w:style>
  <w:style w:type="paragraph" w:styleId="17">
    <w:name w:val="List Bullet"/>
    <w:basedOn w:val="1"/>
    <w:unhideWhenUsed/>
    <w:qFormat/>
    <w:uiPriority w:val="99"/>
    <w:pPr>
      <w:numPr>
        <w:ilvl w:val="0"/>
        <w:numId w:val="3"/>
      </w:numPr>
      <w:contextualSpacing/>
    </w:pPr>
  </w:style>
  <w:style w:type="paragraph" w:styleId="18">
    <w:name w:val="annotation text"/>
    <w:basedOn w:val="1"/>
    <w:link w:val="89"/>
    <w:unhideWhenUsed/>
    <w:qFormat/>
    <w:uiPriority w:val="0"/>
    <w:pPr>
      <w:adjustRightInd w:val="0"/>
      <w:snapToGrid w:val="0"/>
      <w:spacing w:line="460" w:lineRule="exact"/>
      <w:ind w:firstLine="520" w:firstLineChars="200"/>
      <w:jc w:val="left"/>
    </w:pPr>
    <w:rPr>
      <w:rFonts w:cs="Times New Roman"/>
      <w:sz w:val="26"/>
      <w:szCs w:val="22"/>
      <w:lang w:val="zh-CN"/>
      <w14:ligatures w14:val="none"/>
    </w:rPr>
  </w:style>
  <w:style w:type="paragraph" w:styleId="19">
    <w:name w:val="Salutation"/>
    <w:basedOn w:val="1"/>
    <w:next w:val="1"/>
    <w:unhideWhenUsed/>
    <w:qFormat/>
    <w:uiPriority w:val="99"/>
  </w:style>
  <w:style w:type="paragraph" w:styleId="20">
    <w:name w:val="Closing"/>
    <w:basedOn w:val="1"/>
    <w:link w:val="104"/>
    <w:qFormat/>
    <w:uiPriority w:val="0"/>
    <w:pPr>
      <w:widowControl/>
      <w:spacing w:line="460" w:lineRule="exact"/>
      <w:ind w:left="100" w:leftChars="2100" w:firstLine="480" w:firstLineChars="200"/>
      <w:jc w:val="both"/>
    </w:pPr>
    <w:rPr>
      <w:rFonts w:cs="Times New Roman"/>
      <w:snapToGrid w:val="0"/>
      <w:szCs w:val="26"/>
      <w14:ligatures w14:val="none"/>
    </w:rPr>
  </w:style>
  <w:style w:type="paragraph" w:styleId="21">
    <w:name w:val="Body Text"/>
    <w:basedOn w:val="1"/>
    <w:next w:val="1"/>
    <w:qFormat/>
    <w:uiPriority w:val="0"/>
    <w:pPr>
      <w:widowControl/>
      <w:snapToGrid w:val="0"/>
      <w:spacing w:before="60" w:after="160" w:line="259" w:lineRule="auto"/>
      <w:ind w:right="113"/>
    </w:pPr>
    <w:rPr>
      <w:kern w:val="0"/>
      <w:sz w:val="18"/>
      <w:szCs w:val="18"/>
    </w:rPr>
  </w:style>
  <w:style w:type="paragraph" w:styleId="22">
    <w:name w:val="Body Text Indent"/>
    <w:basedOn w:val="1"/>
    <w:semiHidden/>
    <w:qFormat/>
    <w:uiPriority w:val="0"/>
    <w:pPr>
      <w:spacing w:after="120"/>
      <w:ind w:left="420" w:leftChars="200"/>
    </w:pPr>
  </w:style>
  <w:style w:type="paragraph" w:styleId="23">
    <w:name w:val="toc 5"/>
    <w:basedOn w:val="1"/>
    <w:next w:val="1"/>
    <w:autoRedefine/>
    <w:unhideWhenUsed/>
    <w:qFormat/>
    <w:uiPriority w:val="39"/>
    <w:pPr>
      <w:spacing w:after="160" w:line="278" w:lineRule="auto"/>
      <w:ind w:left="1680" w:leftChars="800"/>
      <w:jc w:val="left"/>
    </w:pPr>
    <w:rPr>
      <w:rFonts w:asciiTheme="minorHAnsi" w:hAnsiTheme="minorHAnsi" w:eastAsiaTheme="minorEastAsia"/>
      <w:sz w:val="22"/>
      <w:szCs w:val="24"/>
    </w:rPr>
  </w:style>
  <w:style w:type="paragraph" w:styleId="24">
    <w:name w:val="toc 3"/>
    <w:basedOn w:val="1"/>
    <w:next w:val="1"/>
    <w:autoRedefine/>
    <w:unhideWhenUsed/>
    <w:qFormat/>
    <w:uiPriority w:val="39"/>
    <w:pPr>
      <w:ind w:left="840" w:leftChars="400"/>
    </w:pPr>
  </w:style>
  <w:style w:type="paragraph" w:styleId="25">
    <w:name w:val="Plain Text"/>
    <w:basedOn w:val="1"/>
    <w:link w:val="93"/>
    <w:qFormat/>
    <w:uiPriority w:val="0"/>
    <w:pPr>
      <w:spacing w:line="240" w:lineRule="auto"/>
      <w:jc w:val="both"/>
    </w:pPr>
    <w:rPr>
      <w:rFonts w:ascii="宋体" w:hAnsi="Courier New" w:cs="Times New Roman"/>
      <w:sz w:val="21"/>
      <w:lang w:val="zh-CN"/>
      <w14:ligatures w14:val="none"/>
    </w:rPr>
  </w:style>
  <w:style w:type="paragraph" w:styleId="26">
    <w:name w:val="List Bullet 5"/>
    <w:basedOn w:val="1"/>
    <w:semiHidden/>
    <w:unhideWhenUsed/>
    <w:qFormat/>
    <w:uiPriority w:val="99"/>
    <w:pPr>
      <w:numPr>
        <w:ilvl w:val="0"/>
        <w:numId w:val="4"/>
      </w:numPr>
    </w:pPr>
  </w:style>
  <w:style w:type="paragraph" w:styleId="27">
    <w:name w:val="toc 8"/>
    <w:basedOn w:val="1"/>
    <w:next w:val="1"/>
    <w:autoRedefine/>
    <w:unhideWhenUsed/>
    <w:qFormat/>
    <w:uiPriority w:val="39"/>
    <w:pPr>
      <w:spacing w:after="160" w:line="278" w:lineRule="auto"/>
      <w:ind w:left="2940" w:leftChars="1400"/>
      <w:jc w:val="left"/>
    </w:pPr>
    <w:rPr>
      <w:rFonts w:asciiTheme="minorHAnsi" w:hAnsiTheme="minorHAnsi" w:eastAsiaTheme="minorEastAsia"/>
      <w:sz w:val="22"/>
      <w:szCs w:val="24"/>
    </w:rPr>
  </w:style>
  <w:style w:type="paragraph" w:styleId="28">
    <w:name w:val="Balloon Text"/>
    <w:basedOn w:val="1"/>
    <w:semiHidden/>
    <w:qFormat/>
    <w:uiPriority w:val="0"/>
    <w:rPr>
      <w:sz w:val="18"/>
      <w:szCs w:val="18"/>
    </w:rPr>
  </w:style>
  <w:style w:type="paragraph" w:styleId="29">
    <w:name w:val="footer"/>
    <w:basedOn w:val="1"/>
    <w:link w:val="88"/>
    <w:unhideWhenUsed/>
    <w:qFormat/>
    <w:uiPriority w:val="99"/>
    <w:pPr>
      <w:tabs>
        <w:tab w:val="center" w:pos="4153"/>
        <w:tab w:val="right" w:pos="8306"/>
      </w:tabs>
      <w:snapToGrid w:val="0"/>
      <w:spacing w:line="240" w:lineRule="atLeast"/>
      <w:jc w:val="left"/>
    </w:pPr>
    <w:rPr>
      <w:sz w:val="18"/>
      <w:szCs w:val="18"/>
    </w:rPr>
  </w:style>
  <w:style w:type="paragraph" w:styleId="30">
    <w:name w:val="header"/>
    <w:basedOn w:val="1"/>
    <w:link w:val="87"/>
    <w:unhideWhenUsed/>
    <w:qFormat/>
    <w:uiPriority w:val="99"/>
    <w:pPr>
      <w:tabs>
        <w:tab w:val="center" w:pos="4153"/>
        <w:tab w:val="right" w:pos="8306"/>
      </w:tabs>
      <w:snapToGrid w:val="0"/>
      <w:spacing w:line="240" w:lineRule="atLeast"/>
    </w:pPr>
    <w:rPr>
      <w:sz w:val="18"/>
      <w:szCs w:val="18"/>
    </w:rPr>
  </w:style>
  <w:style w:type="paragraph" w:styleId="31">
    <w:name w:val="toc 1"/>
    <w:basedOn w:val="1"/>
    <w:next w:val="1"/>
    <w:link w:val="174"/>
    <w:autoRedefine/>
    <w:unhideWhenUsed/>
    <w:qFormat/>
    <w:uiPriority w:val="39"/>
    <w:pPr>
      <w:tabs>
        <w:tab w:val="right" w:leader="dot" w:pos="9060"/>
      </w:tabs>
    </w:pPr>
    <w:rPr>
      <w:b/>
      <w:bCs/>
      <w:snapToGrid w:val="0"/>
    </w:rPr>
  </w:style>
  <w:style w:type="paragraph" w:styleId="32">
    <w:name w:val="toc 4"/>
    <w:basedOn w:val="1"/>
    <w:next w:val="1"/>
    <w:autoRedefine/>
    <w:unhideWhenUsed/>
    <w:qFormat/>
    <w:uiPriority w:val="39"/>
    <w:pPr>
      <w:spacing w:after="160" w:line="278" w:lineRule="auto"/>
      <w:ind w:left="1260" w:leftChars="600"/>
      <w:jc w:val="left"/>
    </w:pPr>
    <w:rPr>
      <w:rFonts w:asciiTheme="minorHAnsi" w:hAnsiTheme="minorHAnsi" w:eastAsiaTheme="minorEastAsia"/>
      <w:sz w:val="22"/>
      <w:szCs w:val="24"/>
    </w:rPr>
  </w:style>
  <w:style w:type="paragraph" w:styleId="33">
    <w:name w:val="Subtitle"/>
    <w:basedOn w:val="1"/>
    <w:next w:val="1"/>
    <w:link w:val="74"/>
    <w:qFormat/>
    <w:uiPriority w:val="11"/>
    <w:pPr>
      <w:spacing w:before="240" w:after="60" w:line="312" w:lineRule="atLeast"/>
      <w:outlineLvl w:val="1"/>
    </w:pPr>
    <w:rPr>
      <w:b/>
      <w:bCs/>
      <w:kern w:val="28"/>
      <w:sz w:val="32"/>
      <w:szCs w:val="32"/>
    </w:rPr>
  </w:style>
  <w:style w:type="paragraph" w:styleId="34">
    <w:name w:val="toc 6"/>
    <w:basedOn w:val="1"/>
    <w:next w:val="1"/>
    <w:autoRedefine/>
    <w:unhideWhenUsed/>
    <w:qFormat/>
    <w:uiPriority w:val="39"/>
    <w:pPr>
      <w:spacing w:after="160" w:line="278" w:lineRule="auto"/>
      <w:ind w:left="2100" w:leftChars="1000"/>
      <w:jc w:val="left"/>
    </w:pPr>
    <w:rPr>
      <w:rFonts w:asciiTheme="minorHAnsi" w:hAnsiTheme="minorHAnsi" w:eastAsiaTheme="minorEastAsia"/>
      <w:sz w:val="22"/>
      <w:szCs w:val="24"/>
    </w:rPr>
  </w:style>
  <w:style w:type="paragraph" w:styleId="35">
    <w:name w:val="index 9"/>
    <w:basedOn w:val="1"/>
    <w:next w:val="1"/>
    <w:semiHidden/>
    <w:qFormat/>
    <w:uiPriority w:val="0"/>
    <w:pPr>
      <w:spacing w:line="300" w:lineRule="auto"/>
      <w:ind w:left="1600" w:leftChars="1600"/>
      <w:jc w:val="both"/>
    </w:pPr>
    <w:rPr>
      <w:rFonts w:ascii="Arial Narrow" w:hAnsi="Arial Narrow" w:eastAsia="仿宋_GB2312" w:cs="Times New Roman"/>
      <w:szCs w:val="24"/>
      <w14:ligatures w14:val="none"/>
    </w:rPr>
  </w:style>
  <w:style w:type="paragraph" w:styleId="36">
    <w:name w:val="table of figures"/>
    <w:basedOn w:val="1"/>
    <w:next w:val="1"/>
    <w:unhideWhenUsed/>
    <w:qFormat/>
    <w:uiPriority w:val="0"/>
    <w:pPr>
      <w:spacing w:line="360" w:lineRule="auto"/>
      <w:ind w:left="720" w:hanging="720"/>
    </w:pPr>
    <w:rPr>
      <w:rFonts w:eastAsia="黑体"/>
      <w:smallCaps/>
      <w:sz w:val="20"/>
    </w:rPr>
  </w:style>
  <w:style w:type="paragraph" w:styleId="37">
    <w:name w:val="toc 2"/>
    <w:basedOn w:val="1"/>
    <w:next w:val="1"/>
    <w:autoRedefine/>
    <w:unhideWhenUsed/>
    <w:qFormat/>
    <w:uiPriority w:val="39"/>
    <w:pPr>
      <w:ind w:left="420" w:leftChars="200"/>
    </w:pPr>
  </w:style>
  <w:style w:type="paragraph" w:styleId="38">
    <w:name w:val="toc 9"/>
    <w:basedOn w:val="1"/>
    <w:next w:val="1"/>
    <w:autoRedefine/>
    <w:unhideWhenUsed/>
    <w:qFormat/>
    <w:uiPriority w:val="39"/>
    <w:pPr>
      <w:spacing w:after="160" w:line="278" w:lineRule="auto"/>
      <w:ind w:left="3360" w:leftChars="1600"/>
      <w:jc w:val="left"/>
    </w:pPr>
    <w:rPr>
      <w:rFonts w:asciiTheme="minorHAnsi" w:hAnsiTheme="minorHAnsi" w:eastAsiaTheme="minorEastAsia"/>
      <w:sz w:val="22"/>
      <w:szCs w:val="24"/>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hAnsi="宋体" w:eastAsia="宋体" w:cs="宋体"/>
      <w:sz w:val="24"/>
    </w:rPr>
  </w:style>
  <w:style w:type="paragraph" w:styleId="40">
    <w:name w:val="Normal (Web)"/>
    <w:basedOn w:val="1"/>
    <w:next w:val="27"/>
    <w:link w:val="141"/>
    <w:qFormat/>
    <w:uiPriority w:val="99"/>
    <w:pPr>
      <w:widowControl/>
      <w:spacing w:beforeAutospacing="1" w:after="100" w:afterAutospacing="1" w:line="240" w:lineRule="auto"/>
      <w:jc w:val="left"/>
    </w:pPr>
    <w:rPr>
      <w:rFonts w:ascii="宋体" w:hAnsi="宋体" w:cs="Times New Roman"/>
      <w:kern w:val="0"/>
      <w:szCs w:val="24"/>
      <w:lang w:val="zh-CN"/>
      <w14:ligatures w14:val="none"/>
    </w:rPr>
  </w:style>
  <w:style w:type="paragraph" w:styleId="41">
    <w:name w:val="Title"/>
    <w:basedOn w:val="4"/>
    <w:next w:val="1"/>
    <w:link w:val="57"/>
    <w:qFormat/>
    <w:uiPriority w:val="0"/>
    <w:pPr>
      <w:spacing w:before="240" w:after="60"/>
      <w:outlineLvl w:val="0"/>
    </w:pPr>
    <w:rPr>
      <w:rFonts w:asciiTheme="majorHAnsi" w:hAnsiTheme="majorHAnsi" w:eastAsiaTheme="majorEastAsia" w:cstheme="majorBidi"/>
      <w:bCs/>
      <w:sz w:val="32"/>
      <w:szCs w:val="32"/>
    </w:rPr>
  </w:style>
  <w:style w:type="paragraph" w:styleId="42">
    <w:name w:val="annotation subject"/>
    <w:basedOn w:val="18"/>
    <w:next w:val="18"/>
    <w:link w:val="94"/>
    <w:semiHidden/>
    <w:unhideWhenUsed/>
    <w:qFormat/>
    <w:uiPriority w:val="99"/>
    <w:pPr>
      <w:adjustRightInd/>
      <w:snapToGrid/>
      <w:spacing w:line="400" w:lineRule="exact"/>
      <w:ind w:firstLine="0" w:firstLineChars="0"/>
    </w:pPr>
    <w:rPr>
      <w:rFonts w:cstheme="minorBidi"/>
      <w:b/>
      <w:bCs/>
      <w:sz w:val="24"/>
      <w:szCs w:val="21"/>
      <w:lang w:val="en-US"/>
      <w14:ligatures w14:val="standardContextual"/>
    </w:rPr>
  </w:style>
  <w:style w:type="paragraph" w:styleId="43">
    <w:name w:val="Body Text First Indent"/>
    <w:basedOn w:val="21"/>
    <w:next w:val="1"/>
    <w:qFormat/>
    <w:uiPriority w:val="0"/>
    <w:pPr>
      <w:spacing w:after="120" w:afterLines="0" w:line="240" w:lineRule="auto"/>
      <w:ind w:firstLine="420" w:firstLineChars="100"/>
    </w:pPr>
    <w:rPr>
      <w:rFonts w:ascii="Times New Roman" w:hAnsi="Times New Roman"/>
      <w:sz w:val="21"/>
    </w:rPr>
  </w:style>
  <w:style w:type="paragraph" w:styleId="44">
    <w:name w:val="Body Text First Indent 2"/>
    <w:basedOn w:val="22"/>
    <w:qFormat/>
    <w:uiPriority w:val="0"/>
    <w:pPr>
      <w:adjustRightInd w:val="0"/>
      <w:snapToGrid w:val="0"/>
      <w:ind w:left="0" w:leftChars="0" w:firstLine="640" w:firstLineChars="200"/>
    </w:pPr>
    <w:rPr>
      <w:rFonts w:ascii="Times New Roman" w:hAnsi="Times New Roman" w:cs="Times New Roman"/>
      <w:szCs w:val="22"/>
    </w:rPr>
  </w:style>
  <w:style w:type="table" w:styleId="46">
    <w:name w:val="Table Grid"/>
    <w:basedOn w:val="45"/>
    <w:qFormat/>
    <w:uiPriority w:val="39"/>
    <w:pPr>
      <w:jc w:val="center"/>
    </w:pPr>
    <w:rPr>
      <w:rFonts w:ascii="Times New Roman" w:hAnsi="Times New Roman" w:eastAsia="宋体"/>
    </w:rPr>
    <w:tblPr>
      <w:tblBorders>
        <w:top w:val="single" w:color="auto" w:sz="12" w:space="0"/>
        <w:bottom w:val="single" w:color="auto" w:sz="12" w:space="0"/>
        <w:insideH w:val="single" w:color="auto" w:sz="4" w:space="0"/>
        <w:insideV w:val="single" w:color="auto" w:sz="4" w:space="0"/>
      </w:tblBorders>
    </w:tblPr>
    <w:tcPr>
      <w:vAlign w:val="center"/>
    </w:tcPr>
  </w:style>
  <w:style w:type="character" w:styleId="48">
    <w:name w:val="Strong"/>
    <w:basedOn w:val="49"/>
    <w:qFormat/>
    <w:uiPriority w:val="22"/>
    <w:rPr>
      <w:rFonts w:ascii="Times New Roman" w:hAnsi="Times New Roman" w:eastAsia="宋体"/>
      <w:b/>
      <w:sz w:val="21"/>
      <w:szCs w:val="21"/>
    </w:rPr>
  </w:style>
  <w:style w:type="character" w:styleId="49">
    <w:name w:val="annotation reference"/>
    <w:basedOn w:val="47"/>
    <w:unhideWhenUsed/>
    <w:qFormat/>
    <w:uiPriority w:val="0"/>
    <w:rPr>
      <w:sz w:val="21"/>
      <w:szCs w:val="21"/>
    </w:rPr>
  </w:style>
  <w:style w:type="character" w:styleId="50">
    <w:name w:val="FollowedHyperlink"/>
    <w:basedOn w:val="47"/>
    <w:semiHidden/>
    <w:unhideWhenUsed/>
    <w:qFormat/>
    <w:uiPriority w:val="99"/>
    <w:rPr>
      <w:color w:val="800080"/>
      <w:u w:val="single"/>
    </w:rPr>
  </w:style>
  <w:style w:type="character" w:styleId="51">
    <w:name w:val="Emphasis"/>
    <w:basedOn w:val="47"/>
    <w:qFormat/>
    <w:uiPriority w:val="20"/>
    <w:rPr>
      <w:i/>
      <w:iCs/>
    </w:rPr>
  </w:style>
  <w:style w:type="character" w:styleId="52">
    <w:name w:val="Hyperlink"/>
    <w:basedOn w:val="47"/>
    <w:unhideWhenUsed/>
    <w:qFormat/>
    <w:uiPriority w:val="99"/>
    <w:rPr>
      <w:color w:val="0563C1" w:themeColor="hyperlink"/>
      <w:u w:val="single"/>
      <w14:textFill>
        <w14:solidFill>
          <w14:schemeClr w14:val="hlink"/>
        </w14:solidFill>
      </w14:textFill>
    </w:rPr>
  </w:style>
  <w:style w:type="character" w:customStyle="1" w:styleId="53">
    <w:name w:val="标题 2 字符"/>
    <w:basedOn w:val="47"/>
    <w:link w:val="3"/>
    <w:qFormat/>
    <w:uiPriority w:val="9"/>
    <w:rPr>
      <w:rFonts w:ascii="Times New Roman" w:hAnsi="Times New Roman" w:eastAsia="宋体" w:cstheme="majorBidi"/>
      <w:b/>
      <w:bCs/>
      <w:sz w:val="24"/>
      <w:szCs w:val="32"/>
    </w:rPr>
  </w:style>
  <w:style w:type="character" w:customStyle="1" w:styleId="54">
    <w:name w:val="标题 1 字符"/>
    <w:basedOn w:val="47"/>
    <w:link w:val="2"/>
    <w:qFormat/>
    <w:uiPriority w:val="0"/>
    <w:rPr>
      <w:rFonts w:ascii="Times New Roman" w:hAnsi="Times New Roman" w:eastAsia="宋体"/>
      <w:b/>
      <w:bCs/>
      <w:kern w:val="44"/>
      <w:sz w:val="30"/>
      <w:szCs w:val="44"/>
      <w14:ligatures w14:val="standardContextual"/>
    </w:rPr>
  </w:style>
  <w:style w:type="character" w:customStyle="1" w:styleId="55">
    <w:name w:val="标题 3 字符"/>
    <w:basedOn w:val="47"/>
    <w:link w:val="4"/>
    <w:qFormat/>
    <w:uiPriority w:val="0"/>
    <w:rPr>
      <w:rFonts w:ascii="Times New Roman" w:hAnsi="Times New Roman" w:eastAsia="宋体"/>
      <w:b/>
      <w:sz w:val="24"/>
      <w:szCs w:val="32"/>
    </w:rPr>
  </w:style>
  <w:style w:type="character" w:customStyle="1" w:styleId="56">
    <w:name w:val="标题 4 字符"/>
    <w:basedOn w:val="47"/>
    <w:link w:val="5"/>
    <w:qFormat/>
    <w:uiPriority w:val="0"/>
    <w:rPr>
      <w:rFonts w:ascii="Times New Roman" w:hAnsi="Times New Roman" w:eastAsia="宋体" w:cstheme="majorBidi"/>
      <w:b/>
      <w:bCs/>
      <w:kern w:val="2"/>
      <w:sz w:val="24"/>
      <w:szCs w:val="28"/>
      <w14:ligatures w14:val="standardContextual"/>
    </w:rPr>
  </w:style>
  <w:style w:type="character" w:customStyle="1" w:styleId="57">
    <w:name w:val="标题 字符"/>
    <w:basedOn w:val="47"/>
    <w:link w:val="41"/>
    <w:qFormat/>
    <w:uiPriority w:val="0"/>
    <w:rPr>
      <w:rFonts w:asciiTheme="majorHAnsi" w:hAnsiTheme="majorHAnsi" w:eastAsiaTheme="majorEastAsia" w:cstheme="majorBidi"/>
      <w:b/>
      <w:bCs/>
      <w:sz w:val="32"/>
      <w:szCs w:val="32"/>
    </w:rPr>
  </w:style>
  <w:style w:type="character" w:customStyle="1" w:styleId="58">
    <w:name w:val="zh正文 字符"/>
    <w:basedOn w:val="47"/>
    <w:link w:val="6"/>
    <w:qFormat/>
    <w:uiPriority w:val="0"/>
    <w:rPr>
      <w:rFonts w:ascii="Times New Roman" w:hAnsi="Times New Roman" w:eastAsia="宋体"/>
      <w:kern w:val="2"/>
      <w:sz w:val="24"/>
      <w:szCs w:val="21"/>
      <w14:ligatures w14:val="standardContextual"/>
    </w:rPr>
  </w:style>
  <w:style w:type="paragraph" w:customStyle="1" w:styleId="59">
    <w:name w:val="ZH表格样式"/>
    <w:basedOn w:val="1"/>
    <w:next w:val="6"/>
    <w:qFormat/>
    <w:uiPriority w:val="0"/>
    <w:pPr>
      <w:spacing w:line="300" w:lineRule="exact"/>
    </w:pPr>
    <w:rPr>
      <w:rFonts w:hint="eastAsia"/>
      <w:sz w:val="21"/>
    </w:rPr>
  </w:style>
  <w:style w:type="character" w:customStyle="1" w:styleId="60">
    <w:name w:val="标题 5 字符"/>
    <w:basedOn w:val="47"/>
    <w:link w:val="7"/>
    <w:qFormat/>
    <w:uiPriority w:val="9"/>
    <w:rPr>
      <w:rFonts w:ascii="Times New Roman" w:hAnsi="Times New Roman" w:eastAsia="宋体"/>
      <w:b/>
      <w:sz w:val="24"/>
      <w:szCs w:val="28"/>
    </w:rPr>
  </w:style>
  <w:style w:type="paragraph" w:customStyle="1" w:styleId="61">
    <w:name w:val="xl27"/>
    <w:basedOn w:val="1"/>
    <w:qFormat/>
    <w:uiPriority w:val="0"/>
    <w:pPr>
      <w:widowControl/>
      <w:spacing w:before="100" w:after="100"/>
      <w:jc w:val="center"/>
      <w:textAlignment w:val="center"/>
    </w:pPr>
    <w:rPr>
      <w:rFonts w:ascii="宋体" w:hAnsi="宋体"/>
      <w:kern w:val="0"/>
      <w:sz w:val="24"/>
      <w:szCs w:val="20"/>
    </w:rPr>
  </w:style>
  <w:style w:type="character" w:customStyle="1" w:styleId="62">
    <w:name w:val="Intense Emphasis"/>
    <w:basedOn w:val="47"/>
    <w:qFormat/>
    <w:uiPriority w:val="21"/>
    <w:rPr>
      <w:i/>
      <w:iCs/>
      <w:color w:val="4472C4" w:themeColor="accent1"/>
      <w14:textFill>
        <w14:solidFill>
          <w14:schemeClr w14:val="accent1"/>
        </w14:solidFill>
      </w14:textFill>
    </w:rPr>
  </w:style>
  <w:style w:type="paragraph" w:customStyle="1" w:styleId="63">
    <w:name w:val="正文13"/>
    <w:basedOn w:val="1"/>
    <w:link w:val="64"/>
    <w:qFormat/>
    <w:uiPriority w:val="0"/>
    <w:pPr>
      <w:adjustRightInd w:val="0"/>
      <w:snapToGrid w:val="0"/>
      <w:spacing w:line="460" w:lineRule="exact"/>
      <w:ind w:firstLine="520" w:firstLineChars="200"/>
      <w:jc w:val="both"/>
    </w:pPr>
    <w:rPr>
      <w:rFonts w:cs="Times New Roman"/>
      <w:sz w:val="26"/>
      <w:szCs w:val="26"/>
      <w14:ligatures w14:val="none"/>
    </w:rPr>
  </w:style>
  <w:style w:type="character" w:customStyle="1" w:styleId="64">
    <w:name w:val="正文13 Char"/>
    <w:basedOn w:val="47"/>
    <w:link w:val="63"/>
    <w:qFormat/>
    <w:uiPriority w:val="0"/>
    <w:rPr>
      <w:rFonts w:ascii="Times New Roman" w:hAnsi="Times New Roman" w:eastAsia="宋体" w:cs="Times New Roman"/>
      <w:kern w:val="2"/>
      <w:sz w:val="26"/>
      <w:szCs w:val="26"/>
    </w:rPr>
  </w:style>
  <w:style w:type="table" w:customStyle="1" w:styleId="65">
    <w:name w:val="Table Normal"/>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character" w:customStyle="1" w:styleId="66">
    <w:name w:val="（3.11表）表格11 字符"/>
    <w:link w:val="67"/>
    <w:qFormat/>
    <w:uiPriority w:val="0"/>
    <w:rPr>
      <w:rFonts w:ascii="Times New Roman" w:hAnsi="Times New Roman"/>
      <w:color w:val="FF0000"/>
      <w:kern w:val="2"/>
      <w:sz w:val="22"/>
      <w:szCs w:val="22"/>
    </w:rPr>
  </w:style>
  <w:style w:type="paragraph" w:customStyle="1" w:styleId="67">
    <w:name w:val="（3.11表）表格11"/>
    <w:basedOn w:val="1"/>
    <w:link w:val="66"/>
    <w:qFormat/>
    <w:uiPriority w:val="0"/>
    <w:pPr>
      <w:adjustRightInd w:val="0"/>
      <w:snapToGrid w:val="0"/>
      <w:spacing w:line="240" w:lineRule="auto"/>
    </w:pPr>
    <w:rPr>
      <w:rFonts w:eastAsiaTheme="minorEastAsia"/>
      <w:color w:val="FF0000"/>
      <w:sz w:val="22"/>
      <w:szCs w:val="22"/>
      <w14:ligatures w14:val="none"/>
    </w:rPr>
  </w:style>
  <w:style w:type="paragraph" w:customStyle="1" w:styleId="68">
    <w:name w:val="样式1"/>
    <w:basedOn w:val="1"/>
    <w:link w:val="85"/>
    <w:qFormat/>
    <w:uiPriority w:val="0"/>
    <w:pPr>
      <w:adjustRightInd w:val="0"/>
      <w:snapToGrid w:val="0"/>
      <w:spacing w:line="460" w:lineRule="exact"/>
      <w:ind w:firstLine="520" w:firstLineChars="200"/>
      <w:jc w:val="both"/>
    </w:pPr>
    <w:rPr>
      <w:rFonts w:cs="Times New Roman"/>
      <w:color w:val="000000" w:themeColor="text1"/>
      <w:sz w:val="26"/>
      <w:szCs w:val="26"/>
      <w14:textFill>
        <w14:solidFill>
          <w14:schemeClr w14:val="tx1"/>
        </w14:solidFill>
      </w14:textFill>
      <w14:ligatures w14:val="none"/>
    </w:rPr>
  </w:style>
  <w:style w:type="character" w:customStyle="1" w:styleId="69">
    <w:name w:val="标题 6 字符"/>
    <w:basedOn w:val="47"/>
    <w:link w:val="8"/>
    <w:qFormat/>
    <w:uiPriority w:val="9"/>
    <w:rPr>
      <w:rFonts w:ascii="Times New Roman" w:hAnsi="Times New Roman" w:eastAsia="宋体" w:cstheme="majorBidi"/>
      <w:b/>
      <w:bCs/>
      <w:sz w:val="24"/>
      <w:szCs w:val="24"/>
    </w:rPr>
  </w:style>
  <w:style w:type="character" w:customStyle="1" w:styleId="70">
    <w:name w:val="标题 7 字符"/>
    <w:basedOn w:val="47"/>
    <w:link w:val="9"/>
    <w:semiHidden/>
    <w:qFormat/>
    <w:uiPriority w:val="9"/>
    <w:rPr>
      <w:b/>
      <w:bCs/>
      <w:sz w:val="24"/>
      <w:szCs w:val="24"/>
    </w:rPr>
  </w:style>
  <w:style w:type="character" w:customStyle="1" w:styleId="71">
    <w:name w:val="标题 8 字符"/>
    <w:basedOn w:val="47"/>
    <w:link w:val="10"/>
    <w:semiHidden/>
    <w:qFormat/>
    <w:uiPriority w:val="9"/>
    <w:rPr>
      <w:rFonts w:asciiTheme="majorHAnsi" w:hAnsiTheme="majorHAnsi" w:eastAsiaTheme="majorEastAsia" w:cstheme="majorBidi"/>
      <w:sz w:val="24"/>
      <w:szCs w:val="24"/>
    </w:rPr>
  </w:style>
  <w:style w:type="character" w:customStyle="1" w:styleId="72">
    <w:name w:val="标题 9 字符"/>
    <w:basedOn w:val="47"/>
    <w:link w:val="11"/>
    <w:semiHidden/>
    <w:qFormat/>
    <w:uiPriority w:val="9"/>
    <w:rPr>
      <w:rFonts w:asciiTheme="majorHAnsi" w:hAnsiTheme="majorHAnsi" w:eastAsiaTheme="majorEastAsia" w:cstheme="majorBidi"/>
      <w:szCs w:val="21"/>
    </w:rPr>
  </w:style>
  <w:style w:type="paragraph" w:styleId="73">
    <w:name w:val="No Spacing"/>
    <w:qFormat/>
    <w:uiPriority w:val="1"/>
    <w:pPr>
      <w:widowControl w:val="0"/>
      <w:spacing w:line="300" w:lineRule="exact"/>
      <w:jc w:val="center"/>
    </w:pPr>
    <w:rPr>
      <w:rFonts w:ascii="Times New Roman" w:hAnsi="Times New Roman" w:eastAsia="宋体" w:cstheme="minorBidi"/>
      <w:kern w:val="2"/>
      <w:sz w:val="21"/>
      <w:szCs w:val="21"/>
      <w:lang w:val="en-US" w:eastAsia="zh-CN" w:bidi="ar-SA"/>
      <w14:ligatures w14:val="standardContextual"/>
    </w:rPr>
  </w:style>
  <w:style w:type="character" w:customStyle="1" w:styleId="74">
    <w:name w:val="副标题 字符"/>
    <w:basedOn w:val="47"/>
    <w:link w:val="33"/>
    <w:qFormat/>
    <w:uiPriority w:val="11"/>
    <w:rPr>
      <w:b/>
      <w:bCs/>
      <w:kern w:val="28"/>
      <w:sz w:val="32"/>
      <w:szCs w:val="32"/>
    </w:rPr>
  </w:style>
  <w:style w:type="character" w:customStyle="1" w:styleId="75">
    <w:name w:val="不明显强调1"/>
    <w:basedOn w:val="47"/>
    <w:qFormat/>
    <w:uiPriority w:val="19"/>
    <w:rPr>
      <w:i/>
      <w:iCs/>
      <w:color w:val="404040" w:themeColor="text1" w:themeTint="BF"/>
      <w14:textFill>
        <w14:solidFill>
          <w14:schemeClr w14:val="tx1">
            <w14:lumMod w14:val="75000"/>
            <w14:lumOff w14:val="25000"/>
          </w14:schemeClr>
        </w14:solidFill>
      </w14:textFill>
    </w:rPr>
  </w:style>
  <w:style w:type="character" w:customStyle="1" w:styleId="76">
    <w:name w:val="明显强调1"/>
    <w:basedOn w:val="47"/>
    <w:qFormat/>
    <w:uiPriority w:val="21"/>
    <w:rPr>
      <w:i/>
      <w:iCs/>
      <w:color w:val="4472C4" w:themeColor="accent1"/>
      <w14:textFill>
        <w14:solidFill>
          <w14:schemeClr w14:val="accent1"/>
        </w14:solidFill>
      </w14:textFill>
    </w:rPr>
  </w:style>
  <w:style w:type="character" w:customStyle="1" w:styleId="77">
    <w:name w:val="不明显参考1"/>
    <w:basedOn w:val="47"/>
    <w:qFormat/>
    <w:uiPriority w:val="31"/>
    <w:rPr>
      <w:smallCaps/>
      <w:color w:val="595959" w:themeColor="text1" w:themeTint="A6"/>
      <w14:textFill>
        <w14:solidFill>
          <w14:schemeClr w14:val="tx1">
            <w14:lumMod w14:val="65000"/>
            <w14:lumOff w14:val="35000"/>
          </w14:schemeClr>
        </w14:solidFill>
      </w14:textFill>
    </w:rPr>
  </w:style>
  <w:style w:type="paragraph" w:styleId="78">
    <w:name w:val="Quote"/>
    <w:basedOn w:val="1"/>
    <w:next w:val="1"/>
    <w:link w:val="79"/>
    <w:qFormat/>
    <w:uiPriority w:val="29"/>
    <w:pPr>
      <w:spacing w:before="200" w:after="160"/>
      <w:ind w:left="864" w:right="864"/>
    </w:pPr>
    <w:rPr>
      <w:i/>
      <w:iCs/>
      <w:color w:val="404040" w:themeColor="text1" w:themeTint="BF"/>
      <w14:textFill>
        <w14:solidFill>
          <w14:schemeClr w14:val="tx1">
            <w14:lumMod w14:val="75000"/>
            <w14:lumOff w14:val="25000"/>
          </w14:schemeClr>
        </w14:solidFill>
      </w14:textFill>
    </w:rPr>
  </w:style>
  <w:style w:type="character" w:customStyle="1" w:styleId="79">
    <w:name w:val="引用 字符"/>
    <w:basedOn w:val="47"/>
    <w:link w:val="78"/>
    <w:qFormat/>
    <w:uiPriority w:val="29"/>
    <w:rPr>
      <w:rFonts w:ascii="Times New Roman" w:hAnsi="Times New Roman" w:eastAsia="宋体"/>
      <w:i/>
      <w:iCs/>
      <w:color w:val="404040" w:themeColor="text1" w:themeTint="BF"/>
      <w:sz w:val="24"/>
      <w14:textFill>
        <w14:solidFill>
          <w14:schemeClr w14:val="tx1">
            <w14:lumMod w14:val="75000"/>
            <w14:lumOff w14:val="25000"/>
          </w14:schemeClr>
        </w14:solidFill>
      </w14:textFill>
    </w:rPr>
  </w:style>
  <w:style w:type="table" w:customStyle="1" w:styleId="80">
    <w:name w:val="无格式表格 21"/>
    <w:basedOn w:val="4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1">
    <w:name w:val="表格边框"/>
    <w:basedOn w:val="45"/>
    <w:qFormat/>
    <w:uiPriority w:val="99"/>
    <w:pPr>
      <w:jc w:val="center"/>
    </w:pPr>
    <w:rPr>
      <w:rFonts w:eastAsia="宋体"/>
    </w:rPr>
    <w:tblPr>
      <w:tblBorders>
        <w:top w:val="single" w:color="auto" w:sz="12" w:space="0"/>
        <w:bottom w:val="single" w:color="auto" w:sz="12" w:space="0"/>
        <w:insideH w:val="single" w:color="auto" w:sz="8" w:space="0"/>
        <w:insideV w:val="single" w:color="auto" w:sz="8" w:space="0"/>
      </w:tblBorders>
    </w:tblPr>
    <w:tcPr>
      <w:vAlign w:val="center"/>
    </w:tcPr>
  </w:style>
  <w:style w:type="table" w:customStyle="1" w:styleId="82">
    <w:name w:val="网格型浅色1"/>
    <w:basedOn w:val="4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83">
    <w:name w:val="无格式表格 31"/>
    <w:basedOn w:val="45"/>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paragraph" w:styleId="84">
    <w:name w:val="List Paragraph"/>
    <w:basedOn w:val="1"/>
    <w:link w:val="164"/>
    <w:qFormat/>
    <w:uiPriority w:val="34"/>
    <w:pPr>
      <w:ind w:firstLine="420" w:firstLineChars="200"/>
    </w:pPr>
  </w:style>
  <w:style w:type="character" w:customStyle="1" w:styleId="85">
    <w:name w:val="样式1 Char"/>
    <w:link w:val="68"/>
    <w:qFormat/>
    <w:uiPriority w:val="0"/>
    <w:rPr>
      <w:rFonts w:ascii="Times New Roman" w:hAnsi="Times New Roman" w:eastAsia="宋体" w:cs="Times New Roman"/>
      <w:color w:val="000000" w:themeColor="text1"/>
      <w:kern w:val="2"/>
      <w:sz w:val="26"/>
      <w:szCs w:val="26"/>
      <w14:textFill>
        <w14:solidFill>
          <w14:schemeClr w14:val="tx1"/>
        </w14:solidFill>
      </w14:textFill>
    </w:rPr>
  </w:style>
  <w:style w:type="paragraph" w:customStyle="1" w:styleId="86">
    <w:name w:val="水-注释格式"/>
    <w:basedOn w:val="1"/>
    <w:next w:val="1"/>
    <w:link w:val="162"/>
    <w:qFormat/>
    <w:uiPriority w:val="99"/>
    <w:pPr>
      <w:adjustRightInd w:val="0"/>
      <w:snapToGrid w:val="0"/>
      <w:spacing w:line="240" w:lineRule="auto"/>
      <w:jc w:val="both"/>
    </w:pPr>
    <w:rPr>
      <w:rFonts w:cs="Times New Roman"/>
      <w:color w:val="000000" w:themeColor="text1"/>
      <w:sz w:val="21"/>
      <w:szCs w:val="22"/>
      <w14:textFill>
        <w14:solidFill>
          <w14:schemeClr w14:val="tx1"/>
        </w14:solidFill>
      </w14:textFill>
      <w14:ligatures w14:val="none"/>
    </w:rPr>
  </w:style>
  <w:style w:type="character" w:customStyle="1" w:styleId="87">
    <w:name w:val="页眉 字符"/>
    <w:basedOn w:val="47"/>
    <w:link w:val="30"/>
    <w:qFormat/>
    <w:uiPriority w:val="99"/>
    <w:rPr>
      <w:rFonts w:ascii="Times New Roman" w:hAnsi="Times New Roman" w:eastAsia="宋体"/>
      <w:sz w:val="18"/>
      <w:szCs w:val="18"/>
    </w:rPr>
  </w:style>
  <w:style w:type="character" w:customStyle="1" w:styleId="88">
    <w:name w:val="页脚 字符"/>
    <w:basedOn w:val="47"/>
    <w:link w:val="29"/>
    <w:qFormat/>
    <w:uiPriority w:val="99"/>
    <w:rPr>
      <w:rFonts w:ascii="Times New Roman" w:hAnsi="Times New Roman" w:eastAsia="宋体"/>
      <w:sz w:val="18"/>
      <w:szCs w:val="18"/>
    </w:rPr>
  </w:style>
  <w:style w:type="character" w:customStyle="1" w:styleId="89">
    <w:name w:val="批注文字 字符"/>
    <w:basedOn w:val="47"/>
    <w:link w:val="18"/>
    <w:qFormat/>
    <w:uiPriority w:val="0"/>
    <w:rPr>
      <w:rFonts w:ascii="Times New Roman" w:hAnsi="Times New Roman" w:eastAsia="宋体" w:cs="Times New Roman"/>
      <w:sz w:val="26"/>
      <w:szCs w:val="22"/>
      <w:lang w:val="zh-CN"/>
      <w14:ligatures w14:val="none"/>
    </w:rPr>
  </w:style>
  <w:style w:type="character" w:customStyle="1" w:styleId="90">
    <w:name w:val="九天-表格 字符"/>
    <w:link w:val="91"/>
    <w:qFormat/>
    <w:uiPriority w:val="0"/>
    <w:rPr>
      <w:rFonts w:eastAsia="Times New Roman"/>
      <w:color w:val="C00000"/>
      <w:sz w:val="22"/>
      <w:lang w:val="zh-CN" w:eastAsia="zh-CN"/>
    </w:rPr>
  </w:style>
  <w:style w:type="paragraph" w:customStyle="1" w:styleId="91">
    <w:name w:val="九天-表格"/>
    <w:basedOn w:val="1"/>
    <w:link w:val="90"/>
    <w:qFormat/>
    <w:uiPriority w:val="0"/>
    <w:pPr>
      <w:widowControl/>
      <w:adjustRightInd w:val="0"/>
      <w:snapToGrid w:val="0"/>
      <w:spacing w:line="240" w:lineRule="auto"/>
    </w:pPr>
    <w:rPr>
      <w:rFonts w:eastAsia="Times New Roman" w:asciiTheme="minorHAnsi" w:hAnsiTheme="minorHAnsi"/>
      <w:color w:val="C00000"/>
      <w:sz w:val="22"/>
      <w:lang w:val="zh-CN"/>
    </w:rPr>
  </w:style>
  <w:style w:type="paragraph" w:customStyle="1" w:styleId="92">
    <w:name w:val="zh图片格式jimmy"/>
    <w:basedOn w:val="1"/>
    <w:qFormat/>
    <w:uiPriority w:val="0"/>
    <w:pPr>
      <w:widowControl/>
      <w:tabs>
        <w:tab w:val="left" w:pos="5670"/>
      </w:tabs>
      <w:spacing w:line="240" w:lineRule="auto"/>
      <w:textAlignment w:val="baseline"/>
    </w:pPr>
    <w:rPr>
      <w:rFonts w:cs="Times New Roman"/>
      <w:kern w:val="24"/>
      <w14:ligatures w14:val="none"/>
    </w:rPr>
  </w:style>
  <w:style w:type="character" w:customStyle="1" w:styleId="93">
    <w:name w:val="纯文本 字符"/>
    <w:basedOn w:val="47"/>
    <w:link w:val="25"/>
    <w:qFormat/>
    <w:uiPriority w:val="0"/>
    <w:rPr>
      <w:rFonts w:ascii="宋体" w:hAnsi="Courier New" w:eastAsia="宋体" w:cs="Times New Roman"/>
      <w:lang w:val="zh-CN"/>
      <w14:ligatures w14:val="none"/>
    </w:rPr>
  </w:style>
  <w:style w:type="character" w:customStyle="1" w:styleId="94">
    <w:name w:val="批注主题 字符"/>
    <w:basedOn w:val="89"/>
    <w:link w:val="42"/>
    <w:semiHidden/>
    <w:qFormat/>
    <w:uiPriority w:val="99"/>
    <w:rPr>
      <w:rFonts w:ascii="Times New Roman" w:hAnsi="Times New Roman" w:eastAsia="宋体" w:cs="Times New Roman"/>
      <w:b/>
      <w:bCs/>
      <w:sz w:val="24"/>
      <w:szCs w:val="22"/>
      <w:lang w:val="zh-CN"/>
      <w14:ligatures w14:val="none"/>
    </w:rPr>
  </w:style>
  <w:style w:type="paragraph" w:customStyle="1" w:styleId="95">
    <w:name w:val="修订1"/>
    <w:hidden/>
    <w:semiHidden/>
    <w:qFormat/>
    <w:uiPriority w:val="99"/>
    <w:rPr>
      <w:rFonts w:ascii="Times New Roman" w:hAnsi="Times New Roman" w:eastAsia="宋体" w:cstheme="minorBidi"/>
      <w:kern w:val="2"/>
      <w:sz w:val="24"/>
      <w:szCs w:val="21"/>
      <w:lang w:val="en-US" w:eastAsia="zh-CN" w:bidi="ar-SA"/>
      <w14:ligatures w14:val="standardContextual"/>
    </w:rPr>
  </w:style>
  <w:style w:type="paragraph" w:customStyle="1" w:styleId="96">
    <w:name w:val="zh注释文字"/>
    <w:basedOn w:val="7"/>
    <w:link w:val="97"/>
    <w:qFormat/>
    <w:uiPriority w:val="0"/>
    <w:pPr>
      <w:numPr>
        <w:ilvl w:val="0"/>
        <w:numId w:val="0"/>
      </w:numPr>
      <w:spacing w:before="0" w:beforeLines="0" w:line="240" w:lineRule="auto"/>
      <w:jc w:val="both"/>
    </w:pPr>
    <w:rPr>
      <w:rFonts w:cs="Times New Roman"/>
      <w:b w:val="0"/>
      <w:kern w:val="0"/>
      <w:sz w:val="21"/>
      <w:szCs w:val="24"/>
      <w:lang w:val="zh-CN"/>
    </w:rPr>
  </w:style>
  <w:style w:type="character" w:customStyle="1" w:styleId="97">
    <w:name w:val="zh注释文字 字符"/>
    <w:basedOn w:val="60"/>
    <w:link w:val="96"/>
    <w:qFormat/>
    <w:uiPriority w:val="0"/>
    <w:rPr>
      <w:rFonts w:ascii="Times New Roman" w:hAnsi="Times New Roman" w:eastAsia="宋体" w:cs="Times New Roman"/>
      <w:b w:val="0"/>
      <w:kern w:val="0"/>
      <w:sz w:val="24"/>
      <w:szCs w:val="24"/>
      <w:lang w:val="zh-CN"/>
    </w:rPr>
  </w:style>
  <w:style w:type="paragraph" w:customStyle="1" w:styleId="98">
    <w:name w:val="zh表格内居中文字"/>
    <w:qFormat/>
    <w:uiPriority w:val="0"/>
    <w:pPr>
      <w:jc w:val="center"/>
    </w:pPr>
    <w:rPr>
      <w:rFonts w:ascii="Times New Roman" w:hAnsi="Times New Roman" w:eastAsia="宋体" w:cs="Times New Roman"/>
      <w:snapToGrid w:val="0"/>
      <w:kern w:val="2"/>
      <w:sz w:val="22"/>
      <w:szCs w:val="24"/>
      <w:lang w:val="en-US" w:eastAsia="zh-CN" w:bidi="ar-SA"/>
    </w:rPr>
  </w:style>
  <w:style w:type="paragraph" w:customStyle="1" w:styleId="99">
    <w:name w:val="表格内居中文字"/>
    <w:link w:val="147"/>
    <w:qFormat/>
    <w:uiPriority w:val="0"/>
    <w:pPr>
      <w:jc w:val="center"/>
    </w:pPr>
    <w:rPr>
      <w:rFonts w:ascii="Times New Roman" w:hAnsi="Times New Roman" w:eastAsia="宋体" w:cs="Times New Roman"/>
      <w:snapToGrid w:val="0"/>
      <w:kern w:val="2"/>
      <w:sz w:val="21"/>
      <w:szCs w:val="24"/>
      <w:lang w:val="en-US" w:eastAsia="zh-CN" w:bidi="ar-SA"/>
    </w:rPr>
  </w:style>
  <w:style w:type="paragraph" w:customStyle="1" w:styleId="100">
    <w:name w:val="zh表头编号格式jimmy"/>
    <w:basedOn w:val="7"/>
    <w:link w:val="101"/>
    <w:qFormat/>
    <w:uiPriority w:val="0"/>
    <w:pPr>
      <w:keepNext w:val="0"/>
      <w:keepLines w:val="0"/>
      <w:widowControl/>
      <w:spacing w:before="0" w:beforeLines="0" w:line="460" w:lineRule="exact"/>
      <w:ind w:left="0"/>
    </w:pPr>
    <w:rPr>
      <w:rFonts w:cs="Times New Roman"/>
      <w:snapToGrid w:val="0"/>
      <w:szCs w:val="24"/>
      <w14:ligatures w14:val="none"/>
    </w:rPr>
  </w:style>
  <w:style w:type="character" w:customStyle="1" w:styleId="101">
    <w:name w:val="zh表头编号格式jimmy 字符"/>
    <w:link w:val="100"/>
    <w:qFormat/>
    <w:uiPriority w:val="0"/>
    <w:rPr>
      <w:rFonts w:ascii="Times New Roman" w:hAnsi="Times New Roman" w:eastAsia="宋体" w:cs="Times New Roman"/>
      <w:b/>
      <w:snapToGrid w:val="0"/>
      <w:kern w:val="2"/>
      <w:sz w:val="24"/>
      <w:szCs w:val="24"/>
    </w:rPr>
  </w:style>
  <w:style w:type="paragraph" w:customStyle="1" w:styleId="102">
    <w:name w:val="表格内容jimmy"/>
    <w:basedOn w:val="1"/>
    <w:qFormat/>
    <w:uiPriority w:val="0"/>
    <w:pPr>
      <w:widowControl/>
      <w:spacing w:line="240" w:lineRule="auto"/>
      <w:jc w:val="left"/>
    </w:pPr>
    <w:rPr>
      <w:rFonts w:cs="Times New Roman"/>
      <w:sz w:val="21"/>
      <w:szCs w:val="26"/>
      <w14:ligatures w14:val="none"/>
    </w:rPr>
  </w:style>
  <w:style w:type="character" w:customStyle="1" w:styleId="103">
    <w:name w:val="结束语 字符"/>
    <w:basedOn w:val="47"/>
    <w:semiHidden/>
    <w:qFormat/>
    <w:uiPriority w:val="99"/>
    <w:rPr>
      <w:rFonts w:ascii="Times New Roman" w:hAnsi="Times New Roman" w:eastAsia="宋体"/>
      <w:kern w:val="2"/>
      <w:sz w:val="24"/>
      <w:szCs w:val="21"/>
      <w14:ligatures w14:val="standardContextual"/>
    </w:rPr>
  </w:style>
  <w:style w:type="character" w:customStyle="1" w:styleId="104">
    <w:name w:val="结束语 字符1"/>
    <w:link w:val="20"/>
    <w:qFormat/>
    <w:uiPriority w:val="0"/>
    <w:rPr>
      <w:rFonts w:ascii="Times New Roman" w:hAnsi="Times New Roman" w:eastAsia="宋体" w:cs="Times New Roman"/>
      <w:snapToGrid w:val="0"/>
      <w:kern w:val="2"/>
      <w:sz w:val="24"/>
      <w:szCs w:val="26"/>
    </w:rPr>
  </w:style>
  <w:style w:type="paragraph" w:customStyle="1" w:styleId="105">
    <w:name w:val="表内文字"/>
    <w:basedOn w:val="1"/>
    <w:link w:val="124"/>
    <w:qFormat/>
    <w:uiPriority w:val="99"/>
    <w:pPr>
      <w:widowControl/>
      <w:spacing w:line="240" w:lineRule="atLeast"/>
      <w:ind w:firstLine="480" w:firstLineChars="200"/>
      <w:textAlignment w:val="baseline"/>
    </w:pPr>
    <w:rPr>
      <w:rFonts w:ascii="宋体" w:hAnsi="Courier New" w:cs="Times New Roman"/>
      <w:sz w:val="21"/>
      <w14:ligatures w14:val="none"/>
    </w:rPr>
  </w:style>
  <w:style w:type="paragraph" w:customStyle="1" w:styleId="106">
    <w:name w:val="zh-表头格式"/>
    <w:basedOn w:val="3"/>
    <w:qFormat/>
    <w:uiPriority w:val="0"/>
    <w:pPr>
      <w:keepNext w:val="0"/>
      <w:keepLines w:val="0"/>
      <w:widowControl/>
      <w:numPr>
        <w:ilvl w:val="0"/>
        <w:numId w:val="0"/>
      </w:numPr>
      <w:tabs>
        <w:tab w:val="left" w:pos="0"/>
      </w:tabs>
      <w:adjustRightInd w:val="0"/>
      <w:snapToGrid w:val="0"/>
      <w:spacing w:before="120" w:after="60" w:line="460" w:lineRule="exact"/>
      <w:jc w:val="center"/>
      <w:outlineLvl w:val="4"/>
    </w:pPr>
    <w:rPr>
      <w:rFonts w:cs="Times New Roman"/>
      <w:sz w:val="26"/>
      <w:szCs w:val="22"/>
      <w:lang w:val="zh-CN"/>
      <w14:ligatures w14:val="none"/>
    </w:rPr>
  </w:style>
  <w:style w:type="paragraph" w:customStyle="1" w:styleId="107">
    <w:name w:val="zh-表格11"/>
    <w:basedOn w:val="1"/>
    <w:link w:val="108"/>
    <w:qFormat/>
    <w:uiPriority w:val="0"/>
    <w:pPr>
      <w:adjustRightInd w:val="0"/>
      <w:snapToGrid w:val="0"/>
      <w:spacing w:line="240" w:lineRule="auto"/>
      <w:outlineLvl w:val="2"/>
    </w:pPr>
    <w:rPr>
      <w:rFonts w:cs="Times New Roman"/>
      <w:sz w:val="22"/>
      <w14:ligatures w14:val="none"/>
    </w:rPr>
  </w:style>
  <w:style w:type="character" w:customStyle="1" w:styleId="108">
    <w:name w:val="zh-表格11 字符"/>
    <w:basedOn w:val="47"/>
    <w:link w:val="107"/>
    <w:qFormat/>
    <w:uiPriority w:val="0"/>
    <w:rPr>
      <w:rFonts w:ascii="Times New Roman" w:hAnsi="Times New Roman" w:eastAsia="宋体" w:cs="Times New Roman"/>
      <w:kern w:val="2"/>
      <w:sz w:val="22"/>
      <w:szCs w:val="21"/>
    </w:rPr>
  </w:style>
  <w:style w:type="paragraph" w:customStyle="1" w:styleId="109">
    <w:name w:val="新格式表"/>
    <w:basedOn w:val="1"/>
    <w:qFormat/>
    <w:uiPriority w:val="0"/>
    <w:pPr>
      <w:spacing w:line="260" w:lineRule="exact"/>
      <w:ind w:firstLine="600" w:firstLineChars="200"/>
    </w:pPr>
    <w:rPr>
      <w:rFonts w:cs="Times New Roman"/>
      <w:snapToGrid w:val="0"/>
      <w14:ligatures w14:val="none"/>
    </w:rPr>
  </w:style>
  <w:style w:type="paragraph" w:customStyle="1" w:styleId="110">
    <w:name w:val="表头格式"/>
    <w:basedOn w:val="5"/>
    <w:link w:val="111"/>
    <w:autoRedefine/>
    <w:qFormat/>
    <w:uiPriority w:val="0"/>
    <w:pPr>
      <w:keepNext w:val="0"/>
      <w:keepLines w:val="0"/>
      <w:widowControl/>
      <w:numPr>
        <w:ilvl w:val="0"/>
        <w:numId w:val="0"/>
      </w:numPr>
      <w:tabs>
        <w:tab w:val="left" w:pos="0"/>
      </w:tabs>
      <w:adjustRightInd w:val="0"/>
      <w:snapToGrid w:val="0"/>
      <w:spacing w:line="460" w:lineRule="exact"/>
      <w:jc w:val="center"/>
      <w:outlineLvl w:val="4"/>
    </w:pPr>
    <w:rPr>
      <w:rFonts w:cs="Calibri"/>
      <w:snapToGrid w:val="0"/>
      <w:color w:val="000000" w:themeColor="text1"/>
      <w:sz w:val="26"/>
      <w:szCs w:val="32"/>
      <w14:textFill>
        <w14:solidFill>
          <w14:schemeClr w14:val="tx1"/>
        </w14:solidFill>
      </w14:textFill>
      <w14:ligatures w14:val="none"/>
    </w:rPr>
  </w:style>
  <w:style w:type="character" w:customStyle="1" w:styleId="111">
    <w:name w:val="表头格式 Char"/>
    <w:link w:val="110"/>
    <w:autoRedefine/>
    <w:qFormat/>
    <w:uiPriority w:val="0"/>
    <w:rPr>
      <w:rFonts w:ascii="Times New Roman" w:hAnsi="Times New Roman" w:eastAsia="宋体" w:cs="Calibri"/>
      <w:b/>
      <w:bCs/>
      <w:snapToGrid w:val="0"/>
      <w:color w:val="000000" w:themeColor="text1"/>
      <w:kern w:val="2"/>
      <w:sz w:val="26"/>
      <w:szCs w:val="32"/>
      <w14:textFill>
        <w14:solidFill>
          <w14:schemeClr w14:val="tx1"/>
        </w14:solidFill>
      </w14:textFill>
    </w:rPr>
  </w:style>
  <w:style w:type="paragraph" w:customStyle="1" w:styleId="112">
    <w:name w:val="表头编号格式jimmy"/>
    <w:basedOn w:val="7"/>
    <w:link w:val="113"/>
    <w:qFormat/>
    <w:uiPriority w:val="0"/>
    <w:pPr>
      <w:keepNext w:val="0"/>
      <w:keepLines w:val="0"/>
      <w:widowControl/>
      <w:spacing w:before="0" w:beforeLines="0" w:line="460" w:lineRule="exact"/>
    </w:pPr>
    <w:rPr>
      <w:rFonts w:cs="Times New Roman"/>
      <w:snapToGrid w:val="0"/>
      <w14:ligatures w14:val="none"/>
    </w:rPr>
  </w:style>
  <w:style w:type="character" w:customStyle="1" w:styleId="113">
    <w:name w:val="表头编号格式jimmy 字符"/>
    <w:link w:val="112"/>
    <w:qFormat/>
    <w:uiPriority w:val="0"/>
    <w:rPr>
      <w:rFonts w:ascii="Times New Roman" w:hAnsi="Times New Roman" w:eastAsia="宋体" w:cs="Times New Roman"/>
      <w:b/>
      <w:snapToGrid w:val="0"/>
      <w:kern w:val="2"/>
      <w:sz w:val="24"/>
      <w:szCs w:val="28"/>
    </w:rPr>
  </w:style>
  <w:style w:type="paragraph" w:customStyle="1" w:styleId="114">
    <w:name w:val="表格"/>
    <w:basedOn w:val="1"/>
    <w:link w:val="126"/>
    <w:qFormat/>
    <w:uiPriority w:val="0"/>
    <w:pPr>
      <w:adjustRightInd w:val="0"/>
      <w:snapToGrid w:val="0"/>
      <w:spacing w:beforeLines="10" w:afterLines="10" w:line="256" w:lineRule="auto"/>
      <w:ind w:firstLine="600" w:firstLineChars="200"/>
    </w:pPr>
    <w:rPr>
      <w:rFonts w:ascii="宋体" w:cs="宋体"/>
      <w:kern w:val="0"/>
      <w:szCs w:val="24"/>
      <w14:ligatures w14:val="none"/>
    </w:rPr>
  </w:style>
  <w:style w:type="paragraph" w:customStyle="1" w:styleId="115">
    <w:name w:val="编制依据"/>
    <w:basedOn w:val="1"/>
    <w:link w:val="116"/>
    <w:qFormat/>
    <w:uiPriority w:val="0"/>
    <w:pPr>
      <w:numPr>
        <w:ilvl w:val="0"/>
        <w:numId w:val="5"/>
      </w:numPr>
      <w:adjustRightInd w:val="0"/>
      <w:snapToGrid w:val="0"/>
      <w:spacing w:line="460" w:lineRule="exact"/>
      <w:ind w:firstLine="200" w:firstLineChars="200"/>
      <w:jc w:val="both"/>
    </w:pPr>
    <w:rPr>
      <w:rFonts w:cs="Times New Roman"/>
      <w:color w:val="000000" w:themeColor="text1"/>
      <w:sz w:val="26"/>
      <w:szCs w:val="22"/>
      <w14:textFill>
        <w14:solidFill>
          <w14:schemeClr w14:val="tx1"/>
        </w14:solidFill>
      </w14:textFill>
      <w14:ligatures w14:val="none"/>
    </w:rPr>
  </w:style>
  <w:style w:type="character" w:customStyle="1" w:styleId="116">
    <w:name w:val="编制依据 字符"/>
    <w:basedOn w:val="47"/>
    <w:link w:val="115"/>
    <w:qFormat/>
    <w:uiPriority w:val="0"/>
    <w:rPr>
      <w:rFonts w:ascii="Times New Roman" w:hAnsi="Times New Roman" w:eastAsia="宋体" w:cs="Times New Roman"/>
      <w:color w:val="000000" w:themeColor="text1"/>
      <w:kern w:val="2"/>
      <w:sz w:val="26"/>
      <w:szCs w:val="22"/>
      <w14:textFill>
        <w14:solidFill>
          <w14:schemeClr w14:val="tx1"/>
        </w14:solidFill>
      </w14:textFill>
    </w:rPr>
  </w:style>
  <w:style w:type="paragraph" w:customStyle="1" w:styleId="117">
    <w:name w:val="表格内容格式"/>
    <w:basedOn w:val="1"/>
    <w:next w:val="1"/>
    <w:qFormat/>
    <w:uiPriority w:val="99"/>
    <w:pPr>
      <w:spacing w:line="240" w:lineRule="auto"/>
    </w:pPr>
    <w:rPr>
      <w:rFonts w:cs="Times New Roman"/>
      <w:kern w:val="0"/>
      <w:sz w:val="22"/>
      <w:szCs w:val="22"/>
      <w:lang w:eastAsia="en-US"/>
      <w14:ligatures w14:val="none"/>
    </w:rPr>
  </w:style>
  <w:style w:type="paragraph" w:customStyle="1" w:styleId="118">
    <w:name w:val="表格样式"/>
    <w:basedOn w:val="1"/>
    <w:link w:val="119"/>
    <w:qFormat/>
    <w:uiPriority w:val="0"/>
    <w:pPr>
      <w:spacing w:line="320" w:lineRule="exact"/>
      <w:contextualSpacing/>
      <w:jc w:val="both"/>
    </w:pPr>
    <w:rPr>
      <w:rFonts w:cs="Times New Roman"/>
      <w:sz w:val="22"/>
      <w:szCs w:val="24"/>
      <w14:ligatures w14:val="none"/>
    </w:rPr>
  </w:style>
  <w:style w:type="character" w:customStyle="1" w:styleId="119">
    <w:name w:val="表格样式 Char"/>
    <w:link w:val="118"/>
    <w:qFormat/>
    <w:uiPriority w:val="0"/>
    <w:rPr>
      <w:rFonts w:ascii="Times New Roman" w:hAnsi="Times New Roman" w:eastAsia="宋体" w:cs="Times New Roman"/>
      <w:kern w:val="2"/>
      <w:sz w:val="22"/>
      <w:szCs w:val="24"/>
    </w:rPr>
  </w:style>
  <w:style w:type="paragraph" w:customStyle="1" w:styleId="120">
    <w:name w:val="图名格式"/>
    <w:basedOn w:val="1"/>
    <w:qFormat/>
    <w:uiPriority w:val="0"/>
    <w:pPr>
      <w:adjustRightInd w:val="0"/>
      <w:snapToGrid w:val="0"/>
      <w:spacing w:before="50" w:beforeLines="50" w:after="50" w:afterLines="50" w:line="360" w:lineRule="auto"/>
    </w:pPr>
    <w:rPr>
      <w:rFonts w:cs="Times New Roman"/>
      <w:b/>
      <w:sz w:val="26"/>
      <w:szCs w:val="22"/>
      <w14:ligatures w14:val="none"/>
    </w:rPr>
  </w:style>
  <w:style w:type="paragraph" w:customStyle="1" w:styleId="121">
    <w:name w:val="修订2"/>
    <w:hidden/>
    <w:unhideWhenUsed/>
    <w:qFormat/>
    <w:uiPriority w:val="99"/>
    <w:rPr>
      <w:rFonts w:ascii="Times New Roman" w:hAnsi="Times New Roman" w:eastAsia="宋体" w:cstheme="minorBidi"/>
      <w:kern w:val="2"/>
      <w:sz w:val="24"/>
      <w:szCs w:val="21"/>
      <w:lang w:val="en-US" w:eastAsia="zh-CN" w:bidi="ar-SA"/>
      <w14:ligatures w14:val="standardContextual"/>
    </w:rPr>
  </w:style>
  <w:style w:type="paragraph" w:customStyle="1" w:styleId="122">
    <w:name w:val="谢谢谢谢谢"/>
    <w:basedOn w:val="1"/>
    <w:qFormat/>
    <w:uiPriority w:val="0"/>
    <w:pPr>
      <w:spacing w:line="240" w:lineRule="auto"/>
      <w:jc w:val="left"/>
    </w:pPr>
    <w:rPr>
      <w:rFonts w:cs="Times New Roman"/>
      <w:sz w:val="21"/>
      <w:szCs w:val="24"/>
      <w14:ligatures w14:val="none"/>
    </w:rPr>
  </w:style>
  <w:style w:type="table" w:customStyle="1" w:styleId="123">
    <w:name w:val="网格型刘1"/>
    <w:basedOn w:val="45"/>
    <w:qFormat/>
    <w:uiPriority w:val="59"/>
    <w:rPr>
      <w:rFonts w:ascii="Times New Roman" w:hAnsi="Times New Roman" w:eastAsia="宋体"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4">
    <w:name w:val="表内文字 Char"/>
    <w:link w:val="105"/>
    <w:qFormat/>
    <w:uiPriority w:val="99"/>
    <w:rPr>
      <w:rFonts w:ascii="宋体" w:hAnsi="Courier New" w:eastAsia="宋体" w:cs="Times New Roman"/>
      <w:kern w:val="2"/>
      <w:sz w:val="21"/>
      <w:szCs w:val="21"/>
    </w:rPr>
  </w:style>
  <w:style w:type="paragraph" w:customStyle="1" w:styleId="125">
    <w:name w:val="表格文本-"/>
    <w:basedOn w:val="1"/>
    <w:qFormat/>
    <w:uiPriority w:val="0"/>
    <w:pPr>
      <w:spacing w:line="240" w:lineRule="auto"/>
    </w:pPr>
    <w:rPr>
      <w:rFonts w:cs="Times New Roman"/>
      <w:sz w:val="21"/>
      <w14:ligatures w14:val="none"/>
    </w:rPr>
  </w:style>
  <w:style w:type="character" w:customStyle="1" w:styleId="126">
    <w:name w:val="表格 Char"/>
    <w:link w:val="114"/>
    <w:qFormat/>
    <w:locked/>
    <w:uiPriority w:val="99"/>
    <w:rPr>
      <w:rFonts w:ascii="宋体" w:hAnsi="Times New Roman" w:eastAsia="宋体" w:cs="宋体"/>
      <w:sz w:val="24"/>
      <w:szCs w:val="24"/>
    </w:rPr>
  </w:style>
  <w:style w:type="paragraph" w:customStyle="1" w:styleId="127">
    <w:name w:val="表格正文"/>
    <w:basedOn w:val="1"/>
    <w:qFormat/>
    <w:uiPriority w:val="0"/>
    <w:pPr>
      <w:spacing w:line="360" w:lineRule="exact"/>
    </w:pPr>
    <w:rPr>
      <w:rFonts w:cs="Times New Roman"/>
      <w:szCs w:val="24"/>
      <w14:ligatures w14:val="none"/>
    </w:rPr>
  </w:style>
  <w:style w:type="paragraph" w:customStyle="1" w:styleId="128">
    <w:name w:val="表格抬头"/>
    <w:basedOn w:val="1"/>
    <w:qFormat/>
    <w:uiPriority w:val="0"/>
    <w:pPr>
      <w:snapToGrid w:val="0"/>
      <w:spacing w:line="240" w:lineRule="auto"/>
    </w:pPr>
    <w:rPr>
      <w:rFonts w:cs="Times New Roman"/>
      <w:snapToGrid w:val="0"/>
      <w:sz w:val="21"/>
      <w14:ligatures w14:val="none"/>
    </w:rPr>
  </w:style>
  <w:style w:type="paragraph" w:customStyle="1" w:styleId="129">
    <w:name w:val="样式 正文缩进正文缩进2正文缩进 Char Char正文缩进 Char Char Char Char正文缩进 Char ..."/>
    <w:basedOn w:val="1"/>
    <w:qFormat/>
    <w:uiPriority w:val="0"/>
    <w:pPr>
      <w:tabs>
        <w:tab w:val="left" w:pos="540"/>
        <w:tab w:val="left" w:pos="1080"/>
        <w:tab w:val="left" w:pos="1800"/>
      </w:tabs>
      <w:spacing w:line="360" w:lineRule="auto"/>
      <w:ind w:firstLine="200"/>
      <w:jc w:val="both"/>
    </w:pPr>
    <w:rPr>
      <w:rFonts w:ascii="宋体" w:hAnsi="Arial Black" w:eastAsia="仿宋_GB2312" w:cs="宋体"/>
      <w:kern w:val="18"/>
      <w:szCs w:val="20"/>
      <w14:ligatures w14:val="none"/>
    </w:rPr>
  </w:style>
  <w:style w:type="paragraph" w:customStyle="1" w:styleId="130">
    <w:name w:val="zh专项正文内容"/>
    <w:link w:val="131"/>
    <w:qFormat/>
    <w:uiPriority w:val="0"/>
    <w:pPr>
      <w:spacing w:line="460" w:lineRule="exact"/>
      <w:ind w:firstLine="200" w:firstLineChars="200"/>
    </w:pPr>
    <w:rPr>
      <w:rFonts w:ascii="Times New Roman" w:hAnsi="Times New Roman" w:eastAsia="宋体" w:cs="Times New Roman"/>
      <w:sz w:val="26"/>
      <w:lang w:val="en-US" w:eastAsia="zh-CN" w:bidi="ar-SA"/>
    </w:rPr>
  </w:style>
  <w:style w:type="character" w:customStyle="1" w:styleId="131">
    <w:name w:val="zh专项正文内容 字符"/>
    <w:link w:val="130"/>
    <w:qFormat/>
    <w:uiPriority w:val="0"/>
    <w:rPr>
      <w:rFonts w:ascii="Times New Roman" w:hAnsi="Times New Roman" w:eastAsia="宋体" w:cs="Times New Roman"/>
      <w:sz w:val="26"/>
    </w:rPr>
  </w:style>
  <w:style w:type="paragraph" w:customStyle="1" w:styleId="132">
    <w:name w:val="表头标题"/>
    <w:basedOn w:val="1"/>
    <w:qFormat/>
    <w:uiPriority w:val="0"/>
    <w:pPr>
      <w:widowControl/>
      <w:spacing w:line="500" w:lineRule="exact"/>
    </w:pPr>
    <w:rPr>
      <w:rFonts w:cs="Times New Roman"/>
      <w:b/>
      <w:szCs w:val="24"/>
      <w14:ligatures w14:val="none"/>
    </w:rPr>
  </w:style>
  <w:style w:type="paragraph" w:customStyle="1" w:styleId="133">
    <w:name w:val="表格文字"/>
    <w:basedOn w:val="1"/>
    <w:link w:val="134"/>
    <w:qFormat/>
    <w:uiPriority w:val="0"/>
    <w:pPr>
      <w:adjustRightInd w:val="0"/>
      <w:snapToGrid w:val="0"/>
      <w:spacing w:line="240" w:lineRule="auto"/>
      <w:ind w:firstLine="420" w:firstLineChars="200"/>
    </w:pPr>
    <w:rPr>
      <w:rFonts w:cs="Times New Roman"/>
      <w:bCs/>
      <w:sz w:val="21"/>
      <w:szCs w:val="20"/>
      <w14:ligatures w14:val="none"/>
    </w:rPr>
  </w:style>
  <w:style w:type="character" w:customStyle="1" w:styleId="134">
    <w:name w:val="表格文字 Char"/>
    <w:link w:val="133"/>
    <w:qFormat/>
    <w:uiPriority w:val="0"/>
    <w:rPr>
      <w:rFonts w:ascii="Times New Roman" w:hAnsi="Times New Roman" w:eastAsia="宋体" w:cs="Times New Roman"/>
      <w:bCs/>
      <w:kern w:val="2"/>
      <w:sz w:val="21"/>
    </w:rPr>
  </w:style>
  <w:style w:type="paragraph" w:customStyle="1" w:styleId="135">
    <w:name w:val="小表中格式"/>
    <w:basedOn w:val="1"/>
    <w:qFormat/>
    <w:uiPriority w:val="0"/>
    <w:pPr>
      <w:kinsoku w:val="0"/>
      <w:overflowPunct w:val="0"/>
      <w:autoSpaceDE w:val="0"/>
      <w:autoSpaceDN w:val="0"/>
      <w:adjustRightInd w:val="0"/>
      <w:spacing w:line="360" w:lineRule="exact"/>
    </w:pPr>
    <w:rPr>
      <w:rFonts w:cs="Times New Roman"/>
      <w:sz w:val="21"/>
      <w:szCs w:val="20"/>
      <w14:ligatures w14:val="none"/>
    </w:rPr>
  </w:style>
  <w:style w:type="paragraph" w:customStyle="1" w:styleId="136">
    <w:name w:val="表头图头"/>
    <w:basedOn w:val="1"/>
    <w:qFormat/>
    <w:uiPriority w:val="0"/>
    <w:pPr>
      <w:spacing w:line="240" w:lineRule="auto"/>
    </w:pPr>
    <w:rPr>
      <w:rFonts w:cs="Times New Roman"/>
      <w:sz w:val="21"/>
      <w:szCs w:val="24"/>
      <w14:ligatures w14:val="none"/>
    </w:rPr>
  </w:style>
  <w:style w:type="paragraph" w:customStyle="1" w:styleId="137">
    <w:name w:val="表"/>
    <w:basedOn w:val="1"/>
    <w:qFormat/>
    <w:uiPriority w:val="0"/>
    <w:pPr>
      <w:adjustRightInd w:val="0"/>
      <w:snapToGrid w:val="0"/>
      <w:spacing w:line="360" w:lineRule="auto"/>
    </w:pPr>
    <w:rPr>
      <w:rFonts w:ascii="宋体" w:hAnsi="宋体" w:cs="Times New Roman"/>
      <w:szCs w:val="20"/>
      <w14:ligatures w14:val="none"/>
    </w:rPr>
  </w:style>
  <w:style w:type="paragraph" w:customStyle="1" w:styleId="138">
    <w:name w:val="表格内容"/>
    <w:basedOn w:val="1"/>
    <w:qFormat/>
    <w:uiPriority w:val="0"/>
    <w:pPr>
      <w:adjustRightInd w:val="0"/>
      <w:snapToGrid w:val="0"/>
      <w:spacing w:line="240" w:lineRule="auto"/>
    </w:pPr>
    <w:rPr>
      <w:rFonts w:cs="Times New Roman"/>
      <w:sz w:val="22"/>
      <w:szCs w:val="24"/>
      <w14:ligatures w14:val="none"/>
    </w:rPr>
  </w:style>
  <w:style w:type="paragraph" w:customStyle="1" w:styleId="139">
    <w:name w:val="图片"/>
    <w:basedOn w:val="1"/>
    <w:qFormat/>
    <w:uiPriority w:val="0"/>
    <w:pPr>
      <w:adjustRightInd w:val="0"/>
      <w:snapToGrid w:val="0"/>
      <w:spacing w:before="50" w:beforeLines="50" w:line="240" w:lineRule="auto"/>
    </w:pPr>
    <w:rPr>
      <w:rFonts w:cs="Times New Roman"/>
      <w:sz w:val="26"/>
      <w:szCs w:val="24"/>
      <w14:ligatures w14:val="none"/>
    </w:rPr>
  </w:style>
  <w:style w:type="character" w:customStyle="1" w:styleId="140">
    <w:name w:val="注释标题 字符"/>
    <w:basedOn w:val="47"/>
    <w:link w:val="13"/>
    <w:qFormat/>
    <w:uiPriority w:val="0"/>
    <w:rPr>
      <w:rFonts w:ascii="Times New Roman" w:hAnsi="Times New Roman" w:eastAsia="宋体" w:cs="宋体"/>
      <w:b/>
      <w:kern w:val="2"/>
      <w:sz w:val="21"/>
      <w:szCs w:val="24"/>
    </w:rPr>
  </w:style>
  <w:style w:type="character" w:customStyle="1" w:styleId="141">
    <w:name w:val="普通(网站) 字符"/>
    <w:link w:val="40"/>
    <w:qFormat/>
    <w:locked/>
    <w:uiPriority w:val="99"/>
    <w:rPr>
      <w:rFonts w:ascii="宋体" w:hAnsi="宋体" w:eastAsia="宋体" w:cs="Times New Roman"/>
      <w:sz w:val="24"/>
      <w:szCs w:val="24"/>
      <w:lang w:val="zh-CN"/>
    </w:rPr>
  </w:style>
  <w:style w:type="character" w:customStyle="1" w:styleId="142">
    <w:name w:val="Unresolved Mention"/>
    <w:basedOn w:val="47"/>
    <w:semiHidden/>
    <w:unhideWhenUsed/>
    <w:qFormat/>
    <w:uiPriority w:val="99"/>
    <w:rPr>
      <w:color w:val="605E5C"/>
      <w:shd w:val="clear" w:color="auto" w:fill="E1DFDD"/>
    </w:rPr>
  </w:style>
  <w:style w:type="paragraph" w:customStyle="1" w:styleId="143">
    <w:name w:val="表格标题"/>
    <w:basedOn w:val="1"/>
    <w:link w:val="144"/>
    <w:qFormat/>
    <w:uiPriority w:val="0"/>
    <w:pPr>
      <w:adjustRightInd w:val="0"/>
      <w:snapToGrid w:val="0"/>
      <w:spacing w:beforeLines="50" w:line="460" w:lineRule="exact"/>
    </w:pPr>
    <w:rPr>
      <w:rFonts w:cs="Times New Roman"/>
      <w:b/>
      <w:snapToGrid w:val="0"/>
      <w:color w:val="000000" w:themeColor="text1"/>
      <w:kern w:val="0"/>
      <w:szCs w:val="24"/>
      <w14:textFill>
        <w14:solidFill>
          <w14:schemeClr w14:val="tx1"/>
        </w14:solidFill>
      </w14:textFill>
      <w14:ligatures w14:val="none"/>
    </w:rPr>
  </w:style>
  <w:style w:type="character" w:customStyle="1" w:styleId="144">
    <w:name w:val="表格标题 Char"/>
    <w:link w:val="143"/>
    <w:qFormat/>
    <w:uiPriority w:val="0"/>
    <w:rPr>
      <w:rFonts w:ascii="Times New Roman" w:hAnsi="Times New Roman" w:eastAsia="宋体" w:cs="Times New Roman"/>
      <w:b/>
      <w:snapToGrid w:val="0"/>
      <w:color w:val="000000" w:themeColor="text1"/>
      <w:sz w:val="24"/>
      <w:szCs w:val="24"/>
      <w14:textFill>
        <w14:solidFill>
          <w14:schemeClr w14:val="tx1"/>
        </w14:solidFill>
      </w14:textFill>
    </w:rPr>
  </w:style>
  <w:style w:type="paragraph" w:customStyle="1" w:styleId="145">
    <w:name w:val="表格文字-hao-居中"/>
    <w:link w:val="146"/>
    <w:qFormat/>
    <w:uiPriority w:val="0"/>
    <w:pPr>
      <w:widowControl w:val="0"/>
      <w:adjustRightInd w:val="0"/>
      <w:snapToGrid w:val="0"/>
      <w:jc w:val="center"/>
      <w:textAlignment w:val="center"/>
    </w:pPr>
    <w:rPr>
      <w:rFonts w:ascii="Times New Roman" w:hAnsi="宋体" w:eastAsia="宋体" w:cs="Times New Roman"/>
      <w:color w:val="000000"/>
      <w:kern w:val="2"/>
      <w:sz w:val="18"/>
      <w:szCs w:val="18"/>
      <w:lang w:val="en-US" w:eastAsia="zh-CN" w:bidi="ar-SA"/>
    </w:rPr>
  </w:style>
  <w:style w:type="character" w:customStyle="1" w:styleId="146">
    <w:name w:val="表格文字-hao-居中 Char"/>
    <w:link w:val="145"/>
    <w:qFormat/>
    <w:uiPriority w:val="0"/>
    <w:rPr>
      <w:rFonts w:ascii="Times New Roman" w:hAnsi="宋体" w:eastAsia="宋体" w:cs="Times New Roman"/>
      <w:color w:val="000000"/>
      <w:kern w:val="2"/>
      <w:sz w:val="18"/>
      <w:szCs w:val="18"/>
    </w:rPr>
  </w:style>
  <w:style w:type="character" w:customStyle="1" w:styleId="147">
    <w:name w:val="表格内居中文字 Char"/>
    <w:basedOn w:val="47"/>
    <w:link w:val="99"/>
    <w:qFormat/>
    <w:uiPriority w:val="0"/>
    <w:rPr>
      <w:rFonts w:ascii="Times New Roman" w:hAnsi="Times New Roman" w:eastAsia="宋体" w:cs="Times New Roman"/>
      <w:snapToGrid w:val="0"/>
      <w:kern w:val="2"/>
      <w:sz w:val="21"/>
      <w:szCs w:val="24"/>
    </w:rPr>
  </w:style>
  <w:style w:type="character" w:customStyle="1" w:styleId="148">
    <w:name w:val="qowt-font1-timesnewroman"/>
    <w:basedOn w:val="47"/>
    <w:qFormat/>
    <w:uiPriority w:val="0"/>
  </w:style>
  <w:style w:type="paragraph" w:customStyle="1" w:styleId="149">
    <w:name w:val="A表格样式间距"/>
    <w:basedOn w:val="1"/>
    <w:link w:val="150"/>
    <w:qFormat/>
    <w:uiPriority w:val="0"/>
    <w:pPr>
      <w:adjustRightInd w:val="0"/>
      <w:snapToGrid w:val="0"/>
      <w:spacing w:line="320" w:lineRule="atLeast"/>
    </w:pPr>
    <w:rPr>
      <w:rFonts w:cs="Times New Roman"/>
      <w:sz w:val="22"/>
      <w14:ligatures w14:val="none"/>
    </w:rPr>
  </w:style>
  <w:style w:type="character" w:customStyle="1" w:styleId="150">
    <w:name w:val="A表格样式间距 字符"/>
    <w:basedOn w:val="47"/>
    <w:link w:val="149"/>
    <w:qFormat/>
    <w:uiPriority w:val="0"/>
    <w:rPr>
      <w:rFonts w:ascii="Times New Roman" w:hAnsi="Times New Roman" w:eastAsia="宋体" w:cs="Times New Roman"/>
      <w:kern w:val="2"/>
      <w:sz w:val="22"/>
      <w:szCs w:val="21"/>
    </w:rPr>
  </w:style>
  <w:style w:type="paragraph" w:customStyle="1" w:styleId="151">
    <w:name w:val="0A正文"/>
    <w:basedOn w:val="1"/>
    <w:link w:val="152"/>
    <w:qFormat/>
    <w:uiPriority w:val="0"/>
    <w:pPr>
      <w:adjustRightInd w:val="0"/>
      <w:snapToGrid w:val="0"/>
      <w:spacing w:line="480" w:lineRule="exact"/>
      <w:ind w:firstLine="200" w:firstLineChars="200"/>
      <w:jc w:val="both"/>
    </w:pPr>
    <w:rPr>
      <w:rFonts w:cs="Times New Roman"/>
      <w:color w:val="000000"/>
      <w:sz w:val="26"/>
      <w:szCs w:val="26"/>
      <w14:ligatures w14:val="none"/>
    </w:rPr>
  </w:style>
  <w:style w:type="character" w:customStyle="1" w:styleId="152">
    <w:name w:val="0A正文 字符"/>
    <w:link w:val="151"/>
    <w:qFormat/>
    <w:uiPriority w:val="0"/>
    <w:rPr>
      <w:rFonts w:ascii="Times New Roman" w:hAnsi="Times New Roman" w:eastAsia="宋体" w:cs="Times New Roman"/>
      <w:color w:val="000000"/>
      <w:kern w:val="2"/>
      <w:sz w:val="26"/>
      <w:szCs w:val="26"/>
    </w:rPr>
  </w:style>
  <w:style w:type="paragraph" w:customStyle="1" w:styleId="153">
    <w:name w:val="A表内字"/>
    <w:basedOn w:val="1"/>
    <w:link w:val="154"/>
    <w:qFormat/>
    <w:uiPriority w:val="0"/>
    <w:pPr>
      <w:spacing w:line="240" w:lineRule="auto"/>
    </w:pPr>
    <w:rPr>
      <w:rFonts w:cs="Times New Roman"/>
      <w:sz w:val="22"/>
      <w14:ligatures w14:val="none"/>
    </w:rPr>
  </w:style>
  <w:style w:type="character" w:customStyle="1" w:styleId="154">
    <w:name w:val="A表内字 字符"/>
    <w:link w:val="153"/>
    <w:qFormat/>
    <w:uiPriority w:val="0"/>
    <w:rPr>
      <w:rFonts w:ascii="Times New Roman" w:hAnsi="Times New Roman" w:eastAsia="宋体" w:cs="Times New Roman"/>
      <w:kern w:val="2"/>
      <w:sz w:val="22"/>
      <w:szCs w:val="21"/>
    </w:rPr>
  </w:style>
  <w:style w:type="character" w:customStyle="1" w:styleId="155">
    <w:name w:val="正 文 Char"/>
    <w:link w:val="156"/>
    <w:qFormat/>
    <w:uiPriority w:val="0"/>
    <w:rPr>
      <w:sz w:val="28"/>
    </w:rPr>
  </w:style>
  <w:style w:type="paragraph" w:customStyle="1" w:styleId="156">
    <w:name w:val="正 文"/>
    <w:basedOn w:val="1"/>
    <w:link w:val="155"/>
    <w:qFormat/>
    <w:uiPriority w:val="0"/>
    <w:pPr>
      <w:adjustRightInd w:val="0"/>
      <w:snapToGrid w:val="0"/>
      <w:spacing w:line="348" w:lineRule="auto"/>
      <w:ind w:firstLine="200" w:firstLineChars="200"/>
      <w:jc w:val="both"/>
    </w:pPr>
    <w:rPr>
      <w:rFonts w:asciiTheme="minorHAnsi" w:hAnsiTheme="minorHAnsi" w:eastAsiaTheme="minorEastAsia"/>
      <w:kern w:val="0"/>
      <w:sz w:val="28"/>
      <w:szCs w:val="20"/>
      <w14:ligatures w14:val="none"/>
    </w:rPr>
  </w:style>
  <w:style w:type="character" w:customStyle="1" w:styleId="157">
    <w:name w:val="正文13 字符"/>
    <w:basedOn w:val="47"/>
    <w:qFormat/>
    <w:uiPriority w:val="0"/>
    <w:rPr>
      <w:rFonts w:ascii="Times New Roman" w:hAnsi="Times New Roman" w:eastAsia="宋体" w:cs="Times New Roman"/>
      <w:color w:val="FF0000"/>
      <w:kern w:val="2"/>
      <w:sz w:val="26"/>
      <w:szCs w:val="21"/>
    </w:rPr>
  </w:style>
  <w:style w:type="paragraph" w:customStyle="1" w:styleId="158">
    <w:name w:val="样式 题注 + 居中"/>
    <w:basedOn w:val="16"/>
    <w:qFormat/>
    <w:uiPriority w:val="0"/>
    <w:pPr>
      <w:spacing w:before="152" w:after="160" w:line="360" w:lineRule="auto"/>
      <w:jc w:val="center"/>
    </w:pPr>
    <w:rPr>
      <w:rFonts w:ascii="Arial" w:hAnsi="Arial" w:cs="Times New Roman"/>
      <w:b/>
      <w:bCs/>
      <w:sz w:val="22"/>
    </w:rPr>
  </w:style>
  <w:style w:type="character" w:customStyle="1" w:styleId="159">
    <w:name w:val="font41"/>
    <w:basedOn w:val="47"/>
    <w:qFormat/>
    <w:uiPriority w:val="0"/>
    <w:rPr>
      <w:rFonts w:hint="eastAsia" w:ascii="宋体" w:hAnsi="宋体" w:eastAsia="宋体" w:cs="宋体"/>
      <w:color w:val="000000"/>
      <w:sz w:val="22"/>
      <w:szCs w:val="22"/>
      <w:u w:val="none"/>
      <w:vertAlign w:val="superscript"/>
    </w:rPr>
  </w:style>
  <w:style w:type="character" w:customStyle="1" w:styleId="160">
    <w:name w:val="font11"/>
    <w:basedOn w:val="47"/>
    <w:qFormat/>
    <w:uiPriority w:val="0"/>
    <w:rPr>
      <w:rFonts w:hint="eastAsia" w:ascii="宋体" w:hAnsi="宋体" w:eastAsia="宋体" w:cs="宋体"/>
      <w:color w:val="000000"/>
      <w:sz w:val="22"/>
      <w:szCs w:val="22"/>
      <w:u w:val="none"/>
    </w:rPr>
  </w:style>
  <w:style w:type="character" w:customStyle="1" w:styleId="161">
    <w:name w:val="font61"/>
    <w:basedOn w:val="47"/>
    <w:qFormat/>
    <w:uiPriority w:val="0"/>
    <w:rPr>
      <w:rFonts w:hint="eastAsia" w:ascii="宋体" w:hAnsi="宋体" w:eastAsia="宋体" w:cs="宋体"/>
      <w:color w:val="000000"/>
      <w:sz w:val="18"/>
      <w:szCs w:val="18"/>
      <w:u w:val="none"/>
      <w:vertAlign w:val="superscript"/>
    </w:rPr>
  </w:style>
  <w:style w:type="character" w:customStyle="1" w:styleId="162">
    <w:name w:val="水-注释格式 Char"/>
    <w:link w:val="86"/>
    <w:qFormat/>
    <w:uiPriority w:val="99"/>
    <w:rPr>
      <w:rFonts w:cs="Times New Roman"/>
      <w:color w:val="000000" w:themeColor="text1"/>
      <w:sz w:val="21"/>
      <w:szCs w:val="22"/>
      <w14:textFill>
        <w14:solidFill>
          <w14:schemeClr w14:val="tx1"/>
        </w14:solidFill>
      </w14:textFill>
      <w14:ligatures w14:val="none"/>
    </w:rPr>
  </w:style>
  <w:style w:type="paragraph" w:customStyle="1" w:styleId="163">
    <w:name w:val="Table Text"/>
    <w:basedOn w:val="1"/>
    <w:semiHidden/>
    <w:qFormat/>
    <w:uiPriority w:val="0"/>
    <w:rPr>
      <w:rFonts w:ascii="Times New Roman" w:hAnsi="Times New Roman" w:eastAsia="Times New Roman" w:cs="Times New Roman"/>
      <w:sz w:val="21"/>
      <w:szCs w:val="21"/>
      <w:lang w:val="en-US" w:eastAsia="en-US" w:bidi="ar-SA"/>
    </w:rPr>
  </w:style>
  <w:style w:type="character" w:customStyle="1" w:styleId="164">
    <w:name w:val="List Paragraph Char"/>
    <w:link w:val="84"/>
    <w:qFormat/>
    <w:uiPriority w:val="34"/>
  </w:style>
  <w:style w:type="paragraph" w:customStyle="1" w:styleId="165">
    <w:name w:val="Default"/>
    <w:qFormat/>
    <w:uiPriority w:val="0"/>
    <w:pPr>
      <w:widowControl w:val="0"/>
      <w:autoSpaceDE w:val="0"/>
      <w:autoSpaceDN w:val="0"/>
      <w:adjustRightInd w:val="0"/>
    </w:pPr>
    <w:rPr>
      <w:rFonts w:ascii="隶书" w:hAnsi="Times New Roman" w:eastAsia="隶书" w:cs="Times New Roman"/>
      <w:color w:val="000000"/>
      <w:sz w:val="24"/>
      <w:szCs w:val="24"/>
      <w:lang w:val="en-US" w:eastAsia="zh-CN" w:bidi="ar-SA"/>
    </w:rPr>
  </w:style>
  <w:style w:type="character" w:customStyle="1" w:styleId="166">
    <w:name w:val="font31"/>
    <w:basedOn w:val="47"/>
    <w:qFormat/>
    <w:uiPriority w:val="0"/>
    <w:rPr>
      <w:rFonts w:hint="default" w:ascii="Times New Roman" w:hAnsi="Times New Roman" w:cs="Times New Roman"/>
      <w:color w:val="000000"/>
      <w:sz w:val="21"/>
      <w:szCs w:val="21"/>
      <w:u w:val="none"/>
    </w:rPr>
  </w:style>
  <w:style w:type="character" w:customStyle="1" w:styleId="167">
    <w:name w:val="font21"/>
    <w:basedOn w:val="47"/>
    <w:qFormat/>
    <w:uiPriority w:val="0"/>
    <w:rPr>
      <w:rFonts w:hint="eastAsia" w:ascii="宋体" w:hAnsi="宋体" w:eastAsia="宋体" w:cs="宋体"/>
      <w:color w:val="000000"/>
      <w:sz w:val="21"/>
      <w:szCs w:val="21"/>
      <w:u w:val="none"/>
    </w:rPr>
  </w:style>
  <w:style w:type="character" w:customStyle="1" w:styleId="168">
    <w:name w:val="fontstyle01"/>
    <w:basedOn w:val="47"/>
    <w:qFormat/>
    <w:uiPriority w:val="0"/>
    <w:rPr>
      <w:rFonts w:ascii="仿宋_GB2312" w:hAnsi="仿宋_GB2312" w:eastAsia="仿宋_GB2312" w:cs="仿宋_GB2312"/>
      <w:color w:val="000000"/>
      <w:sz w:val="32"/>
      <w:szCs w:val="32"/>
    </w:rPr>
  </w:style>
  <w:style w:type="character" w:customStyle="1" w:styleId="169">
    <w:name w:val="fontstyle21"/>
    <w:basedOn w:val="47"/>
    <w:qFormat/>
    <w:uiPriority w:val="0"/>
    <w:rPr>
      <w:rFonts w:ascii="仿宋_GB2312" w:hAnsi="仿宋_GB2312" w:eastAsia="仿宋_GB2312" w:cs="仿宋_GB2312"/>
      <w:color w:val="000000"/>
      <w:sz w:val="32"/>
      <w:szCs w:val="32"/>
    </w:rPr>
  </w:style>
  <w:style w:type="character" w:customStyle="1" w:styleId="170">
    <w:name w:val="fontstyle31"/>
    <w:basedOn w:val="47"/>
    <w:qFormat/>
    <w:uiPriority w:val="0"/>
    <w:rPr>
      <w:rFonts w:ascii="FZSONGS--GB1-5" w:hAnsi="FZSONGS--GB1-5" w:eastAsia="FZSONGS--GB1-5" w:cs="FZSONGS--GB1-5"/>
      <w:color w:val="000000"/>
      <w:sz w:val="32"/>
      <w:szCs w:val="32"/>
    </w:rPr>
  </w:style>
  <w:style w:type="paragraph" w:customStyle="1" w:styleId="171">
    <w:name w:val="表头"/>
    <w:autoRedefine/>
    <w:qFormat/>
    <w:uiPriority w:val="0"/>
    <w:pPr>
      <w:adjustRightInd w:val="0"/>
      <w:snapToGrid w:val="0"/>
      <w:spacing w:line="360" w:lineRule="auto"/>
    </w:pPr>
    <w:rPr>
      <w:rFonts w:ascii="Times New Roman" w:hAnsi="Times New Roman" w:eastAsia="宋体" w:cs="Times New Roman"/>
      <w:b/>
      <w:snapToGrid w:val="0"/>
      <w:sz w:val="24"/>
      <w:szCs w:val="24"/>
      <w:lang w:val="en-US" w:eastAsia="zh-CN" w:bidi="ar-SA"/>
    </w:rPr>
  </w:style>
  <w:style w:type="paragraph" w:customStyle="1" w:styleId="172">
    <w:name w:val="Ar表文字"/>
    <w:autoRedefine/>
    <w:qFormat/>
    <w:uiPriority w:val="0"/>
    <w:pPr>
      <w:widowControl w:val="0"/>
      <w:spacing w:line="240" w:lineRule="atLeast"/>
      <w:jc w:val="center"/>
    </w:pPr>
    <w:rPr>
      <w:rFonts w:ascii="Times New Roman" w:hAnsi="Times New Roman" w:eastAsia="宋体" w:cstheme="minorBidi"/>
      <w:kern w:val="2"/>
      <w:sz w:val="21"/>
      <w:szCs w:val="21"/>
      <w:lang w:val="en-US" w:eastAsia="zh-CN" w:bidi="ar-SA"/>
    </w:rPr>
  </w:style>
  <w:style w:type="table" w:customStyle="1" w:styleId="173">
    <w:name w:val="表格lg"/>
    <w:basedOn w:val="45"/>
    <w:qFormat/>
    <w:uiPriority w:val="0"/>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style>
  <w:style w:type="character" w:customStyle="1" w:styleId="174">
    <w:name w:val="TOC 1 字符"/>
    <w:link w:val="31"/>
    <w:qFormat/>
    <w:uiPriority w:val="0"/>
    <w:rPr>
      <w:b/>
      <w:bCs/>
      <w:snapToGrid w:val="0"/>
    </w:rPr>
  </w:style>
  <w:style w:type="paragraph" w:customStyle="1" w:styleId="175">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176">
    <w:name w:val="zh表内左对齐"/>
    <w:qFormat/>
    <w:uiPriority w:val="0"/>
    <w:pPr>
      <w:jc w:val="both"/>
    </w:pPr>
    <w:rPr>
      <w:rFonts w:ascii="Times New Roman" w:hAnsi="Times New Roman" w:eastAsia="宋体" w:cs="Times New Roman"/>
      <w:snapToGrid w:val="0"/>
      <w:kern w:val="2"/>
      <w:sz w:val="22"/>
      <w:szCs w:val="24"/>
      <w:lang w:val="en-US" w:eastAsia="zh-CN" w:bidi="ar-SA"/>
    </w:rPr>
  </w:style>
  <w:style w:type="paragraph" w:customStyle="1" w:styleId="17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178">
    <w:name w:val="Table Grid_0"/>
    <w:basedOn w:val="4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9">
    <w:name w:val="表格内容（居中）"/>
    <w:autoRedefine/>
    <w:qFormat/>
    <w:uiPriority w:val="0"/>
    <w:pPr>
      <w:jc w:val="center"/>
    </w:pPr>
    <w:rPr>
      <w:rFonts w:ascii="Times New Roman" w:hAnsi="Times New Roman" w:eastAsia="宋体" w:cstheme="minorBidi"/>
      <w:bCs/>
      <w:kern w:val="2"/>
      <w:sz w:val="21"/>
      <w:szCs w:val="22"/>
      <w:lang w:val="en-US" w:eastAsia="zh-CN" w:bidi="ar-SA"/>
    </w:rPr>
  </w:style>
  <w:style w:type="character" w:customStyle="1" w:styleId="180">
    <w:name w:val="font01"/>
    <w:basedOn w:val="4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standalone='no'?>
<b:Sources xmlns:b="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13DD17-5820-4415-A516-E110CC635E3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96</Pages>
  <Words>20548</Words>
  <Characters>21379</Characters>
  <Lines>684</Lines>
  <Paragraphs>192</Paragraphs>
  <TotalTime>34</TotalTime>
  <ScaleCrop>false</ScaleCrop>
  <LinksUpToDate>false</LinksUpToDate>
  <CharactersWithSpaces>21553</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2025-03-11T10:24:00Z</dcterms:created>
  <dc:creator>Windows 用户</dc:creator>
  <cp:lastModifiedBy>XHX-HBJ-0013</cp:lastModifiedBy>
  <cp:lastPrinted>2025-03-20T14:14:00Z</cp:lastPrinted>
  <dcterms:modified xsi:type="dcterms:W3CDTF">2026-01-19T15:33:58Z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5884111A8857928566DE6D698825310C_43</vt:lpwstr>
  </property>
  <property fmtid="{D5CDD505-2E9C-101B-9397-08002B2CF9AE}" pid="4" name="KSOTemplateDocerSaveRecord">
    <vt:lpwstr>eyJoZGlkIjoiNDExODdiYWU3ZDM5N2E5NTVkYzQ1NTQ4NWI0OTVkZjUiLCJ1c2VySWQiOiIyODAyODUxMzkifQ==</vt:lpwstr>
  </property>
</Properties>
</file>