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D4C4BE">
      <w:pPr>
        <w:jc w:val="center"/>
        <w:rPr>
          <w:rFonts w:eastAsia="仿宋_GB2312"/>
          <w:szCs w:val="21"/>
        </w:rPr>
      </w:pPr>
      <w:bookmarkStart w:id="0" w:name="_Toc9909"/>
    </w:p>
    <w:p w14:paraId="1C67BC8C">
      <w:pPr>
        <w:jc w:val="center"/>
        <w:rPr>
          <w:rFonts w:eastAsia="仿宋_GB2312"/>
          <w:szCs w:val="21"/>
        </w:rPr>
      </w:pPr>
    </w:p>
    <w:p w14:paraId="70E986B9">
      <w:pPr>
        <w:jc w:val="center"/>
        <w:rPr>
          <w:rFonts w:eastAsia="仿宋_GB2312"/>
          <w:szCs w:val="21"/>
        </w:rPr>
      </w:pPr>
    </w:p>
    <w:p w14:paraId="5296EAA5">
      <w:pPr>
        <w:jc w:val="center"/>
        <w:rPr>
          <w:rFonts w:eastAsia="仿宋_GB2312"/>
          <w:szCs w:val="21"/>
        </w:rPr>
      </w:pPr>
    </w:p>
    <w:p w14:paraId="31DE5476">
      <w:pPr>
        <w:adjustRightInd w:val="0"/>
        <w:snapToGrid w:val="0"/>
        <w:jc w:val="center"/>
        <w:rPr>
          <w:rFonts w:eastAsia="方正小标宋_GBK"/>
          <w:bCs/>
          <w:kern w:val="21"/>
          <w:sz w:val="72"/>
          <w:szCs w:val="72"/>
        </w:rPr>
      </w:pPr>
      <w:r>
        <w:rPr>
          <w:rFonts w:eastAsia="方正小标宋_GBK"/>
          <w:bCs/>
          <w:kern w:val="21"/>
          <w:sz w:val="72"/>
          <w:szCs w:val="72"/>
        </w:rPr>
        <w:t>建设项目环境影响报告表</w:t>
      </w:r>
    </w:p>
    <w:p w14:paraId="68691842">
      <w:pPr>
        <w:adjustRightInd w:val="0"/>
        <w:snapToGrid w:val="0"/>
        <w:spacing w:before="249" w:beforeLines="80"/>
        <w:jc w:val="center"/>
        <w:rPr>
          <w:rFonts w:eastAsia="楷体_GB2312"/>
          <w:bCs/>
          <w:kern w:val="21"/>
          <w:sz w:val="48"/>
          <w:szCs w:val="48"/>
        </w:rPr>
      </w:pPr>
      <w:r>
        <w:rPr>
          <w:rFonts w:eastAsia="楷体_GB2312"/>
          <w:bCs/>
          <w:kern w:val="21"/>
          <w:sz w:val="48"/>
          <w:szCs w:val="48"/>
        </w:rPr>
        <w:t>（污染影响类）</w:t>
      </w:r>
    </w:p>
    <w:p w14:paraId="0555B094">
      <w:pPr>
        <w:ind w:firstLine="1040"/>
        <w:jc w:val="center"/>
        <w:rPr>
          <w:rFonts w:eastAsia="仿宋"/>
          <w:szCs w:val="21"/>
        </w:rPr>
      </w:pPr>
    </w:p>
    <w:p w14:paraId="2EE5C6EC">
      <w:pPr>
        <w:pStyle w:val="26"/>
        <w:spacing w:after="0" w:line="360" w:lineRule="auto"/>
        <w:ind w:left="0" w:leftChars="0"/>
        <w:jc w:val="center"/>
        <w:rPr>
          <w:sz w:val="36"/>
          <w:szCs w:val="44"/>
        </w:rPr>
      </w:pPr>
      <w:r>
        <w:rPr>
          <w:rFonts w:hint="eastAsia"/>
          <w:sz w:val="36"/>
          <w:szCs w:val="44"/>
        </w:rPr>
        <w:t>（</w:t>
      </w:r>
      <w:r>
        <w:rPr>
          <w:rFonts w:hint="eastAsia"/>
          <w:sz w:val="36"/>
          <w:szCs w:val="44"/>
          <w:lang w:val="en-US" w:eastAsia="zh-CN"/>
        </w:rPr>
        <w:t>公示</w:t>
      </w:r>
      <w:r>
        <w:rPr>
          <w:rFonts w:hint="eastAsia"/>
          <w:sz w:val="36"/>
          <w:szCs w:val="44"/>
        </w:rPr>
        <w:t>本）</w:t>
      </w:r>
    </w:p>
    <w:p w14:paraId="357DBB07">
      <w:pPr>
        <w:pStyle w:val="26"/>
        <w:ind w:left="420"/>
      </w:pPr>
    </w:p>
    <w:p w14:paraId="2B47687A">
      <w:pPr>
        <w:pStyle w:val="26"/>
        <w:ind w:left="420"/>
      </w:pPr>
    </w:p>
    <w:p w14:paraId="3292E92E">
      <w:pPr>
        <w:pStyle w:val="26"/>
        <w:ind w:left="420"/>
      </w:pPr>
    </w:p>
    <w:p w14:paraId="7C5B060F">
      <w:pPr>
        <w:pStyle w:val="26"/>
        <w:ind w:left="420"/>
      </w:pPr>
    </w:p>
    <w:p w14:paraId="64F0C677">
      <w:pPr>
        <w:ind w:firstLine="1040"/>
        <w:jc w:val="center"/>
        <w:rPr>
          <w:rFonts w:eastAsia="仿宋"/>
          <w:szCs w:val="21"/>
        </w:rPr>
      </w:pPr>
    </w:p>
    <w:p w14:paraId="0DF867C5">
      <w:pPr>
        <w:ind w:firstLine="1040"/>
        <w:jc w:val="center"/>
        <w:rPr>
          <w:rFonts w:eastAsia="仿宋"/>
          <w:szCs w:val="21"/>
        </w:rPr>
      </w:pPr>
    </w:p>
    <w:p w14:paraId="04FBBDC5">
      <w:pPr>
        <w:ind w:firstLine="1040"/>
        <w:jc w:val="center"/>
        <w:rPr>
          <w:rFonts w:eastAsia="仿宋"/>
          <w:szCs w:val="21"/>
        </w:rPr>
      </w:pPr>
    </w:p>
    <w:p w14:paraId="10F05AA7">
      <w:pPr>
        <w:ind w:firstLine="1040"/>
        <w:jc w:val="center"/>
        <w:rPr>
          <w:rFonts w:eastAsia="仿宋"/>
          <w:szCs w:val="21"/>
        </w:rPr>
      </w:pPr>
    </w:p>
    <w:p w14:paraId="54BBDBB5">
      <w:pPr>
        <w:ind w:firstLine="1040"/>
        <w:jc w:val="center"/>
        <w:rPr>
          <w:rFonts w:eastAsia="仿宋"/>
          <w:szCs w:val="21"/>
        </w:rPr>
      </w:pPr>
    </w:p>
    <w:p w14:paraId="2D9837FF">
      <w:pPr>
        <w:tabs>
          <w:tab w:val="left" w:pos="993"/>
        </w:tabs>
        <w:adjustRightInd w:val="0"/>
        <w:snapToGrid w:val="0"/>
        <w:spacing w:line="288" w:lineRule="auto"/>
        <w:ind w:left="2944" w:leftChars="202" w:hanging="2520" w:hangingChars="700"/>
        <w:rPr>
          <w:rFonts w:eastAsia="仿宋_GB2312"/>
          <w:kern w:val="21"/>
          <w:sz w:val="36"/>
          <w:szCs w:val="36"/>
          <w:u w:val="single"/>
        </w:rPr>
      </w:pPr>
      <w:r>
        <w:rPr>
          <w:rFonts w:eastAsia="仿宋_GB2312"/>
          <w:kern w:val="21"/>
          <w:sz w:val="36"/>
          <w:szCs w:val="36"/>
        </w:rPr>
        <w:t>项</w:t>
      </w:r>
      <w:r>
        <w:rPr>
          <w:rFonts w:hint="eastAsia" w:eastAsia="仿宋_GB2312"/>
          <w:kern w:val="21"/>
          <w:sz w:val="36"/>
          <w:szCs w:val="36"/>
        </w:rPr>
        <w:t xml:space="preserve"> </w:t>
      </w:r>
      <w:r>
        <w:rPr>
          <w:rFonts w:eastAsia="仿宋_GB2312"/>
          <w:kern w:val="21"/>
          <w:sz w:val="36"/>
          <w:szCs w:val="36"/>
        </w:rPr>
        <w:t>目</w:t>
      </w:r>
      <w:r>
        <w:rPr>
          <w:rFonts w:hint="eastAsia" w:eastAsia="仿宋_GB2312"/>
          <w:kern w:val="21"/>
          <w:sz w:val="36"/>
          <w:szCs w:val="36"/>
        </w:rPr>
        <w:t xml:space="preserve"> </w:t>
      </w:r>
      <w:r>
        <w:rPr>
          <w:rFonts w:eastAsia="仿宋_GB2312"/>
          <w:kern w:val="21"/>
          <w:sz w:val="36"/>
          <w:szCs w:val="36"/>
        </w:rPr>
        <w:t>名</w:t>
      </w:r>
      <w:r>
        <w:rPr>
          <w:rFonts w:hint="eastAsia" w:eastAsia="仿宋_GB2312"/>
          <w:kern w:val="21"/>
          <w:sz w:val="36"/>
          <w:szCs w:val="36"/>
        </w:rPr>
        <w:t xml:space="preserve"> </w:t>
      </w:r>
      <w:r>
        <w:rPr>
          <w:rFonts w:eastAsia="仿宋_GB2312"/>
          <w:kern w:val="21"/>
          <w:sz w:val="36"/>
          <w:szCs w:val="36"/>
        </w:rPr>
        <w:t>称</w:t>
      </w:r>
      <w:r>
        <w:rPr>
          <w:rFonts w:hint="eastAsia" w:eastAsia="仿宋_GB2312"/>
          <w:kern w:val="21"/>
          <w:sz w:val="36"/>
          <w:szCs w:val="36"/>
        </w:rPr>
        <w:t>：</w:t>
      </w:r>
      <w:r>
        <w:rPr>
          <w:rFonts w:hint="eastAsia" w:eastAsia="仿宋_GB2312"/>
          <w:kern w:val="21"/>
          <w:sz w:val="36"/>
          <w:szCs w:val="36"/>
          <w:u w:val="single"/>
        </w:rPr>
        <w:t>乙二醇装置工艺废气回收制高纯液</w:t>
      </w:r>
    </w:p>
    <w:p w14:paraId="76660097">
      <w:pPr>
        <w:tabs>
          <w:tab w:val="left" w:pos="993"/>
        </w:tabs>
        <w:adjustRightInd w:val="0"/>
        <w:snapToGrid w:val="0"/>
        <w:spacing w:line="288" w:lineRule="auto"/>
        <w:ind w:left="2944" w:leftChars="202" w:hanging="2520" w:hangingChars="700"/>
        <w:rPr>
          <w:rFonts w:eastAsia="仿宋_GB2312"/>
          <w:kern w:val="21"/>
          <w:sz w:val="36"/>
          <w:szCs w:val="36"/>
          <w:u w:val="single"/>
        </w:rPr>
      </w:pPr>
      <w:r>
        <w:rPr>
          <w:rFonts w:hint="eastAsia" w:eastAsia="仿宋_GB2312"/>
          <w:kern w:val="21"/>
          <w:sz w:val="36"/>
          <w:szCs w:val="36"/>
          <w:u w:val="single"/>
        </w:rPr>
        <w:t>态二氧化碳技改项目</w:t>
      </w:r>
    </w:p>
    <w:p w14:paraId="054A6719">
      <w:pPr>
        <w:tabs>
          <w:tab w:val="left" w:pos="993"/>
        </w:tabs>
        <w:adjustRightInd w:val="0"/>
        <w:snapToGrid w:val="0"/>
        <w:spacing w:line="288" w:lineRule="auto"/>
        <w:ind w:left="424" w:leftChars="202"/>
        <w:jc w:val="left"/>
        <w:rPr>
          <w:rFonts w:eastAsia="仿宋_GB2312"/>
          <w:kern w:val="21"/>
          <w:sz w:val="36"/>
          <w:szCs w:val="36"/>
        </w:rPr>
      </w:pPr>
      <w:r>
        <w:rPr>
          <w:rFonts w:eastAsia="仿宋_GB2312"/>
          <w:kern w:val="21"/>
          <w:sz w:val="36"/>
          <w:szCs w:val="36"/>
        </w:rPr>
        <w:t>建设单位</w:t>
      </w:r>
      <w:r>
        <w:rPr>
          <w:rFonts w:hint="eastAsia" w:eastAsia="仿宋_GB2312"/>
          <w:kern w:val="21"/>
          <w:sz w:val="36"/>
          <w:szCs w:val="36"/>
        </w:rPr>
        <w:t>(</w:t>
      </w:r>
      <w:r>
        <w:rPr>
          <w:rFonts w:eastAsia="仿宋_GB2312"/>
          <w:kern w:val="21"/>
          <w:sz w:val="36"/>
          <w:szCs w:val="36"/>
        </w:rPr>
        <w:t>盖章</w:t>
      </w:r>
      <w:r>
        <w:rPr>
          <w:rFonts w:hint="eastAsia" w:eastAsia="仿宋_GB2312"/>
          <w:kern w:val="21"/>
          <w:sz w:val="36"/>
          <w:szCs w:val="36"/>
        </w:rPr>
        <w:t>)：</w:t>
      </w:r>
      <w:r>
        <w:rPr>
          <w:rFonts w:hint="eastAsia" w:eastAsia="仿宋_GB2312"/>
          <w:kern w:val="21"/>
          <w:sz w:val="36"/>
          <w:szCs w:val="36"/>
          <w:u w:val="single"/>
        </w:rPr>
        <w:t>四川正达凯新材料有限公司</w:t>
      </w:r>
    </w:p>
    <w:p w14:paraId="29CAD9FF">
      <w:pPr>
        <w:tabs>
          <w:tab w:val="left" w:pos="993"/>
        </w:tabs>
        <w:adjustRightInd w:val="0"/>
        <w:snapToGrid w:val="0"/>
        <w:spacing w:line="288" w:lineRule="auto"/>
        <w:ind w:left="424" w:leftChars="202"/>
        <w:jc w:val="left"/>
        <w:rPr>
          <w:rFonts w:eastAsia="仿宋_GB2312"/>
          <w:kern w:val="21"/>
          <w:sz w:val="36"/>
          <w:szCs w:val="36"/>
        </w:rPr>
      </w:pPr>
      <w:r>
        <w:rPr>
          <w:rFonts w:eastAsia="仿宋_GB2312"/>
          <w:kern w:val="21"/>
          <w:sz w:val="36"/>
          <w:szCs w:val="36"/>
        </w:rPr>
        <w:t>编</w:t>
      </w:r>
      <w:r>
        <w:rPr>
          <w:rFonts w:hint="eastAsia" w:eastAsia="仿宋_GB2312"/>
          <w:kern w:val="21"/>
          <w:sz w:val="36"/>
          <w:szCs w:val="36"/>
        </w:rPr>
        <w:t xml:space="preserve"> </w:t>
      </w:r>
      <w:r>
        <w:rPr>
          <w:rFonts w:eastAsia="仿宋_GB2312"/>
          <w:kern w:val="21"/>
          <w:sz w:val="36"/>
          <w:szCs w:val="36"/>
        </w:rPr>
        <w:t>制</w:t>
      </w:r>
      <w:r>
        <w:rPr>
          <w:rFonts w:hint="eastAsia" w:eastAsia="仿宋_GB2312"/>
          <w:kern w:val="21"/>
          <w:sz w:val="36"/>
          <w:szCs w:val="36"/>
        </w:rPr>
        <w:t xml:space="preserve"> </w:t>
      </w:r>
      <w:r>
        <w:rPr>
          <w:rFonts w:eastAsia="仿宋_GB2312"/>
          <w:kern w:val="21"/>
          <w:sz w:val="36"/>
          <w:szCs w:val="36"/>
        </w:rPr>
        <w:t>日</w:t>
      </w:r>
      <w:r>
        <w:rPr>
          <w:rFonts w:hint="eastAsia" w:eastAsia="仿宋_GB2312"/>
          <w:kern w:val="21"/>
          <w:sz w:val="36"/>
          <w:szCs w:val="36"/>
        </w:rPr>
        <w:t xml:space="preserve"> </w:t>
      </w:r>
      <w:r>
        <w:rPr>
          <w:rFonts w:eastAsia="仿宋_GB2312"/>
          <w:kern w:val="21"/>
          <w:sz w:val="36"/>
          <w:szCs w:val="36"/>
        </w:rPr>
        <w:t>期：</w:t>
      </w:r>
      <w:bookmarkStart w:id="1" w:name="_Hlk57884087"/>
      <w:r>
        <w:rPr>
          <w:rFonts w:eastAsia="仿宋_GB2312"/>
          <w:kern w:val="21"/>
          <w:sz w:val="36"/>
          <w:szCs w:val="36"/>
          <w:u w:val="single"/>
        </w:rPr>
        <w:t>202</w:t>
      </w:r>
      <w:r>
        <w:rPr>
          <w:rFonts w:hint="eastAsia" w:eastAsia="仿宋_GB2312"/>
          <w:kern w:val="21"/>
          <w:sz w:val="36"/>
          <w:szCs w:val="36"/>
          <w:u w:val="single"/>
          <w:lang w:val="en-US" w:eastAsia="zh-CN"/>
        </w:rPr>
        <w:t>6</w:t>
      </w:r>
      <w:r>
        <w:rPr>
          <w:rFonts w:eastAsia="仿宋_GB2312"/>
          <w:kern w:val="21"/>
          <w:sz w:val="36"/>
          <w:szCs w:val="36"/>
          <w:u w:val="single"/>
        </w:rPr>
        <w:t>年</w:t>
      </w:r>
      <w:r>
        <w:rPr>
          <w:rFonts w:hint="eastAsia" w:eastAsia="仿宋_GB2312"/>
          <w:kern w:val="21"/>
          <w:sz w:val="36"/>
          <w:szCs w:val="36"/>
          <w:u w:val="single"/>
          <w:lang w:val="en-US" w:eastAsia="zh-CN"/>
        </w:rPr>
        <w:t>1</w:t>
      </w:r>
      <w:r>
        <w:rPr>
          <w:rFonts w:eastAsia="仿宋_GB2312"/>
          <w:kern w:val="21"/>
          <w:sz w:val="36"/>
          <w:szCs w:val="36"/>
          <w:u w:val="single"/>
        </w:rPr>
        <w:t>月</w:t>
      </w:r>
    </w:p>
    <w:p w14:paraId="4B961536">
      <w:pPr>
        <w:adjustRightInd w:val="0"/>
        <w:snapToGrid w:val="0"/>
        <w:spacing w:line="288" w:lineRule="auto"/>
        <w:ind w:firstLine="1040"/>
        <w:jc w:val="center"/>
        <w:rPr>
          <w:rFonts w:eastAsia="仿宋_GB2312"/>
          <w:szCs w:val="21"/>
        </w:rPr>
      </w:pPr>
    </w:p>
    <w:p w14:paraId="1CFB7E91">
      <w:pPr>
        <w:adjustRightInd w:val="0"/>
        <w:snapToGrid w:val="0"/>
        <w:spacing w:line="288" w:lineRule="auto"/>
        <w:ind w:firstLine="1040"/>
        <w:jc w:val="center"/>
        <w:rPr>
          <w:rFonts w:eastAsia="仿宋_GB2312"/>
          <w:szCs w:val="21"/>
        </w:rPr>
      </w:pPr>
    </w:p>
    <w:p w14:paraId="72E9BB36">
      <w:pPr>
        <w:adjustRightInd w:val="0"/>
        <w:snapToGrid w:val="0"/>
        <w:spacing w:line="288" w:lineRule="auto"/>
        <w:ind w:firstLine="1040"/>
        <w:jc w:val="center"/>
        <w:rPr>
          <w:rFonts w:eastAsia="仿宋_GB2312"/>
          <w:szCs w:val="21"/>
        </w:rPr>
      </w:pPr>
    </w:p>
    <w:p w14:paraId="0A5736C0">
      <w:pPr>
        <w:pStyle w:val="26"/>
        <w:ind w:left="420"/>
      </w:pPr>
    </w:p>
    <w:p w14:paraId="37DFE5C9">
      <w:pPr>
        <w:pStyle w:val="26"/>
        <w:ind w:left="0" w:leftChars="0"/>
      </w:pPr>
    </w:p>
    <w:p w14:paraId="0CF95058"/>
    <w:bookmarkEnd w:id="1"/>
    <w:p w14:paraId="160157C0">
      <w:pPr>
        <w:jc w:val="center"/>
      </w:pPr>
      <w:r>
        <w:rPr>
          <w:rFonts w:eastAsia="楷体_GB2312"/>
          <w:kern w:val="21"/>
          <w:sz w:val="36"/>
          <w:szCs w:val="36"/>
        </w:rPr>
        <w:t>中华人民共和国生态环境部制</w:t>
      </w:r>
    </w:p>
    <w:p w14:paraId="069C7E23">
      <w:pPr>
        <w:rPr>
          <w:rFonts w:hint="eastAsia" w:ascii="宋体" w:hAnsi="宋体" w:cs="宋体"/>
          <w:b/>
          <w:bCs/>
          <w:sz w:val="24"/>
          <w:lang w:bidi="ar"/>
        </w:rPr>
      </w:pPr>
      <w:r>
        <w:rPr>
          <w:rFonts w:hint="eastAsia" w:ascii="宋体" w:hAnsi="宋体" w:cs="宋体"/>
          <w:b/>
          <w:bCs/>
          <w:sz w:val="24"/>
          <w:lang w:bidi="ar"/>
        </w:rPr>
        <w:br w:type="page"/>
      </w:r>
    </w:p>
    <w:sdt>
      <w:sdtPr>
        <w:rPr>
          <w:rFonts w:ascii="宋体" w:hAnsi="宋体"/>
          <w:b/>
          <w:bCs/>
          <w:sz w:val="32"/>
          <w:szCs w:val="32"/>
        </w:rPr>
        <w:id w:val="147471805"/>
        <w:docPartObj>
          <w:docPartGallery w:val="Table of Contents"/>
          <w:docPartUnique/>
        </w:docPartObj>
      </w:sdtPr>
      <w:sdtEndPr>
        <w:rPr>
          <w:rFonts w:ascii="宋体" w:hAnsi="宋体"/>
          <w:b/>
          <w:bCs/>
          <w:sz w:val="32"/>
          <w:szCs w:val="32"/>
        </w:rPr>
      </w:sdtEndPr>
      <w:sdtContent>
        <w:p w14:paraId="2773AE37">
          <w:pPr>
            <w:jc w:val="center"/>
          </w:pPr>
          <w:r>
            <w:rPr>
              <w:rFonts w:ascii="宋体" w:hAnsi="宋体"/>
              <w:b/>
              <w:bCs/>
              <w:sz w:val="32"/>
              <w:szCs w:val="32"/>
            </w:rPr>
            <w:t>目录</w:t>
          </w:r>
          <w:r>
            <w:fldChar w:fldCharType="begin"/>
          </w:r>
          <w:r>
            <w:instrText xml:space="preserve">TOC \o "1-1" \h \u </w:instrText>
          </w:r>
          <w:r>
            <w:fldChar w:fldCharType="separate"/>
          </w:r>
        </w:p>
        <w:p w14:paraId="1BE516E1">
          <w:pPr>
            <w:pStyle w:val="30"/>
            <w:tabs>
              <w:tab w:val="right" w:leader="dot" w:pos="8302"/>
            </w:tabs>
            <w:ind w:firstLine="0" w:firstLineChars="0"/>
            <w:rPr>
              <w:color w:val="auto"/>
              <w:szCs w:val="20"/>
            </w:rPr>
          </w:pPr>
          <w:r>
            <w:fldChar w:fldCharType="begin"/>
          </w:r>
          <w:r>
            <w:instrText xml:space="preserve"> HYPERLINK \l "_Toc9909" </w:instrText>
          </w:r>
          <w:r>
            <w:fldChar w:fldCharType="separate"/>
          </w:r>
          <w:r>
            <w:rPr>
              <w:color w:val="auto"/>
              <w:szCs w:val="20"/>
            </w:rPr>
            <w:t>一、建设项目基本情况</w:t>
          </w:r>
          <w:r>
            <w:rPr>
              <w:color w:val="auto"/>
              <w:szCs w:val="20"/>
            </w:rPr>
            <w:tab/>
          </w:r>
          <w:r>
            <w:rPr>
              <w:color w:val="auto"/>
              <w:szCs w:val="20"/>
            </w:rPr>
            <w:fldChar w:fldCharType="begin"/>
          </w:r>
          <w:r>
            <w:rPr>
              <w:color w:val="auto"/>
              <w:szCs w:val="20"/>
            </w:rPr>
            <w:instrText xml:space="preserve"> PAGEREF _Toc9909 \h </w:instrText>
          </w:r>
          <w:r>
            <w:rPr>
              <w:color w:val="auto"/>
              <w:szCs w:val="20"/>
            </w:rPr>
            <w:fldChar w:fldCharType="separate"/>
          </w:r>
          <w:r>
            <w:rPr>
              <w:color w:val="auto"/>
              <w:szCs w:val="20"/>
            </w:rPr>
            <w:t>1</w:t>
          </w:r>
          <w:r>
            <w:rPr>
              <w:color w:val="auto"/>
              <w:szCs w:val="20"/>
            </w:rPr>
            <w:fldChar w:fldCharType="end"/>
          </w:r>
          <w:r>
            <w:rPr>
              <w:color w:val="auto"/>
              <w:szCs w:val="20"/>
            </w:rPr>
            <w:fldChar w:fldCharType="end"/>
          </w:r>
        </w:p>
        <w:p w14:paraId="6ACFC003">
          <w:pPr>
            <w:pStyle w:val="30"/>
            <w:tabs>
              <w:tab w:val="right" w:leader="dot" w:pos="8302"/>
            </w:tabs>
            <w:ind w:firstLine="0" w:firstLineChars="0"/>
            <w:rPr>
              <w:color w:val="auto"/>
              <w:szCs w:val="20"/>
            </w:rPr>
          </w:pPr>
          <w:r>
            <w:fldChar w:fldCharType="begin"/>
          </w:r>
          <w:r>
            <w:instrText xml:space="preserve"> HYPERLINK \l "_Toc3221" </w:instrText>
          </w:r>
          <w:r>
            <w:fldChar w:fldCharType="separate"/>
          </w:r>
          <w:r>
            <w:rPr>
              <w:color w:val="auto"/>
              <w:szCs w:val="20"/>
            </w:rPr>
            <w:t>二、建设项目工程分析</w:t>
          </w:r>
          <w:r>
            <w:rPr>
              <w:color w:val="auto"/>
              <w:szCs w:val="20"/>
            </w:rPr>
            <w:tab/>
          </w:r>
          <w:r>
            <w:rPr>
              <w:color w:val="auto"/>
              <w:szCs w:val="20"/>
            </w:rPr>
            <w:fldChar w:fldCharType="begin"/>
          </w:r>
          <w:r>
            <w:rPr>
              <w:color w:val="auto"/>
              <w:szCs w:val="20"/>
            </w:rPr>
            <w:instrText xml:space="preserve"> PAGEREF _Toc3221 \h </w:instrText>
          </w:r>
          <w:r>
            <w:rPr>
              <w:color w:val="auto"/>
              <w:szCs w:val="20"/>
            </w:rPr>
            <w:fldChar w:fldCharType="separate"/>
          </w:r>
          <w:r>
            <w:rPr>
              <w:color w:val="auto"/>
              <w:szCs w:val="20"/>
            </w:rPr>
            <w:t>36</w:t>
          </w:r>
          <w:r>
            <w:rPr>
              <w:color w:val="auto"/>
              <w:szCs w:val="20"/>
            </w:rPr>
            <w:fldChar w:fldCharType="end"/>
          </w:r>
          <w:r>
            <w:rPr>
              <w:color w:val="auto"/>
              <w:szCs w:val="20"/>
            </w:rPr>
            <w:fldChar w:fldCharType="end"/>
          </w:r>
        </w:p>
        <w:p w14:paraId="69929BC3">
          <w:pPr>
            <w:pStyle w:val="30"/>
            <w:tabs>
              <w:tab w:val="right" w:leader="dot" w:pos="8302"/>
            </w:tabs>
            <w:ind w:firstLine="0" w:firstLineChars="0"/>
            <w:rPr>
              <w:color w:val="auto"/>
              <w:szCs w:val="20"/>
            </w:rPr>
          </w:pPr>
          <w:r>
            <w:fldChar w:fldCharType="begin"/>
          </w:r>
          <w:r>
            <w:instrText xml:space="preserve"> HYPERLINK \l "_Toc14094" </w:instrText>
          </w:r>
          <w:r>
            <w:fldChar w:fldCharType="separate"/>
          </w:r>
          <w:r>
            <w:rPr>
              <w:color w:val="auto"/>
              <w:szCs w:val="20"/>
            </w:rPr>
            <w:t>三、区域环境质量现状、环境保护目标及评价标准</w:t>
          </w:r>
          <w:r>
            <w:rPr>
              <w:color w:val="auto"/>
              <w:szCs w:val="20"/>
            </w:rPr>
            <w:tab/>
          </w:r>
          <w:r>
            <w:rPr>
              <w:color w:val="auto"/>
              <w:szCs w:val="20"/>
            </w:rPr>
            <w:fldChar w:fldCharType="begin"/>
          </w:r>
          <w:r>
            <w:rPr>
              <w:color w:val="auto"/>
              <w:szCs w:val="20"/>
            </w:rPr>
            <w:instrText xml:space="preserve"> PAGEREF _Toc14094 \h </w:instrText>
          </w:r>
          <w:r>
            <w:rPr>
              <w:color w:val="auto"/>
              <w:szCs w:val="20"/>
            </w:rPr>
            <w:fldChar w:fldCharType="separate"/>
          </w:r>
          <w:r>
            <w:rPr>
              <w:color w:val="auto"/>
              <w:szCs w:val="20"/>
            </w:rPr>
            <w:t>52</w:t>
          </w:r>
          <w:r>
            <w:rPr>
              <w:color w:val="auto"/>
              <w:szCs w:val="20"/>
            </w:rPr>
            <w:fldChar w:fldCharType="end"/>
          </w:r>
          <w:r>
            <w:rPr>
              <w:color w:val="auto"/>
              <w:szCs w:val="20"/>
            </w:rPr>
            <w:fldChar w:fldCharType="end"/>
          </w:r>
        </w:p>
        <w:p w14:paraId="0896C7E9">
          <w:pPr>
            <w:pStyle w:val="30"/>
            <w:tabs>
              <w:tab w:val="right" w:leader="dot" w:pos="8302"/>
            </w:tabs>
            <w:ind w:firstLine="0" w:firstLineChars="0"/>
            <w:rPr>
              <w:color w:val="auto"/>
              <w:szCs w:val="20"/>
            </w:rPr>
          </w:pPr>
          <w:r>
            <w:fldChar w:fldCharType="begin"/>
          </w:r>
          <w:r>
            <w:instrText xml:space="preserve"> HYPERLINK \l "_Toc3586" </w:instrText>
          </w:r>
          <w:r>
            <w:fldChar w:fldCharType="separate"/>
          </w:r>
          <w:r>
            <w:rPr>
              <w:color w:val="auto"/>
              <w:szCs w:val="20"/>
            </w:rPr>
            <w:t>四、主要环境影响和保护措施</w:t>
          </w:r>
          <w:r>
            <w:rPr>
              <w:color w:val="auto"/>
              <w:szCs w:val="20"/>
            </w:rPr>
            <w:tab/>
          </w:r>
          <w:r>
            <w:rPr>
              <w:color w:val="auto"/>
              <w:szCs w:val="20"/>
            </w:rPr>
            <w:fldChar w:fldCharType="begin"/>
          </w:r>
          <w:r>
            <w:rPr>
              <w:color w:val="auto"/>
              <w:szCs w:val="20"/>
            </w:rPr>
            <w:instrText xml:space="preserve"> PAGEREF _Toc3586 \h </w:instrText>
          </w:r>
          <w:r>
            <w:rPr>
              <w:color w:val="auto"/>
              <w:szCs w:val="20"/>
            </w:rPr>
            <w:fldChar w:fldCharType="separate"/>
          </w:r>
          <w:r>
            <w:rPr>
              <w:color w:val="auto"/>
              <w:szCs w:val="20"/>
            </w:rPr>
            <w:t>58</w:t>
          </w:r>
          <w:r>
            <w:rPr>
              <w:color w:val="auto"/>
              <w:szCs w:val="20"/>
            </w:rPr>
            <w:fldChar w:fldCharType="end"/>
          </w:r>
          <w:r>
            <w:rPr>
              <w:color w:val="auto"/>
              <w:szCs w:val="20"/>
            </w:rPr>
            <w:fldChar w:fldCharType="end"/>
          </w:r>
        </w:p>
        <w:p w14:paraId="2DA8CAFA">
          <w:pPr>
            <w:pStyle w:val="30"/>
            <w:tabs>
              <w:tab w:val="right" w:leader="dot" w:pos="8302"/>
            </w:tabs>
            <w:ind w:firstLine="0" w:firstLineChars="0"/>
            <w:rPr>
              <w:color w:val="auto"/>
              <w:szCs w:val="20"/>
            </w:rPr>
          </w:pPr>
          <w:r>
            <w:fldChar w:fldCharType="begin"/>
          </w:r>
          <w:r>
            <w:instrText xml:space="preserve"> HYPERLINK \l "_Toc1530" </w:instrText>
          </w:r>
          <w:r>
            <w:fldChar w:fldCharType="separate"/>
          </w:r>
          <w:r>
            <w:rPr>
              <w:color w:val="auto"/>
              <w:szCs w:val="20"/>
            </w:rPr>
            <w:t>五、环境保护措施监督检查清单</w:t>
          </w:r>
          <w:r>
            <w:rPr>
              <w:color w:val="auto"/>
              <w:szCs w:val="20"/>
            </w:rPr>
            <w:tab/>
          </w:r>
          <w:r>
            <w:rPr>
              <w:color w:val="auto"/>
              <w:szCs w:val="20"/>
            </w:rPr>
            <w:fldChar w:fldCharType="begin"/>
          </w:r>
          <w:r>
            <w:rPr>
              <w:color w:val="auto"/>
              <w:szCs w:val="20"/>
            </w:rPr>
            <w:instrText xml:space="preserve"> PAGEREF _Toc1530 \h </w:instrText>
          </w:r>
          <w:r>
            <w:rPr>
              <w:color w:val="auto"/>
              <w:szCs w:val="20"/>
            </w:rPr>
            <w:fldChar w:fldCharType="separate"/>
          </w:r>
          <w:r>
            <w:rPr>
              <w:color w:val="auto"/>
              <w:szCs w:val="20"/>
            </w:rPr>
            <w:t>76</w:t>
          </w:r>
          <w:r>
            <w:rPr>
              <w:color w:val="auto"/>
              <w:szCs w:val="20"/>
            </w:rPr>
            <w:fldChar w:fldCharType="end"/>
          </w:r>
          <w:r>
            <w:rPr>
              <w:color w:val="auto"/>
              <w:szCs w:val="20"/>
            </w:rPr>
            <w:fldChar w:fldCharType="end"/>
          </w:r>
        </w:p>
        <w:p w14:paraId="197F2DBE">
          <w:pPr>
            <w:pStyle w:val="30"/>
            <w:tabs>
              <w:tab w:val="right" w:leader="dot" w:pos="8302"/>
            </w:tabs>
            <w:ind w:firstLine="0" w:firstLineChars="0"/>
            <w:rPr>
              <w:color w:val="auto"/>
              <w:szCs w:val="20"/>
            </w:rPr>
          </w:pPr>
          <w:r>
            <w:fldChar w:fldCharType="begin"/>
          </w:r>
          <w:r>
            <w:instrText xml:space="preserve"> HYPERLINK \l "_Toc26572" </w:instrText>
          </w:r>
          <w:r>
            <w:fldChar w:fldCharType="separate"/>
          </w:r>
          <w:r>
            <w:rPr>
              <w:color w:val="auto"/>
              <w:szCs w:val="20"/>
            </w:rPr>
            <w:t>六、结论</w:t>
          </w:r>
          <w:r>
            <w:rPr>
              <w:color w:val="auto"/>
              <w:szCs w:val="20"/>
            </w:rPr>
            <w:tab/>
          </w:r>
          <w:r>
            <w:rPr>
              <w:color w:val="auto"/>
              <w:szCs w:val="20"/>
            </w:rPr>
            <w:fldChar w:fldCharType="begin"/>
          </w:r>
          <w:r>
            <w:rPr>
              <w:color w:val="auto"/>
              <w:szCs w:val="20"/>
            </w:rPr>
            <w:instrText xml:space="preserve"> PAGEREF _Toc26572 \h </w:instrText>
          </w:r>
          <w:r>
            <w:rPr>
              <w:color w:val="auto"/>
              <w:szCs w:val="20"/>
            </w:rPr>
            <w:fldChar w:fldCharType="separate"/>
          </w:r>
          <w:r>
            <w:rPr>
              <w:color w:val="auto"/>
              <w:szCs w:val="20"/>
            </w:rPr>
            <w:t>77</w:t>
          </w:r>
          <w:r>
            <w:rPr>
              <w:color w:val="auto"/>
              <w:szCs w:val="20"/>
            </w:rPr>
            <w:fldChar w:fldCharType="end"/>
          </w:r>
          <w:r>
            <w:rPr>
              <w:color w:val="auto"/>
              <w:szCs w:val="20"/>
            </w:rPr>
            <w:fldChar w:fldCharType="end"/>
          </w:r>
        </w:p>
        <w:p w14:paraId="6267A291">
          <w:pPr>
            <w:pStyle w:val="30"/>
            <w:tabs>
              <w:tab w:val="right" w:leader="dot" w:pos="8302"/>
            </w:tabs>
            <w:ind w:firstLine="0" w:firstLineChars="0"/>
            <w:rPr>
              <w:color w:val="auto"/>
              <w:szCs w:val="20"/>
            </w:rPr>
          </w:pPr>
          <w:r>
            <w:fldChar w:fldCharType="begin"/>
          </w:r>
          <w:r>
            <w:instrText xml:space="preserve"> HYPERLINK \l "_Toc25753" </w:instrText>
          </w:r>
          <w:r>
            <w:fldChar w:fldCharType="separate"/>
          </w:r>
          <w:r>
            <w:rPr>
              <w:color w:val="auto"/>
              <w:szCs w:val="20"/>
            </w:rPr>
            <w:t>建设项目污染物排放量汇总表</w:t>
          </w:r>
          <w:r>
            <w:rPr>
              <w:color w:val="auto"/>
              <w:szCs w:val="20"/>
            </w:rPr>
            <w:tab/>
          </w:r>
          <w:r>
            <w:rPr>
              <w:color w:val="auto"/>
              <w:szCs w:val="20"/>
            </w:rPr>
            <w:fldChar w:fldCharType="begin"/>
          </w:r>
          <w:r>
            <w:rPr>
              <w:color w:val="auto"/>
              <w:szCs w:val="20"/>
            </w:rPr>
            <w:instrText xml:space="preserve"> PAGEREF _Toc25753 \h </w:instrText>
          </w:r>
          <w:r>
            <w:rPr>
              <w:color w:val="auto"/>
              <w:szCs w:val="20"/>
            </w:rPr>
            <w:fldChar w:fldCharType="separate"/>
          </w:r>
          <w:r>
            <w:rPr>
              <w:color w:val="auto"/>
              <w:szCs w:val="20"/>
            </w:rPr>
            <w:t>78</w:t>
          </w:r>
          <w:r>
            <w:rPr>
              <w:color w:val="auto"/>
              <w:szCs w:val="20"/>
            </w:rPr>
            <w:fldChar w:fldCharType="end"/>
          </w:r>
          <w:r>
            <w:rPr>
              <w:color w:val="auto"/>
              <w:szCs w:val="20"/>
            </w:rPr>
            <w:fldChar w:fldCharType="end"/>
          </w:r>
        </w:p>
        <w:p w14:paraId="621AEFD0">
          <w:r>
            <w:fldChar w:fldCharType="end"/>
          </w:r>
        </w:p>
      </w:sdtContent>
    </w:sdt>
    <w:p w14:paraId="138A5CD9">
      <w:pPr>
        <w:spacing w:line="360" w:lineRule="auto"/>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附图：</w:t>
      </w:r>
    </w:p>
    <w:p w14:paraId="5435B2E9">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附图1 </w:t>
      </w:r>
      <w:r>
        <w:rPr>
          <w:rFonts w:hint="eastAsia"/>
          <w:color w:val="000000" w:themeColor="text1"/>
          <w:sz w:val="24"/>
          <w14:textFill>
            <w14:solidFill>
              <w14:schemeClr w14:val="tx1"/>
            </w14:solidFill>
          </w14:textFill>
        </w:rPr>
        <w:t>项目地理位置图</w:t>
      </w:r>
    </w:p>
    <w:p w14:paraId="2F42C81E">
      <w:pPr>
        <w:spacing w:line="360" w:lineRule="auto"/>
        <w:jc w:val="left"/>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 xml:space="preserve">附图2 </w:t>
      </w:r>
      <w:r>
        <w:rPr>
          <w:rFonts w:hint="eastAsia"/>
          <w:color w:val="000000" w:themeColor="text1"/>
          <w:sz w:val="24"/>
          <w:lang w:val="en-US" w:eastAsia="zh-CN"/>
          <w14:textFill>
            <w14:solidFill>
              <w14:schemeClr w14:val="tx1"/>
            </w14:solidFill>
          </w14:textFill>
        </w:rPr>
        <w:t>厂区总平面布置图</w:t>
      </w:r>
    </w:p>
    <w:p w14:paraId="5CE11D14">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 xml:space="preserve">附图3 </w:t>
      </w:r>
      <w:r>
        <w:rPr>
          <w:rFonts w:hint="eastAsia"/>
          <w:color w:val="000000" w:themeColor="text1"/>
          <w:sz w:val="24"/>
          <w:lang w:val="en-US" w:eastAsia="zh-CN"/>
          <w14:textFill>
            <w14:solidFill>
              <w14:schemeClr w14:val="tx1"/>
            </w14:solidFill>
          </w14:textFill>
        </w:rPr>
        <w:t>装置布置</w:t>
      </w:r>
      <w:r>
        <w:rPr>
          <w:color w:val="000000" w:themeColor="text1"/>
          <w:sz w:val="24"/>
          <w14:textFill>
            <w14:solidFill>
              <w14:schemeClr w14:val="tx1"/>
            </w14:solidFill>
          </w14:textFill>
        </w:rPr>
        <w:t>图</w:t>
      </w:r>
    </w:p>
    <w:p w14:paraId="716E7812">
      <w:pPr>
        <w:spacing w:line="360" w:lineRule="auto"/>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附图4</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本次项目500m范围外环境关系图</w:t>
      </w:r>
    </w:p>
    <w:p w14:paraId="2A9020F4">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化工园区范围</w:t>
      </w:r>
      <w:r>
        <w:rPr>
          <w:color w:val="000000" w:themeColor="text1"/>
          <w:sz w:val="24"/>
          <w14:textFill>
            <w14:solidFill>
              <w14:schemeClr w14:val="tx1"/>
            </w14:solidFill>
          </w14:textFill>
        </w:rPr>
        <w:t>示意图</w:t>
      </w:r>
    </w:p>
    <w:p w14:paraId="4F40679E">
      <w:pPr>
        <w:spacing w:line="360" w:lineRule="auto"/>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附图</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园区用地布局</w:t>
      </w:r>
      <w:r>
        <w:rPr>
          <w:color w:val="000000" w:themeColor="text1"/>
          <w:sz w:val="24"/>
          <w14:textFill>
            <w14:solidFill>
              <w14:schemeClr w14:val="tx1"/>
            </w14:solidFill>
          </w14:textFill>
        </w:rPr>
        <w:t>图</w:t>
      </w:r>
    </w:p>
    <w:p w14:paraId="1EBBD967">
      <w:pPr>
        <w:spacing w:line="360" w:lineRule="auto"/>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附图7 厂区分区防渗图</w:t>
      </w:r>
    </w:p>
    <w:p w14:paraId="1F519D20">
      <w:pPr>
        <w:spacing w:line="360" w:lineRule="auto"/>
        <w:jc w:val="left"/>
        <w:rPr>
          <w:b/>
          <w:color w:val="000000" w:themeColor="text1"/>
          <w:sz w:val="24"/>
          <w14:textFill>
            <w14:solidFill>
              <w14:schemeClr w14:val="tx1"/>
            </w14:solidFill>
          </w14:textFill>
        </w:rPr>
      </w:pPr>
      <w:r>
        <w:rPr>
          <w:b/>
          <w:color w:val="000000" w:themeColor="text1"/>
          <w:sz w:val="24"/>
          <w14:textFill>
            <w14:solidFill>
              <w14:schemeClr w14:val="tx1"/>
            </w14:solidFill>
          </w14:textFill>
        </w:rPr>
        <w:t>附件：</w:t>
      </w:r>
    </w:p>
    <w:p w14:paraId="1E44B3F9">
      <w:pPr>
        <w:spacing w:line="360" w:lineRule="auto"/>
        <w:jc w:val="left"/>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 xml:space="preserve">附件1 </w:t>
      </w:r>
      <w:r>
        <w:rPr>
          <w:rFonts w:hint="eastAsia"/>
          <w:color w:val="000000" w:themeColor="text1"/>
          <w:sz w:val="24"/>
          <w:lang w:val="en-US" w:eastAsia="zh-CN"/>
          <w14:textFill>
            <w14:solidFill>
              <w14:schemeClr w14:val="tx1"/>
            </w14:solidFill>
          </w14:textFill>
        </w:rPr>
        <w:t>环评</w:t>
      </w:r>
      <w:r>
        <w:rPr>
          <w:rFonts w:hint="eastAsia"/>
          <w:color w:val="000000" w:themeColor="text1"/>
          <w:sz w:val="24"/>
          <w14:textFill>
            <w14:solidFill>
              <w14:schemeClr w14:val="tx1"/>
            </w14:solidFill>
          </w14:textFill>
        </w:rPr>
        <w:t>委托书</w:t>
      </w:r>
    </w:p>
    <w:p w14:paraId="2EEEA45D">
      <w:pPr>
        <w:spacing w:line="360" w:lineRule="auto"/>
        <w:jc w:val="left"/>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附件2</w:t>
      </w:r>
      <w:r>
        <w:rPr>
          <w:rFonts w:hint="eastAsia"/>
          <w:color w:val="000000" w:themeColor="text1"/>
          <w:sz w:val="24"/>
          <w14:textFill>
            <w14:solidFill>
              <w14:schemeClr w14:val="tx1"/>
            </w14:solidFill>
          </w14:textFill>
        </w:rPr>
        <w:t xml:space="preserve"> 备案证明</w:t>
      </w:r>
      <w:r>
        <w:rPr>
          <w:rFonts w:hint="eastAsia"/>
          <w:color w:val="000000" w:themeColor="text1"/>
          <w:sz w:val="24"/>
          <w:lang w:val="en-US" w:eastAsia="zh-CN"/>
          <w14:textFill>
            <w14:solidFill>
              <w14:schemeClr w14:val="tx1"/>
            </w14:solidFill>
          </w14:textFill>
        </w:rPr>
        <w:t>表</w:t>
      </w:r>
    </w:p>
    <w:p w14:paraId="59F61557">
      <w:pPr>
        <w:spacing w:line="360" w:lineRule="auto"/>
        <w:jc w:val="lef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附件3 关于高纯二氧化碳项目环评报审的说明</w:t>
      </w:r>
    </w:p>
    <w:p w14:paraId="334425D5">
      <w:pPr>
        <w:spacing w:line="360" w:lineRule="auto"/>
        <w:jc w:val="left"/>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营业执照</w:t>
      </w:r>
    </w:p>
    <w:p w14:paraId="62A3455E">
      <w:pPr>
        <w:spacing w:line="360" w:lineRule="auto"/>
        <w:jc w:val="left"/>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 xml:space="preserve"> </w:t>
      </w:r>
      <w:r>
        <w:rPr>
          <w:rFonts w:hint="eastAsia"/>
          <w:color w:val="000000" w:themeColor="text1"/>
          <w:sz w:val="24"/>
          <w:lang w:val="en-US" w:eastAsia="zh-CN"/>
          <w14:textFill>
            <w14:solidFill>
              <w14:schemeClr w14:val="tx1"/>
            </w14:solidFill>
          </w14:textFill>
        </w:rPr>
        <w:t>初选址意见</w:t>
      </w:r>
    </w:p>
    <w:p w14:paraId="33664241">
      <w:pPr>
        <w:spacing w:line="360" w:lineRule="auto"/>
        <w:jc w:val="left"/>
        <w:rPr>
          <w:rFonts w:hint="default"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6 用地性质的说明</w:t>
      </w:r>
    </w:p>
    <w:p w14:paraId="0B0C16A5">
      <w:pPr>
        <w:spacing w:line="360" w:lineRule="auto"/>
        <w:jc w:val="left"/>
        <w:rPr>
          <w:rFonts w:hint="default"/>
          <w:color w:val="FF0000"/>
          <w:sz w:val="24"/>
          <w:lang w:val="en-US"/>
        </w:rPr>
        <w:sectPr>
          <w:headerReference r:id="rId3" w:type="default"/>
          <w:pgSz w:w="11906" w:h="16838"/>
          <w:pgMar w:top="1440" w:right="1800" w:bottom="1440" w:left="1800" w:header="851" w:footer="992" w:gutter="0"/>
          <w:pgNumType w:fmt="upperRoman" w:start="1"/>
          <w:cols w:space="720" w:num="1"/>
          <w:docGrid w:type="lines" w:linePitch="312" w:charSpace="0"/>
        </w:sectPr>
      </w:pPr>
      <w:r>
        <w:rPr>
          <w:rFonts w:hint="eastAsia"/>
          <w:color w:val="000000" w:themeColor="text1"/>
          <w:sz w:val="24"/>
          <w14:textFill>
            <w14:solidFill>
              <w14:schemeClr w14:val="tx1"/>
            </w14:solidFill>
          </w14:textFill>
        </w:rPr>
        <w:t>附件</w:t>
      </w:r>
      <w:r>
        <w:rPr>
          <w:rFonts w:hint="eastAsia"/>
          <w:color w:val="000000" w:themeColor="text1"/>
          <w:sz w:val="24"/>
          <w:lang w:val="en-US" w:eastAsia="zh-CN"/>
          <w14:textFill>
            <w14:solidFill>
              <w14:schemeClr w14:val="tx1"/>
            </w14:solidFill>
          </w14:textFill>
        </w:rPr>
        <w:t>7</w:t>
      </w:r>
      <w:r>
        <w:rPr>
          <w:rFonts w:hint="eastAsia"/>
          <w:color w:val="000000" w:themeColor="text1"/>
          <w:sz w:val="24"/>
          <w14:textFill>
            <w14:solidFill>
              <w14:schemeClr w14:val="tx1"/>
            </w14:solidFill>
          </w14:textFill>
        </w:rPr>
        <w:t xml:space="preserve"> 园区规划环评</w:t>
      </w:r>
      <w:r>
        <w:rPr>
          <w:rFonts w:hint="eastAsia"/>
          <w:color w:val="000000" w:themeColor="text1"/>
          <w:sz w:val="24"/>
          <w:lang w:val="en-US" w:eastAsia="zh-CN"/>
          <w14:textFill>
            <w14:solidFill>
              <w14:schemeClr w14:val="tx1"/>
            </w14:solidFill>
          </w14:textFill>
        </w:rPr>
        <w:t>批复</w:t>
      </w:r>
      <w:r>
        <w:rPr>
          <w:rFonts w:hint="eastAsia"/>
          <w:color w:val="FF0000"/>
          <w:sz w:val="24"/>
          <w:lang w:val="en-US" w:eastAsia="zh-CN"/>
        </w:rPr>
        <w:br w:type="textWrapping"/>
      </w:r>
      <w:r>
        <w:rPr>
          <w:rFonts w:hint="eastAsia"/>
          <w:color w:val="000000" w:themeColor="text1"/>
          <w:sz w:val="24"/>
          <w:lang w:val="en-US" w:eastAsia="zh-CN"/>
          <w14:textFill>
            <w14:solidFill>
              <w14:schemeClr w14:val="tx1"/>
            </w14:solidFill>
          </w14:textFill>
        </w:rPr>
        <w:t>附件8 重新报批环评批复</w:t>
      </w:r>
      <w:r>
        <w:rPr>
          <w:color w:val="FF0000"/>
          <w:sz w:val="24"/>
        </w:rPr>
        <w:br w:type="textWrapping"/>
      </w:r>
      <w:r>
        <w:rPr>
          <w:rFonts w:hint="eastAsia"/>
          <w:color w:val="000000" w:themeColor="text1"/>
          <w:sz w:val="24"/>
          <w:lang w:val="en-US" w:eastAsia="zh-CN"/>
          <w14:textFill>
            <w14:solidFill>
              <w14:schemeClr w14:val="tx1"/>
            </w14:solidFill>
          </w14:textFill>
        </w:rPr>
        <w:t>附件9 专家审查意见</w:t>
      </w:r>
      <w:r>
        <w:rPr>
          <w:rFonts w:hint="eastAsia"/>
          <w:color w:val="000000" w:themeColor="text1"/>
          <w:sz w:val="24"/>
          <w:lang w:val="en-US" w:eastAsia="zh-CN"/>
          <w14:textFill>
            <w14:solidFill>
              <w14:schemeClr w14:val="tx1"/>
            </w14:solidFill>
          </w14:textFill>
        </w:rPr>
        <w:br w:type="textWrapping"/>
      </w:r>
      <w:r>
        <w:rPr>
          <w:rFonts w:hint="eastAsia"/>
          <w:color w:val="000000" w:themeColor="text1"/>
          <w:sz w:val="24"/>
          <w:lang w:val="en-US" w:eastAsia="zh-CN"/>
          <w14:textFill>
            <w14:solidFill>
              <w14:schemeClr w14:val="tx1"/>
            </w14:solidFill>
          </w14:textFill>
        </w:rPr>
        <w:t>附件10 修改说明</w:t>
      </w:r>
    </w:p>
    <w:p w14:paraId="108AD1CA">
      <w:pPr>
        <w:pStyle w:val="2"/>
        <w:numPr>
          <w:ilvl w:val="0"/>
          <w:numId w:val="0"/>
        </w:num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一、建设项目基本情况</w:t>
      </w:r>
      <w:bookmarkEnd w:id="0"/>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6"/>
        <w:gridCol w:w="2352"/>
        <w:gridCol w:w="2246"/>
        <w:gridCol w:w="3376"/>
      </w:tblGrid>
      <w:tr w14:paraId="319EE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dxa"/>
            <w:tcMar>
              <w:top w:w="16" w:type="dxa"/>
              <w:left w:w="16" w:type="dxa"/>
              <w:right w:w="16" w:type="dxa"/>
            </w:tcMar>
            <w:vAlign w:val="center"/>
          </w:tcPr>
          <w:p w14:paraId="5EAFCD9B">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建设项目名称</w:t>
            </w:r>
          </w:p>
        </w:tc>
        <w:tc>
          <w:tcPr>
            <w:tcW w:w="7974" w:type="dxa"/>
            <w:gridSpan w:val="3"/>
            <w:vAlign w:val="center"/>
          </w:tcPr>
          <w:p w14:paraId="367A7000">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乙二醇装置工艺废气回收制高纯液态二氧化碳技改项目</w:t>
            </w:r>
          </w:p>
        </w:tc>
      </w:tr>
      <w:tr w14:paraId="138E6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dxa"/>
            <w:tcMar>
              <w:top w:w="16" w:type="dxa"/>
              <w:left w:w="16" w:type="dxa"/>
              <w:right w:w="16" w:type="dxa"/>
            </w:tcMar>
            <w:vAlign w:val="center"/>
          </w:tcPr>
          <w:p w14:paraId="167958F3">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项目代码</w:t>
            </w:r>
          </w:p>
        </w:tc>
        <w:tc>
          <w:tcPr>
            <w:tcW w:w="7974" w:type="dxa"/>
            <w:gridSpan w:val="3"/>
            <w:vAlign w:val="center"/>
          </w:tcPr>
          <w:p w14:paraId="46CF118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2410-511722-07-02-860267</w:t>
            </w:r>
          </w:p>
        </w:tc>
      </w:tr>
      <w:tr w14:paraId="3A2ED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 w:hRule="atLeast"/>
          <w:jc w:val="center"/>
        </w:trPr>
        <w:tc>
          <w:tcPr>
            <w:tcW w:w="896" w:type="dxa"/>
            <w:tcMar>
              <w:top w:w="16" w:type="dxa"/>
              <w:left w:w="16" w:type="dxa"/>
              <w:right w:w="16" w:type="dxa"/>
            </w:tcMar>
            <w:vAlign w:val="center"/>
          </w:tcPr>
          <w:p w14:paraId="7FCC0BF5">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建设单位联系人</w:t>
            </w:r>
          </w:p>
        </w:tc>
        <w:tc>
          <w:tcPr>
            <w:tcW w:w="2352" w:type="dxa"/>
            <w:vAlign w:val="center"/>
          </w:tcPr>
          <w:p w14:paraId="07A81AFF">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2246" w:type="dxa"/>
            <w:vAlign w:val="center"/>
          </w:tcPr>
          <w:p w14:paraId="1719576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联系方式</w:t>
            </w:r>
          </w:p>
        </w:tc>
        <w:tc>
          <w:tcPr>
            <w:tcW w:w="3376" w:type="dxa"/>
            <w:vAlign w:val="center"/>
          </w:tcPr>
          <w:p w14:paraId="70DE13B7">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0FEF6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dxa"/>
            <w:tcMar>
              <w:top w:w="16" w:type="dxa"/>
              <w:left w:w="16" w:type="dxa"/>
              <w:right w:w="16" w:type="dxa"/>
            </w:tcMar>
            <w:vAlign w:val="center"/>
          </w:tcPr>
          <w:p w14:paraId="3E5E0C7B">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建设地点</w:t>
            </w:r>
          </w:p>
        </w:tc>
        <w:tc>
          <w:tcPr>
            <w:tcW w:w="7974" w:type="dxa"/>
            <w:gridSpan w:val="3"/>
            <w:vAlign w:val="center"/>
          </w:tcPr>
          <w:p w14:paraId="38FB307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达州市宣汉县</w:t>
            </w:r>
            <w:r>
              <w:rPr>
                <w:rFonts w:hint="default" w:ascii="Times New Roman" w:hAnsi="Times New Roman" w:eastAsia="宋体" w:cs="Times New Roman"/>
                <w:color w:val="000000" w:themeColor="text1"/>
                <w:szCs w:val="21"/>
                <w14:textFill>
                  <w14:solidFill>
                    <w14:schemeClr w14:val="tx1"/>
                  </w14:solidFill>
                </w14:textFill>
              </w:rPr>
              <w:t>普光镇化工大道8号</w:t>
            </w:r>
          </w:p>
        </w:tc>
      </w:tr>
      <w:tr w14:paraId="6605A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dxa"/>
            <w:tcMar>
              <w:top w:w="16" w:type="dxa"/>
              <w:left w:w="16" w:type="dxa"/>
              <w:right w:w="16" w:type="dxa"/>
            </w:tcMar>
            <w:vAlign w:val="center"/>
          </w:tcPr>
          <w:p w14:paraId="2C9B2FA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地理坐标</w:t>
            </w:r>
          </w:p>
        </w:tc>
        <w:tc>
          <w:tcPr>
            <w:tcW w:w="7974" w:type="dxa"/>
            <w:gridSpan w:val="3"/>
            <w:vAlign w:val="center"/>
          </w:tcPr>
          <w:p w14:paraId="31D86FB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（107度40分40.173秒，31度31分9.036秒）</w:t>
            </w:r>
          </w:p>
        </w:tc>
      </w:tr>
      <w:tr w14:paraId="6EE41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96" w:type="dxa"/>
            <w:tcMar>
              <w:top w:w="16" w:type="dxa"/>
              <w:left w:w="16" w:type="dxa"/>
              <w:right w:w="16" w:type="dxa"/>
            </w:tcMar>
            <w:vAlign w:val="center"/>
          </w:tcPr>
          <w:p w14:paraId="721CB6B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国民经济</w:t>
            </w:r>
          </w:p>
          <w:p w14:paraId="6603FFD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行业类别</w:t>
            </w:r>
          </w:p>
        </w:tc>
        <w:tc>
          <w:tcPr>
            <w:tcW w:w="2352" w:type="dxa"/>
            <w:vAlign w:val="center"/>
          </w:tcPr>
          <w:p w14:paraId="5A15FFE2">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其他基础化学原料制造（C2619）</w:t>
            </w:r>
          </w:p>
        </w:tc>
        <w:tc>
          <w:tcPr>
            <w:tcW w:w="2246" w:type="dxa"/>
            <w:vAlign w:val="center"/>
          </w:tcPr>
          <w:p w14:paraId="2C1FFF55">
            <w:pPr>
              <w:adjustRightInd w:val="0"/>
              <w:snapToGrid w:val="0"/>
              <w:jc w:val="center"/>
              <w:rPr>
                <w:rFonts w:hint="default" w:ascii="Times New Roman" w:hAnsi="Times New Roman" w:eastAsia="宋体" w:cs="Times New Roman"/>
                <w:color w:val="000000" w:themeColor="text1"/>
                <w:szCs w:val="21"/>
                <w:lang w:eastAsia="en-US"/>
                <w14:textFill>
                  <w14:solidFill>
                    <w14:schemeClr w14:val="tx1"/>
                  </w14:solidFill>
                </w14:textFill>
              </w:rPr>
            </w:pPr>
            <w:bookmarkStart w:id="2" w:name="_Hlk49843745"/>
            <w:r>
              <w:rPr>
                <w:rFonts w:hint="default" w:ascii="Times New Roman" w:hAnsi="Times New Roman" w:eastAsia="宋体" w:cs="Times New Roman"/>
                <w:color w:val="000000" w:themeColor="text1"/>
                <w:szCs w:val="21"/>
                <w:lang w:eastAsia="en-US"/>
                <w14:textFill>
                  <w14:solidFill>
                    <w14:schemeClr w14:val="tx1"/>
                  </w14:solidFill>
                </w14:textFill>
              </w:rPr>
              <w:t>建设项目</w:t>
            </w:r>
          </w:p>
          <w:p w14:paraId="17613500">
            <w:pPr>
              <w:adjustRightInd w:val="0"/>
              <w:snapToGrid w:val="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行业类别</w:t>
            </w:r>
            <w:bookmarkEnd w:id="2"/>
          </w:p>
        </w:tc>
        <w:tc>
          <w:tcPr>
            <w:tcW w:w="3376" w:type="dxa"/>
            <w:vAlign w:val="center"/>
          </w:tcPr>
          <w:p w14:paraId="30C996A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二十三 化学原料和化学制品制造业</w:t>
            </w:r>
          </w:p>
          <w:p w14:paraId="7D86237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26、基础化学原料制造</w:t>
            </w:r>
            <w:r>
              <w:rPr>
                <w:rFonts w:hint="eastAsia"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261、单纯物理分离、物理提纯、混合、分装的（不产生废水或挥发性有机物的除外）</w:t>
            </w:r>
          </w:p>
        </w:tc>
      </w:tr>
      <w:tr w14:paraId="51034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96" w:type="dxa"/>
            <w:tcMar>
              <w:top w:w="16" w:type="dxa"/>
              <w:left w:w="16" w:type="dxa"/>
              <w:right w:w="16" w:type="dxa"/>
            </w:tcMar>
            <w:vAlign w:val="center"/>
          </w:tcPr>
          <w:p w14:paraId="107E65B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建设性质</w:t>
            </w:r>
          </w:p>
        </w:tc>
        <w:tc>
          <w:tcPr>
            <w:tcW w:w="2352" w:type="dxa"/>
            <w:vAlign w:val="center"/>
          </w:tcPr>
          <w:p w14:paraId="3099139A">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新建（迁建）</w:t>
            </w:r>
          </w:p>
          <w:p w14:paraId="5C86E6DC">
            <w:pP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改建</w:t>
            </w:r>
          </w:p>
          <w:p w14:paraId="79AE3418">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扩建</w:t>
            </w:r>
          </w:p>
          <w:p w14:paraId="017E5855">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技术改造</w:t>
            </w:r>
          </w:p>
        </w:tc>
        <w:tc>
          <w:tcPr>
            <w:tcW w:w="2246" w:type="dxa"/>
            <w:vAlign w:val="center"/>
          </w:tcPr>
          <w:p w14:paraId="6CB9AF8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建设项目</w:t>
            </w:r>
          </w:p>
          <w:p w14:paraId="7CF1470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申报情形</w:t>
            </w:r>
          </w:p>
        </w:tc>
        <w:tc>
          <w:tcPr>
            <w:tcW w:w="3376" w:type="dxa"/>
            <w:vAlign w:val="center"/>
          </w:tcPr>
          <w:p w14:paraId="5E1E07F8">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首次申报项目</w:t>
            </w:r>
          </w:p>
          <w:p w14:paraId="75D6E599">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pacing w:val="-10"/>
                <w:szCs w:val="21"/>
                <w14:textFill>
                  <w14:solidFill>
                    <w14:schemeClr w14:val="tx1"/>
                  </w14:solidFill>
                </w14:textFill>
              </w:rPr>
              <w:t>不予批准后再次申报项目</w:t>
            </w:r>
          </w:p>
          <w:p w14:paraId="1FFDB78B">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超五年重新审核项目</w:t>
            </w:r>
          </w:p>
          <w:p w14:paraId="77DDB2CA">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重大变动重新报批项目</w:t>
            </w:r>
          </w:p>
        </w:tc>
      </w:tr>
      <w:tr w14:paraId="6190C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96" w:type="dxa"/>
            <w:tcMar>
              <w:top w:w="16" w:type="dxa"/>
              <w:left w:w="16" w:type="dxa"/>
              <w:right w:w="16" w:type="dxa"/>
            </w:tcMar>
            <w:vAlign w:val="center"/>
          </w:tcPr>
          <w:p w14:paraId="4B9E522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项目审批（核准/备案）部门（选填）</w:t>
            </w:r>
          </w:p>
        </w:tc>
        <w:tc>
          <w:tcPr>
            <w:tcW w:w="2352" w:type="dxa"/>
            <w:vAlign w:val="center"/>
          </w:tcPr>
          <w:p w14:paraId="253A246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宣汉县经济和信息化局</w:t>
            </w:r>
          </w:p>
        </w:tc>
        <w:tc>
          <w:tcPr>
            <w:tcW w:w="2246" w:type="dxa"/>
            <w:vAlign w:val="center"/>
          </w:tcPr>
          <w:p w14:paraId="5F633D1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项目审批（核准/备案）文号（选填）</w:t>
            </w:r>
          </w:p>
        </w:tc>
        <w:tc>
          <w:tcPr>
            <w:tcW w:w="3376" w:type="dxa"/>
            <w:vAlign w:val="center"/>
          </w:tcPr>
          <w:p w14:paraId="70F35F9C">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川投资备【2410-511722-07-02-860267】JXQB-0737号</w:t>
            </w:r>
          </w:p>
        </w:tc>
      </w:tr>
      <w:tr w14:paraId="19E15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96" w:type="dxa"/>
            <w:tcMar>
              <w:top w:w="16" w:type="dxa"/>
              <w:left w:w="16" w:type="dxa"/>
              <w:right w:w="16" w:type="dxa"/>
            </w:tcMar>
            <w:vAlign w:val="center"/>
          </w:tcPr>
          <w:p w14:paraId="367870D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总投资（万元）</w:t>
            </w:r>
          </w:p>
        </w:tc>
        <w:tc>
          <w:tcPr>
            <w:tcW w:w="2352" w:type="dxa"/>
            <w:vAlign w:val="center"/>
          </w:tcPr>
          <w:p w14:paraId="39ADBF8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2000</w:t>
            </w:r>
          </w:p>
        </w:tc>
        <w:tc>
          <w:tcPr>
            <w:tcW w:w="2246" w:type="dxa"/>
            <w:tcMar>
              <w:top w:w="16" w:type="dxa"/>
              <w:left w:w="16" w:type="dxa"/>
              <w:right w:w="16" w:type="dxa"/>
            </w:tcMar>
            <w:vAlign w:val="center"/>
          </w:tcPr>
          <w:p w14:paraId="1B2C392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环保投资（万元）</w:t>
            </w:r>
          </w:p>
        </w:tc>
        <w:tc>
          <w:tcPr>
            <w:tcW w:w="3376" w:type="dxa"/>
            <w:vAlign w:val="center"/>
          </w:tcPr>
          <w:p w14:paraId="076689D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7</w:t>
            </w:r>
          </w:p>
        </w:tc>
      </w:tr>
      <w:tr w14:paraId="4C876A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6" w:type="dxa"/>
            <w:tcMar>
              <w:top w:w="16" w:type="dxa"/>
              <w:left w:w="16" w:type="dxa"/>
              <w:right w:w="16" w:type="dxa"/>
            </w:tcMar>
            <w:vAlign w:val="center"/>
          </w:tcPr>
          <w:p w14:paraId="6D043A4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环保投资占比（%）</w:t>
            </w:r>
          </w:p>
        </w:tc>
        <w:tc>
          <w:tcPr>
            <w:tcW w:w="2352" w:type="dxa"/>
            <w:vAlign w:val="center"/>
          </w:tcPr>
          <w:p w14:paraId="4355881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5</w:t>
            </w:r>
          </w:p>
        </w:tc>
        <w:tc>
          <w:tcPr>
            <w:tcW w:w="2246" w:type="dxa"/>
            <w:tcMar>
              <w:top w:w="16" w:type="dxa"/>
              <w:left w:w="16" w:type="dxa"/>
              <w:right w:w="16" w:type="dxa"/>
            </w:tcMar>
            <w:vAlign w:val="center"/>
          </w:tcPr>
          <w:p w14:paraId="1CD8806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施工工期</w:t>
            </w:r>
          </w:p>
        </w:tc>
        <w:tc>
          <w:tcPr>
            <w:tcW w:w="3376" w:type="dxa"/>
            <w:vAlign w:val="center"/>
          </w:tcPr>
          <w:p w14:paraId="448E6FA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12个月</w:t>
            </w:r>
          </w:p>
        </w:tc>
      </w:tr>
      <w:tr w14:paraId="37AFE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896" w:type="dxa"/>
            <w:tcMar>
              <w:top w:w="16" w:type="dxa"/>
              <w:left w:w="16" w:type="dxa"/>
              <w:right w:w="16" w:type="dxa"/>
            </w:tcMar>
            <w:vAlign w:val="center"/>
          </w:tcPr>
          <w:p w14:paraId="0137EF2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是否开工建设</w:t>
            </w:r>
          </w:p>
        </w:tc>
        <w:tc>
          <w:tcPr>
            <w:tcW w:w="2352" w:type="dxa"/>
            <w:vAlign w:val="center"/>
          </w:tcPr>
          <w:p w14:paraId="29D99F1A">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否</w:t>
            </w:r>
          </w:p>
          <w:p w14:paraId="61D99E3E">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是：</w:t>
            </w:r>
            <w:r>
              <w:rPr>
                <w:rFonts w:hint="default" w:ascii="Times New Roman" w:hAnsi="Times New Roman" w:eastAsia="宋体" w:cs="Times New Roman"/>
                <w:color w:val="000000" w:themeColor="text1"/>
                <w:sz w:val="24"/>
                <w:u w:val="single"/>
                <w:lang w:bidi="ar"/>
                <w14:textFill>
                  <w14:solidFill>
                    <w14:schemeClr w14:val="tx1"/>
                  </w14:solidFill>
                </w14:textFill>
              </w:rPr>
              <w:t xml:space="preserve">           </w:t>
            </w:r>
          </w:p>
        </w:tc>
        <w:tc>
          <w:tcPr>
            <w:tcW w:w="2246" w:type="dxa"/>
            <w:tcMar>
              <w:top w:w="16" w:type="dxa"/>
              <w:left w:w="16" w:type="dxa"/>
              <w:right w:w="16" w:type="dxa"/>
            </w:tcMar>
            <w:vAlign w:val="center"/>
          </w:tcPr>
          <w:p w14:paraId="36CF0880">
            <w:pPr>
              <w:adjustRightInd w:val="0"/>
              <w:snapToGrid w:val="0"/>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用地（用海）</w:t>
            </w:r>
          </w:p>
          <w:p w14:paraId="3C426C8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面积（m</w:t>
            </w:r>
            <w:r>
              <w:rPr>
                <w:rFonts w:hint="default" w:ascii="Times New Roman" w:hAnsi="Times New Roman" w:eastAsia="宋体" w:cs="Times New Roman"/>
                <w:color w:val="000000" w:themeColor="text1"/>
                <w:spacing w:val="-6"/>
                <w:szCs w:val="21"/>
                <w:vertAlign w:val="superscript"/>
                <w14:textFill>
                  <w14:solidFill>
                    <w14:schemeClr w14:val="tx1"/>
                  </w14:solidFill>
                </w14:textFill>
              </w:rPr>
              <w:t>2</w:t>
            </w:r>
            <w:r>
              <w:rPr>
                <w:rFonts w:hint="default" w:ascii="Times New Roman" w:hAnsi="Times New Roman" w:eastAsia="宋体" w:cs="Times New Roman"/>
                <w:color w:val="000000" w:themeColor="text1"/>
                <w:spacing w:val="-6"/>
                <w:szCs w:val="21"/>
                <w14:textFill>
                  <w14:solidFill>
                    <w14:schemeClr w14:val="tx1"/>
                  </w14:solidFill>
                </w14:textFill>
              </w:rPr>
              <w:t>）</w:t>
            </w:r>
          </w:p>
        </w:tc>
        <w:tc>
          <w:tcPr>
            <w:tcW w:w="3376" w:type="dxa"/>
            <w:vAlign w:val="center"/>
          </w:tcPr>
          <w:p w14:paraId="669D1CFC">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/（本次不新增用地）</w:t>
            </w:r>
          </w:p>
        </w:tc>
      </w:tr>
      <w:tr w14:paraId="17B1D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9" w:hRule="atLeast"/>
          <w:jc w:val="center"/>
        </w:trPr>
        <w:tc>
          <w:tcPr>
            <w:tcW w:w="896" w:type="dxa"/>
            <w:vAlign w:val="center"/>
          </w:tcPr>
          <w:p w14:paraId="2A45EE50">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专项评价设置情况</w:t>
            </w:r>
          </w:p>
        </w:tc>
        <w:tc>
          <w:tcPr>
            <w:tcW w:w="7974" w:type="dxa"/>
            <w:gridSpan w:val="3"/>
            <w:vAlign w:val="center"/>
          </w:tcPr>
          <w:p w14:paraId="150144F7">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表1-1 本项目环境影响评价报告表专项设置对照表</w:t>
            </w:r>
          </w:p>
          <w:tbl>
            <w:tblPr>
              <w:tblStyle w:val="48"/>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3237"/>
              <w:gridCol w:w="2232"/>
              <w:gridCol w:w="1115"/>
            </w:tblGrid>
            <w:tr w14:paraId="2F1A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17" w:type="pct"/>
                  <w:tcBorders>
                    <w:tl2br w:val="nil"/>
                    <w:tr2bl w:val="nil"/>
                  </w:tcBorders>
                  <w:vAlign w:val="center"/>
                </w:tcPr>
                <w:p w14:paraId="404A8D9F">
                  <w:pPr>
                    <w:autoSpaceDE w:val="0"/>
                    <w:ind w:left="42" w:leftChars="20" w:right="42" w:rightChars="20"/>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专项评价类别</w:t>
                  </w:r>
                </w:p>
              </w:tc>
              <w:tc>
                <w:tcPr>
                  <w:tcW w:w="2154" w:type="pct"/>
                  <w:tcBorders>
                    <w:tl2br w:val="nil"/>
                    <w:tr2bl w:val="nil"/>
                  </w:tcBorders>
                  <w:vAlign w:val="center"/>
                </w:tcPr>
                <w:p w14:paraId="36691756">
                  <w:pPr>
                    <w:autoSpaceDE w:val="0"/>
                    <w:ind w:left="42" w:leftChars="20" w:right="42" w:rightChars="20"/>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设置原则</w:t>
                  </w:r>
                </w:p>
              </w:tc>
              <w:tc>
                <w:tcPr>
                  <w:tcW w:w="1485" w:type="pct"/>
                  <w:tcBorders>
                    <w:tl2br w:val="nil"/>
                    <w:tr2bl w:val="nil"/>
                  </w:tcBorders>
                  <w:vAlign w:val="center"/>
                </w:tcPr>
                <w:p w14:paraId="6B816938">
                  <w:pPr>
                    <w:autoSpaceDE w:val="0"/>
                    <w:ind w:left="42" w:leftChars="20" w:right="42" w:rightChars="20"/>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本项目情况</w:t>
                  </w:r>
                </w:p>
              </w:tc>
              <w:tc>
                <w:tcPr>
                  <w:tcW w:w="742" w:type="pct"/>
                  <w:tcBorders>
                    <w:tl2br w:val="nil"/>
                    <w:tr2bl w:val="nil"/>
                  </w:tcBorders>
                  <w:vAlign w:val="center"/>
                </w:tcPr>
                <w:p w14:paraId="45F12261">
                  <w:pPr>
                    <w:autoSpaceDE w:val="0"/>
                    <w:ind w:left="42" w:leftChars="20" w:right="42" w:rightChars="20"/>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是否设置</w:t>
                  </w:r>
                </w:p>
              </w:tc>
            </w:tr>
            <w:tr w14:paraId="0EFB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17" w:type="pct"/>
                  <w:tcBorders>
                    <w:tl2br w:val="nil"/>
                    <w:tr2bl w:val="nil"/>
                  </w:tcBorders>
                  <w:vAlign w:val="center"/>
                </w:tcPr>
                <w:p w14:paraId="4C37487E">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大气</w:t>
                  </w:r>
                </w:p>
              </w:tc>
              <w:tc>
                <w:tcPr>
                  <w:tcW w:w="2154" w:type="pct"/>
                  <w:tcBorders>
                    <w:tl2br w:val="nil"/>
                    <w:tr2bl w:val="nil"/>
                  </w:tcBorders>
                  <w:vAlign w:val="center"/>
                </w:tcPr>
                <w:p w14:paraId="24A2BE6E">
                  <w:pPr>
                    <w:autoSpaceDE w:val="0"/>
                    <w:ind w:left="42" w:leftChars="20" w:right="42" w:rightChars="20"/>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排放废气含有毒有害污染物</w:t>
                  </w:r>
                  <w:r>
                    <w:rPr>
                      <w:rFonts w:hint="default" w:ascii="Times New Roman" w:hAnsi="Times New Roman" w:eastAsia="宋体" w:cs="Times New Roman"/>
                      <w:color w:val="000000" w:themeColor="text1"/>
                      <w:szCs w:val="21"/>
                      <w:vertAlign w:val="superscript"/>
                      <w:lang w:bidi="ar"/>
                      <w14:textFill>
                        <w14:solidFill>
                          <w14:schemeClr w14:val="tx1"/>
                        </w14:solidFill>
                      </w14:textFill>
                    </w:rPr>
                    <w:t>1</w:t>
                  </w:r>
                  <w:r>
                    <w:rPr>
                      <w:rFonts w:hint="default" w:ascii="Times New Roman" w:hAnsi="Times New Roman" w:eastAsia="宋体" w:cs="Times New Roman"/>
                      <w:color w:val="000000" w:themeColor="text1"/>
                      <w:szCs w:val="21"/>
                      <w:lang w:bidi="ar"/>
                      <w14:textFill>
                        <w14:solidFill>
                          <w14:schemeClr w14:val="tx1"/>
                        </w14:solidFill>
                      </w14:textFill>
                    </w:rPr>
                    <w:t>、二噁英、苯并[a]芘、氰化物、氯气且厂界外500米范围内有环境空气保护目标</w:t>
                  </w:r>
                  <w:r>
                    <w:rPr>
                      <w:rFonts w:hint="default" w:ascii="Times New Roman" w:hAnsi="Times New Roman" w:eastAsia="宋体" w:cs="Times New Roman"/>
                      <w:color w:val="000000" w:themeColor="text1"/>
                      <w:szCs w:val="21"/>
                      <w:vertAlign w:val="superscript"/>
                      <w:lang w:bidi="ar"/>
                      <w14:textFill>
                        <w14:solidFill>
                          <w14:schemeClr w14:val="tx1"/>
                        </w14:solidFill>
                      </w14:textFill>
                    </w:rPr>
                    <w:t>2</w:t>
                  </w:r>
                  <w:r>
                    <w:rPr>
                      <w:rFonts w:hint="default" w:ascii="Times New Roman" w:hAnsi="Times New Roman" w:eastAsia="宋体" w:cs="Times New Roman"/>
                      <w:color w:val="000000" w:themeColor="text1"/>
                      <w:szCs w:val="21"/>
                      <w:lang w:bidi="ar"/>
                      <w14:textFill>
                        <w14:solidFill>
                          <w14:schemeClr w14:val="tx1"/>
                        </w14:solidFill>
                      </w14:textFill>
                    </w:rPr>
                    <w:t>的建设项目。</w:t>
                  </w:r>
                </w:p>
              </w:tc>
              <w:tc>
                <w:tcPr>
                  <w:tcW w:w="1485" w:type="pct"/>
                  <w:tcBorders>
                    <w:tl2br w:val="nil"/>
                    <w:tr2bl w:val="nil"/>
                  </w:tcBorders>
                  <w:vAlign w:val="center"/>
                </w:tcPr>
                <w:p w14:paraId="794D3B0E">
                  <w:pPr>
                    <w:widowControl/>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本项目运营期产生的废气种类不涉及该名录中列出的污染物类型</w:t>
                  </w:r>
                </w:p>
              </w:tc>
              <w:tc>
                <w:tcPr>
                  <w:tcW w:w="742" w:type="pct"/>
                  <w:tcBorders>
                    <w:tl2br w:val="nil"/>
                    <w:tr2bl w:val="nil"/>
                  </w:tcBorders>
                  <w:vAlign w:val="center"/>
                </w:tcPr>
                <w:p w14:paraId="1F4E8EA5">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否</w:t>
                  </w:r>
                </w:p>
              </w:tc>
            </w:tr>
            <w:tr w14:paraId="1667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17" w:type="pct"/>
                  <w:tcBorders>
                    <w:tl2br w:val="nil"/>
                    <w:tr2bl w:val="nil"/>
                  </w:tcBorders>
                  <w:vAlign w:val="center"/>
                </w:tcPr>
                <w:p w14:paraId="30774E36">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地表水</w:t>
                  </w:r>
                </w:p>
              </w:tc>
              <w:tc>
                <w:tcPr>
                  <w:tcW w:w="2154" w:type="pct"/>
                  <w:tcBorders>
                    <w:tl2br w:val="nil"/>
                    <w:tr2bl w:val="nil"/>
                  </w:tcBorders>
                  <w:vAlign w:val="center"/>
                </w:tcPr>
                <w:p w14:paraId="646686AF">
                  <w:pPr>
                    <w:autoSpaceDE w:val="0"/>
                    <w:ind w:left="42" w:leftChars="20" w:right="42" w:rightChars="20"/>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新增工业废水直排建设项目（槽罐车外送污水处理厂的除外），新增废水直排的污水集中处理厂。</w:t>
                  </w:r>
                </w:p>
              </w:tc>
              <w:tc>
                <w:tcPr>
                  <w:tcW w:w="1485" w:type="pct"/>
                  <w:tcBorders>
                    <w:tl2br w:val="nil"/>
                    <w:tr2bl w:val="nil"/>
                  </w:tcBorders>
                  <w:vAlign w:val="center"/>
                </w:tcPr>
                <w:p w14:paraId="269DB503">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项目无工业废水直排</w:t>
                  </w:r>
                </w:p>
              </w:tc>
              <w:tc>
                <w:tcPr>
                  <w:tcW w:w="742" w:type="pct"/>
                  <w:tcBorders>
                    <w:tl2br w:val="nil"/>
                    <w:tr2bl w:val="nil"/>
                  </w:tcBorders>
                  <w:vAlign w:val="center"/>
                </w:tcPr>
                <w:p w14:paraId="302F3A18">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否</w:t>
                  </w:r>
                </w:p>
              </w:tc>
            </w:tr>
            <w:tr w14:paraId="548F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17" w:type="pct"/>
                  <w:tcBorders>
                    <w:tl2br w:val="nil"/>
                    <w:tr2bl w:val="nil"/>
                  </w:tcBorders>
                  <w:vAlign w:val="center"/>
                </w:tcPr>
                <w:p w14:paraId="3568E570">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环境</w:t>
                  </w:r>
                </w:p>
                <w:p w14:paraId="2F902A86">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风险</w:t>
                  </w:r>
                </w:p>
              </w:tc>
              <w:tc>
                <w:tcPr>
                  <w:tcW w:w="2154" w:type="pct"/>
                  <w:tcBorders>
                    <w:tl2br w:val="nil"/>
                    <w:tr2bl w:val="nil"/>
                  </w:tcBorders>
                  <w:vAlign w:val="center"/>
                </w:tcPr>
                <w:p w14:paraId="14F48807">
                  <w:pPr>
                    <w:autoSpaceDE w:val="0"/>
                    <w:ind w:left="42" w:leftChars="20" w:right="42" w:rightChars="20"/>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有毒有害和易燃易爆危险物质存储量超过临界量</w:t>
                  </w:r>
                  <w:r>
                    <w:rPr>
                      <w:rFonts w:hint="default" w:ascii="Times New Roman" w:hAnsi="Times New Roman" w:eastAsia="宋体" w:cs="Times New Roman"/>
                      <w:color w:val="000000" w:themeColor="text1"/>
                      <w:szCs w:val="21"/>
                      <w:vertAlign w:val="superscript"/>
                      <w:lang w:bidi="ar"/>
                      <w14:textFill>
                        <w14:solidFill>
                          <w14:schemeClr w14:val="tx1"/>
                        </w14:solidFill>
                      </w14:textFill>
                    </w:rPr>
                    <w:t>3</w:t>
                  </w:r>
                  <w:r>
                    <w:rPr>
                      <w:rFonts w:hint="default" w:ascii="Times New Roman" w:hAnsi="Times New Roman" w:eastAsia="宋体" w:cs="Times New Roman"/>
                      <w:color w:val="000000" w:themeColor="text1"/>
                      <w:szCs w:val="21"/>
                      <w:lang w:bidi="ar"/>
                      <w14:textFill>
                        <w14:solidFill>
                          <w14:schemeClr w14:val="tx1"/>
                        </w14:solidFill>
                      </w14:textFill>
                    </w:rPr>
                    <w:t>的建设项目。</w:t>
                  </w:r>
                </w:p>
              </w:tc>
              <w:tc>
                <w:tcPr>
                  <w:tcW w:w="1485" w:type="pct"/>
                  <w:tcBorders>
                    <w:tl2br w:val="nil"/>
                    <w:tr2bl w:val="nil"/>
                  </w:tcBorders>
                  <w:vAlign w:val="center"/>
                </w:tcPr>
                <w:p w14:paraId="2763FA03">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项目风险物质未超过临界量</w:t>
                  </w:r>
                </w:p>
              </w:tc>
              <w:tc>
                <w:tcPr>
                  <w:tcW w:w="742" w:type="pct"/>
                  <w:tcBorders>
                    <w:tl2br w:val="nil"/>
                    <w:tr2bl w:val="nil"/>
                  </w:tcBorders>
                  <w:vAlign w:val="center"/>
                </w:tcPr>
                <w:p w14:paraId="6875452D">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否</w:t>
                  </w:r>
                </w:p>
              </w:tc>
            </w:tr>
            <w:tr w14:paraId="3DFA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17" w:type="pct"/>
                  <w:tcBorders>
                    <w:tl2br w:val="nil"/>
                    <w:tr2bl w:val="nil"/>
                  </w:tcBorders>
                  <w:vAlign w:val="center"/>
                </w:tcPr>
                <w:p w14:paraId="2C24443C">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生态</w:t>
                  </w:r>
                </w:p>
              </w:tc>
              <w:tc>
                <w:tcPr>
                  <w:tcW w:w="2154" w:type="pct"/>
                  <w:tcBorders>
                    <w:tl2br w:val="nil"/>
                    <w:tr2bl w:val="nil"/>
                  </w:tcBorders>
                  <w:vAlign w:val="center"/>
                </w:tcPr>
                <w:p w14:paraId="756A1BB7">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取水口下游500米范围内有重要水生生物的自然产卵场、索饵场、越冬场和洄游通道的新增河道取水的污染类建设项目。</w:t>
                  </w:r>
                </w:p>
              </w:tc>
              <w:tc>
                <w:tcPr>
                  <w:tcW w:w="1485" w:type="pct"/>
                  <w:tcBorders>
                    <w:tl2br w:val="nil"/>
                    <w:tr2bl w:val="nil"/>
                  </w:tcBorders>
                  <w:vAlign w:val="center"/>
                </w:tcPr>
                <w:p w14:paraId="45249551">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不涉及</w:t>
                  </w:r>
                </w:p>
              </w:tc>
              <w:tc>
                <w:tcPr>
                  <w:tcW w:w="742" w:type="pct"/>
                  <w:tcBorders>
                    <w:tl2br w:val="nil"/>
                    <w:tr2bl w:val="nil"/>
                  </w:tcBorders>
                  <w:vAlign w:val="center"/>
                </w:tcPr>
                <w:p w14:paraId="49FD37D2">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否</w:t>
                  </w:r>
                </w:p>
              </w:tc>
            </w:tr>
            <w:tr w14:paraId="5606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17" w:type="pct"/>
                  <w:tcBorders>
                    <w:tl2br w:val="nil"/>
                    <w:tr2bl w:val="nil"/>
                  </w:tcBorders>
                  <w:vAlign w:val="center"/>
                </w:tcPr>
                <w:p w14:paraId="299651D1">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海洋</w:t>
                  </w:r>
                </w:p>
              </w:tc>
              <w:tc>
                <w:tcPr>
                  <w:tcW w:w="2154" w:type="pct"/>
                  <w:tcBorders>
                    <w:tl2br w:val="nil"/>
                    <w:tr2bl w:val="nil"/>
                  </w:tcBorders>
                  <w:vAlign w:val="center"/>
                </w:tcPr>
                <w:p w14:paraId="5416400B">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直接向海排放污染物的海洋工程建设项目。</w:t>
                  </w:r>
                </w:p>
              </w:tc>
              <w:tc>
                <w:tcPr>
                  <w:tcW w:w="1485" w:type="pct"/>
                  <w:tcBorders>
                    <w:tl2br w:val="nil"/>
                    <w:tr2bl w:val="nil"/>
                  </w:tcBorders>
                  <w:vAlign w:val="center"/>
                </w:tcPr>
                <w:p w14:paraId="02EC5C6D">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不涉及</w:t>
                  </w:r>
                </w:p>
              </w:tc>
              <w:tc>
                <w:tcPr>
                  <w:tcW w:w="742" w:type="pct"/>
                  <w:tcBorders>
                    <w:tl2br w:val="nil"/>
                    <w:tr2bl w:val="nil"/>
                  </w:tcBorders>
                  <w:vAlign w:val="center"/>
                </w:tcPr>
                <w:p w14:paraId="50E2DD7D">
                  <w:pPr>
                    <w:autoSpaceDE w:val="0"/>
                    <w:ind w:left="42" w:leftChars="20" w:right="42" w:rightChars="2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否</w:t>
                  </w:r>
                </w:p>
              </w:tc>
            </w:tr>
          </w:tbl>
          <w:p w14:paraId="5D9C8D4C">
            <w:pPr>
              <w:widowControl/>
              <w:spacing w:line="360" w:lineRule="auto"/>
              <w:ind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注：1.废气中有毒有害污染物指纳入《有毒有害大气污染物名录》的污染物（不包括无排放标准的污染物）。</w:t>
            </w:r>
          </w:p>
          <w:p w14:paraId="51B27726">
            <w:pPr>
              <w:widowControl/>
              <w:spacing w:line="360" w:lineRule="auto"/>
              <w:ind w:firstLine="420" w:firstLineChars="20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2.环境空气保护目标指自然保护区、风景名胜区、居住区、文化区和农村地区中人群较集中的区域。</w:t>
            </w:r>
          </w:p>
          <w:p w14:paraId="6E092E2C">
            <w:pPr>
              <w:widowControl/>
              <w:spacing w:line="360" w:lineRule="auto"/>
              <w:ind w:firstLine="42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3.临界量及其计算方法可参考《建设项目环境风险评价技术导则》（HJ169）附录B、附录C。</w:t>
            </w:r>
          </w:p>
        </w:tc>
      </w:tr>
      <w:tr w14:paraId="10556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896" w:type="dxa"/>
            <w:vAlign w:val="center"/>
          </w:tcPr>
          <w:p w14:paraId="64C06379">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7974" w:type="dxa"/>
            <w:gridSpan w:val="3"/>
            <w:vAlign w:val="center"/>
          </w:tcPr>
          <w:p w14:paraId="52F75FEE">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规划名称：</w:t>
            </w:r>
            <w:r>
              <w:rPr>
                <w:rFonts w:hint="default" w:ascii="Times New Roman" w:hAnsi="Times New Roman" w:eastAsia="宋体" w:cs="Times New Roman"/>
                <w:color w:val="000000" w:themeColor="text1"/>
                <w:sz w:val="24"/>
                <w14:textFill>
                  <w14:solidFill>
                    <w14:schemeClr w14:val="tx1"/>
                  </w14:solidFill>
                </w14:textFill>
              </w:rPr>
              <w:t>《四川达州普光经济开发区总体规划》（2019-2035）；</w:t>
            </w:r>
          </w:p>
          <w:p w14:paraId="51E36FED">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审批机关：</w:t>
            </w:r>
            <w:r>
              <w:rPr>
                <w:rFonts w:hint="default" w:ascii="Times New Roman" w:hAnsi="Times New Roman" w:eastAsia="宋体" w:cs="Times New Roman"/>
                <w:color w:val="000000" w:themeColor="text1"/>
                <w:sz w:val="24"/>
                <w14:textFill>
                  <w14:solidFill>
                    <w14:schemeClr w14:val="tx1"/>
                  </w14:solidFill>
                </w14:textFill>
              </w:rPr>
              <w:t>四川省人民政府；</w:t>
            </w:r>
          </w:p>
          <w:p w14:paraId="48DE3C2E">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审批文件名称及文号：</w:t>
            </w:r>
            <w:r>
              <w:rPr>
                <w:rFonts w:hint="default" w:ascii="Times New Roman" w:hAnsi="Times New Roman" w:eastAsia="宋体" w:cs="Times New Roman"/>
                <w:color w:val="000000" w:themeColor="text1"/>
                <w:sz w:val="24"/>
                <w14:textFill>
                  <w14:solidFill>
                    <w14:schemeClr w14:val="tx1"/>
                  </w14:solidFill>
                </w14:textFill>
              </w:rPr>
              <w:t>四川达州普光经济开发区总体规划（川府函〔2019〕20号）</w:t>
            </w:r>
          </w:p>
        </w:tc>
      </w:tr>
      <w:tr w14:paraId="6EE19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896" w:type="dxa"/>
            <w:vAlign w:val="center"/>
          </w:tcPr>
          <w:p w14:paraId="20AAF7BD">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规划环境影响评价情况</w:t>
            </w:r>
          </w:p>
        </w:tc>
        <w:tc>
          <w:tcPr>
            <w:tcW w:w="7974" w:type="dxa"/>
            <w:gridSpan w:val="3"/>
            <w:vAlign w:val="center"/>
          </w:tcPr>
          <w:p w14:paraId="68B09FCE">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规划环境影响评价文件名称：</w:t>
            </w:r>
            <w:r>
              <w:rPr>
                <w:rFonts w:hint="default" w:ascii="Times New Roman" w:hAnsi="Times New Roman" w:eastAsia="宋体" w:cs="Times New Roman"/>
                <w:b w:val="0"/>
                <w:bCs w:val="0"/>
                <w:color w:val="000000" w:themeColor="text1"/>
                <w:sz w:val="24"/>
                <w14:textFill>
                  <w14:solidFill>
                    <w14:schemeClr w14:val="tx1"/>
                  </w14:solidFill>
                </w14:textFill>
              </w:rPr>
              <w:t>《</w:t>
            </w:r>
            <w:bookmarkStart w:id="3" w:name="OLE_LINK2"/>
            <w:r>
              <w:rPr>
                <w:rFonts w:hint="default" w:ascii="Times New Roman" w:hAnsi="Times New Roman" w:eastAsia="宋体" w:cs="Times New Roman"/>
                <w:b w:val="0"/>
                <w:bCs w:val="0"/>
                <w:color w:val="000000" w:themeColor="text1"/>
                <w:sz w:val="24"/>
                <w14:textFill>
                  <w14:solidFill>
                    <w14:schemeClr w14:val="tx1"/>
                  </w14:solidFill>
                </w14:textFill>
              </w:rPr>
              <w:t>四川达州普光经济开发区</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含达州普光化工园区</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总体规划修编</w:t>
            </w:r>
            <w:bookmarkEnd w:id="3"/>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2024-2035年</w:t>
            </w:r>
            <w:r>
              <w:rPr>
                <w:rFonts w:hint="eastAsia" w:cs="Times New Roman"/>
                <w:b w:val="0"/>
                <w:bCs w:val="0"/>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14:textFill>
                  <w14:solidFill>
                    <w14:schemeClr w14:val="tx1"/>
                  </w14:solidFill>
                </w14:textFill>
              </w:rPr>
              <w:t>环境影响报告书》；</w:t>
            </w:r>
          </w:p>
          <w:p w14:paraId="51D18E2B">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审查机关：</w:t>
            </w:r>
            <w:r>
              <w:rPr>
                <w:rFonts w:hint="default" w:ascii="Times New Roman" w:hAnsi="Times New Roman" w:eastAsia="宋体" w:cs="Times New Roman"/>
                <w:color w:val="000000" w:themeColor="text1"/>
                <w:sz w:val="24"/>
                <w14:textFill>
                  <w14:solidFill>
                    <w14:schemeClr w14:val="tx1"/>
                  </w14:solidFill>
                </w14:textFill>
              </w:rPr>
              <w:t>四川省生态环境厅；</w:t>
            </w:r>
          </w:p>
          <w:p w14:paraId="3147033A">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审查文件名称及编号：</w:t>
            </w:r>
            <w:r>
              <w:rPr>
                <w:rFonts w:hint="default" w:ascii="Times New Roman" w:hAnsi="Times New Roman" w:eastAsia="宋体" w:cs="Times New Roman"/>
                <w:color w:val="000000" w:themeColor="text1"/>
                <w:sz w:val="24"/>
                <w14:textFill>
                  <w14:solidFill>
                    <w14:schemeClr w14:val="tx1"/>
                  </w14:solidFill>
                </w14:textFill>
              </w:rPr>
              <w:t>关于印发</w:t>
            </w:r>
            <w:r>
              <w:rPr>
                <w:rFonts w:hint="eastAsia" w:cs="Times New Roman"/>
                <w:color w:val="000000" w:themeColor="text1"/>
                <w:sz w:val="24"/>
                <w:lang w:eastAsia="zh-CN"/>
                <w14:textFill>
                  <w14:solidFill>
                    <w14:schemeClr w14:val="tx1"/>
                  </w14:solidFill>
                </w14:textFill>
              </w:rPr>
              <w:t>《</w:t>
            </w:r>
            <w:bookmarkStart w:id="4" w:name="OLE_LINK1"/>
            <w:r>
              <w:rPr>
                <w:rFonts w:hint="eastAsia" w:cs="Times New Roman"/>
                <w:color w:val="000000" w:themeColor="text1"/>
                <w:sz w:val="24"/>
                <w:lang w:eastAsia="zh-CN"/>
                <w14:textFill>
                  <w14:solidFill>
                    <w14:schemeClr w14:val="tx1"/>
                  </w14:solidFill>
                </w14:textFill>
              </w:rPr>
              <w:t>四川达州普光经济开发区（含达州普光化工园区）总体规划修编（2024-2035年）环境影响报告书</w:t>
            </w:r>
            <w:bookmarkEnd w:id="4"/>
            <w:r>
              <w:rPr>
                <w:rFonts w:hint="eastAsia"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审查意见的函（川环建函[202</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号）</w:t>
            </w:r>
          </w:p>
        </w:tc>
      </w:tr>
      <w:tr w14:paraId="44BAA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96" w:type="dxa"/>
            <w:vAlign w:val="center"/>
          </w:tcPr>
          <w:p w14:paraId="0EF20906">
            <w:pPr>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规划及规划环境影响评价符合性分析</w:t>
            </w:r>
          </w:p>
        </w:tc>
        <w:tc>
          <w:tcPr>
            <w:tcW w:w="7974" w:type="dxa"/>
            <w:gridSpan w:val="3"/>
            <w:vAlign w:val="center"/>
          </w:tcPr>
          <w:p w14:paraId="17648451">
            <w:pPr>
              <w:spacing w:line="360" w:lineRule="auto"/>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1、与《四川达州普光经济开发区总体规划（2019-2035）》及</w:t>
            </w:r>
            <w:r>
              <w:rPr>
                <w:rFonts w:hint="eastAsia" w:cs="Times New Roman"/>
                <w:b/>
                <w:bCs/>
                <w:color w:val="000000" w:themeColor="text1"/>
                <w:sz w:val="24"/>
                <w:lang w:val="en-US" w:eastAsia="zh-CN"/>
                <w14:textFill>
                  <w14:solidFill>
                    <w14:schemeClr w14:val="tx1"/>
                  </w14:solidFill>
                </w14:textFill>
              </w:rPr>
              <w:t>2026年修编版</w:t>
            </w:r>
            <w:r>
              <w:rPr>
                <w:rFonts w:hint="default" w:ascii="Times New Roman" w:hAnsi="Times New Roman" w:eastAsia="宋体" w:cs="Times New Roman"/>
                <w:b/>
                <w:bCs/>
                <w:color w:val="000000" w:themeColor="text1"/>
                <w:sz w:val="24"/>
                <w14:textFill>
                  <w14:solidFill>
                    <w14:schemeClr w14:val="tx1"/>
                  </w14:solidFill>
                </w14:textFill>
              </w:rPr>
              <w:t>规划环评符合性分析</w:t>
            </w:r>
          </w:p>
          <w:p w14:paraId="39C617DF">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根据《四川达州普光经济开发区总体规划（2019-2035）》，四川达州普光经济开发区（以下简称“普光经开区”、“达州普光化工园区”、“园区”）规划范围总计29.95km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，分为东区、西区两个片区，其中西区25.93km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、东区4.02km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。西区包括普光功能区、柳池功能区、方斗功能区，东区包括南坝功能区、独树梁功能区、五宝功能区。</w:t>
            </w:r>
          </w:p>
          <w:p w14:paraId="4FE2EA04">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发展定位与目标：</w:t>
            </w:r>
            <w:r>
              <w:rPr>
                <w:rFonts w:hint="default" w:ascii="Times New Roman" w:hAnsi="Times New Roman" w:eastAsia="宋体" w:cs="Times New Roman"/>
                <w:color w:val="000000" w:themeColor="text1"/>
                <w:sz w:val="24"/>
                <w14:textFill>
                  <w14:solidFill>
                    <w14:schemeClr w14:val="tx1"/>
                  </w14:solidFill>
                </w14:textFill>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14:paraId="36D6BE0B">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产业布局：</w:t>
            </w:r>
            <w:r>
              <w:rPr>
                <w:rFonts w:hint="default" w:ascii="Times New Roman" w:hAnsi="Times New Roman" w:eastAsia="宋体" w:cs="Times New Roman"/>
                <w:color w:val="000000" w:themeColor="text1"/>
                <w:sz w:val="24"/>
                <w:lang w:val="en-US" w:eastAsia="zh-CN"/>
                <w14:textFill>
                  <w14:solidFill>
                    <w14:schemeClr w14:val="tx1"/>
                  </w14:solidFill>
                </w14:textFill>
              </w:rPr>
              <w:t>全国新能源新材料综合利用示范区。其中，达州普光化工园区主导产业为化学原料和化学制品制造业、化学纤维制造业、医药制造业；经开区除化工园区外的其他区域主导产业为石油和天然气开采业、非金属矿物制品业、黑色金属冶炼和压延加工业</w:t>
            </w:r>
            <w:r>
              <w:rPr>
                <w:rFonts w:hint="eastAsia" w:cs="Times New Roman"/>
                <w:color w:val="000000" w:themeColor="text1"/>
                <w:sz w:val="24"/>
                <w:lang w:val="en-US" w:eastAsia="zh-CN"/>
                <w14:textFill>
                  <w14:solidFill>
                    <w14:schemeClr w14:val="tx1"/>
                  </w14:solidFill>
                </w14:textFill>
              </w:rPr>
              <w:t>。</w:t>
            </w:r>
          </w:p>
          <w:p w14:paraId="2C1647FF">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本项目选址于四川普光经济开发区四川正达凯新材料有限公司现有工业用地范围内，与园区主导产业不冲突，符合园区规划要求。</w:t>
            </w:r>
          </w:p>
          <w:p w14:paraId="3B68FB3E">
            <w:pPr>
              <w:spacing w:line="360" w:lineRule="auto"/>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根据《四川达州普光经济开发区（含达州普光化工园区）总体规划修编（2024-2035年）环境影响报告书》，</w:t>
            </w:r>
            <w:r>
              <w:rPr>
                <w:rFonts w:hint="default" w:ascii="Times New Roman" w:hAnsi="Times New Roman" w:eastAsia="宋体" w:cs="Times New Roman"/>
                <w:b/>
                <w:bCs/>
                <w:color w:val="000000" w:themeColor="text1"/>
                <w:sz w:val="24"/>
                <w14:textFill>
                  <w14:solidFill>
                    <w14:schemeClr w14:val="tx1"/>
                  </w14:solidFill>
                </w14:textFill>
              </w:rPr>
              <w:t>本项目所在达州普光化工园区规划如下：</w:t>
            </w:r>
          </w:p>
          <w:p w14:paraId="6FC9EFA4">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规划范围：</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2025年10月，达州普光化工园区拟扩区调整经省经信厅公示，达州普光化工园区扩区调整后面积为436.93公顷，全部位于《中国开发区审核公告目录》修订范围内</w:t>
            </w:r>
            <w:r>
              <w:rPr>
                <w:rFonts w:hint="default" w:ascii="Times New Roman" w:hAnsi="Times New Roman" w:eastAsia="宋体" w:cs="Times New Roman"/>
                <w:b w:val="0"/>
                <w:bCs w:val="0"/>
                <w:color w:val="000000" w:themeColor="text1"/>
                <w:sz w:val="24"/>
                <w14:textFill>
                  <w14:solidFill>
                    <w14:schemeClr w14:val="tx1"/>
                  </w14:solidFill>
                </w14:textFill>
              </w:rPr>
              <w:t>。</w:t>
            </w:r>
          </w:p>
          <w:p w14:paraId="5A98FA29">
            <w:pPr>
              <w:spacing w:line="360" w:lineRule="auto"/>
              <w:ind w:firstLine="482"/>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主导产业：</w:t>
            </w:r>
            <w:r>
              <w:rPr>
                <w:rFonts w:hint="default" w:ascii="Times New Roman" w:hAnsi="Times New Roman" w:eastAsia="宋体" w:cs="Times New Roman"/>
                <w:b w:val="0"/>
                <w:bCs w:val="0"/>
                <w:color w:val="000000" w:themeColor="text1"/>
                <w:sz w:val="24"/>
                <w14:textFill>
                  <w14:solidFill>
                    <w14:schemeClr w14:val="tx1"/>
                  </w14:solidFill>
                </w14:textFill>
              </w:rPr>
              <w:t>化学原料和化学制品制造业、化学纤维制造业、医药制造业。</w:t>
            </w:r>
          </w:p>
          <w:p w14:paraId="105D681E">
            <w:pPr>
              <w:spacing w:line="360" w:lineRule="auto"/>
              <w:ind w:firstLine="48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9</w:t>
            </w:r>
            <w:r>
              <w:rPr>
                <w:rFonts w:hint="default" w:ascii="Times New Roman" w:hAnsi="Times New Roman" w:eastAsia="宋体" w:cs="Times New Roman"/>
                <w:color w:val="000000" w:themeColor="text1"/>
                <w:sz w:val="24"/>
                <w14:textFill>
                  <w14:solidFill>
                    <w14:schemeClr w14:val="tx1"/>
                  </w14:solidFill>
                </w14:textFill>
              </w:rPr>
              <w:t>月，四川省生态环境厅组织审查了《</w:t>
            </w:r>
            <w:r>
              <w:rPr>
                <w:rFonts w:hint="eastAsia" w:cs="Times New Roman"/>
                <w:color w:val="000000" w:themeColor="text1"/>
                <w:sz w:val="24"/>
                <w:lang w:eastAsia="zh-CN"/>
                <w14:textFill>
                  <w14:solidFill>
                    <w14:schemeClr w14:val="tx1"/>
                  </w14:solidFill>
                </w14:textFill>
              </w:rPr>
              <w:t>四川达州普光经济开发区（含达州普光化工园区）总体规划修编（2024-2035年）环境影响报告书</w:t>
            </w:r>
            <w:r>
              <w:rPr>
                <w:rFonts w:hint="default" w:ascii="Times New Roman" w:hAnsi="Times New Roman" w:eastAsia="宋体" w:cs="Times New Roman"/>
                <w:color w:val="000000" w:themeColor="text1"/>
                <w:sz w:val="24"/>
                <w14:textFill>
                  <w14:solidFill>
                    <w14:schemeClr w14:val="tx1"/>
                  </w14:solidFill>
                </w14:textFill>
              </w:rPr>
              <w:t>》并出具审查意见（川环建函〔202</w:t>
            </w:r>
            <w:r>
              <w:rPr>
                <w:rFonts w:hint="eastAsia"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号，见附件）</w:t>
            </w:r>
            <w:r>
              <w:rPr>
                <w:rFonts w:hint="eastAsia" w:cs="Times New Roman"/>
                <w:color w:val="000000" w:themeColor="text1"/>
                <w:sz w:val="24"/>
                <w:lang w:eastAsia="zh-CN"/>
                <w14:textFill>
                  <w14:solidFill>
                    <w14:schemeClr w14:val="tx1"/>
                  </w14:solidFill>
                </w14:textFill>
              </w:rPr>
              <w:t>。</w:t>
            </w:r>
          </w:p>
          <w:p w14:paraId="79E4A725">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本项目利用主体工程《年产120万吨MEG联产10万吨电子级DMC新材料项目》中“MDEA脱CO</w:t>
            </w:r>
            <w:r>
              <w:rPr>
                <w:rFonts w:hint="eastAsia" w:cs="Times New Roman"/>
                <w:color w:val="000000" w:themeColor="text1"/>
                <w:sz w:val="24"/>
                <w:vertAlign w:val="subscript"/>
                <w:lang w:val="en-US" w:eastAsia="zh-CN"/>
                <w14:textFill>
                  <w14:solidFill>
                    <w14:schemeClr w14:val="tx1"/>
                  </w14:solidFill>
                </w14:textFill>
              </w:rPr>
              <w:t>2</w:t>
            </w:r>
            <w:r>
              <w:rPr>
                <w:rFonts w:hint="eastAsia" w:cs="Times New Roman"/>
                <w:color w:val="000000" w:themeColor="text1"/>
                <w:sz w:val="24"/>
                <w:lang w:val="en-US" w:eastAsia="zh-CN"/>
                <w14:textFill>
                  <w14:solidFill>
                    <w14:schemeClr w14:val="tx1"/>
                  </w14:solidFill>
                </w14:textFill>
              </w:rPr>
              <w:t>放空气”进行物理回收制备高纯液态二氧化碳，</w:t>
            </w:r>
            <w:r>
              <w:rPr>
                <w:rFonts w:hint="default" w:ascii="Times New Roman" w:hAnsi="Times New Roman" w:eastAsia="宋体" w:cs="Times New Roman"/>
                <w:color w:val="000000" w:themeColor="text1"/>
                <w:sz w:val="24"/>
                <w14:textFill>
                  <w14:solidFill>
                    <w14:schemeClr w14:val="tx1"/>
                  </w14:solidFill>
                </w14:textFill>
              </w:rPr>
              <w:t>与园区环境管控要求和生态环境准入清单的符合性见下表。</w:t>
            </w:r>
          </w:p>
          <w:p w14:paraId="76A7F326">
            <w:pPr>
              <w:pStyle w:val="514"/>
              <w:numPr>
                <w:ilvl w:val="0"/>
                <w:numId w:val="0"/>
              </w:numPr>
              <w:rPr>
                <w:rFonts w:hint="default" w:ascii="Times New Roman" w:hAnsi="Times New Roman" w:eastAsia="宋体" w:cs="Times New Roman"/>
                <w:b/>
                <w:bCs/>
                <w:color w:val="000000" w:themeColor="text1"/>
                <w14:textFill>
                  <w14:solidFill>
                    <w14:schemeClr w14:val="tx1"/>
                  </w14:solidFill>
                </w14:textFill>
              </w:rPr>
            </w:pPr>
            <w:r>
              <w:rPr>
                <w:rStyle w:val="515"/>
                <w:rFonts w:hint="default" w:ascii="Times New Roman" w:hAnsi="Times New Roman" w:eastAsia="宋体" w:cs="Times New Roman"/>
                <w:b/>
                <w:bCs/>
                <w:color w:val="000000" w:themeColor="text1"/>
                <w14:textFill>
                  <w14:solidFill>
                    <w14:schemeClr w14:val="tx1"/>
                  </w14:solidFill>
                </w14:textFill>
              </w:rPr>
              <w:t>表1-2  与</w:t>
            </w:r>
            <w:r>
              <w:rPr>
                <w:rStyle w:val="515"/>
                <w:rFonts w:hint="eastAsia" w:eastAsia="宋体" w:cs="Times New Roman"/>
                <w:b/>
                <w:bCs/>
                <w:color w:val="000000" w:themeColor="text1"/>
                <w:lang w:val="en-US" w:eastAsia="zh-CN"/>
                <w14:textFill>
                  <w14:solidFill>
                    <w14:schemeClr w14:val="tx1"/>
                  </w14:solidFill>
                </w14:textFill>
              </w:rPr>
              <w:t>园区</w:t>
            </w:r>
            <w:r>
              <w:rPr>
                <w:rStyle w:val="515"/>
                <w:rFonts w:hint="default" w:ascii="Times New Roman" w:hAnsi="Times New Roman" w:eastAsia="宋体" w:cs="Times New Roman"/>
                <w:b/>
                <w:bCs/>
                <w:color w:val="000000" w:themeColor="text1"/>
                <w14:textFill>
                  <w14:solidFill>
                    <w14:schemeClr w14:val="tx1"/>
                  </w14:solidFill>
                </w14:textFill>
              </w:rPr>
              <w:t>环境管控要求和生态环境准入清单符合性分析</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750"/>
              <w:gridCol w:w="3061"/>
              <w:gridCol w:w="2512"/>
              <w:gridCol w:w="726"/>
            </w:tblGrid>
            <w:tr w14:paraId="1531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49" w:type="pct"/>
                  <w:tcBorders>
                    <w:tl2br w:val="nil"/>
                    <w:tr2bl w:val="nil"/>
                  </w:tcBorders>
                  <w:vAlign w:val="center"/>
                </w:tcPr>
                <w:p w14:paraId="6D51E5F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功能区</w:t>
                  </w:r>
                </w:p>
              </w:tc>
              <w:tc>
                <w:tcPr>
                  <w:tcW w:w="484" w:type="pct"/>
                  <w:tcBorders>
                    <w:tl2br w:val="nil"/>
                    <w:tr2bl w:val="nil"/>
                  </w:tcBorders>
                  <w:vAlign w:val="center"/>
                </w:tcPr>
                <w:p w14:paraId="3C4BE2A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1975" w:type="pct"/>
                  <w:tcBorders>
                    <w:tl2br w:val="nil"/>
                    <w:tr2bl w:val="nil"/>
                  </w:tcBorders>
                  <w:vAlign w:val="center"/>
                </w:tcPr>
                <w:p w14:paraId="4864DBB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环境管控要求和生态环境准入清单</w:t>
                  </w:r>
                </w:p>
              </w:tc>
              <w:tc>
                <w:tcPr>
                  <w:tcW w:w="1621" w:type="pct"/>
                  <w:tcBorders>
                    <w:tl2br w:val="nil"/>
                    <w:tr2bl w:val="nil"/>
                  </w:tcBorders>
                  <w:vAlign w:val="center"/>
                </w:tcPr>
                <w:p w14:paraId="6A509BD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p>
              </w:tc>
              <w:tc>
                <w:tcPr>
                  <w:tcW w:w="469" w:type="pct"/>
                  <w:tcBorders>
                    <w:tl2br w:val="nil"/>
                    <w:tr2bl w:val="nil"/>
                  </w:tcBorders>
                  <w:vAlign w:val="center"/>
                </w:tcPr>
                <w:p w14:paraId="255663D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14:paraId="32EB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restart"/>
                  <w:tcBorders>
                    <w:tl2br w:val="nil"/>
                    <w:tr2bl w:val="nil"/>
                  </w:tcBorders>
                  <w:vAlign w:val="center"/>
                </w:tcPr>
                <w:p w14:paraId="509E8C8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总体管控要求及准入清单</w:t>
                  </w:r>
                </w:p>
              </w:tc>
              <w:tc>
                <w:tcPr>
                  <w:tcW w:w="484" w:type="pct"/>
                  <w:tcBorders>
                    <w:tl2br w:val="nil"/>
                    <w:tr2bl w:val="nil"/>
                  </w:tcBorders>
                  <w:vAlign w:val="center"/>
                </w:tcPr>
                <w:p w14:paraId="0098F27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1975" w:type="pct"/>
                  <w:tcBorders>
                    <w:tl2br w:val="nil"/>
                    <w:tr2bl w:val="nil"/>
                  </w:tcBorders>
                  <w:vAlign w:val="center"/>
                </w:tcPr>
                <w:p w14:paraId="0D10E992">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①经开区开发建设活动应当遵守长江保护相关法律法规的要求，禁止不符合相关法律法规、产业政策和行业准入条件以及国家、地方明令禁止的项目。</w:t>
                  </w:r>
                </w:p>
                <w:p w14:paraId="7D0F9ADB">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②禁止与周边生活空间冲突或经环保论证与周边企业、用地布局等环境不相容的项目。</w:t>
                  </w:r>
                </w:p>
              </w:tc>
              <w:tc>
                <w:tcPr>
                  <w:tcW w:w="1621" w:type="pct"/>
                  <w:tcBorders>
                    <w:tl2br w:val="nil"/>
                    <w:tr2bl w:val="nil"/>
                  </w:tcBorders>
                  <w:vAlign w:val="center"/>
                </w:tcPr>
                <w:p w14:paraId="6F574F55">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①本项目利用厂内现有CO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直排尾气进行物理回收制备高纯液态二氧化碳，遵守长江保护相关法律法规的要求；</w:t>
                  </w:r>
                </w:p>
                <w:p w14:paraId="1970B6ED">
                  <w:pPr>
                    <w:pStyle w:val="516"/>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②本项目不属于与园区主导产业相禁忌、</w:t>
                  </w:r>
                  <w:r>
                    <w:rPr>
                      <w:rFonts w:hint="eastAsia" w:cs="Times New Roman"/>
                      <w:color w:val="000000" w:themeColor="text1"/>
                      <w:sz w:val="21"/>
                      <w:szCs w:val="21"/>
                      <w:lang w:val="en-US" w:eastAsia="zh-CN"/>
                      <w14:textFill>
                        <w14:solidFill>
                          <w14:schemeClr w14:val="tx1"/>
                        </w14:solidFill>
                      </w14:textFill>
                    </w:rPr>
                    <w:t>与周边生活空间、企业、用地布局相冲突的项目。</w:t>
                  </w:r>
                </w:p>
              </w:tc>
              <w:tc>
                <w:tcPr>
                  <w:tcW w:w="469" w:type="pct"/>
                  <w:tcBorders>
                    <w:tl2br w:val="nil"/>
                    <w:tr2bl w:val="nil"/>
                  </w:tcBorders>
                  <w:vAlign w:val="center"/>
                </w:tcPr>
                <w:p w14:paraId="0A622A5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F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tl2br w:val="nil"/>
                    <w:tr2bl w:val="nil"/>
                  </w:tcBorders>
                  <w:vAlign w:val="center"/>
                </w:tcPr>
                <w:p w14:paraId="792D33E2">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43F6F7A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1975" w:type="pct"/>
                  <w:tcBorders>
                    <w:tl2br w:val="nil"/>
                    <w:tr2bl w:val="nil"/>
                  </w:tcBorders>
                  <w:vAlign w:val="center"/>
                </w:tcPr>
                <w:p w14:paraId="4BF19C1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禁止引入以原矿为原料的金属冶炼、印染、皮革鞣制、制浆造纸、印制电路板、专业电镀、合成氨、硝酸铵、氢氰酸及新增钛石膏渣的项目，禁止引入不符合重金属、持久性有机污染物、新污染物污染物等管理要求的项目以及不符合化工园区“禁限控”目录要求的项目。针对有机硫化工，仅允许现有二硫化碳生产企业综合利用硫化氢尾气生产二甲基亚砜，且规模不超过1万吨/年。</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新建和改扩建石化化工、钢铁冶炼、电解铝、水泥、陶瓷、平板玻璃等项目须达到能效标杆水平和环保绩效A级水平，新建精细化学品和化工新材料项目满足环保绩效A级指标要求。新建和改扩建其他项目大气污染物排放参照国家、四川省重污染天气重点行业应急减排措施相关行业绩效分级B级水平，鼓励达到A级水平，严格执行《挥发性有机物无组织排放控制标准》(GB37822-2019)。</w:t>
                  </w:r>
                </w:p>
              </w:tc>
              <w:tc>
                <w:tcPr>
                  <w:tcW w:w="1621" w:type="pct"/>
                  <w:tcBorders>
                    <w:tl2br w:val="nil"/>
                    <w:tr2bl w:val="nil"/>
                  </w:tcBorders>
                  <w:vAlign w:val="center"/>
                </w:tcPr>
                <w:p w14:paraId="71E033ED">
                  <w:pPr>
                    <w:pStyle w:val="516"/>
                    <w:wordWrap w:val="0"/>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①本项目不涉及</w:t>
                  </w:r>
                  <w:r>
                    <w:rPr>
                      <w:rFonts w:hint="eastAsia" w:cs="Times New Roman"/>
                      <w:color w:val="000000" w:themeColor="text1"/>
                      <w:sz w:val="21"/>
                      <w:szCs w:val="21"/>
                      <w:lang w:val="en-US" w:eastAsia="zh-CN"/>
                      <w14:textFill>
                        <w14:solidFill>
                          <w14:schemeClr w14:val="tx1"/>
                        </w14:solidFill>
                      </w14:textFill>
                    </w:rPr>
                    <w:t>左列①中列出的项目类型，不涉及重金属、持久性有机污染物、新污染物排放，不属于</w:t>
                  </w:r>
                  <w:r>
                    <w:rPr>
                      <w:rFonts w:hint="default" w:ascii="Times New Roman" w:hAnsi="Times New Roman" w:eastAsia="宋体" w:cs="Times New Roman"/>
                      <w:color w:val="000000" w:themeColor="text1"/>
                      <w:sz w:val="21"/>
                      <w:szCs w:val="21"/>
                      <w14:textFill>
                        <w14:solidFill>
                          <w14:schemeClr w14:val="tx1"/>
                        </w14:solidFill>
                      </w14:textFill>
                    </w:rPr>
                    <w:t>化工园区“禁限控”目录</w:t>
                  </w:r>
                  <w:r>
                    <w:rPr>
                      <w:rFonts w:hint="eastAsia" w:cs="Times New Roman"/>
                      <w:color w:val="000000" w:themeColor="text1"/>
                      <w:sz w:val="21"/>
                      <w:szCs w:val="21"/>
                      <w:lang w:val="en-US" w:eastAsia="zh-CN"/>
                      <w14:textFill>
                        <w14:solidFill>
                          <w14:schemeClr w14:val="tx1"/>
                        </w14:solidFill>
                      </w14:textFill>
                    </w:rPr>
                    <w:t>项目，本项目不属于硫化工；</w:t>
                  </w:r>
                </w:p>
                <w:p w14:paraId="61A4DC94">
                  <w:pPr>
                    <w:pStyle w:val="516"/>
                    <w:wordWrap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②四川正达凯新材料有限公司全厂环评文件已获批复，</w:t>
                  </w:r>
                  <w:r>
                    <w:rPr>
                      <w:rFonts w:hint="eastAsia" w:cs="Times New Roman"/>
                      <w:color w:val="000000" w:themeColor="text1"/>
                      <w:sz w:val="21"/>
                      <w:szCs w:val="21"/>
                      <w:lang w:val="en-US" w:eastAsia="zh-CN"/>
                      <w14:textFill>
                        <w14:solidFill>
                          <w14:schemeClr w14:val="tx1"/>
                        </w14:solidFill>
                      </w14:textFill>
                    </w:rPr>
                    <w:t>本项目属于</w:t>
                  </w:r>
                  <w:r>
                    <w:rPr>
                      <w:rFonts w:hint="default" w:ascii="Times New Roman" w:hAnsi="Times New Roman" w:eastAsia="宋体" w:cs="Times New Roman"/>
                      <w:color w:val="000000" w:themeColor="text1"/>
                      <w:sz w:val="21"/>
                      <w:szCs w:val="21"/>
                      <w14:textFill>
                        <w14:solidFill>
                          <w14:schemeClr w14:val="tx1"/>
                        </w14:solidFill>
                      </w14:textFill>
                    </w:rPr>
                    <w:t>正达凯新材料</w:t>
                  </w:r>
                  <w:r>
                    <w:rPr>
                      <w:rFonts w:hint="eastAsia" w:cs="Times New Roman"/>
                      <w:color w:val="000000" w:themeColor="text1"/>
                      <w:sz w:val="21"/>
                      <w:szCs w:val="21"/>
                      <w:lang w:eastAsia="zh-CN"/>
                      <w14:textFill>
                        <w14:solidFill>
                          <w14:schemeClr w14:val="tx1"/>
                        </w14:solidFill>
                      </w14:textFill>
                    </w:rPr>
                    <w:t>的</w:t>
                  </w:r>
                  <w:r>
                    <w:rPr>
                      <w:rFonts w:hint="eastAsia" w:cs="Times New Roman"/>
                      <w:color w:val="000000" w:themeColor="text1"/>
                      <w:sz w:val="21"/>
                      <w:szCs w:val="21"/>
                      <w:lang w:val="en-US" w:eastAsia="zh-CN"/>
                      <w14:textFill>
                        <w14:solidFill>
                          <w14:schemeClr w14:val="tx1"/>
                        </w14:solidFill>
                      </w14:textFill>
                    </w:rPr>
                    <w:t>组成部分，后期全厂按照环保绩效A级指标要求申报。</w:t>
                  </w:r>
                </w:p>
              </w:tc>
              <w:tc>
                <w:tcPr>
                  <w:tcW w:w="469" w:type="pct"/>
                  <w:tcBorders>
                    <w:tl2br w:val="nil"/>
                    <w:tr2bl w:val="nil"/>
                  </w:tcBorders>
                  <w:vAlign w:val="center"/>
                </w:tcPr>
                <w:p w14:paraId="374C655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7BA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tl2br w:val="nil"/>
                    <w:tr2bl w:val="nil"/>
                  </w:tcBorders>
                  <w:vAlign w:val="center"/>
                </w:tcPr>
                <w:p w14:paraId="4A9A1983">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3D4C6D4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1975" w:type="pct"/>
                  <w:tcBorders>
                    <w:tl2br w:val="nil"/>
                    <w:tr2bl w:val="nil"/>
                  </w:tcBorders>
                  <w:vAlign w:val="center"/>
                </w:tcPr>
                <w:p w14:paraId="1AB36F1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①风险源与环境敏感目标保持符合规范要求的防护距离，切实做好危险化学品贮运、使用过程中的安全防范措施，最大程度降低环境风险事故发生的几率。</w:t>
                  </w:r>
                </w:p>
                <w:p w14:paraId="1651C08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②制定切实可行的环境风险应急预案，定期开展环境风险应急演练，建立与敏感目标的环境风险应急联动机制。</w:t>
                  </w:r>
                </w:p>
              </w:tc>
              <w:tc>
                <w:tcPr>
                  <w:tcW w:w="1621" w:type="pct"/>
                  <w:tcBorders>
                    <w:tl2br w:val="nil"/>
                    <w:tr2bl w:val="nil"/>
                  </w:tcBorders>
                  <w:vAlign w:val="center"/>
                </w:tcPr>
                <w:p w14:paraId="2AE27CE5">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①本项目利用四川正达凯新材料有限公司现有工业厂房实施，与周围环境敏感目标的距离符合规范要求，本项目主要涉及CO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的回收和冷冻介质液氨的使用，将严格落实相关风险防范措施，最大程度降低环境风险事故发生的几率；</w:t>
                  </w:r>
                </w:p>
                <w:p w14:paraId="40C53A10">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②本项目纳入全厂环境风险应急预案管理体系，厂区建立与敏感目标的环境风险应急联动机制，并按照应急预案要求定期进行应急演练。</w:t>
                  </w:r>
                </w:p>
              </w:tc>
              <w:tc>
                <w:tcPr>
                  <w:tcW w:w="469" w:type="pct"/>
                  <w:tcBorders>
                    <w:tl2br w:val="nil"/>
                    <w:tr2bl w:val="nil"/>
                  </w:tcBorders>
                  <w:vAlign w:val="center"/>
                </w:tcPr>
                <w:p w14:paraId="4DD7A73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C37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vMerge w:val="continue"/>
                  <w:tcBorders>
                    <w:tl2br w:val="nil"/>
                    <w:tr2bl w:val="nil"/>
                  </w:tcBorders>
                  <w:vAlign w:val="center"/>
                </w:tcPr>
                <w:p w14:paraId="7822C215">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599ED02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资源开发利用要求</w:t>
                  </w:r>
                </w:p>
              </w:tc>
              <w:tc>
                <w:tcPr>
                  <w:tcW w:w="1975" w:type="pct"/>
                  <w:tcBorders>
                    <w:tl2br w:val="nil"/>
                    <w:tr2bl w:val="nil"/>
                  </w:tcBorders>
                  <w:vAlign w:val="center"/>
                </w:tcPr>
                <w:p w14:paraId="0E55DC2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①2027年，经开区一般工业固废综合利用率达到80%；2030年、2035年，经开区一般工业固废综合利用率应进一步提高，并达到省、市相关要求。</w:t>
                  </w:r>
                </w:p>
                <w:p w14:paraId="2CFE1A09">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②危险废物资源化利用、无害化处置率应达到100%。</w:t>
                  </w:r>
                </w:p>
                <w:p w14:paraId="498D3AC0">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③针对重点耗能工艺、重点耗能设备，采取有效节能措施，使碳排放达到国家相关标准。</w:t>
                  </w:r>
                </w:p>
              </w:tc>
              <w:tc>
                <w:tcPr>
                  <w:tcW w:w="1621" w:type="pct"/>
                  <w:tcBorders>
                    <w:tl2br w:val="nil"/>
                    <w:tr2bl w:val="nil"/>
                  </w:tcBorders>
                  <w:vAlign w:val="center"/>
                </w:tcPr>
                <w:p w14:paraId="60CD7E95">
                  <w:pPr>
                    <w:pStyle w:val="516"/>
                    <w:jc w:val="both"/>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①本项目产生的一般工业固废全部进行有效利用或处置；</w:t>
                  </w:r>
                </w:p>
                <w:p w14:paraId="35BB3834">
                  <w:pPr>
                    <w:pStyle w:val="516"/>
                    <w:jc w:val="both"/>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w:t>
                  </w:r>
                  <w:r>
                    <w:rPr>
                      <w:rFonts w:hint="eastAsia" w:cs="Times New Roman"/>
                      <w:color w:val="000000" w:themeColor="text1"/>
                      <w:sz w:val="21"/>
                      <w:szCs w:val="21"/>
                      <w:lang w:val="en-US" w:eastAsia="zh-CN"/>
                      <w14:textFill>
                        <w14:solidFill>
                          <w14:schemeClr w14:val="tx1"/>
                        </w14:solidFill>
                      </w14:textFill>
                    </w:rPr>
                    <w:t>产生的危险废物全部进行有效处置</w:t>
                  </w:r>
                  <w:r>
                    <w:rPr>
                      <w:rFonts w:hint="eastAsia" w:cs="Times New Roman"/>
                      <w:color w:val="000000" w:themeColor="text1"/>
                      <w:sz w:val="21"/>
                      <w:szCs w:val="21"/>
                      <w:lang w:eastAsia="zh-CN"/>
                      <w14:textFill>
                        <w14:solidFill>
                          <w14:schemeClr w14:val="tx1"/>
                        </w14:solidFill>
                      </w14:textFill>
                    </w:rPr>
                    <w:t>；</w:t>
                  </w:r>
                </w:p>
                <w:p w14:paraId="579B3475">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本项目利用厂内现有CO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直排尾气进行物理回收制备高纯液态二氧化碳，年减少CO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排放7万吨，</w:t>
                  </w:r>
                  <w:r>
                    <w:rPr>
                      <w:rFonts w:hint="eastAsia" w:cs="Times New Roman"/>
                      <w:color w:val="000000" w:themeColor="text1"/>
                      <w:sz w:val="21"/>
                      <w:szCs w:val="21"/>
                      <w:lang w:val="en-US" w:eastAsia="zh-CN"/>
                      <w14:textFill>
                        <w14:solidFill>
                          <w14:schemeClr w14:val="tx1"/>
                        </w14:solidFill>
                      </w14:textFill>
                    </w:rPr>
                    <w:t>属于有效的降碳措施，达到了国家相关标准。</w:t>
                  </w:r>
                </w:p>
              </w:tc>
              <w:tc>
                <w:tcPr>
                  <w:tcW w:w="469" w:type="pct"/>
                  <w:tcBorders>
                    <w:tl2br w:val="nil"/>
                    <w:tr2bl w:val="nil"/>
                  </w:tcBorders>
                  <w:vAlign w:val="center"/>
                </w:tcPr>
                <w:p w14:paraId="3581600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2001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restart"/>
                  <w:tcBorders>
                    <w:tl2br w:val="nil"/>
                    <w:tr2bl w:val="nil"/>
                  </w:tcBorders>
                  <w:vAlign w:val="center"/>
                </w:tcPr>
                <w:p w14:paraId="003AB17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普光功能区</w:t>
                  </w:r>
                </w:p>
              </w:tc>
              <w:tc>
                <w:tcPr>
                  <w:tcW w:w="484" w:type="pct"/>
                  <w:tcBorders>
                    <w:tl2br w:val="nil"/>
                    <w:tr2bl w:val="nil"/>
                  </w:tcBorders>
                  <w:vAlign w:val="center"/>
                </w:tcPr>
                <w:p w14:paraId="162E959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1975" w:type="pct"/>
                  <w:tcBorders>
                    <w:tl2br w:val="nil"/>
                    <w:tr2bl w:val="nil"/>
                  </w:tcBorders>
                  <w:vAlign w:val="center"/>
                </w:tcPr>
                <w:p w14:paraId="53FA3415">
                  <w:pPr>
                    <w:pStyle w:val="516"/>
                    <w:numPr>
                      <w:ilvl w:val="0"/>
                      <w:numId w:val="0"/>
                    </w:numPr>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严格执行《四川省化工生产建设项目入园指引(试行)》的通知(川经信规〔2024〕4号)。</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化工园区中信华诚所在地块(详见图7.4-3)禁止引入涉及恶臭污染物(《恶臭污染物排放标准》涉及的恶臭污染物)排放的项目，严格落实《挥发性有机物无组织排放控制标准》(GB37822-2019)有关要求，重点从污染物排放的环境影响和风险防控两方面论证项目与周边生活空间和周边企业的环境相容性。</w:t>
                  </w:r>
                </w:p>
                <w:p w14:paraId="4D5BEC89">
                  <w:pPr>
                    <w:pStyle w:val="516"/>
                    <w:numPr>
                      <w:ilvl w:val="0"/>
                      <w:numId w:val="0"/>
                    </w:num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③非化工园区毗邻场镇的地块布局不涉及工业炉窑、不构成危险化学品重大危险源的低污染、低风险项目。</w:t>
                  </w:r>
                </w:p>
              </w:tc>
              <w:tc>
                <w:tcPr>
                  <w:tcW w:w="1621" w:type="pct"/>
                  <w:tcBorders>
                    <w:tl2br w:val="nil"/>
                    <w:tr2bl w:val="nil"/>
                  </w:tcBorders>
                  <w:vAlign w:val="center"/>
                </w:tcPr>
                <w:p w14:paraId="33D33ECA">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w:t>
                  </w:r>
                  <w:r>
                    <w:rPr>
                      <w:rFonts w:hint="eastAsia" w:cs="Times New Roman"/>
                      <w:color w:val="000000" w:themeColor="text1"/>
                      <w:sz w:val="21"/>
                      <w:szCs w:val="21"/>
                      <w:lang w:val="en-US" w:eastAsia="zh-CN"/>
                      <w14:textFill>
                        <w14:solidFill>
                          <w14:schemeClr w14:val="tx1"/>
                        </w14:solidFill>
                      </w14:textFill>
                    </w:rPr>
                    <w:t>本项目符合</w:t>
                  </w:r>
                  <w:r>
                    <w:rPr>
                      <w:rFonts w:hint="default" w:ascii="Times New Roman" w:hAnsi="Times New Roman" w:eastAsia="宋体" w:cs="Times New Roman"/>
                      <w:color w:val="000000" w:themeColor="text1"/>
                      <w:sz w:val="21"/>
                      <w:szCs w:val="21"/>
                      <w14:textFill>
                        <w14:solidFill>
                          <w14:schemeClr w14:val="tx1"/>
                        </w14:solidFill>
                      </w14:textFill>
                    </w:rPr>
                    <w:t>《四川省化工生产建设项目入园指引(试行)》的通知(川经信规〔2024〕4号)</w:t>
                  </w:r>
                  <w:r>
                    <w:rPr>
                      <w:rFonts w:hint="eastAsia" w:cs="Times New Roman"/>
                      <w:color w:val="000000" w:themeColor="text1"/>
                      <w:sz w:val="21"/>
                      <w:szCs w:val="21"/>
                      <w:lang w:val="en-US" w:eastAsia="zh-CN"/>
                      <w14:textFill>
                        <w14:solidFill>
                          <w14:schemeClr w14:val="tx1"/>
                        </w14:solidFill>
                      </w14:textFill>
                    </w:rPr>
                    <w:t>中相关要求；</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eastAsia" w:cs="Times New Roman"/>
                      <w:color w:val="000000" w:themeColor="text1"/>
                      <w:sz w:val="21"/>
                      <w:szCs w:val="21"/>
                      <w:lang w:val="en-US" w:eastAsia="zh-CN"/>
                      <w14:textFill>
                        <w14:solidFill>
                          <w14:schemeClr w14:val="tx1"/>
                        </w14:solidFill>
                      </w14:textFill>
                    </w:rPr>
                    <w:t>②不涉及</w:t>
                  </w:r>
                  <w:r>
                    <w:rPr>
                      <w:rFonts w:hint="default" w:ascii="Times New Roman" w:hAnsi="Times New Roman" w:eastAsia="宋体" w:cs="Times New Roman"/>
                      <w:color w:val="000000" w:themeColor="text1"/>
                      <w:sz w:val="21"/>
                      <w:szCs w:val="21"/>
                      <w14:textFill>
                        <w14:solidFill>
                          <w14:schemeClr w14:val="tx1"/>
                        </w14:solidFill>
                      </w14:textFill>
                    </w:rPr>
                    <w:t>；</w:t>
                  </w:r>
                </w:p>
                <w:p w14:paraId="3418ADCD">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③不涉及</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69" w:type="pct"/>
                  <w:tcBorders>
                    <w:tl2br w:val="nil"/>
                    <w:tr2bl w:val="nil"/>
                  </w:tcBorders>
                  <w:vAlign w:val="center"/>
                </w:tcPr>
                <w:p w14:paraId="302424E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4A3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tl2br w:val="nil"/>
                    <w:tr2bl w:val="nil"/>
                  </w:tcBorders>
                  <w:vAlign w:val="center"/>
                </w:tcPr>
                <w:p w14:paraId="690563CC">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2B5897B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1975" w:type="pct"/>
                  <w:tcBorders>
                    <w:tl2br w:val="nil"/>
                    <w:tr2bl w:val="nil"/>
                  </w:tcBorders>
                  <w:vAlign w:val="center"/>
                </w:tcPr>
                <w:p w14:paraId="65E7AF1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①污水处理厂执行《四川省化工园区水污染物排放标准》(DB51/3202-2024)表2二级标准，园区设置一个入河排污口，位于后河工业取水口下游。2035年，普光功能区废水入河排放量不超过3.5万m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p w14:paraId="5440D078">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②禁止引入涉及含铅(pb)、汞(Hg)、镉(Cd)、铬(Cr)、砷(As)五类重金属废水排放的项目。</w:t>
                  </w:r>
                </w:p>
                <w:p w14:paraId="034A5A9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③化工园区禁止新建分散式供热锅炉(开工锅炉、备用锅炉、尾气锅炉等工艺要求必须配置的除外)。</w:t>
                  </w:r>
                </w:p>
                <w:p w14:paraId="557590A8">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④其他执行“总体管控要求和准入清单”。</w:t>
                  </w:r>
                </w:p>
              </w:tc>
              <w:tc>
                <w:tcPr>
                  <w:tcW w:w="1621" w:type="pct"/>
                  <w:tcBorders>
                    <w:tl2br w:val="nil"/>
                    <w:tr2bl w:val="nil"/>
                  </w:tcBorders>
                  <w:vAlign w:val="center"/>
                </w:tcPr>
                <w:p w14:paraId="0DA83EBC">
                  <w:pPr>
                    <w:pStyle w:val="516"/>
                    <w:jc w:val="both"/>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①园区污水处理厂按照要求执行；</w:t>
                  </w:r>
                </w:p>
                <w:p w14:paraId="46B99848">
                  <w:pPr>
                    <w:pStyle w:val="516"/>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本项目不涉及重金属废水排放</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br w:type="textWrapping"/>
                  </w:r>
                  <w:r>
                    <w:rPr>
                      <w:rFonts w:hint="eastAsia" w:cs="Times New Roman"/>
                      <w:color w:val="000000" w:themeColor="text1"/>
                      <w:sz w:val="21"/>
                      <w:szCs w:val="21"/>
                      <w:lang w:val="en-US" w:eastAsia="zh-CN"/>
                      <w14:textFill>
                        <w14:solidFill>
                          <w14:schemeClr w14:val="tx1"/>
                        </w14:solidFill>
                      </w14:textFill>
                    </w:rPr>
                    <w:t>③不涉及；</w:t>
                  </w:r>
                  <w:r>
                    <w:rPr>
                      <w:rFonts w:hint="eastAsia" w:cs="Times New Roman"/>
                      <w:color w:val="000000" w:themeColor="text1"/>
                      <w:sz w:val="21"/>
                      <w:szCs w:val="21"/>
                      <w:lang w:val="en-US" w:eastAsia="zh-CN"/>
                      <w14:textFill>
                        <w14:solidFill>
                          <w14:schemeClr w14:val="tx1"/>
                        </w14:solidFill>
                      </w14:textFill>
                    </w:rPr>
                    <w:br w:type="textWrapping"/>
                  </w:r>
                  <w:r>
                    <w:rPr>
                      <w:rFonts w:hint="eastAsia" w:cs="Times New Roman"/>
                      <w:color w:val="000000" w:themeColor="text1"/>
                      <w:sz w:val="21"/>
                      <w:szCs w:val="21"/>
                      <w:lang w:val="en-US" w:eastAsia="zh-CN"/>
                      <w14:textFill>
                        <w14:solidFill>
                          <w14:schemeClr w14:val="tx1"/>
                        </w14:solidFill>
                      </w14:textFill>
                    </w:rPr>
                    <w:t>④/。</w:t>
                  </w:r>
                </w:p>
              </w:tc>
              <w:tc>
                <w:tcPr>
                  <w:tcW w:w="469" w:type="pct"/>
                  <w:tcBorders>
                    <w:tl2br w:val="nil"/>
                    <w:tr2bl w:val="nil"/>
                  </w:tcBorders>
                  <w:vAlign w:val="center"/>
                </w:tcPr>
                <w:p w14:paraId="2AA3C53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D74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tl2br w:val="nil"/>
                    <w:tr2bl w:val="nil"/>
                  </w:tcBorders>
                  <w:vAlign w:val="center"/>
                </w:tcPr>
                <w:p w14:paraId="6C68829E">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19BC7EF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1975" w:type="pct"/>
                  <w:tcBorders>
                    <w:tl2br w:val="nil"/>
                    <w:tr2bl w:val="nil"/>
                  </w:tcBorders>
                  <w:vAlign w:val="center"/>
                </w:tcPr>
                <w:p w14:paraId="799B48F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①现有二硫化碳生产企业需配套硫磺回收装置将副产H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S还原为单质硫再利用，剩余H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S用于生产二甲基亚砜，控制二甲基亚砜的生产规模不超过1万吨/年。</w:t>
                  </w:r>
                </w:p>
                <w:p w14:paraId="7B97BF5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②其他执行“总体管控要求和准入清单”。</w:t>
                  </w:r>
                </w:p>
              </w:tc>
              <w:tc>
                <w:tcPr>
                  <w:tcW w:w="1621" w:type="pct"/>
                  <w:tcBorders>
                    <w:tl2br w:val="nil"/>
                    <w:tr2bl w:val="nil"/>
                  </w:tcBorders>
                  <w:vAlign w:val="center"/>
                </w:tcPr>
                <w:p w14:paraId="6E037DFA">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①本项目不涉及左列类别；</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69" w:type="pct"/>
                  <w:tcBorders>
                    <w:tl2br w:val="nil"/>
                    <w:tr2bl w:val="nil"/>
                  </w:tcBorders>
                  <w:vAlign w:val="center"/>
                </w:tcPr>
                <w:p w14:paraId="47E7802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348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9" w:type="pct"/>
                  <w:vMerge w:val="continue"/>
                  <w:tcBorders>
                    <w:tl2br w:val="nil"/>
                    <w:tr2bl w:val="nil"/>
                  </w:tcBorders>
                  <w:vAlign w:val="center"/>
                </w:tcPr>
                <w:p w14:paraId="43BF4EB6">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484" w:type="pct"/>
                  <w:tcBorders>
                    <w:tl2br w:val="nil"/>
                    <w:tr2bl w:val="nil"/>
                  </w:tcBorders>
                  <w:vAlign w:val="center"/>
                </w:tcPr>
                <w:p w14:paraId="2799C56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w:t>
                  </w:r>
                </w:p>
                <w:p w14:paraId="0AC8A23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利用要求</w:t>
                  </w:r>
                </w:p>
              </w:tc>
              <w:tc>
                <w:tcPr>
                  <w:tcW w:w="1975" w:type="pct"/>
                  <w:tcBorders>
                    <w:tl2br w:val="nil"/>
                    <w:tr2bl w:val="nil"/>
                  </w:tcBorders>
                  <w:vAlign w:val="center"/>
                </w:tcPr>
                <w:p w14:paraId="5E9DFB0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①规划近、远期，再生水利用率分别不低于20%和25%；</w:t>
                  </w:r>
                </w:p>
                <w:p w14:paraId="43D73EB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②规划近、远期，钛石膏渣综合利用应分别不低于55%和60%，且后续不再引入新增钛石膏渣的项目；园区锂渣及可能产生的其他一般工业固废综合利用率应达100%。</w:t>
                  </w:r>
                </w:p>
                <w:p w14:paraId="10F5BC6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③其他执行“总体管控要求和准入清单”。</w:t>
                  </w:r>
                </w:p>
              </w:tc>
              <w:tc>
                <w:tcPr>
                  <w:tcW w:w="1621" w:type="pct"/>
                  <w:tcBorders>
                    <w:tl2br w:val="nil"/>
                    <w:tr2bl w:val="nil"/>
                  </w:tcBorders>
                  <w:vAlign w:val="center"/>
                </w:tcPr>
                <w:p w14:paraId="467FCDAB">
                  <w:pPr>
                    <w:pStyle w:val="516"/>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w:t>
                  </w:r>
                  <w:r>
                    <w:rPr>
                      <w:rFonts w:hint="eastAsia" w:cs="Times New Roman"/>
                      <w:color w:val="000000" w:themeColor="text1"/>
                      <w:sz w:val="21"/>
                      <w:szCs w:val="21"/>
                      <w:lang w:val="en-US" w:eastAsia="zh-CN"/>
                      <w14:textFill>
                        <w14:solidFill>
                          <w14:schemeClr w14:val="tx1"/>
                        </w14:solidFill>
                      </w14:textFill>
                    </w:rPr>
                    <w:t>本项目生产环节仅产生少量冲洗废水，排入厂区已建回用水站处理后回用于生产；</w:t>
                  </w:r>
                  <w:r>
                    <w:rPr>
                      <w:rFonts w:hint="eastAsia" w:cs="Times New Roman"/>
                      <w:color w:val="000000" w:themeColor="text1"/>
                      <w:sz w:val="21"/>
                      <w:szCs w:val="21"/>
                      <w:lang w:val="en-US" w:eastAsia="zh-CN"/>
                      <w14:textFill>
                        <w14:solidFill>
                          <w14:schemeClr w14:val="tx1"/>
                        </w14:solidFill>
                      </w14:textFill>
                    </w:rPr>
                    <w:br w:type="textWrapping"/>
                  </w:r>
                  <w:r>
                    <w:rPr>
                      <w:rFonts w:hint="eastAsia" w:cs="Times New Roman"/>
                      <w:color w:val="000000" w:themeColor="text1"/>
                      <w:sz w:val="21"/>
                      <w:szCs w:val="21"/>
                      <w:lang w:val="en-US" w:eastAsia="zh-CN"/>
                      <w14:textFill>
                        <w14:solidFill>
                          <w14:schemeClr w14:val="tx1"/>
                        </w14:solidFill>
                      </w14:textFill>
                    </w:rPr>
                    <w:t>②不涉及；</w:t>
                  </w:r>
                  <w:r>
                    <w:rPr>
                      <w:rFonts w:hint="eastAsia" w:cs="Times New Roman"/>
                      <w:color w:val="000000" w:themeColor="text1"/>
                      <w:sz w:val="21"/>
                      <w:szCs w:val="21"/>
                      <w:lang w:val="en-US" w:eastAsia="zh-CN"/>
                      <w14:textFill>
                        <w14:solidFill>
                          <w14:schemeClr w14:val="tx1"/>
                        </w14:solidFill>
                      </w14:textFill>
                    </w:rPr>
                    <w:br w:type="textWrapping"/>
                  </w:r>
                  <w:r>
                    <w:rPr>
                      <w:rFonts w:hint="eastAsia" w:cs="Times New Roman"/>
                      <w:color w:val="000000" w:themeColor="text1"/>
                      <w:sz w:val="21"/>
                      <w:szCs w:val="21"/>
                      <w:lang w:val="en-US" w:eastAsia="zh-CN"/>
                      <w14:textFill>
                        <w14:solidFill>
                          <w14:schemeClr w14:val="tx1"/>
                        </w14:solidFill>
                      </w14:textFill>
                    </w:rPr>
                    <w:t>③/。</w:t>
                  </w:r>
                </w:p>
              </w:tc>
              <w:tc>
                <w:tcPr>
                  <w:tcW w:w="469" w:type="pct"/>
                  <w:tcBorders>
                    <w:tl2br w:val="nil"/>
                    <w:tr2bl w:val="nil"/>
                  </w:tcBorders>
                  <w:vAlign w:val="center"/>
                </w:tcPr>
                <w:p w14:paraId="76B6278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4B7C0DC7">
            <w:pPr>
              <w:spacing w:line="360" w:lineRule="auto"/>
              <w:ind w:firstLine="480"/>
              <w:rPr>
                <w:rFonts w:hint="default" w:ascii="Times New Roman" w:hAnsi="Times New Roman" w:eastAsia="宋体" w:cs="Times New Roman"/>
                <w:color w:val="000000" w:themeColor="text1"/>
                <w:kern w:val="0"/>
                <w:sz w:val="24"/>
                <w:lang w:val="zh-CN"/>
                <w14:textFill>
                  <w14:solidFill>
                    <w14:schemeClr w14:val="tx1"/>
                  </w14:solidFill>
                </w14:textFill>
              </w:rPr>
            </w:pPr>
          </w:p>
          <w:p w14:paraId="38763799">
            <w:pPr>
              <w:spacing w:line="360" w:lineRule="auto"/>
              <w:ind w:firstLine="48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综合以上分析，</w:t>
            </w:r>
            <w:r>
              <w:rPr>
                <w:rFonts w:hint="default" w:ascii="Times New Roman" w:hAnsi="Times New Roman" w:eastAsia="宋体" w:cs="Times New Roman"/>
                <w:color w:val="000000" w:themeColor="text1"/>
                <w:kern w:val="0"/>
                <w:sz w:val="24"/>
                <w:lang w:val="zh-CN"/>
                <w14:textFill>
                  <w14:solidFill>
                    <w14:schemeClr w14:val="tx1"/>
                  </w14:solidFill>
                </w14:textFill>
              </w:rPr>
              <w:t>本项目位于四川达州普光经济开发区普光功能区四川正达凯新材料有限公司现有工业用地范围内</w:t>
            </w:r>
            <w:r>
              <w:rPr>
                <w:rFonts w:hint="default" w:ascii="Times New Roman" w:hAnsi="Times New Roman" w:eastAsia="宋体" w:cs="Times New Roman"/>
                <w:color w:val="000000" w:themeColor="text1"/>
                <w:sz w:val="24"/>
                <w14:textFill>
                  <w14:solidFill>
                    <w14:schemeClr w14:val="tx1"/>
                  </w14:solidFill>
                </w14:textFill>
              </w:rPr>
              <w:t>。本项目为厂内现有CO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直排尾气进行物理回收制备高纯液态二氧化碳，属于园区允许发展项目，与周边企业不相禁忌和不形成交叉影响，与主导产业不冲突。符合国家产业政策和行业准入条件，不属于国家和地方禁止或清洁生产水平不能达到二级的项目，本项目不涉及重金属污染物排放，符合《四川达州普光经济开发区（含达州普光化工园区）总体规划修编（2024-2035年）环境影响报告书》及其审查意见</w:t>
            </w:r>
            <w:r>
              <w:rPr>
                <w:rFonts w:hint="default" w:ascii="Times New Roman" w:hAnsi="Times New Roman" w:eastAsia="宋体" w:cs="Times New Roman"/>
                <w:color w:val="000000" w:themeColor="text1"/>
                <w:kern w:val="0"/>
                <w:sz w:val="24"/>
                <w14:textFill>
                  <w14:solidFill>
                    <w14:schemeClr w14:val="tx1"/>
                  </w14:solidFill>
                </w14:textFill>
              </w:rPr>
              <w:t>（川环建函〔2026〕2号）</w:t>
            </w:r>
            <w:r>
              <w:rPr>
                <w:rFonts w:hint="default" w:ascii="Times New Roman" w:hAnsi="Times New Roman" w:eastAsia="宋体" w:cs="Times New Roman"/>
                <w:color w:val="000000" w:themeColor="text1"/>
                <w:sz w:val="24"/>
                <w14:textFill>
                  <w14:solidFill>
                    <w14:schemeClr w14:val="tx1"/>
                  </w14:solidFill>
                </w14:textFill>
              </w:rPr>
              <w:t>中相关要求。</w:t>
            </w:r>
          </w:p>
        </w:tc>
      </w:tr>
      <w:tr w14:paraId="48EF1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96" w:type="dxa"/>
            <w:vAlign w:val="center"/>
          </w:tcPr>
          <w:p w14:paraId="28639928">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974" w:type="dxa"/>
            <w:gridSpan w:val="3"/>
            <w:vAlign w:val="center"/>
          </w:tcPr>
          <w:p w14:paraId="551A578C">
            <w:pPr>
              <w:pStyle w:val="476"/>
              <w:spacing w:line="360" w:lineRule="auto"/>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w:t>
            </w:r>
            <w:r>
              <w:rPr>
                <w:rFonts w:hint="default" w:ascii="Times New Roman" w:hAnsi="Times New Roman" w:eastAsia="宋体" w:cs="Times New Roman"/>
                <w:b/>
                <w:color w:val="000000" w:themeColor="text1"/>
                <w14:textFill>
                  <w14:solidFill>
                    <w14:schemeClr w14:val="tx1"/>
                  </w14:solidFill>
                </w14:textFill>
              </w:rPr>
              <w:t>产业政策符合性分析</w:t>
            </w:r>
          </w:p>
          <w:p w14:paraId="081BD116">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按《国民经济行业分类》（GB/T4754-2017）关于国民经济行业的分类，本项目属于“其他基础化学原料制造（C2619）”，根据《产业结构调整指导目录（2024年本）》，本项目属于鼓励类</w:t>
            </w:r>
            <w:r>
              <w:rPr>
                <w:rFonts w:hint="eastAsia" w:cs="Times New Roman"/>
                <w:color w:val="000000" w:themeColor="text1"/>
                <w:sz w:val="24"/>
                <w:lang w:val="en-US" w:eastAsia="zh-CN"/>
                <w14:textFill>
                  <w14:solidFill>
                    <w14:schemeClr w14:val="tx1"/>
                  </w14:solidFill>
                </w14:textFill>
              </w:rPr>
              <w:t>中“四十二、环境保护与资源节约综合利用、1.大气污染物治理和碳减排：烟气二氧化碳捕集纯化利用技术的研发与应用”，符合国家产业政策</w:t>
            </w:r>
            <w:r>
              <w:rPr>
                <w:rFonts w:hint="default" w:ascii="Times New Roman" w:hAnsi="Times New Roman" w:eastAsia="宋体" w:cs="Times New Roman"/>
                <w:color w:val="000000" w:themeColor="text1"/>
                <w:sz w:val="24"/>
                <w14:textFill>
                  <w14:solidFill>
                    <w14:schemeClr w14:val="tx1"/>
                  </w14:solidFill>
                </w14:textFill>
              </w:rPr>
              <w:t>。</w:t>
            </w:r>
          </w:p>
          <w:p w14:paraId="2312EEE0">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本项目于2024年10月22日在四川省投资项目在线审批监管平台完成</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HYPERLINK "https://tzxm.sczwfw.gov.cn/tzsb/confirmForm?cbsnum=20240514094915428N"</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乙二醇装置工艺废气回收制高纯液态二氧化碳技改项目</w:t>
            </w:r>
            <w:r>
              <w:rPr>
                <w:rFonts w:hint="default" w:ascii="Times New Roman" w:hAnsi="Times New Roman" w:eastAsia="宋体" w:cs="Times New Roman"/>
                <w:color w:val="000000" w:themeColor="text1"/>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备案。备案机关：宣汉县经济和信息化局；备案号：川投资备【2410-511722-07-02-860267】JXQB-0737号，见附件。</w:t>
            </w:r>
          </w:p>
          <w:p w14:paraId="170133F5">
            <w:pPr>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综上所述，项目建设符合国家现行产业政策。</w:t>
            </w:r>
          </w:p>
          <w:p w14:paraId="72A5EE9D">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2、用地规划符合性分析</w:t>
            </w:r>
          </w:p>
          <w:p w14:paraId="0DF47C27">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位于四川达州普光经济开发区普光功能区四川正达凯新材料有限公司现有工业用地范围内，属于未新增用地的技术改造项目。企业用地规划性质为工业用地，宣汉县自然资源局行文同意企业选址。项目符合当地规划（见附件</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w:t>
            </w:r>
          </w:p>
          <w:p w14:paraId="69998D2E">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根据园区用地布局规划图（见附图</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），项目用地为工业用地。</w:t>
            </w:r>
          </w:p>
          <w:p w14:paraId="0EDFDE0C">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综上，本项目实施符合用地规划。</w:t>
            </w:r>
          </w:p>
          <w:p w14:paraId="3F545B0E">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3、与化工园区入园指引符合性分析</w:t>
            </w:r>
          </w:p>
          <w:p w14:paraId="04FD0E8E">
            <w:pPr>
              <w:pStyle w:val="476"/>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州普光化工园区于2022年6月经四川省人民政府认定为省级化工园区，位于普光功能区内。本项目所在的四川正达凯新材料有限公司位于四川省经济和信息化厅等7部门关于公布盐亭巨龙等4家化工园区及达州普光化工园区扩区调整的通知（川经信化工〔2025〕192号）</w:t>
            </w:r>
            <w:r>
              <w:rPr>
                <w:rFonts w:hint="eastAsia" w:cs="Times New Roman"/>
                <w:color w:val="000000" w:themeColor="text1"/>
                <w:lang w:val="en-US" w:eastAsia="zh-CN"/>
                <w14:textFill>
                  <w14:solidFill>
                    <w14:schemeClr w14:val="tx1"/>
                  </w14:solidFill>
                </w14:textFill>
              </w:rPr>
              <w:t>中</w:t>
            </w:r>
            <w:r>
              <w:rPr>
                <w:rFonts w:hint="default" w:ascii="Times New Roman" w:hAnsi="Times New Roman" w:eastAsia="宋体" w:cs="Times New Roman"/>
                <w:color w:val="000000" w:themeColor="text1"/>
                <w14:textFill>
                  <w14:solidFill>
                    <w14:schemeClr w14:val="tx1"/>
                  </w14:solidFill>
                </w14:textFill>
              </w:rPr>
              <w:t>普光化工园区范围内。</w:t>
            </w:r>
          </w:p>
          <w:p w14:paraId="50E64A09">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达州普光化工园区认定范围内面积</w:t>
            </w:r>
            <w:r>
              <w:rPr>
                <w:rFonts w:hint="eastAsia" w:cs="Times New Roman"/>
                <w:color w:val="000000" w:themeColor="text1"/>
                <w:lang w:val="en-US" w:eastAsia="zh-CN"/>
                <w14:textFill>
                  <w14:solidFill>
                    <w14:schemeClr w14:val="tx1"/>
                  </w14:solidFill>
                </w14:textFill>
              </w:rPr>
              <w:t>约436.93</w:t>
            </w:r>
            <w:r>
              <w:rPr>
                <w:rFonts w:hint="default" w:ascii="Times New Roman" w:hAnsi="Times New Roman" w:eastAsia="宋体" w:cs="Times New Roman"/>
                <w:color w:val="000000" w:themeColor="text1"/>
                <w14:textFill>
                  <w14:solidFill>
                    <w14:schemeClr w14:val="tx1"/>
                  </w14:solidFill>
                </w14:textFill>
              </w:rPr>
              <w:t>公顷，四至范围为：东至普光镇小杨家嘴，南至普光镇中坝河河道，西至普光镇铁路桥河道，北至普光镇龙门坝河沟。</w:t>
            </w:r>
          </w:p>
          <w:p w14:paraId="1A240B8C">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本项目与《四川省化工生产建设项目入园指引（试行）》的通知（川经信规〔2024〕4号）相关符合性分析如下：</w:t>
            </w:r>
          </w:p>
          <w:p w14:paraId="186B89BE">
            <w:pPr>
              <w:pStyle w:val="517"/>
              <w:numPr>
                <w:ilvl w:val="0"/>
                <w:numId w:val="0"/>
              </w:num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表1-3  本项目与入园指引符合性分析</w:t>
            </w:r>
          </w:p>
          <w:tbl>
            <w:tblPr>
              <w:tblStyle w:val="519"/>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746"/>
              <w:gridCol w:w="2066"/>
              <w:gridCol w:w="781"/>
            </w:tblGrid>
            <w:tr w14:paraId="15A696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743" w:type="pct"/>
                  <w:tcBorders>
                    <w:tl2br w:val="nil"/>
                    <w:tr2bl w:val="nil"/>
                  </w:tcBorders>
                  <w:vAlign w:val="center"/>
                </w:tcPr>
                <w:p w14:paraId="5C9D50E1">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文件</w:t>
                  </w:r>
                </w:p>
              </w:tc>
              <w:tc>
                <w:tcPr>
                  <w:tcW w:w="2418" w:type="pct"/>
                  <w:tcBorders>
                    <w:tl2br w:val="nil"/>
                    <w:tr2bl w:val="nil"/>
                  </w:tcBorders>
                  <w:vAlign w:val="center"/>
                </w:tcPr>
                <w:p w14:paraId="6F2F758D">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相关要求</w:t>
                  </w:r>
                </w:p>
              </w:tc>
              <w:tc>
                <w:tcPr>
                  <w:tcW w:w="1334" w:type="pct"/>
                  <w:tcBorders>
                    <w:tl2br w:val="nil"/>
                    <w:tr2bl w:val="nil"/>
                  </w:tcBorders>
                  <w:vAlign w:val="center"/>
                </w:tcPr>
                <w:p w14:paraId="05B1C012">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504" w:type="pct"/>
                  <w:tcBorders>
                    <w:tl2br w:val="nil"/>
                    <w:tr2bl w:val="nil"/>
                  </w:tcBorders>
                  <w:vAlign w:val="center"/>
                </w:tcPr>
                <w:p w14:paraId="3F2D59A9">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14:paraId="0BFD7D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743" w:type="pct"/>
                  <w:vMerge w:val="restart"/>
                  <w:tcBorders>
                    <w:tl2br w:val="nil"/>
                    <w:tr2bl w:val="nil"/>
                  </w:tcBorders>
                  <w:vAlign w:val="center"/>
                </w:tcPr>
                <w:p w14:paraId="6525D433">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《四川省化工生产建设项目入园指引（试行）》的通知（川经信规〔2024〕4号）</w:t>
                  </w:r>
                </w:p>
              </w:tc>
              <w:tc>
                <w:tcPr>
                  <w:tcW w:w="2418" w:type="pct"/>
                  <w:tcBorders>
                    <w:tl2br w:val="nil"/>
                    <w:tr2bl w:val="nil"/>
                  </w:tcBorders>
                  <w:vAlign w:val="center"/>
                </w:tcPr>
                <w:p w14:paraId="0E7B415D">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第三条 本指引遵循以下原则</w:t>
                  </w:r>
                </w:p>
                <w:p w14:paraId="3466C5A8">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（三）坚持集约集聚。统筹化工生产建设项目进区入园，推动化工生产建设项目合理布局、规范建设、科学发展，积极引导化工产业集约化、规模化发展。</w:t>
                  </w:r>
                </w:p>
                <w:p w14:paraId="4E716E1F">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（四）坚持高质量发展。严格执行国家产业政策，支持建设国家《产业结构调整指导目录》鼓励类项目，严禁新建、扩建限制类项目，严禁建设淘汰类项目。</w:t>
                  </w:r>
                </w:p>
              </w:tc>
              <w:tc>
                <w:tcPr>
                  <w:tcW w:w="1334" w:type="pct"/>
                  <w:tcBorders>
                    <w:tl2br w:val="nil"/>
                    <w:tr2bl w:val="nil"/>
                  </w:tcBorders>
                  <w:vAlign w:val="center"/>
                </w:tcPr>
                <w:p w14:paraId="090B6883">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①本项目选址位于四川达州普光经济开发区普光功能区四川正达凯新材料有限公司现有工业用地范围内，布局合理，属于规模化发展的组成部分；</w:t>
                  </w:r>
                </w:p>
                <w:p w14:paraId="457E3A7D">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②本项目属于《产业结构调整指导目录》中的允许类项目。</w:t>
                  </w:r>
                </w:p>
              </w:tc>
              <w:tc>
                <w:tcPr>
                  <w:tcW w:w="504" w:type="pct"/>
                  <w:tcBorders>
                    <w:tl2br w:val="nil"/>
                    <w:tr2bl w:val="nil"/>
                  </w:tcBorders>
                  <w:vAlign w:val="center"/>
                </w:tcPr>
                <w:p w14:paraId="150D2E75">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510D9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743" w:type="pct"/>
                  <w:vMerge w:val="continue"/>
                  <w:tcBorders>
                    <w:tl2br w:val="nil"/>
                    <w:tr2bl w:val="nil"/>
                  </w:tcBorders>
                  <w:vAlign w:val="center"/>
                </w:tcPr>
                <w:p w14:paraId="14043EC5">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p>
              </w:tc>
              <w:tc>
                <w:tcPr>
                  <w:tcW w:w="2418" w:type="pct"/>
                  <w:tcBorders>
                    <w:tl2br w:val="nil"/>
                    <w:tr2bl w:val="nil"/>
                  </w:tcBorders>
                  <w:vAlign w:val="center"/>
                </w:tcPr>
                <w:p w14:paraId="6511A665">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第四条 下列新建、改建、扩建化工生产建设项目必须进入一般或较低安全风险等级的化工园区。</w:t>
                  </w:r>
                </w:p>
                <w:p w14:paraId="2BC3BF9F">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危险化学品生产项目（与其他行业生产装置配套建设的项目；安全、环保、节能和智能化改造项目；不含下游深加工的固废、废气、废液等资源综合利用项目；甘孜州、阿坝州、凉山州空气分离制氧项目除外）。</w:t>
                  </w:r>
                </w:p>
                <w:p w14:paraId="3ECCDDDD">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（二）化工行业中，以爆炸性化学品、剧（高）毒化学品、液化烃类易燃易爆化学品为主要原料的项目。</w:t>
                  </w:r>
                </w:p>
                <w:p w14:paraId="59D992B4">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（三）化工行业中，构成危险化学品重大危险源的项目。</w:t>
                  </w:r>
                </w:p>
                <w:p w14:paraId="4AF8719D">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第五条 本指引下列用语的含义：</w:t>
                  </w:r>
                </w:p>
                <w:p w14:paraId="37867082">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（一）化工生产建设项目，是指依法应取得危险化学品安全生产许可证的建设项目和化工行业生产建设项目；</w:t>
                  </w:r>
                </w:p>
                <w:p w14:paraId="4BFFD2A3">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（二）本指引所称化工行业，包括国家统计局《国民经济行业分类（GB/T4754-2017）》中以下行业：</w:t>
                  </w:r>
                </w:p>
                <w:p w14:paraId="59D76713">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26化学原料和化学制品制造业中，仅限于：261基础化学原料制造，262肥料制造，263农药制造，264涂料、油墨、颜料及类似产品制造，265合成材料制造，266专用化学产品制造；</w:t>
                  </w:r>
                </w:p>
                <w:p w14:paraId="62875809">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（三）与其他行业生产装置配套建设的项目，是指其他行业为保证生产线功能完整、平稳运行而就近配套建设且不可或缺的化工项目，其主体装置与配套装置存在物料供应关系，运输方式为管道运输；</w:t>
                  </w:r>
                </w:p>
                <w:p w14:paraId="2DBFC751">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（四）下游深加工，是指对原材料进行深加工和改性处理，并将原材料转化为生产和生活中的实际产品的过程。</w:t>
                  </w:r>
                </w:p>
              </w:tc>
              <w:tc>
                <w:tcPr>
                  <w:tcW w:w="1334" w:type="pct"/>
                  <w:tcBorders>
                    <w:tl2br w:val="nil"/>
                    <w:tr2bl w:val="nil"/>
                  </w:tcBorders>
                  <w:vAlign w:val="center"/>
                </w:tcPr>
                <w:p w14:paraId="39FE9E01">
                  <w:pPr>
                    <w:pStyle w:val="516"/>
                    <w:spacing w:line="360" w:lineRule="exact"/>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本项目属于《国民经济行业分类（GB/T4754-2017）》中“其他基础化学原料制造（C2619）”，因此，项目应进入化工园区，项目选址于四川正达凯新材料有限公司现有工业用地范围内，属于认定的化工园区范围。</w:t>
                  </w:r>
                </w:p>
              </w:tc>
              <w:tc>
                <w:tcPr>
                  <w:tcW w:w="504" w:type="pct"/>
                  <w:tcBorders>
                    <w:tl2br w:val="nil"/>
                    <w:tr2bl w:val="nil"/>
                  </w:tcBorders>
                  <w:vAlign w:val="center"/>
                </w:tcPr>
                <w:p w14:paraId="4706718D">
                  <w:pPr>
                    <w:pStyle w:val="516"/>
                    <w:spacing w:line="36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01CFFACE">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6AFE9B49">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综上，本项目位于认定的化工园区内，符合化工园区入园指引相关要求。</w:t>
            </w:r>
          </w:p>
          <w:p w14:paraId="17F9B1B7">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4、与大气污染防治相关政策符合性分析</w:t>
            </w:r>
          </w:p>
          <w:p w14:paraId="6DB11BDC">
            <w:pPr>
              <w:adjustRightInd w:val="0"/>
              <w:snapToGrid w:val="0"/>
              <w:spacing w:line="360" w:lineRule="auto"/>
              <w:ind w:firstLine="480" w:firstLineChars="20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本项目排放的废气污染物类型为原料气中的轻物质（沸点低于二氧化碳的物质），包括CO、颗粒物等（备注：乙二醇装置CO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工艺废气不含有机物）。</w:t>
            </w:r>
          </w:p>
          <w:p w14:paraId="63E89194">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表1-3  与大气污染防治相关政策的符合性</w:t>
            </w:r>
          </w:p>
          <w:tbl>
            <w:tblPr>
              <w:tblStyle w:val="519"/>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54"/>
              <w:gridCol w:w="3703"/>
              <w:gridCol w:w="2107"/>
              <w:gridCol w:w="781"/>
            </w:tblGrid>
            <w:tr w14:paraId="1167897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744" w:type="pct"/>
                  <w:tcBorders>
                    <w:tl2br w:val="nil"/>
                    <w:tr2bl w:val="nil"/>
                  </w:tcBorders>
                  <w:vAlign w:val="center"/>
                </w:tcPr>
                <w:p w14:paraId="518C1848">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文件</w:t>
                  </w:r>
                </w:p>
              </w:tc>
              <w:tc>
                <w:tcPr>
                  <w:tcW w:w="2390" w:type="pct"/>
                  <w:tcBorders>
                    <w:tl2br w:val="nil"/>
                    <w:tr2bl w:val="nil"/>
                  </w:tcBorders>
                  <w:vAlign w:val="center"/>
                </w:tcPr>
                <w:p w14:paraId="3CB4CD69">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相关要求</w:t>
                  </w:r>
                </w:p>
              </w:tc>
              <w:tc>
                <w:tcPr>
                  <w:tcW w:w="1360" w:type="pct"/>
                  <w:tcBorders>
                    <w:tl2br w:val="nil"/>
                    <w:tr2bl w:val="nil"/>
                  </w:tcBorders>
                  <w:vAlign w:val="center"/>
                </w:tcPr>
                <w:p w14:paraId="7E86E00F">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504" w:type="pct"/>
                  <w:tcBorders>
                    <w:tl2br w:val="nil"/>
                    <w:tr2bl w:val="nil"/>
                  </w:tcBorders>
                  <w:vAlign w:val="center"/>
                </w:tcPr>
                <w:p w14:paraId="15703826">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14:paraId="406100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744" w:type="pct"/>
                  <w:vMerge w:val="restart"/>
                  <w:tcBorders>
                    <w:tl2br w:val="nil"/>
                    <w:tr2bl w:val="nil"/>
                  </w:tcBorders>
                  <w:vAlign w:val="center"/>
                </w:tcPr>
                <w:p w14:paraId="34064DD4">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《中华人民共和国大气污染防治法》（2018年修订）</w:t>
                  </w:r>
                </w:p>
              </w:tc>
              <w:tc>
                <w:tcPr>
                  <w:tcW w:w="2390" w:type="pct"/>
                  <w:tcBorders>
                    <w:tl2br w:val="nil"/>
                    <w:tr2bl w:val="nil"/>
                  </w:tcBorders>
                  <w:vAlign w:val="center"/>
                </w:tcPr>
                <w:p w14:paraId="3696D487">
                  <w:pPr>
                    <w:adjustRightInd w:val="0"/>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tc>
              <w:tc>
                <w:tcPr>
                  <w:tcW w:w="1360" w:type="pct"/>
                  <w:tcBorders>
                    <w:tl2br w:val="nil"/>
                    <w:tr2bl w:val="nil"/>
                  </w:tcBorders>
                  <w:vAlign w:val="center"/>
                </w:tcPr>
                <w:p w14:paraId="50A4B756">
                  <w:pPr>
                    <w:adjustRightInd w:val="0"/>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本项目不涉及煤炭使用，采用电能完成CO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的回收。</w:t>
                  </w:r>
                </w:p>
              </w:tc>
              <w:tc>
                <w:tcPr>
                  <w:tcW w:w="504" w:type="pct"/>
                  <w:tcBorders>
                    <w:tl2br w:val="nil"/>
                    <w:tr2bl w:val="nil"/>
                  </w:tcBorders>
                  <w:vAlign w:val="center"/>
                </w:tcPr>
                <w:p w14:paraId="7D16CACB">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77EBE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744" w:type="pct"/>
                  <w:vMerge w:val="continue"/>
                  <w:tcBorders>
                    <w:tl2br w:val="nil"/>
                    <w:tr2bl w:val="nil"/>
                  </w:tcBorders>
                  <w:vAlign w:val="center"/>
                </w:tcPr>
                <w:p w14:paraId="2E70FFBC">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2390" w:type="pct"/>
                  <w:tcBorders>
                    <w:tl2br w:val="nil"/>
                    <w:tr2bl w:val="nil"/>
                  </w:tcBorders>
                  <w:vAlign w:val="center"/>
                </w:tcPr>
                <w:p w14:paraId="791149DC">
                  <w:pPr>
                    <w:adjustRightInd w:val="0"/>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在禁燃区内，禁止销售、燃用高污染燃料；禁止新建、扩建燃用高污染燃料的设施，已建成的，应当在城市人民政府规定的期限内改用天然气、页岩气、液化石油气、电或者其他清洁能源。</w:t>
                  </w:r>
                </w:p>
              </w:tc>
              <w:tc>
                <w:tcPr>
                  <w:tcW w:w="1360" w:type="pct"/>
                  <w:tcBorders>
                    <w:tl2br w:val="nil"/>
                    <w:tr2bl w:val="nil"/>
                  </w:tcBorders>
                  <w:vAlign w:val="center"/>
                </w:tcPr>
                <w:p w14:paraId="61C4B52E">
                  <w:pPr>
                    <w:adjustRightInd w:val="0"/>
                    <w:spacing w:line="240" w:lineRule="auto"/>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本项目位于四川达州普光经济开发区，项目不涉及使用高污染燃料。</w:t>
                  </w:r>
                </w:p>
              </w:tc>
              <w:tc>
                <w:tcPr>
                  <w:tcW w:w="504" w:type="pct"/>
                  <w:tcBorders>
                    <w:tl2br w:val="nil"/>
                    <w:tr2bl w:val="nil"/>
                  </w:tcBorders>
                  <w:vAlign w:val="center"/>
                </w:tcPr>
                <w:p w14:paraId="734BE63E">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4FF69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c>
                <w:tcPr>
                  <w:tcW w:w="744" w:type="pct"/>
                  <w:tcBorders>
                    <w:tl2br w:val="nil"/>
                    <w:tr2bl w:val="nil"/>
                  </w:tcBorders>
                  <w:vAlign w:val="center"/>
                </w:tcPr>
                <w:p w14:paraId="3309D525">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《国务院关于印发空气质量持续改善行动计划的通知》国发〔2023〕24号</w:t>
                  </w:r>
                </w:p>
              </w:tc>
              <w:tc>
                <w:tcPr>
                  <w:tcW w:w="2390" w:type="pct"/>
                  <w:tcBorders>
                    <w:tl2br w:val="nil"/>
                    <w:tr2bl w:val="nil"/>
                  </w:tcBorders>
                  <w:vAlign w:val="center"/>
                </w:tcPr>
                <w:p w14:paraId="545F6CD9">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落实全国生态环境保护大会部署，坚持稳中求进工作总基调，协同推进</w:t>
                  </w:r>
                  <w:r>
                    <w:rPr>
                      <w:rFonts w:hint="default" w:ascii="Times New Roman" w:hAnsi="Times New Roman" w:eastAsia="宋体" w:cs="Times New Roman"/>
                      <w:b/>
                      <w:bCs/>
                      <w:color w:val="000000" w:themeColor="text1"/>
                      <w:sz w:val="21"/>
                      <w:szCs w:val="21"/>
                      <w:u w:val="single"/>
                      <w14:textFill>
                        <w14:solidFill>
                          <w14:schemeClr w14:val="tx1"/>
                        </w14:solidFill>
                      </w14:textFill>
                    </w:rPr>
                    <w:t>降碳</w:t>
                  </w:r>
                  <w:r>
                    <w:rPr>
                      <w:rFonts w:hint="default" w:ascii="Times New Roman" w:hAnsi="Times New Roman" w:eastAsia="宋体" w:cs="Times New Roman"/>
                      <w:color w:val="000000" w:themeColor="text1"/>
                      <w:sz w:val="21"/>
                      <w:szCs w:val="21"/>
                      <w14:textFill>
                        <w14:solidFill>
                          <w14:schemeClr w14:val="tx1"/>
                        </w14:solidFill>
                      </w14:textFill>
                    </w:rPr>
                    <w:t>、减污、扩绿、增长，以改善空气质量为核心</w:t>
                  </w:r>
                </w:p>
              </w:tc>
              <w:tc>
                <w:tcPr>
                  <w:tcW w:w="1360" w:type="pct"/>
                  <w:tcBorders>
                    <w:tl2br w:val="nil"/>
                    <w:tr2bl w:val="nil"/>
                  </w:tcBorders>
                  <w:vAlign w:val="center"/>
                </w:tcPr>
                <w:p w14:paraId="6C631978">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属于现有直排废气中CO</w:t>
                  </w:r>
                  <w:r>
                    <w:rPr>
                      <w:rFonts w:hint="eastAsia" w:cs="Times New Roman"/>
                      <w:color w:val="000000" w:themeColor="text1"/>
                      <w:sz w:val="21"/>
                      <w:szCs w:val="21"/>
                      <w:vertAlign w:val="sub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的回收，对降碳具有积极意义</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04" w:type="pct"/>
                  <w:tcBorders>
                    <w:tl2br w:val="nil"/>
                    <w:tr2bl w:val="nil"/>
                  </w:tcBorders>
                  <w:vAlign w:val="center"/>
                </w:tcPr>
                <w:p w14:paraId="24784178">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F33CF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744" w:type="pct"/>
                  <w:tcBorders>
                    <w:tl2br w:val="nil"/>
                    <w:tr2bl w:val="nil"/>
                  </w:tcBorders>
                  <w:vAlign w:val="center"/>
                </w:tcPr>
                <w:p w14:paraId="1DC5FC9D">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《四川省空气质量持续改善行动计划实施方案》</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川府发</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2024</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fill="FFFFFF"/>
                      <w:lang w:val="en-US" w:eastAsia="zh-CN"/>
                      <w14:textFill>
                        <w14:solidFill>
                          <w14:schemeClr w14:val="tx1"/>
                        </w14:solidFill>
                      </w14:textFill>
                    </w:rPr>
                    <w:t>15号</w:t>
                  </w:r>
                </w:p>
              </w:tc>
              <w:tc>
                <w:tcPr>
                  <w:tcW w:w="2390" w:type="pct"/>
                  <w:tcBorders>
                    <w:tl2br w:val="nil"/>
                    <w:tr2bl w:val="nil"/>
                  </w:tcBorders>
                  <w:vAlign w:val="center"/>
                </w:tcPr>
                <w:p w14:paraId="46C5DF18">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一）严格产业准入。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原则上采用清洁运输方式。从严控制高耗能项目节能审查，对年综合能耗5万吨标准煤以上的项目按要求开展。</w:t>
                  </w:r>
                </w:p>
                <w:p w14:paraId="07535EA8">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八）积极推进锅炉淘汰。重点区域原则上不再新建燃煤锅炉，其余县级及以上城市建成区原则上不再新增35蒸吨/小时及以下燃煤锅炉。淘汰10蒸吨/小时及以下燃煤锅炉和2蒸吨/小时及以下生物质锅炉。加快推进35蒸吨/小时及以下的燃煤锅炉及茶水炉、经营性炉灶、储粮烘干设备、农产品加工等燃煤设施淘汰，重点区域城市建成区到2025年基本完成。加快热力管网建设，推进30万千瓦及以上热电联产电厂供热半径30公里范围内的燃煤锅炉和落后燃煤小热电机组（含自备电厂）关停或整合。</w:t>
                  </w:r>
                </w:p>
                <w:p w14:paraId="5CBE5603">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（九）加快工业</w:t>
                  </w:r>
                  <w:r>
                    <w:rPr>
                      <w:rFonts w:hint="default" w:ascii="Times New Roman" w:hAnsi="Times New Roman" w:eastAsia="宋体" w:cs="Times New Roman"/>
                      <w:color w:val="000000" w:themeColor="text1"/>
                      <w:sz w:val="21"/>
                      <w:szCs w:val="21"/>
                      <w14:textFill>
                        <w14:solidFill>
                          <w14:schemeClr w14:val="tx1"/>
                        </w14:solidFill>
                      </w14:textFill>
                    </w:rPr>
                    <w:t>炉窑</w:t>
                  </w:r>
                  <w:r>
                    <w:rPr>
                      <w:rFonts w:hint="default" w:ascii="Times New Roman" w:hAnsi="Times New Roman" w:eastAsia="宋体" w:cs="Times New Roman"/>
                      <w:color w:val="000000" w:themeColor="text1"/>
                      <w:sz w:val="21"/>
                      <w:szCs w:val="21"/>
                      <w:lang w:val="de-DE"/>
                      <w14:textFill>
                        <w14:solidFill>
                          <w14:schemeClr w14:val="tx1"/>
                        </w14:solidFill>
                      </w14:textFill>
                    </w:rPr>
                    <w:t>清洁化改造。重点区域原则上不再新增燃料类煤气发生炉，现有燃料类煤气发生炉实行清洁能源替代，或因地制宜采取园区(集群)集中供气、分散使用方式:逐步淘汰固定床间歇式煤气发生炉。新改扩建加热炉、热处理炉、干燥炉、熔化炉原则上采用清洁低碳能源，安全稳妥推进使用高污染燃料的工业</w:t>
                  </w:r>
                  <w:r>
                    <w:rPr>
                      <w:rFonts w:hint="default" w:ascii="Times New Roman" w:hAnsi="Times New Roman" w:eastAsia="宋体" w:cs="Times New Roman"/>
                      <w:color w:val="000000" w:themeColor="text1"/>
                      <w:sz w:val="21"/>
                      <w:szCs w:val="21"/>
                      <w14:textFill>
                        <w14:solidFill>
                          <w14:schemeClr w14:val="tx1"/>
                        </w14:solidFill>
                      </w14:textFill>
                    </w:rPr>
                    <w:t>炉窑</w:t>
                  </w:r>
                  <w:r>
                    <w:rPr>
                      <w:rFonts w:hint="default" w:ascii="Times New Roman" w:hAnsi="Times New Roman" w:eastAsia="宋体" w:cs="Times New Roman"/>
                      <w:color w:val="000000" w:themeColor="text1"/>
                      <w:sz w:val="21"/>
                      <w:szCs w:val="21"/>
                      <w:lang w:val="de-DE"/>
                      <w14:textFill>
                        <w14:solidFill>
                          <w14:schemeClr w14:val="tx1"/>
                        </w14:solidFill>
                      </w14:textFill>
                    </w:rPr>
                    <w:t>改用工业余热、电能、天然气等。持续抓好燃煤（油、柴气）锅炉窑炉电能替代传统项目，重点做好“电烤烟”“电制茶”页岩气开采“以电代油”等电能替代示范项目。到2025年，力争完成80%的集中式烤烟房煤改电改造，全省电制茶比例达到80%。</w:t>
                  </w:r>
                </w:p>
              </w:tc>
              <w:tc>
                <w:tcPr>
                  <w:tcW w:w="1360" w:type="pct"/>
                  <w:tcBorders>
                    <w:tl2br w:val="nil"/>
                    <w:tr2bl w:val="nil"/>
                  </w:tcBorders>
                  <w:vAlign w:val="center"/>
                </w:tcPr>
                <w:p w14:paraId="6B37E1B2">
                  <w:pPr>
                    <w:pStyle w:val="518"/>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①本项目不属于高耗能、高排放、低水平项目；</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②本项目属于CO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回收类，为</w:t>
                  </w:r>
                  <w:r>
                    <w:rPr>
                      <w:rFonts w:hint="default" w:ascii="Times New Roman" w:hAnsi="Times New Roman" w:eastAsia="宋体" w:cs="Times New Roman"/>
                      <w:color w:val="000000" w:themeColor="text1"/>
                      <w:sz w:val="21"/>
                      <w:szCs w:val="21"/>
                      <w:lang w:val="de-DE"/>
                      <w14:textFill>
                        <w14:solidFill>
                          <w14:schemeClr w14:val="tx1"/>
                        </w14:solidFill>
                      </w14:textFill>
                    </w:rPr>
                    <w:t>碳排放达峰目标</w:t>
                  </w:r>
                  <w:r>
                    <w:rPr>
                      <w:rFonts w:hint="eastAsia" w:cs="Times New Roman"/>
                      <w:color w:val="000000" w:themeColor="text1"/>
                      <w:sz w:val="21"/>
                      <w:szCs w:val="21"/>
                      <w:lang w:eastAsia="zh-CN"/>
                      <w14:textFill>
                        <w14:solidFill>
                          <w14:schemeClr w14:val="tx1"/>
                        </w14:solidFill>
                      </w14:textFill>
                    </w:rPr>
                    <w:t>作出贡献</w:t>
                  </w:r>
                  <w:r>
                    <w:rPr>
                      <w:rFonts w:hint="default" w:ascii="Times New Roman" w:hAnsi="Times New Roman" w:eastAsia="宋体" w:cs="Times New Roman"/>
                      <w:color w:val="000000" w:themeColor="text1"/>
                      <w:sz w:val="21"/>
                      <w:szCs w:val="21"/>
                      <w14:textFill>
                        <w14:solidFill>
                          <w14:schemeClr w14:val="tx1"/>
                        </w14:solidFill>
                      </w14:textFill>
                    </w:rPr>
                    <w:t>；</w:t>
                  </w:r>
                </w:p>
                <w:p w14:paraId="1142D396">
                  <w:pPr>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③</w:t>
                  </w:r>
                  <w:r>
                    <w:rPr>
                      <w:rFonts w:hint="default" w:ascii="Times New Roman" w:hAnsi="Times New Roman" w:eastAsia="宋体" w:cs="Times New Roman"/>
                      <w:color w:val="000000" w:themeColor="text1"/>
                      <w:szCs w:val="21"/>
                      <w14:textFill>
                        <w14:solidFill>
                          <w14:schemeClr w14:val="tx1"/>
                        </w14:solidFill>
                      </w14:textFill>
                    </w:rPr>
                    <w:t>本项目不涉及工业炉窑，使用能源为电能。</w:t>
                  </w:r>
                </w:p>
              </w:tc>
              <w:tc>
                <w:tcPr>
                  <w:tcW w:w="504" w:type="pct"/>
                  <w:tcBorders>
                    <w:tl2br w:val="nil"/>
                    <w:tr2bl w:val="nil"/>
                  </w:tcBorders>
                  <w:vAlign w:val="center"/>
                </w:tcPr>
                <w:p w14:paraId="60B7A661">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7BE6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744" w:type="pct"/>
                  <w:vMerge w:val="restart"/>
                  <w:tcBorders>
                    <w:tl2br w:val="nil"/>
                    <w:tr2bl w:val="nil"/>
                  </w:tcBorders>
                  <w:vAlign w:val="center"/>
                </w:tcPr>
                <w:p w14:paraId="524ECF6B">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《四川省工业领域碳达峰实施方案》</w:t>
                  </w:r>
                </w:p>
              </w:tc>
              <w:tc>
                <w:tcPr>
                  <w:tcW w:w="2390" w:type="pct"/>
                  <w:tcBorders>
                    <w:bottom w:val="single" w:color="auto" w:sz="4" w:space="0"/>
                    <w:tl2br w:val="nil"/>
                    <w:tr2bl w:val="nil"/>
                  </w:tcBorders>
                  <w:vAlign w:val="center"/>
                </w:tcPr>
                <w:p w14:paraId="4A57C828">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一</w:t>
                  </w:r>
                  <w:r>
                    <w:rPr>
                      <w:rFonts w:hint="default" w:ascii="Times New Roman" w:hAnsi="Times New Roman" w:eastAsia="宋体" w:cs="Times New Roman"/>
                      <w:color w:val="000000" w:themeColor="text1"/>
                      <w:sz w:val="21"/>
                      <w:szCs w:val="21"/>
                      <w:lang w:val="de-DE"/>
                      <w14:textFill>
                        <w14:solidFill>
                          <w14:schemeClr w14:val="tx1"/>
                        </w14:solidFill>
                      </w14:textFill>
                    </w:rPr>
                    <w:t>）深度调整产业结构。</w:t>
                  </w:r>
                </w:p>
                <w:p w14:paraId="2918A7DD">
                  <w:pPr>
                    <w:spacing w:line="240" w:lineRule="auto"/>
                    <w:rPr>
                      <w:rFonts w:hint="default" w:ascii="Times New Roman" w:hAnsi="Times New Roman" w:eastAsia="宋体" w:cs="Times New Roman"/>
                      <w:color w:val="000000" w:themeColor="text1"/>
                      <w:lang w:val="de-DE"/>
                      <w14:textFill>
                        <w14:solidFill>
                          <w14:schemeClr w14:val="tx1"/>
                        </w14:solidFill>
                      </w14:textFill>
                    </w:rPr>
                  </w:pPr>
                  <w:r>
                    <w:rPr>
                      <w:rFonts w:hint="default" w:ascii="Times New Roman" w:hAnsi="Times New Roman" w:eastAsia="宋体" w:cs="Times New Roman"/>
                      <w:color w:val="000000" w:themeColor="text1"/>
                      <w:lang w:val="de-DE"/>
                      <w14:textFill>
                        <w14:solidFill>
                          <w14:schemeClr w14:val="tx1"/>
                        </w14:solidFill>
                      </w14:textFill>
                    </w:rPr>
                    <w:t>坚决遏制“两高一低”项目盲目发展。加强高耗能高排放低水平项目分类处置、动态监控、清单管理。严把高耗能高排放低水平项目准入关，加强固定资产投资项目节能审查、环境影响评价，对项目用能和碳排放情况进行综合评价，坚决抑制高碳用能冲动。全面排查在建、拟建、存量“两高一低”项目，对不符合要求的在建项目，依法依规责令停止建设、限期整改；科学评估拟建项目，确保符合国家产业规划、产业政策、节能审查、产能置换等要求；加快推动有节能减排潜力的企业改造升级，有序淘汰落后产能，制定“一企一策”改造方案。</w:t>
                  </w:r>
                </w:p>
              </w:tc>
              <w:tc>
                <w:tcPr>
                  <w:tcW w:w="1360" w:type="pct"/>
                  <w:tcBorders>
                    <w:bottom w:val="single" w:color="auto" w:sz="4" w:space="0"/>
                    <w:tl2br w:val="nil"/>
                    <w:tr2bl w:val="nil"/>
                  </w:tcBorders>
                  <w:vAlign w:val="center"/>
                </w:tcPr>
                <w:p w14:paraId="686B39BD">
                  <w:pPr>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本项目不属于高耗能、高排放、低水平项目，本项目利用厂内现有CO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直排尾气进行物理回收制备高纯液态二氧化碳，年减少CO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排放7万吨，属于</w:t>
                  </w:r>
                  <w:r>
                    <w:rPr>
                      <w:rFonts w:hint="default" w:ascii="Times New Roman" w:hAnsi="Times New Roman" w:eastAsia="宋体" w:cs="Times New Roman"/>
                      <w:color w:val="000000" w:themeColor="text1"/>
                      <w:lang w:val="de-DE"/>
                      <w14:textFill>
                        <w14:solidFill>
                          <w14:schemeClr w14:val="tx1"/>
                        </w14:solidFill>
                      </w14:textFill>
                    </w:rPr>
                    <w:t>有节能减排潜力的企业改造升级</w:t>
                  </w:r>
                  <w:r>
                    <w:rPr>
                      <w:rFonts w:hint="default" w:ascii="Times New Roman" w:hAnsi="Times New Roman" w:eastAsia="宋体" w:cs="Times New Roman"/>
                      <w:color w:val="000000" w:themeColor="text1"/>
                      <w14:textFill>
                        <w14:solidFill>
                          <w14:schemeClr w14:val="tx1"/>
                        </w14:solidFill>
                      </w14:textFill>
                    </w:rPr>
                    <w:t>活动。</w:t>
                  </w:r>
                </w:p>
              </w:tc>
              <w:tc>
                <w:tcPr>
                  <w:tcW w:w="504" w:type="pct"/>
                  <w:tcBorders>
                    <w:bottom w:val="single" w:color="auto" w:sz="4" w:space="0"/>
                    <w:tl2br w:val="nil"/>
                    <w:tr2bl w:val="nil"/>
                  </w:tcBorders>
                  <w:vAlign w:val="center"/>
                </w:tcPr>
                <w:p w14:paraId="2859DAFE">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FE929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744" w:type="pct"/>
                  <w:vMerge w:val="continue"/>
                  <w:tcBorders>
                    <w:tl2br w:val="nil"/>
                    <w:tr2bl w:val="nil"/>
                  </w:tcBorders>
                  <w:vAlign w:val="center"/>
                </w:tcPr>
                <w:p w14:paraId="4A37E3A6">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2390" w:type="pct"/>
                  <w:tcBorders>
                    <w:top w:val="single" w:color="auto" w:sz="4" w:space="0"/>
                    <w:bottom w:val="single" w:color="auto" w:sz="4" w:space="0"/>
                    <w:tl2br w:val="nil"/>
                    <w:tr2bl w:val="nil"/>
                  </w:tcBorders>
                  <w:vAlign w:val="center"/>
                </w:tcPr>
                <w:p w14:paraId="09625B5E">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w:t>
                  </w:r>
                  <w:r>
                    <w:rPr>
                      <w:rFonts w:hint="default" w:ascii="Times New Roman" w:hAnsi="Times New Roman" w:eastAsia="宋体" w:cs="Times New Roman"/>
                      <w:color w:val="000000" w:themeColor="text1"/>
                      <w:sz w:val="21"/>
                      <w:szCs w:val="21"/>
                      <w:lang w:val="de-DE"/>
                      <w14:textFill>
                        <w14:solidFill>
                          <w14:schemeClr w14:val="tx1"/>
                        </w14:solidFill>
                      </w14:textFill>
                    </w:rPr>
                    <w:t>）深入推进节能降碳。</w:t>
                  </w:r>
                </w:p>
                <w:p w14:paraId="23646E4B">
                  <w:pPr>
                    <w:spacing w:line="240" w:lineRule="auto"/>
                    <w:rPr>
                      <w:rFonts w:hint="default" w:ascii="Times New Roman" w:hAnsi="Times New Roman" w:eastAsia="宋体" w:cs="Times New Roman"/>
                      <w:color w:val="000000" w:themeColor="text1"/>
                      <w:lang w:val="de-DE"/>
                      <w14:textFill>
                        <w14:solidFill>
                          <w14:schemeClr w14:val="tx1"/>
                        </w14:solidFill>
                      </w14:textFill>
                    </w:rPr>
                  </w:pPr>
                  <w:r>
                    <w:rPr>
                      <w:rFonts w:hint="default" w:ascii="Times New Roman" w:hAnsi="Times New Roman" w:eastAsia="宋体" w:cs="Times New Roman"/>
                      <w:color w:val="000000" w:themeColor="text1"/>
                      <w:lang w:val="de-DE"/>
                      <w14:textFill>
                        <w14:solidFill>
                          <w14:schemeClr w14:val="tx1"/>
                        </w14:solidFill>
                      </w14:textFill>
                    </w:rPr>
                    <w:t>调整优化用能结构。重点控制化石能源消费，有序推动钢铁、煤化工、水泥等重点用煤行业减煤、限煤与多元替代，加强煤炭集中使用，促进煤炭分质、分级清洁利用。在钢铁、水泥等重点行业以及锅炉、窑炉等重点领域推广煤炭清洁高效利用技术和设备。推动石油消费“减油增化”，推进生物液体燃料、可持续航空燃料等替代传统燃油。促进天然气资源综合利用，有序引导天然气消费。促进工业绿色电力消费，持续提升绿色电力消费比重，逐步降低化石能源消费比重。</w:t>
                  </w:r>
                </w:p>
              </w:tc>
              <w:tc>
                <w:tcPr>
                  <w:tcW w:w="1360" w:type="pct"/>
                  <w:tcBorders>
                    <w:top w:val="single" w:color="auto" w:sz="4" w:space="0"/>
                    <w:bottom w:val="single" w:color="auto" w:sz="4" w:space="0"/>
                    <w:tl2br w:val="nil"/>
                    <w:tr2bl w:val="nil"/>
                  </w:tcBorders>
                  <w:vAlign w:val="center"/>
                </w:tcPr>
                <w:p w14:paraId="7E01C8B4">
                  <w:pPr>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本项目不涉及煤炭使用，采用电能回收CO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，年减排CO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7万吨，为</w:t>
                  </w:r>
                  <w:r>
                    <w:rPr>
                      <w:rFonts w:hint="default" w:ascii="Times New Roman" w:hAnsi="Times New Roman" w:eastAsia="宋体" w:cs="Times New Roman"/>
                      <w:color w:val="000000" w:themeColor="text1"/>
                      <w:szCs w:val="21"/>
                      <w14:textFill>
                        <w14:solidFill>
                          <w14:schemeClr w14:val="tx1"/>
                        </w14:solidFill>
                      </w14:textFill>
                    </w:rPr>
                    <w:t>碳达峰</w:t>
                  </w:r>
                  <w:r>
                    <w:rPr>
                      <w:rFonts w:hint="eastAsia" w:cs="Times New Roman"/>
                      <w:color w:val="000000" w:themeColor="text1"/>
                      <w:szCs w:val="21"/>
                      <w:lang w:eastAsia="zh-CN"/>
                      <w14:textFill>
                        <w14:solidFill>
                          <w14:schemeClr w14:val="tx1"/>
                        </w14:solidFill>
                      </w14:textFill>
                    </w:rPr>
                    <w:t>作出贡献</w:t>
                  </w:r>
                  <w:r>
                    <w:rPr>
                      <w:rFonts w:hint="default" w:ascii="Times New Roman" w:hAnsi="Times New Roman" w:eastAsia="宋体" w:cs="Times New Roman"/>
                      <w:color w:val="000000" w:themeColor="text1"/>
                      <w:szCs w:val="21"/>
                      <w14:textFill>
                        <w14:solidFill>
                          <w14:schemeClr w14:val="tx1"/>
                        </w14:solidFill>
                      </w14:textFill>
                    </w:rPr>
                    <w:t>。</w:t>
                  </w:r>
                </w:p>
              </w:tc>
              <w:tc>
                <w:tcPr>
                  <w:tcW w:w="504" w:type="pct"/>
                  <w:tcBorders>
                    <w:top w:val="single" w:color="auto" w:sz="4" w:space="0"/>
                    <w:bottom w:val="single" w:color="auto" w:sz="4" w:space="0"/>
                    <w:tl2br w:val="nil"/>
                    <w:tr2bl w:val="nil"/>
                  </w:tcBorders>
                  <w:vAlign w:val="center"/>
                </w:tcPr>
                <w:p w14:paraId="46395B4F">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722B8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744" w:type="pct"/>
                  <w:vMerge w:val="continue"/>
                  <w:tcBorders>
                    <w:tl2br w:val="nil"/>
                    <w:tr2bl w:val="nil"/>
                  </w:tcBorders>
                  <w:vAlign w:val="center"/>
                </w:tcPr>
                <w:p w14:paraId="068F4321">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p>
              </w:tc>
              <w:tc>
                <w:tcPr>
                  <w:tcW w:w="2390" w:type="pct"/>
                  <w:tcBorders>
                    <w:top w:val="single" w:color="auto" w:sz="4" w:space="0"/>
                    <w:tl2br w:val="nil"/>
                    <w:tr2bl w:val="nil"/>
                  </w:tcBorders>
                  <w:vAlign w:val="center"/>
                </w:tcPr>
                <w:p w14:paraId="1D4984C7">
                  <w:pPr>
                    <w:pStyle w:val="518"/>
                    <w:spacing w:line="240" w:lineRule="auto"/>
                    <w:jc w:val="both"/>
                    <w:rPr>
                      <w:rFonts w:hint="default" w:ascii="Times New Roman" w:hAnsi="Times New Roman" w:eastAsia="宋体" w:cs="Times New Roman"/>
                      <w:color w:val="000000" w:themeColor="text1"/>
                      <w:sz w:val="21"/>
                      <w:szCs w:val="21"/>
                      <w:lang w:val="de-DE"/>
                      <w14:textFill>
                        <w14:solidFill>
                          <w14:schemeClr w14:val="tx1"/>
                        </w14:solidFill>
                      </w14:textFill>
                    </w:rPr>
                  </w:pPr>
                  <w:r>
                    <w:rPr>
                      <w:rFonts w:hint="default" w:ascii="Times New Roman" w:hAnsi="Times New Roman" w:eastAsia="宋体" w:cs="Times New Roman"/>
                      <w:color w:val="000000" w:themeColor="text1"/>
                      <w:sz w:val="21"/>
                      <w:szCs w:val="21"/>
                      <w:lang w:val="de-DE"/>
                      <w14:textFill>
                        <w14:solidFill>
                          <w14:schemeClr w14:val="tx1"/>
                        </w14:solidFill>
                      </w14:textFill>
                    </w:rPr>
                    <w:t>（五）加快工业绿色低碳科技变革。</w:t>
                  </w:r>
                  <w:r>
                    <w:rPr>
                      <w:rFonts w:hint="default" w:ascii="Times New Roman" w:hAnsi="Times New Roman" w:eastAsia="宋体" w:cs="Times New Roman"/>
                      <w:color w:val="000000" w:themeColor="text1"/>
                      <w:sz w:val="21"/>
                      <w:szCs w:val="21"/>
                      <w:lang w:val="de-DE"/>
                      <w14:textFill>
                        <w14:solidFill>
                          <w14:schemeClr w14:val="tx1"/>
                        </w14:solidFill>
                      </w14:textFill>
                    </w:rPr>
                    <w:br w:type="textWrapping"/>
                  </w:r>
                  <w:r>
                    <w:rPr>
                      <w:rFonts w:hint="default" w:ascii="Times New Roman" w:hAnsi="Times New Roman" w:eastAsia="宋体" w:cs="Times New Roman"/>
                      <w:color w:val="000000" w:themeColor="text1"/>
                      <w:sz w:val="21"/>
                      <w:szCs w:val="21"/>
                      <w:lang w:val="de-DE"/>
                      <w14:textFill>
                        <w14:solidFill>
                          <w14:schemeClr w14:val="tx1"/>
                        </w14:solidFill>
                      </w14:textFill>
                    </w:rPr>
                    <w:t>加快先进适用技术应用推广。定期编制发布低碳、节能、清洁生产和资源综合利用等绿色技术、装备、产品目录，遴选批水平先进、经济性好、推广潜力大、市场亟需的工艺装备技术，鼓励企业加强设备更新和新产品规模化应用。重点推广全废钢电弧炉短流程炼钢、高选择性催化、余热高效回收利用、多污染物协同治理超低排放、加热炉低氮燃烧、干法粒化除尘、工业废水深度治理回用、高效提取分离、高效膜分离等工艺装备技术。组织制定重大低碳技术推广方案和供需对接指南。支持企业、高校、科研机构等建立绿色技术创新项目孵化器、创新创业基地。</w:t>
                  </w:r>
                </w:p>
              </w:tc>
              <w:tc>
                <w:tcPr>
                  <w:tcW w:w="1360" w:type="pct"/>
                  <w:tcBorders>
                    <w:top w:val="single" w:color="auto" w:sz="4" w:space="0"/>
                    <w:tl2br w:val="nil"/>
                    <w:tr2bl w:val="nil"/>
                  </w:tcBorders>
                  <w:vAlign w:val="center"/>
                </w:tcPr>
                <w:p w14:paraId="0408CC77">
                  <w:pPr>
                    <w:spacing w:line="24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本项目属于乙二醇装置工艺废气回收制高纯液态二氧化碳，属于工业废气的CO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回收，可列为</w:t>
                  </w:r>
                  <w:r>
                    <w:rPr>
                      <w:rFonts w:hint="default" w:ascii="Times New Roman" w:hAnsi="Times New Roman" w:eastAsia="宋体" w:cs="Times New Roman"/>
                      <w:color w:val="000000" w:themeColor="text1"/>
                      <w:szCs w:val="21"/>
                      <w:lang w:val="de-DE"/>
                      <w14:textFill>
                        <w14:solidFill>
                          <w14:schemeClr w14:val="tx1"/>
                        </w14:solidFill>
                      </w14:textFill>
                    </w:rPr>
                    <w:t>绿色技术。</w:t>
                  </w:r>
                </w:p>
              </w:tc>
              <w:tc>
                <w:tcPr>
                  <w:tcW w:w="504" w:type="pct"/>
                  <w:tcBorders>
                    <w:top w:val="single" w:color="auto" w:sz="4" w:space="0"/>
                    <w:tl2br w:val="nil"/>
                    <w:tr2bl w:val="nil"/>
                  </w:tcBorders>
                  <w:vAlign w:val="center"/>
                </w:tcPr>
                <w:p w14:paraId="587339B6">
                  <w:pPr>
                    <w:pStyle w:val="518"/>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3A068500">
            <w:pPr>
              <w:pStyle w:val="42"/>
              <w:widowControl w:val="0"/>
              <w:spacing w:before="0" w:beforeAutospacing="0" w:after="0" w:afterAutospacing="0" w:line="360" w:lineRule="auto"/>
              <w:ind w:left="481" w:leftChars="229"/>
              <w:rPr>
                <w:rFonts w:hint="default" w:ascii="Times New Roman" w:hAnsi="Times New Roman" w:eastAsia="宋体" w:cs="Times New Roman"/>
                <w:b/>
                <w:color w:val="000000" w:themeColor="text1"/>
                <w:kern w:val="2"/>
                <w:szCs w:val="24"/>
                <w:lang w:bidi="ar"/>
                <w14:textFill>
                  <w14:solidFill>
                    <w14:schemeClr w14:val="tx1"/>
                  </w14:solidFill>
                </w14:textFill>
              </w:rPr>
            </w:pPr>
            <w:r>
              <w:rPr>
                <w:rFonts w:hint="default" w:ascii="Times New Roman" w:hAnsi="Times New Roman" w:eastAsia="宋体" w:cs="Times New Roman"/>
                <w:b/>
                <w:color w:val="000000" w:themeColor="text1"/>
                <w:kern w:val="2"/>
                <w:szCs w:val="24"/>
                <w:lang w:bidi="ar"/>
                <w14:textFill>
                  <w14:solidFill>
                    <w14:schemeClr w14:val="tx1"/>
                  </w14:solidFill>
                </w14:textFill>
              </w:rPr>
              <w:t>5、</w:t>
            </w:r>
            <w:r>
              <w:rPr>
                <w:rFonts w:hint="default" w:ascii="Times New Roman" w:hAnsi="Times New Roman" w:eastAsia="宋体" w:cs="Times New Roman"/>
                <w:b/>
                <w:bCs/>
                <w:color w:val="000000" w:themeColor="text1"/>
                <w14:textFill>
                  <w14:solidFill>
                    <w14:schemeClr w14:val="tx1"/>
                  </w14:solidFill>
                </w14:textFill>
              </w:rPr>
              <w:t>与噪声污染防治相关法律法规符合性分析</w:t>
            </w:r>
          </w:p>
          <w:p w14:paraId="39006606">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本项目与噪声污染防治相关法律法规符合性分析见下表。</w:t>
            </w:r>
          </w:p>
          <w:p w14:paraId="7F1EFDB8">
            <w:pPr>
              <w:pStyle w:val="476"/>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表1-4  与噪声污染防治相关法律法规符合性分析</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539"/>
              <w:gridCol w:w="2475"/>
              <w:gridCol w:w="754"/>
            </w:tblGrid>
            <w:tr w14:paraId="4C9A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30" w:type="pct"/>
                  <w:tcBorders>
                    <w:tl2br w:val="nil"/>
                    <w:tr2bl w:val="nil"/>
                  </w:tcBorders>
                  <w:vAlign w:val="center"/>
                </w:tcPr>
                <w:p w14:paraId="74A97AB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文件</w:t>
                  </w:r>
                </w:p>
              </w:tc>
              <w:tc>
                <w:tcPr>
                  <w:tcW w:w="2284" w:type="pct"/>
                  <w:tcBorders>
                    <w:tl2br w:val="nil"/>
                    <w:tr2bl w:val="nil"/>
                  </w:tcBorders>
                  <w:vAlign w:val="center"/>
                </w:tcPr>
                <w:p w14:paraId="48692E7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要求</w:t>
                  </w:r>
                </w:p>
              </w:tc>
              <w:tc>
                <w:tcPr>
                  <w:tcW w:w="1597" w:type="pct"/>
                  <w:tcBorders>
                    <w:tl2br w:val="nil"/>
                    <w:tr2bl w:val="nil"/>
                  </w:tcBorders>
                  <w:vAlign w:val="center"/>
                </w:tcPr>
                <w:p w14:paraId="06E0415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487" w:type="pct"/>
                  <w:tcBorders>
                    <w:tl2br w:val="nil"/>
                    <w:tr2bl w:val="nil"/>
                  </w:tcBorders>
                  <w:vAlign w:val="center"/>
                </w:tcPr>
                <w:p w14:paraId="239591A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是否符合</w:t>
                  </w:r>
                </w:p>
              </w:tc>
            </w:tr>
            <w:tr w14:paraId="3A3C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30" w:type="pct"/>
                  <w:vMerge w:val="restart"/>
                  <w:tcBorders>
                    <w:tl2br w:val="nil"/>
                    <w:tr2bl w:val="nil"/>
                  </w:tcBorders>
                  <w:vAlign w:val="center"/>
                </w:tcPr>
                <w:p w14:paraId="1760100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《中华人民共和国噪声污染防治法》</w:t>
                  </w:r>
                </w:p>
              </w:tc>
              <w:tc>
                <w:tcPr>
                  <w:tcW w:w="2284" w:type="pct"/>
                  <w:tcBorders>
                    <w:tl2br w:val="nil"/>
                    <w:tr2bl w:val="nil"/>
                  </w:tcBorders>
                  <w:vAlign w:val="center"/>
                </w:tcPr>
                <w:p w14:paraId="2F73688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第二十四条 新建、改建、扩建可能产生噪声污染的建设项目，应当依法进行环境影响评价。</w:t>
                  </w:r>
                </w:p>
              </w:tc>
              <w:tc>
                <w:tcPr>
                  <w:tcW w:w="1597" w:type="pct"/>
                  <w:tcBorders>
                    <w:tl2br w:val="nil"/>
                    <w:tr2bl w:val="nil"/>
                  </w:tcBorders>
                  <w:vAlign w:val="center"/>
                </w:tcPr>
                <w:p w14:paraId="21ED7D3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本项目依法进行环境影响评价</w:t>
                  </w:r>
                </w:p>
              </w:tc>
              <w:tc>
                <w:tcPr>
                  <w:tcW w:w="487" w:type="pct"/>
                  <w:vMerge w:val="restart"/>
                  <w:tcBorders>
                    <w:tl2br w:val="nil"/>
                    <w:tr2bl w:val="nil"/>
                  </w:tcBorders>
                  <w:vAlign w:val="center"/>
                </w:tcPr>
                <w:p w14:paraId="04662CD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DFE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30" w:type="pct"/>
                  <w:vMerge w:val="continue"/>
                  <w:tcBorders>
                    <w:tl2br w:val="nil"/>
                    <w:tr2bl w:val="nil"/>
                  </w:tcBorders>
                  <w:vAlign w:val="center"/>
                </w:tcPr>
                <w:p w14:paraId="51A397EC">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284" w:type="pct"/>
                  <w:tcBorders>
                    <w:tl2br w:val="nil"/>
                    <w:tr2bl w:val="nil"/>
                  </w:tcBorders>
                  <w:vAlign w:val="center"/>
                </w:tcPr>
                <w:p w14:paraId="7E3D2A6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第二十五条 建设项目的噪声污染防治设施应当与主体工程同时设计、同时施工、同时投产使用。</w:t>
                  </w:r>
                </w:p>
                <w:p w14:paraId="5C1DAF4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在投入生产或者使用之前，建设单位应当依照有关法律法规的规定，对配套建设的噪声污染防治设施进行验收，编制验收报告，并向社会公开。未经验收或者验收不合格的，该建设项目不得投入生产或者使用。</w:t>
                  </w:r>
                </w:p>
              </w:tc>
              <w:tc>
                <w:tcPr>
                  <w:tcW w:w="1597" w:type="pct"/>
                  <w:tcBorders>
                    <w:tl2br w:val="nil"/>
                    <w:tr2bl w:val="nil"/>
                  </w:tcBorders>
                  <w:vAlign w:val="center"/>
                </w:tcPr>
                <w:p w14:paraId="1D07301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本项目噪声污染防治设施与主体工程同时设计、同时施工、同时投产使用。建设完成后，将依法进行竣工环保验收。</w:t>
                  </w:r>
                </w:p>
              </w:tc>
              <w:tc>
                <w:tcPr>
                  <w:tcW w:w="487" w:type="pct"/>
                  <w:vMerge w:val="continue"/>
                  <w:tcBorders>
                    <w:tl2br w:val="nil"/>
                    <w:tr2bl w:val="nil"/>
                  </w:tcBorders>
                  <w:vAlign w:val="center"/>
                </w:tcPr>
                <w:p w14:paraId="04E22D09">
                  <w:pPr>
                    <w:pStyle w:val="516"/>
                    <w:rPr>
                      <w:rFonts w:hint="default" w:ascii="Times New Roman" w:hAnsi="Times New Roman" w:eastAsia="宋体" w:cs="Times New Roman"/>
                      <w:color w:val="000000" w:themeColor="text1"/>
                      <w:sz w:val="21"/>
                      <w:szCs w:val="21"/>
                      <w14:textFill>
                        <w14:solidFill>
                          <w14:schemeClr w14:val="tx1"/>
                        </w14:solidFill>
                      </w14:textFill>
                    </w:rPr>
                  </w:pPr>
                </w:p>
              </w:tc>
            </w:tr>
            <w:tr w14:paraId="4589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vMerge w:val="continue"/>
                  <w:tcBorders>
                    <w:tl2br w:val="nil"/>
                    <w:tr2bl w:val="nil"/>
                  </w:tcBorders>
                  <w:vAlign w:val="center"/>
                </w:tcPr>
                <w:p w14:paraId="6D806E2A">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284" w:type="pct"/>
                  <w:tcBorders>
                    <w:tl2br w:val="nil"/>
                    <w:tr2bl w:val="nil"/>
                  </w:tcBorders>
                  <w:vAlign w:val="center"/>
                </w:tcPr>
                <w:p w14:paraId="0E0CD10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第三十六条 排放工业噪声的企业事业单位和其他生产经营者，应当采取有效措施，减少振动、降低噪声，依法取得排污许可证或者填报排污登记表。</w:t>
                  </w:r>
                </w:p>
                <w:p w14:paraId="29294E6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实行排污许可管理的单位，不得无排污许可证排放工业噪声，并应当按照排污许可证的要求进行噪声污染防治。</w:t>
                  </w:r>
                </w:p>
              </w:tc>
              <w:tc>
                <w:tcPr>
                  <w:tcW w:w="1597" w:type="pct"/>
                  <w:tcBorders>
                    <w:tl2br w:val="nil"/>
                    <w:tr2bl w:val="nil"/>
                  </w:tcBorders>
                  <w:vAlign w:val="center"/>
                </w:tcPr>
                <w:p w14:paraId="6D5FF07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本项目通过加强设备维修、保养和管理，加强基础减震，降低噪声，建设完成</w:t>
                  </w:r>
                  <w:r>
                    <w:rPr>
                      <w:rFonts w:hint="default" w:ascii="Times New Roman" w:hAnsi="Times New Roman" w:eastAsia="宋体" w:cs="Times New Roman"/>
                      <w:bCs/>
                      <w:color w:val="000000" w:themeColor="text1"/>
                      <w:sz w:val="21"/>
                      <w:szCs w:val="21"/>
                      <w14:textFill>
                        <w14:solidFill>
                          <w14:schemeClr w14:val="tx1"/>
                        </w14:solidFill>
                      </w14:textFill>
                    </w:rPr>
                    <w:t>将依法变更排污许可证</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487" w:type="pct"/>
                  <w:vMerge w:val="continue"/>
                  <w:tcBorders>
                    <w:tl2br w:val="nil"/>
                    <w:tr2bl w:val="nil"/>
                  </w:tcBorders>
                  <w:vAlign w:val="center"/>
                </w:tcPr>
                <w:p w14:paraId="3CC11EEB">
                  <w:pPr>
                    <w:pStyle w:val="516"/>
                    <w:rPr>
                      <w:rFonts w:hint="default" w:ascii="Times New Roman" w:hAnsi="Times New Roman" w:eastAsia="宋体" w:cs="Times New Roman"/>
                      <w:color w:val="000000" w:themeColor="text1"/>
                      <w:sz w:val="21"/>
                      <w:szCs w:val="21"/>
                      <w14:textFill>
                        <w14:solidFill>
                          <w14:schemeClr w14:val="tx1"/>
                        </w14:solidFill>
                      </w14:textFill>
                    </w:rPr>
                  </w:pPr>
                </w:p>
              </w:tc>
            </w:tr>
            <w:tr w14:paraId="4EF6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630" w:type="pct"/>
                  <w:tcBorders>
                    <w:tl2br w:val="nil"/>
                    <w:tr2bl w:val="nil"/>
                  </w:tcBorders>
                  <w:vAlign w:val="center"/>
                </w:tcPr>
                <w:p w14:paraId="722B284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《“十四五”噪声污染防治行动计划》</w:t>
                  </w:r>
                </w:p>
              </w:tc>
              <w:tc>
                <w:tcPr>
                  <w:tcW w:w="2284" w:type="pct"/>
                  <w:tcBorders>
                    <w:tl2br w:val="nil"/>
                    <w:tr2bl w:val="nil"/>
                  </w:tcBorders>
                  <w:vAlign w:val="center"/>
                </w:tcPr>
                <w:p w14:paraId="68D2F97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1.开展声环境功能划定和评估。</w:t>
                  </w:r>
                </w:p>
                <w:p w14:paraId="5E0916C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优化噪声敏感建筑物建设布局。科学规划住宅、学校等噪声敏感建筑物位置，避免受到周边噪声的影响。8．严格落实噪声污染防治要求。制定修改相关规划、建设对环境有影响的项目时，应依法开展环评，对可能产生噪声与振动的影响进行分析、预测和评估，积极采取噪声污染防治对策措施。督促建设单位依法开展竣工环境保护验收，加大事中事后监管力度，确保各项措施落地见效。</w:t>
                  </w:r>
                </w:p>
              </w:tc>
              <w:tc>
                <w:tcPr>
                  <w:tcW w:w="1597" w:type="pct"/>
                  <w:tcBorders>
                    <w:tl2br w:val="nil"/>
                    <w:tr2bl w:val="nil"/>
                  </w:tcBorders>
                  <w:vAlign w:val="center"/>
                </w:tcPr>
                <w:p w14:paraId="40718F6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本项目位于3类声环境功能区，周边无学校等噪声敏感建筑物，项目积极开展环评，落实污染防治措施，建成后将依法开展竣工环保验收。</w:t>
                  </w:r>
                </w:p>
              </w:tc>
              <w:tc>
                <w:tcPr>
                  <w:tcW w:w="487" w:type="pct"/>
                  <w:tcBorders>
                    <w:tl2br w:val="nil"/>
                    <w:tr2bl w:val="nil"/>
                  </w:tcBorders>
                  <w:vAlign w:val="center"/>
                </w:tcPr>
                <w:p w14:paraId="487A85F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184E8F1B">
            <w:pPr>
              <w:pStyle w:val="42"/>
              <w:widowControl w:val="0"/>
              <w:spacing w:before="0" w:beforeAutospacing="0" w:after="0" w:afterAutospacing="0" w:line="360" w:lineRule="auto"/>
              <w:ind w:left="481" w:leftChars="229"/>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因此，本项目符合《中华人民共和国噪声污染防治法</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“十四五”</w:t>
            </w:r>
          </w:p>
          <w:p w14:paraId="36D5B938">
            <w:pPr>
              <w:pStyle w:val="42"/>
              <w:widowControl w:val="0"/>
              <w:spacing w:before="0" w:beforeAutospacing="0" w:after="0" w:afterAutospacing="0" w:line="360" w:lineRule="auto"/>
              <w:jc w:val="both"/>
              <w:rPr>
                <w:rFonts w:hint="default" w:ascii="Times New Roman" w:hAnsi="Times New Roman" w:eastAsia="宋体" w:cs="Times New Roman"/>
                <w:b/>
                <w:color w:val="000000" w:themeColor="text1"/>
                <w:kern w:val="2"/>
                <w:szCs w:val="24"/>
                <w:lang w:bidi="a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噪声污染防治行动计划》中相关要求。</w:t>
            </w:r>
          </w:p>
          <w:p w14:paraId="5588D097">
            <w:pPr>
              <w:pStyle w:val="42"/>
              <w:widowControl w:val="0"/>
              <w:spacing w:before="0" w:beforeAutospacing="0" w:after="0" w:afterAutospacing="0" w:line="360" w:lineRule="auto"/>
              <w:ind w:left="481" w:leftChars="229"/>
              <w:rPr>
                <w:rFonts w:hint="default" w:ascii="Times New Roman" w:hAnsi="Times New Roman" w:eastAsia="宋体" w:cs="Times New Roman"/>
                <w:b/>
                <w:color w:val="000000" w:themeColor="text1"/>
                <w:kern w:val="2"/>
                <w:szCs w:val="24"/>
                <w:lang w:bidi="ar"/>
                <w14:textFill>
                  <w14:solidFill>
                    <w14:schemeClr w14:val="tx1"/>
                  </w14:solidFill>
                </w14:textFill>
              </w:rPr>
            </w:pPr>
            <w:r>
              <w:rPr>
                <w:rFonts w:hint="default" w:ascii="Times New Roman" w:hAnsi="Times New Roman" w:eastAsia="宋体" w:cs="Times New Roman"/>
                <w:b/>
                <w:color w:val="000000" w:themeColor="text1"/>
                <w:kern w:val="2"/>
                <w:szCs w:val="24"/>
                <w:lang w:bidi="ar"/>
                <w14:textFill>
                  <w14:solidFill>
                    <w14:schemeClr w14:val="tx1"/>
                  </w14:solidFill>
                </w14:textFill>
              </w:rPr>
              <w:t>6、与土壤污染防治行动计划的符合性分析</w:t>
            </w:r>
          </w:p>
          <w:p w14:paraId="7E50322E">
            <w:pPr>
              <w:widowControl/>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贯彻落实《中共中央国务院关于深入打好污染防治攻坚战的意见》，生态环境部、发展改革委、财政部、自然资源部、住房和城乡建设部、水利部、农业农村部组织编制了《“十四五”土壤、地下水和农村生态环境保护规划》，并于2021年12月31日正式发布。为深入贯彻落实习近平生态文明思想，扎实有序做好四川省“十四五”期间土壤污染防治工作，生态环境厅会同省发展改革委、经济和信息化厅、教育厅、科技厅、司法厅、财政厅、自然资源厅、住房城乡建设厅、水利厅、农业农村厅、省卫生健康委、应急厅、省市场监管局、省林草局编制了《四川省“十四五”土壤污染防治规划》，并于2022年6月发布。为此，本评价将结合以上文件对项目建设的符合性进行分析，具体分析如下：</w:t>
            </w:r>
          </w:p>
          <w:p w14:paraId="0D8362C6">
            <w:pPr>
              <w:pStyle w:val="476"/>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表1-5  与土壤污染防</w:t>
            </w:r>
            <w:bookmarkStart w:id="19" w:name="_GoBack"/>
            <w:bookmarkEnd w:id="19"/>
            <w:r>
              <w:rPr>
                <w:rFonts w:hint="default" w:ascii="Times New Roman" w:hAnsi="Times New Roman" w:eastAsia="宋体" w:cs="Times New Roman"/>
                <w:b/>
                <w:bCs/>
                <w:color w:val="000000" w:themeColor="text1"/>
                <w:sz w:val="21"/>
                <w:szCs w:val="21"/>
                <w14:textFill>
                  <w14:solidFill>
                    <w14:schemeClr w14:val="tx1"/>
                  </w14:solidFill>
                </w14:textFill>
              </w:rPr>
              <w:t>治规范文件的符合性分析</w:t>
            </w:r>
          </w:p>
          <w:tbl>
            <w:tblPr>
              <w:tblStyle w:val="474"/>
              <w:tblW w:w="773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019"/>
              <w:gridCol w:w="3587"/>
              <w:gridCol w:w="2344"/>
              <w:gridCol w:w="789"/>
            </w:tblGrid>
            <w:tr w14:paraId="1AA00FA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21" w:hRule="atLeast"/>
                <w:jc w:val="center"/>
              </w:trPr>
              <w:tc>
                <w:tcPr>
                  <w:tcW w:w="1019" w:type="dxa"/>
                  <w:vAlign w:val="center"/>
                </w:tcPr>
                <w:p w14:paraId="5DE7FCD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土壤污染防治规划文件</w:t>
                  </w:r>
                </w:p>
              </w:tc>
              <w:tc>
                <w:tcPr>
                  <w:tcW w:w="3587" w:type="dxa"/>
                  <w:vAlign w:val="center"/>
                </w:tcPr>
                <w:p w14:paraId="2864266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规划要求</w:t>
                  </w:r>
                </w:p>
              </w:tc>
              <w:tc>
                <w:tcPr>
                  <w:tcW w:w="2344" w:type="dxa"/>
                  <w:vAlign w:val="center"/>
                </w:tcPr>
                <w:p w14:paraId="190E81CE">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本项目情况</w:t>
                  </w:r>
                </w:p>
              </w:tc>
              <w:tc>
                <w:tcPr>
                  <w:tcW w:w="789" w:type="dxa"/>
                  <w:vAlign w:val="center"/>
                </w:tcPr>
                <w:p w14:paraId="5F3ECEC5">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符合性</w:t>
                  </w:r>
                </w:p>
              </w:tc>
            </w:tr>
            <w:tr w14:paraId="22E9CCB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019" w:type="dxa"/>
                  <w:vMerge w:val="restart"/>
                  <w:tcBorders>
                    <w:bottom w:val="nil"/>
                  </w:tcBorders>
                  <w:vAlign w:val="center"/>
                </w:tcPr>
                <w:p w14:paraId="46CD8917">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《“十四五”土壤、地下水和农村生态环境保护规划》</w:t>
                  </w:r>
                </w:p>
              </w:tc>
              <w:tc>
                <w:tcPr>
                  <w:tcW w:w="3587" w:type="dxa"/>
                  <w:vAlign w:val="center"/>
                </w:tcPr>
                <w:p w14:paraId="5D434FB0">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加强耕地污染源头控制。严格控制涉重金属行业企业污染物排放。</w:t>
                  </w:r>
                </w:p>
              </w:tc>
              <w:tc>
                <w:tcPr>
                  <w:tcW w:w="2344" w:type="dxa"/>
                  <w:vAlign w:val="center"/>
                </w:tcPr>
                <w:p w14:paraId="7F3C181C">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本项目不属于涉重金属行业。</w:t>
                  </w:r>
                </w:p>
              </w:tc>
              <w:tc>
                <w:tcPr>
                  <w:tcW w:w="789" w:type="dxa"/>
                  <w:vAlign w:val="center"/>
                </w:tcPr>
                <w:p w14:paraId="10EA472C">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4AC7249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1019" w:type="dxa"/>
                  <w:vMerge w:val="continue"/>
                  <w:tcBorders>
                    <w:top w:val="nil"/>
                    <w:bottom w:val="nil"/>
                  </w:tcBorders>
                  <w:vAlign w:val="center"/>
                </w:tcPr>
                <w:p w14:paraId="624BC6CE">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1704CBCA">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防范工矿企业新增土壤污染。严格建设项目土壤环境影响评价制度。对涉及有毒有害物质可能造成土壤污染的新（改、扩）建项目，依法进行环境影响评价，提出并落实防腐蚀、防渗漏、防遗撒等土壤污染防治具体措施。</w:t>
                  </w:r>
                </w:p>
              </w:tc>
              <w:tc>
                <w:tcPr>
                  <w:tcW w:w="2344" w:type="dxa"/>
                  <w:vAlign w:val="center"/>
                </w:tcPr>
                <w:p w14:paraId="29CE1B39">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本项目为工艺废气中的CO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回收，所涉及设备及原辅料不涉及有毒有害物质，选址在正达凯厂区已采取</w:t>
                  </w:r>
                  <w:r>
                    <w:rPr>
                      <w:rFonts w:hint="eastAsia" w:cs="Times New Roman"/>
                      <w:color w:val="000000" w:themeColor="text1"/>
                      <w:lang w:val="en-US" w:eastAsia="zh-CN"/>
                      <w14:textFill>
                        <w14:solidFill>
                          <w14:schemeClr w14:val="tx1"/>
                        </w14:solidFill>
                      </w14:textFill>
                    </w:rPr>
                    <w:t>重点</w:t>
                  </w:r>
                  <w:r>
                    <w:rPr>
                      <w:rFonts w:hint="default" w:ascii="Times New Roman" w:hAnsi="Times New Roman" w:eastAsia="宋体" w:cs="Times New Roman"/>
                      <w:color w:val="000000" w:themeColor="text1"/>
                      <w:lang w:eastAsia="zh-CN"/>
                      <w14:textFill>
                        <w14:solidFill>
                          <w14:schemeClr w14:val="tx1"/>
                        </w14:solidFill>
                      </w14:textFill>
                    </w:rPr>
                    <w:t>防渗的区域，不会对区域土壤环境产生污染。</w:t>
                  </w:r>
                </w:p>
              </w:tc>
              <w:tc>
                <w:tcPr>
                  <w:tcW w:w="789" w:type="dxa"/>
                  <w:vAlign w:val="center"/>
                </w:tcPr>
                <w:p w14:paraId="6D2D418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01C7146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0" w:hRule="atLeast"/>
                <w:jc w:val="center"/>
              </w:trPr>
              <w:tc>
                <w:tcPr>
                  <w:tcW w:w="1019" w:type="dxa"/>
                  <w:vMerge w:val="continue"/>
                  <w:tcBorders>
                    <w:top w:val="nil"/>
                    <w:bottom w:val="nil"/>
                  </w:tcBorders>
                  <w:vAlign w:val="center"/>
                </w:tcPr>
                <w:p w14:paraId="2410FC98">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11C087FC">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深入实施耕地分类管理，切实加大保护力度。依法将符合条件的优先保护类耕地划为永久基本农田，在永久基本农田集中区域，不得规划新建可能造成土壤污染的建设项目。</w:t>
                  </w:r>
                </w:p>
              </w:tc>
              <w:tc>
                <w:tcPr>
                  <w:tcW w:w="2344" w:type="dxa"/>
                  <w:vAlign w:val="center"/>
                </w:tcPr>
                <w:p w14:paraId="6F58B863">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本项目位于化工园区现有企业内，占地不涉及永久基本农田集中区域。</w:t>
                  </w:r>
                </w:p>
              </w:tc>
              <w:tc>
                <w:tcPr>
                  <w:tcW w:w="789" w:type="dxa"/>
                  <w:vAlign w:val="center"/>
                </w:tcPr>
                <w:p w14:paraId="1CB7E654">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39D3FB3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46" w:hRule="atLeast"/>
                <w:jc w:val="center"/>
              </w:trPr>
              <w:tc>
                <w:tcPr>
                  <w:tcW w:w="1019" w:type="dxa"/>
                  <w:vMerge w:val="continue"/>
                  <w:tcBorders>
                    <w:top w:val="nil"/>
                    <w:bottom w:val="nil"/>
                  </w:tcBorders>
                  <w:vAlign w:val="center"/>
                </w:tcPr>
                <w:p w14:paraId="2C5FF159">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7AE6A8A4">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落实地下水防渗和监测措施。督促“一企一库”“两场两区”（即化学品生产企业、尾矿库、危险废物处置场、垃圾填埋场、化工产业为主导的工业集聚区、矿山开采区）采取防渗漏措施，按要求建设地下水环境监测井，开展地下水环境自行监测。指导地下水污染防治重点排污单位优先开展地下水污染渗漏排查，针对存在问题的设施，采取污染防渗改造措施。地方生态环境部门开展地下水污染防治重点排污单位周边地下水环境监测。</w:t>
                  </w:r>
                </w:p>
              </w:tc>
              <w:tc>
                <w:tcPr>
                  <w:tcW w:w="2344" w:type="dxa"/>
                  <w:vMerge w:val="restart"/>
                  <w:tcBorders>
                    <w:bottom w:val="nil"/>
                  </w:tcBorders>
                  <w:vAlign w:val="center"/>
                </w:tcPr>
                <w:p w14:paraId="0810B22F">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本项目选址在正达凯厂区已采取</w:t>
                  </w:r>
                  <w:r>
                    <w:rPr>
                      <w:rFonts w:hint="eastAsia" w:cs="Times New Roman"/>
                      <w:color w:val="000000" w:themeColor="text1"/>
                      <w:lang w:val="en-US" w:eastAsia="zh-CN"/>
                      <w14:textFill>
                        <w14:solidFill>
                          <w14:schemeClr w14:val="tx1"/>
                        </w14:solidFill>
                      </w14:textFill>
                    </w:rPr>
                    <w:t>重点</w:t>
                  </w:r>
                  <w:r>
                    <w:rPr>
                      <w:rFonts w:hint="default" w:ascii="Times New Roman" w:hAnsi="Times New Roman" w:eastAsia="宋体" w:cs="Times New Roman"/>
                      <w:color w:val="000000" w:themeColor="text1"/>
                      <w:lang w:eastAsia="zh-CN"/>
                      <w14:textFill>
                        <w14:solidFill>
                          <w14:schemeClr w14:val="tx1"/>
                        </w14:solidFill>
                      </w14:textFill>
                    </w:rPr>
                    <w:t>防渗的区域，不会对区域土壤和地下水环境产生污染。同时正达凯厂区内设置有地下水监控井，并定期开展地下水环境自行监测。</w:t>
                  </w:r>
                </w:p>
              </w:tc>
              <w:tc>
                <w:tcPr>
                  <w:tcW w:w="789" w:type="dxa"/>
                  <w:vAlign w:val="center"/>
                </w:tcPr>
                <w:p w14:paraId="644EC685">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208107C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36" w:hRule="atLeast"/>
                <w:jc w:val="center"/>
              </w:trPr>
              <w:tc>
                <w:tcPr>
                  <w:tcW w:w="1019" w:type="dxa"/>
                  <w:vMerge w:val="continue"/>
                  <w:tcBorders>
                    <w:top w:val="nil"/>
                  </w:tcBorders>
                  <w:vAlign w:val="center"/>
                </w:tcPr>
                <w:p w14:paraId="2A0101F5">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0B87B5CD">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实施地下水污染风险管控。针对存在地下水污染的化工产业为主导的工业集聚区、危险废物处置场和生活垃圾填埋场等，实施地下水污染风险管控，阻止污染扩散，加强风险管控后期环境监管。试点开展废弃矿井地下水污染防治、原地浸矿地下水污染风险管控，探索油气采出水回注地下水污染防治措施。</w:t>
                  </w:r>
                </w:p>
              </w:tc>
              <w:tc>
                <w:tcPr>
                  <w:tcW w:w="2344" w:type="dxa"/>
                  <w:vMerge w:val="continue"/>
                  <w:tcBorders>
                    <w:top w:val="nil"/>
                  </w:tcBorders>
                  <w:vAlign w:val="center"/>
                </w:tcPr>
                <w:p w14:paraId="71323273">
                  <w:pPr>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89" w:type="dxa"/>
                  <w:vAlign w:val="center"/>
                </w:tcPr>
                <w:p w14:paraId="10C64EB3">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60A62C2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896" w:hRule="atLeast"/>
                <w:jc w:val="center"/>
              </w:trPr>
              <w:tc>
                <w:tcPr>
                  <w:tcW w:w="1019" w:type="dxa"/>
                  <w:vMerge w:val="restart"/>
                  <w:tcBorders>
                    <w:bottom w:val="nil"/>
                  </w:tcBorders>
                  <w:vAlign w:val="center"/>
                </w:tcPr>
                <w:p w14:paraId="0B29E0E2">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《四川省“十四五”土壤污染防治规划》</w:t>
                  </w:r>
                </w:p>
              </w:tc>
              <w:tc>
                <w:tcPr>
                  <w:tcW w:w="3587" w:type="dxa"/>
                  <w:vAlign w:val="center"/>
                </w:tcPr>
                <w:p w14:paraId="13344403">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重点行业企业监管。严格重点行业企业准入，强化建设项目土壤环境影响评价刚性约束，鼓励工业企业集聚发展。强化涉及有毒有害物质或可能造成土壤污染的新（改、扩）建项目环境影响评价，提出并落实防腐蚀、防渗漏、防遗撒等土壤污染防治措施。</w:t>
                  </w:r>
                </w:p>
              </w:tc>
              <w:tc>
                <w:tcPr>
                  <w:tcW w:w="2344" w:type="dxa"/>
                  <w:tcBorders>
                    <w:bottom w:val="nil"/>
                  </w:tcBorders>
                  <w:vAlign w:val="center"/>
                </w:tcPr>
                <w:p w14:paraId="51898E54">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本项目为工艺废气中的CO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回收，所涉及设备及原辅料不涉及有毒有害物质，选址在正达凯厂区已采取</w:t>
                  </w:r>
                  <w:r>
                    <w:rPr>
                      <w:rFonts w:hint="eastAsia" w:cs="Times New Roman"/>
                      <w:color w:val="000000" w:themeColor="text1"/>
                      <w:lang w:val="en-US" w:eastAsia="zh-CN"/>
                      <w14:textFill>
                        <w14:solidFill>
                          <w14:schemeClr w14:val="tx1"/>
                        </w14:solidFill>
                      </w14:textFill>
                    </w:rPr>
                    <w:t>重点</w:t>
                  </w:r>
                  <w:r>
                    <w:rPr>
                      <w:rFonts w:hint="default" w:ascii="Times New Roman" w:hAnsi="Times New Roman" w:eastAsia="宋体" w:cs="Times New Roman"/>
                      <w:color w:val="000000" w:themeColor="text1"/>
                      <w:lang w:eastAsia="zh-CN"/>
                      <w14:textFill>
                        <w14:solidFill>
                          <w14:schemeClr w14:val="tx1"/>
                        </w14:solidFill>
                      </w14:textFill>
                    </w:rPr>
                    <w:t>防渗的区域。</w:t>
                  </w:r>
                </w:p>
              </w:tc>
              <w:tc>
                <w:tcPr>
                  <w:tcW w:w="789" w:type="dxa"/>
                  <w:tcBorders>
                    <w:bottom w:val="nil"/>
                  </w:tcBorders>
                  <w:vAlign w:val="center"/>
                </w:tcPr>
                <w:p w14:paraId="51662C13">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0E977C9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019" w:type="dxa"/>
                  <w:vMerge w:val="continue"/>
                  <w:tcBorders>
                    <w:top w:val="nil"/>
                    <w:bottom w:val="nil"/>
                  </w:tcBorders>
                  <w:vAlign w:val="center"/>
                </w:tcPr>
                <w:p w14:paraId="0F2AD860">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6928A10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重金属污染防治。优化重点行业产业布局，积极推动涉重金属产业集中优化发展。严格涉重金属企业环境准入，新建、扩建有色金属冶炼、电镀、制革企业应布设在依法合规设立并经规划环评的产业园区，加快推进电镀企业入园。</w:t>
                  </w:r>
                </w:p>
              </w:tc>
              <w:tc>
                <w:tcPr>
                  <w:tcW w:w="2344" w:type="dxa"/>
                  <w:tcBorders>
                    <w:bottom w:val="nil"/>
                  </w:tcBorders>
                  <w:vAlign w:val="center"/>
                </w:tcPr>
                <w:p w14:paraId="47F6E0E8">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本项目不涉及重金属排放，选址在经规划环评的产业园区内。</w:t>
                  </w:r>
                </w:p>
              </w:tc>
              <w:tc>
                <w:tcPr>
                  <w:tcW w:w="789" w:type="dxa"/>
                  <w:tcBorders>
                    <w:bottom w:val="nil"/>
                  </w:tcBorders>
                  <w:vAlign w:val="center"/>
                </w:tcPr>
                <w:p w14:paraId="164C971C">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3A9E8A4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06" w:hRule="atLeast"/>
                <w:jc w:val="center"/>
              </w:trPr>
              <w:tc>
                <w:tcPr>
                  <w:tcW w:w="1019" w:type="dxa"/>
                  <w:vMerge w:val="continue"/>
                  <w:tcBorders>
                    <w:top w:val="nil"/>
                  </w:tcBorders>
                  <w:vAlign w:val="center"/>
                </w:tcPr>
                <w:p w14:paraId="699D3D98">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3587" w:type="dxa"/>
                  <w:vAlign w:val="center"/>
                </w:tcPr>
                <w:p w14:paraId="0F9104D1">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强土地空间管控。落实“三线一单”分区管控要求，加强规划区和建设项目布局论证，根据土壤环境承载能力和区域特点，合理确定区域功能定位、空间布局。禁止在居民区、学校、医院、疗养院和养老院等单位周边新（改、扩）建可能造成土壤污染的建设项目。</w:t>
                  </w:r>
                </w:p>
              </w:tc>
              <w:tc>
                <w:tcPr>
                  <w:tcW w:w="2344" w:type="dxa"/>
                  <w:vAlign w:val="center"/>
                </w:tcPr>
                <w:p w14:paraId="36569181">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本项目选址符合达州市“生态环境分区”管控要求</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详见p19-33页</w:t>
                  </w:r>
                  <w:r>
                    <w:rPr>
                      <w:rFonts w:hint="default" w:ascii="Times New Roman" w:hAnsi="Times New Roman" w:eastAsia="宋体" w:cs="Times New Roman"/>
                      <w:color w:val="000000" w:themeColor="text1"/>
                      <w:lang w:eastAsia="zh-CN"/>
                      <w14:textFill>
                        <w14:solidFill>
                          <w14:schemeClr w14:val="tx1"/>
                        </w14:solidFill>
                      </w14:textFill>
                    </w:rPr>
                    <w:t>，项目周边距离居民区、学校、医院、疗养院和养老院等敏感设施均较远。</w:t>
                  </w:r>
                </w:p>
              </w:tc>
              <w:tc>
                <w:tcPr>
                  <w:tcW w:w="789" w:type="dxa"/>
                  <w:vAlign w:val="center"/>
                </w:tcPr>
                <w:p w14:paraId="6008AD1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bl>
          <w:p w14:paraId="378C12D3">
            <w:pPr>
              <w:pStyle w:val="476"/>
              <w:spacing w:line="360" w:lineRule="auto"/>
              <w:ind w:firstLine="0" w:firstLineChars="0"/>
              <w:rPr>
                <w:rFonts w:hint="default" w:ascii="Times New Roman" w:hAnsi="Times New Roman" w:eastAsia="宋体" w:cs="Times New Roman"/>
                <w:b/>
                <w:bCs/>
                <w:color w:val="000000" w:themeColor="text1"/>
                <w14:textFill>
                  <w14:solidFill>
                    <w14:schemeClr w14:val="tx1"/>
                  </w14:solidFill>
                </w14:textFill>
              </w:rPr>
            </w:pPr>
          </w:p>
          <w:p w14:paraId="261710BE">
            <w:pPr>
              <w:pStyle w:val="476"/>
              <w:spacing w:line="360" w:lineRule="auto"/>
              <w:ind w:firstLine="482"/>
              <w:rPr>
                <w:rFonts w:hint="eastAsia"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7、与</w:t>
            </w:r>
            <w:r>
              <w:rPr>
                <w:rFonts w:hint="eastAsia" w:cs="Times New Roman"/>
                <w:b/>
                <w:bCs/>
                <w:color w:val="000000" w:themeColor="text1"/>
                <w:lang w:val="en-US" w:eastAsia="zh-CN"/>
                <w14:textFill>
                  <w14:solidFill>
                    <w14:schemeClr w14:val="tx1"/>
                  </w14:solidFill>
                </w14:textFill>
              </w:rPr>
              <w:t>减污降碳</w:t>
            </w:r>
            <w:r>
              <w:rPr>
                <w:rFonts w:hint="default" w:ascii="Times New Roman" w:hAnsi="Times New Roman" w:eastAsia="宋体" w:cs="Times New Roman"/>
                <w:b/>
                <w:bCs/>
                <w:color w:val="000000" w:themeColor="text1"/>
                <w14:textFill>
                  <w14:solidFill>
                    <w14:schemeClr w14:val="tx1"/>
                  </w14:solidFill>
                </w14:textFill>
              </w:rPr>
              <w:t>相关政策的符合性分析</w:t>
            </w:r>
          </w:p>
          <w:p w14:paraId="14B23562">
            <w:pPr>
              <w:pStyle w:val="476"/>
              <w:spacing w:line="360" w:lineRule="auto"/>
              <w:ind w:firstLine="482"/>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本项目与国家相关减污降碳政策符合性分析见下表。</w:t>
            </w:r>
          </w:p>
          <w:p w14:paraId="317F2A51">
            <w:pPr>
              <w:pStyle w:val="476"/>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p w14:paraId="0124713B">
            <w:pPr>
              <w:pStyle w:val="476"/>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p w14:paraId="742FF8C1">
            <w:pPr>
              <w:pStyle w:val="476"/>
              <w:spacing w:line="24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p w14:paraId="5AD996BF">
            <w:pPr>
              <w:pStyle w:val="476"/>
              <w:spacing w:line="240" w:lineRule="auto"/>
              <w:jc w:val="center"/>
              <w:rPr>
                <w:rFonts w:hint="eastAsia"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 xml:space="preserve"> 与</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减污降碳</w:t>
            </w:r>
            <w:r>
              <w:rPr>
                <w:rFonts w:hint="default" w:ascii="Times New Roman" w:hAnsi="Times New Roman" w:eastAsia="宋体" w:cs="Times New Roman"/>
                <w:b/>
                <w:bCs/>
                <w:color w:val="000000" w:themeColor="text1"/>
                <w:sz w:val="21"/>
                <w:szCs w:val="21"/>
                <w14:textFill>
                  <w14:solidFill>
                    <w14:schemeClr w14:val="tx1"/>
                  </w14:solidFill>
                </w14:textFill>
              </w:rPr>
              <w:t>相关政策符合性分析</w:t>
            </w:r>
          </w:p>
          <w:tbl>
            <w:tblPr>
              <w:tblStyle w:val="474"/>
              <w:tblW w:w="773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697"/>
              <w:gridCol w:w="2909"/>
              <w:gridCol w:w="2344"/>
              <w:gridCol w:w="789"/>
            </w:tblGrid>
            <w:tr w14:paraId="3C31E3A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97" w:type="dxa"/>
                  <w:vAlign w:val="center"/>
                </w:tcPr>
                <w:p w14:paraId="6BD1C4C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有关政策</w:t>
                  </w:r>
                  <w:r>
                    <w:rPr>
                      <w:rFonts w:hint="default" w:ascii="Times New Roman" w:hAnsi="Times New Roman" w:eastAsia="宋体" w:cs="Times New Roman"/>
                      <w:color w:val="000000" w:themeColor="text1"/>
                      <w:lang w:eastAsia="zh-CN"/>
                      <w14:textFill>
                        <w14:solidFill>
                          <w14:schemeClr w14:val="tx1"/>
                        </w14:solidFill>
                      </w14:textFill>
                    </w:rPr>
                    <w:t>文件</w:t>
                  </w:r>
                  <w:r>
                    <w:rPr>
                      <w:rFonts w:hint="eastAsia" w:cs="Times New Roman"/>
                      <w:color w:val="000000" w:themeColor="text1"/>
                      <w:lang w:val="en-US" w:eastAsia="zh-CN"/>
                      <w14:textFill>
                        <w14:solidFill>
                          <w14:schemeClr w14:val="tx1"/>
                        </w14:solidFill>
                      </w14:textFill>
                    </w:rPr>
                    <w:t>名称</w:t>
                  </w:r>
                </w:p>
              </w:tc>
              <w:tc>
                <w:tcPr>
                  <w:tcW w:w="2909" w:type="dxa"/>
                  <w:vAlign w:val="center"/>
                </w:tcPr>
                <w:p w14:paraId="10EC71F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政策</w:t>
                  </w:r>
                  <w:r>
                    <w:rPr>
                      <w:rFonts w:hint="default" w:ascii="Times New Roman" w:hAnsi="Times New Roman" w:eastAsia="宋体" w:cs="Times New Roman"/>
                      <w:color w:val="000000" w:themeColor="text1"/>
                      <w:lang w:eastAsia="en-US"/>
                      <w14:textFill>
                        <w14:solidFill>
                          <w14:schemeClr w14:val="tx1"/>
                        </w14:solidFill>
                      </w14:textFill>
                    </w:rPr>
                    <w:t>要求</w:t>
                  </w:r>
                </w:p>
              </w:tc>
              <w:tc>
                <w:tcPr>
                  <w:tcW w:w="2344" w:type="dxa"/>
                  <w:vAlign w:val="center"/>
                </w:tcPr>
                <w:p w14:paraId="32B7BF0A">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本项目情况</w:t>
                  </w:r>
                </w:p>
              </w:tc>
              <w:tc>
                <w:tcPr>
                  <w:tcW w:w="789" w:type="dxa"/>
                  <w:vAlign w:val="center"/>
                </w:tcPr>
                <w:p w14:paraId="6B8A8AA2">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符合性</w:t>
                  </w:r>
                </w:p>
              </w:tc>
            </w:tr>
            <w:tr w14:paraId="2CBD5AD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1697" w:type="dxa"/>
                  <w:vMerge w:val="restart"/>
                  <w:vAlign w:val="center"/>
                </w:tcPr>
                <w:p w14:paraId="405E8C1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《减污降碳协同增效实施方案》（环综合〔2022〕42号）</w:t>
                  </w:r>
                </w:p>
              </w:tc>
              <w:tc>
                <w:tcPr>
                  <w:tcW w:w="2909" w:type="dxa"/>
                  <w:vAlign w:val="center"/>
                </w:tcPr>
                <w:p w14:paraId="6FD1F031">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实施绿色制造工程，推广绿色设计，探索产品设计、生产工艺、产品分销以及回收处置利用全产业链绿色化，加快工业领域源头减排、过程控制、末端治理、综合利用全流程绿色发展。</w:t>
                  </w:r>
                </w:p>
              </w:tc>
              <w:tc>
                <w:tcPr>
                  <w:tcW w:w="2344" w:type="dxa"/>
                  <w:vMerge w:val="restart"/>
                  <w:vAlign w:val="center"/>
                </w:tcPr>
                <w:p w14:paraId="0DCCCE1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eastAsia="宋体" w:cs="Times New Roman"/>
                      <w:color w:val="000000" w:themeColor="text1"/>
                      <w:lang w:eastAsia="zh-CN"/>
                      <w14:textFill>
                        <w14:solidFill>
                          <w14:schemeClr w14:val="tx1"/>
                        </w14:solidFill>
                      </w14:textFill>
                    </w:rPr>
                    <w:t>为</w:t>
                  </w:r>
                  <w:r>
                    <w:rPr>
                      <w:rFonts w:hint="eastAsia" w:cs="Times New Roman"/>
                      <w:color w:val="000000" w:themeColor="text1"/>
                      <w:lang w:val="en-US" w:eastAsia="zh-CN"/>
                      <w14:textFill>
                        <w14:solidFill>
                          <w14:schemeClr w14:val="tx1"/>
                        </w14:solidFill>
                      </w14:textFill>
                    </w:rPr>
                    <w:t>现有</w:t>
                  </w:r>
                  <w:r>
                    <w:rPr>
                      <w:rFonts w:hint="default" w:ascii="Times New Roman" w:hAnsi="Times New Roman" w:eastAsia="宋体" w:cs="Times New Roman"/>
                      <w:color w:val="000000" w:themeColor="text1"/>
                      <w:lang w:eastAsia="zh-CN"/>
                      <w14:textFill>
                        <w14:solidFill>
                          <w14:schemeClr w14:val="tx1"/>
                        </w14:solidFill>
                      </w14:textFill>
                    </w:rPr>
                    <w:t>工艺废气中的CO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回收</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属于工业污染源头的CO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减排工程（对一期MEDA吸附CO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后解析直排废气的二氧化碳回收），属于企业绿色发展的重要环节；本项目采用物理工艺回收废气中的CO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，不新增污染物负荷，不产生二次污染，总体属于较为先进的降碳工艺，助力企业</w:t>
                  </w:r>
                  <w:r>
                    <w:rPr>
                      <w:rFonts w:hint="default" w:ascii="Times New Roman" w:hAnsi="Times New Roman" w:eastAsia="宋体" w:cs="Times New Roman"/>
                      <w:color w:val="000000" w:themeColor="text1"/>
                      <w:lang w:eastAsia="zh-CN"/>
                      <w14:textFill>
                        <w14:solidFill>
                          <w14:schemeClr w14:val="tx1"/>
                        </w14:solidFill>
                      </w14:textFill>
                    </w:rPr>
                    <w:t>碳排放均达到行业先进水平</w:t>
                  </w:r>
                  <w:r>
                    <w:rPr>
                      <w:rFonts w:hint="eastAsia" w:cs="Times New Roman"/>
                      <w:color w:val="000000" w:themeColor="text1"/>
                      <w:lang w:eastAsia="zh-CN"/>
                      <w14:textFill>
                        <w14:solidFill>
                          <w14:schemeClr w14:val="tx1"/>
                        </w14:solidFill>
                      </w14:textFill>
                    </w:rPr>
                    <w:t>。</w:t>
                  </w:r>
                </w:p>
              </w:tc>
              <w:tc>
                <w:tcPr>
                  <w:tcW w:w="789" w:type="dxa"/>
                  <w:vAlign w:val="center"/>
                </w:tcPr>
                <w:p w14:paraId="6D641D1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45B9957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1697" w:type="dxa"/>
                  <w:vMerge w:val="continue"/>
                  <w:vAlign w:val="center"/>
                </w:tcPr>
                <w:p w14:paraId="3AE3DDA7">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2909" w:type="dxa"/>
                  <w:vAlign w:val="center"/>
                </w:tcPr>
                <w:p w14:paraId="21C6E169">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鼓励重点行业企业探索采用多污染物和温室气体协同控制技术工艺，开展协同创新。推动碳捕集、利用与封存技术在工业领域应用。</w:t>
                  </w:r>
                </w:p>
              </w:tc>
              <w:tc>
                <w:tcPr>
                  <w:tcW w:w="2344" w:type="dxa"/>
                  <w:vMerge w:val="continue"/>
                  <w:vAlign w:val="center"/>
                </w:tcPr>
                <w:p w14:paraId="07BF5D4D">
                  <w:pPr>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89" w:type="dxa"/>
                  <w:vAlign w:val="center"/>
                </w:tcPr>
                <w:p w14:paraId="6FC15D7F">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74AFA3F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60" w:hRule="atLeast"/>
                <w:jc w:val="center"/>
              </w:trPr>
              <w:tc>
                <w:tcPr>
                  <w:tcW w:w="1697" w:type="dxa"/>
                  <w:vMerge w:val="continue"/>
                  <w:tcBorders>
                    <w:bottom w:val="single" w:color="auto" w:sz="4" w:space="0"/>
                  </w:tcBorders>
                  <w:vAlign w:val="center"/>
                </w:tcPr>
                <w:p w14:paraId="60242350">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2909" w:type="dxa"/>
                  <w:vAlign w:val="center"/>
                </w:tcPr>
                <w:p w14:paraId="1A6D1998">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通过政策激励、提升标准、鼓励先进等手段，推动重点行业企业开展减污降碳试点工作鼓励企业采取工艺改进、能源替代、节能提效、综合治理等措施实现生产过程中大气、水和固体废物等多种污染物以及温室气体大幅减排，显著提升环境治理绩效，实现污染物和碳排放均达到行业先进水平</w:t>
                  </w:r>
                </w:p>
              </w:tc>
              <w:tc>
                <w:tcPr>
                  <w:tcW w:w="2344" w:type="dxa"/>
                  <w:vMerge w:val="continue"/>
                  <w:vAlign w:val="center"/>
                </w:tcPr>
                <w:p w14:paraId="3B615CF8">
                  <w:pPr>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789" w:type="dxa"/>
                  <w:vAlign w:val="center"/>
                </w:tcPr>
                <w:p w14:paraId="10E6920A">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0C305C6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97" w:type="dxa"/>
                  <w:tcBorders>
                    <w:top w:val="single" w:color="auto" w:sz="4" w:space="0"/>
                    <w:bottom w:val="single" w:color="auto" w:sz="4" w:space="0"/>
                  </w:tcBorders>
                  <w:vAlign w:val="center"/>
                </w:tcPr>
                <w:p w14:paraId="7762FE8D">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en-US"/>
                      <w14:textFill>
                        <w14:solidFill>
                          <w14:schemeClr w14:val="tx1"/>
                        </w14:solidFill>
                      </w14:textFill>
                    </w:rPr>
                    <w:t>国家应对气候变化标准体系建设方案》</w:t>
                  </w:r>
                  <w:r>
                    <w:rPr>
                      <w:rFonts w:hint="eastAsia" w:cs="Times New Roman"/>
                      <w:color w:val="000000" w:themeColor="text1"/>
                      <w:lang w:eastAsia="zh-CN"/>
                      <w14:textFill>
                        <w14:solidFill>
                          <w14:schemeClr w14:val="tx1"/>
                        </w14:solidFill>
                      </w14:textFill>
                    </w:rPr>
                    <w:t>（环气候〔2025〕40号）</w:t>
                  </w:r>
                </w:p>
              </w:tc>
              <w:tc>
                <w:tcPr>
                  <w:tcW w:w="2909" w:type="dxa"/>
                  <w:vAlign w:val="center"/>
                </w:tcPr>
                <w:p w14:paraId="24F5A176">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加快推动形成减污降碳协同管理的环境影响评价标准体系，包括规划环境影响评价技术导则、建设项目环境影响评价技术导则和重点行业、重点领域温室气体排放环境影响评价技术指南等。</w:t>
                  </w:r>
                </w:p>
              </w:tc>
              <w:tc>
                <w:tcPr>
                  <w:tcW w:w="2344" w:type="dxa"/>
                  <w:tcBorders>
                    <w:bottom w:val="single" w:color="auto" w:sz="4" w:space="0"/>
                  </w:tcBorders>
                  <w:vAlign w:val="center"/>
                </w:tcPr>
                <w:p w14:paraId="1FBA455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本项目所在行业虽然尚未建立</w:t>
                  </w:r>
                  <w:r>
                    <w:rPr>
                      <w:rFonts w:hint="default" w:ascii="Times New Roman" w:hAnsi="Times New Roman" w:eastAsia="宋体" w:cs="Times New Roman"/>
                      <w:color w:val="000000" w:themeColor="text1"/>
                      <w:lang w:eastAsia="zh-CN"/>
                      <w14:textFill>
                        <w14:solidFill>
                          <w14:schemeClr w14:val="tx1"/>
                        </w14:solidFill>
                      </w14:textFill>
                    </w:rPr>
                    <w:t>减污降碳协同管理的环境影响评价标准体系</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但本项目本身属于直排含CO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废气的碳回收，对所在区域应对气候变化作出积极贡献。</w:t>
                  </w:r>
                </w:p>
              </w:tc>
              <w:tc>
                <w:tcPr>
                  <w:tcW w:w="789" w:type="dxa"/>
                  <w:vAlign w:val="center"/>
                </w:tcPr>
                <w:p w14:paraId="0F02CCA4">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r w14:paraId="34AC036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436" w:hRule="atLeast"/>
                <w:jc w:val="center"/>
              </w:trPr>
              <w:tc>
                <w:tcPr>
                  <w:tcW w:w="1697" w:type="dxa"/>
                  <w:tcBorders>
                    <w:top w:val="single" w:color="auto" w:sz="4" w:space="0"/>
                    <w:bottom w:val="single" w:color="auto" w:sz="4" w:space="0"/>
                  </w:tcBorders>
                  <w:vAlign w:val="center"/>
                </w:tcPr>
                <w:p w14:paraId="17F45910">
                  <w:pPr>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《中国石油化工企业温室气体排放</w:t>
                  </w:r>
                </w:p>
                <w:p w14:paraId="35887B91">
                  <w:pPr>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核算方法与报告指南》</w:t>
                  </w:r>
                </w:p>
              </w:tc>
              <w:tc>
                <w:tcPr>
                  <w:tcW w:w="2909" w:type="dxa"/>
                  <w:vAlign w:val="center"/>
                </w:tcPr>
                <w:p w14:paraId="0698490E">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工业生产过程C</w:t>
                  </w:r>
                  <w:r>
                    <w:rPr>
                      <w:rFonts w:hint="eastAsia" w:cs="Times New Roman"/>
                      <w:color w:val="000000" w:themeColor="text1"/>
                      <w:lang w:val="en-US" w:eastAsia="zh-CN"/>
                      <w14:textFill>
                        <w14:solidFill>
                          <w14:schemeClr w14:val="tx1"/>
                        </w14:solidFill>
                      </w14:textFill>
                    </w:rPr>
                    <w:t>O</w:t>
                  </w:r>
                  <w:r>
                    <w:rPr>
                      <w:rFonts w:hint="eastAsia"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排放</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报告主体在石油炼制与石油化工环节的工业生产过程CO</w:t>
                  </w:r>
                  <w:r>
                    <w:rPr>
                      <w:rFonts w:hint="eastAsia"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排放按装置分别核算</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催化裂化装置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催化重整装置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其它生产装置催化剂烧焦再生</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制氢装置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焦化装置，石油焦煅烧装置，氧化沥青装置，乙烯裂解装置，</w:t>
                  </w:r>
                  <w:r>
                    <w:rPr>
                      <w:rFonts w:hint="default" w:ascii="Times New Roman" w:hAnsi="Times New Roman" w:eastAsia="宋体" w:cs="Times New Roman"/>
                      <w:b/>
                      <w:bCs/>
                      <w:color w:val="000000" w:themeColor="text1"/>
                      <w:u w:val="single"/>
                      <w:lang w:eastAsia="zh-CN"/>
                      <w14:textFill>
                        <w14:solidFill>
                          <w14:schemeClr w14:val="tx1"/>
                        </w14:solidFill>
                      </w14:textFill>
                    </w:rPr>
                    <w:t>乙二醇</w:t>
                  </w:r>
                  <w:r>
                    <w:rPr>
                      <w:rFonts w:hint="default" w:ascii="Times New Roman" w:hAnsi="Times New Roman" w:eastAsia="宋体" w:cs="Times New Roman"/>
                      <w:color w:val="000000" w:themeColor="text1"/>
                      <w:lang w:eastAsia="zh-CN"/>
                      <w14:textFill>
                        <w14:solidFill>
                          <w14:schemeClr w14:val="tx1"/>
                        </w14:solidFill>
                      </w14:textFill>
                    </w:rPr>
                    <w:t>/环氧乙烷</w:t>
                  </w:r>
                  <w:r>
                    <w:rPr>
                      <w:rFonts w:hint="eastAsia" w:cs="Times New Roman"/>
                      <w:color w:val="000000" w:themeColor="text1"/>
                      <w:lang w:val="en-US" w:eastAsia="zh-CN"/>
                      <w14:textFill>
                        <w14:solidFill>
                          <w14:schemeClr w14:val="tx1"/>
                        </w14:solidFill>
                      </w14:textFill>
                    </w:rPr>
                    <w:t>生</w:t>
                  </w:r>
                  <w:r>
                    <w:rPr>
                      <w:rFonts w:hint="default" w:ascii="Times New Roman" w:hAnsi="Times New Roman" w:eastAsia="宋体" w:cs="Times New Roman"/>
                      <w:color w:val="000000" w:themeColor="text1"/>
                      <w:lang w:eastAsia="zh-CN"/>
                      <w14:textFill>
                        <w14:solidFill>
                          <w14:schemeClr w14:val="tx1"/>
                        </w14:solidFill>
                      </w14:textFill>
                    </w:rPr>
                    <w:t>产装置</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其它产品生产装置等。报告主体的工业生产过程CO</w:t>
                  </w:r>
                  <w:r>
                    <w:rPr>
                      <w:rFonts w:hint="eastAsia"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排放量应等于各个装置的工业生产过程CO</w:t>
                  </w:r>
                  <w:r>
                    <w:rPr>
                      <w:rFonts w:hint="eastAsia" w:cs="Times New Roman"/>
                      <w:color w:val="000000" w:themeColor="text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排放之和</w:t>
                  </w:r>
                </w:p>
              </w:tc>
              <w:tc>
                <w:tcPr>
                  <w:tcW w:w="2344" w:type="dxa"/>
                  <w:tcBorders>
                    <w:top w:val="single" w:color="auto" w:sz="4" w:space="0"/>
                    <w:bottom w:val="single" w:color="auto" w:sz="4" w:space="0"/>
                  </w:tcBorders>
                  <w:vAlign w:val="center"/>
                </w:tcPr>
                <w:p w14:paraId="143C798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本项目属于乙二醇生产装置净化尾气中CO2的物理回收，为企业下一步编制温室气体排放报告具有指导意义。</w:t>
                  </w:r>
                </w:p>
              </w:tc>
              <w:tc>
                <w:tcPr>
                  <w:tcW w:w="789" w:type="dxa"/>
                  <w:vAlign w:val="center"/>
                </w:tcPr>
                <w:p w14:paraId="3D51EDDE">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符合</w:t>
                  </w:r>
                </w:p>
              </w:tc>
            </w:tr>
          </w:tbl>
          <w:p w14:paraId="0005856B">
            <w:pPr>
              <w:pStyle w:val="476"/>
              <w:spacing w:line="360" w:lineRule="auto"/>
              <w:ind w:firstLine="482"/>
              <w:rPr>
                <w:rFonts w:hint="eastAsia" w:cs="Times New Roman"/>
                <w:b/>
                <w:bCs/>
                <w:color w:val="000000" w:themeColor="text1"/>
                <w:lang w:val="en-US" w:eastAsia="zh-CN"/>
                <w14:textFill>
                  <w14:solidFill>
                    <w14:schemeClr w14:val="tx1"/>
                  </w14:solidFill>
                </w14:textFill>
              </w:rPr>
            </w:pPr>
          </w:p>
          <w:p w14:paraId="154DEC77">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8</w:t>
            </w:r>
            <w:r>
              <w:rPr>
                <w:rFonts w:hint="default" w:ascii="Times New Roman" w:hAnsi="Times New Roman" w:eastAsia="宋体" w:cs="Times New Roman"/>
                <w:b/>
                <w:bCs/>
                <w:color w:val="000000" w:themeColor="text1"/>
                <w14:textFill>
                  <w14:solidFill>
                    <w14:schemeClr w14:val="tx1"/>
                  </w14:solidFill>
                </w14:textFill>
              </w:rPr>
              <w:t>、与长江经济带相关政策的符合性分析</w:t>
            </w:r>
          </w:p>
          <w:p w14:paraId="2EBCE4C0">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（1）与《长江经济带生态环境保护规划》符合性分析</w:t>
            </w:r>
          </w:p>
          <w:p w14:paraId="0CF3EEBB">
            <w:pPr>
              <w:pStyle w:val="476"/>
              <w:spacing w:line="360" w:lineRule="auto"/>
              <w:ind w:firstLine="48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项目与《长江经济带生态环境保护规划》符合性分析见下表。</w:t>
            </w:r>
          </w:p>
          <w:p w14:paraId="231EB32C">
            <w:pPr>
              <w:pStyle w:val="476"/>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14:textFill>
                  <w14:solidFill>
                    <w14:schemeClr w14:val="tx1"/>
                  </w14:solidFill>
                </w14:textFill>
              </w:rPr>
              <w:t xml:space="preserve"> 与《长江经济带生态环境保护规划》总体要求符合性分析</w:t>
            </w:r>
          </w:p>
          <w:tbl>
            <w:tblPr>
              <w:tblStyle w:val="474"/>
              <w:tblW w:w="777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6052"/>
              <w:gridCol w:w="1727"/>
            </w:tblGrid>
            <w:tr w14:paraId="34D96A5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797E9E17">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内容</w:t>
                  </w:r>
                </w:p>
              </w:tc>
              <w:tc>
                <w:tcPr>
                  <w:tcW w:w="1727" w:type="dxa"/>
                  <w:vAlign w:val="center"/>
                </w:tcPr>
                <w:p w14:paraId="00EFD0F0">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建设项目符合情况</w:t>
                  </w:r>
                </w:p>
              </w:tc>
            </w:tr>
            <w:tr w14:paraId="1037DB2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81B3B12">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二、指导思想、原则和目标</w:t>
                  </w:r>
                </w:p>
              </w:tc>
              <w:tc>
                <w:tcPr>
                  <w:tcW w:w="1727" w:type="dxa"/>
                  <w:vAlign w:val="center"/>
                </w:tcPr>
                <w:p w14:paraId="20D360C1">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w:t>
                  </w:r>
                </w:p>
              </w:tc>
            </w:tr>
            <w:tr w14:paraId="7A1C824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6BFEDE0">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（四）分区保护重点</w:t>
                  </w:r>
                  <w:r>
                    <w:rPr>
                      <w:rFonts w:hint="default" w:ascii="Times New Roman" w:hAnsi="Times New Roman" w:eastAsia="宋体" w:cs="Times New Roman"/>
                      <w:color w:val="000000" w:themeColor="text1"/>
                      <w:sz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lang w:eastAsia="zh-CN"/>
                      <w14:textFill>
                        <w14:solidFill>
                          <w14:schemeClr w14:val="tx1"/>
                        </w14:solidFill>
                      </w14:textFill>
                    </w:rPr>
                    <w:t>上游区包括重庆、四川、贵州、云南等省市，区域水土流失、荒漠化严重，矿产资源开发等带来的环境污染和生态破坏问题突出，大城市及周边污染形势严峻。应重点加强水源涵养、水土保持、生物多样性维护和高原湖泊湿地保护，强化自然保护区建设和管护，合理开发利用水资源，禁止煤炭、有色金属、磷矿等资源的无序开发，加大湖库、湿地等敏感区的保护力度，加强云贵川喀斯特地区、金沙江中下游、嘉陵江流域、沱江流域、乌江中上游、三峡库区等区域水土流失治理与生态恢复，推进成渝城市群环境质量持续改善。</w:t>
                  </w:r>
                </w:p>
              </w:tc>
              <w:tc>
                <w:tcPr>
                  <w:tcW w:w="1727" w:type="dxa"/>
                  <w:vAlign w:val="center"/>
                </w:tcPr>
                <w:p w14:paraId="651F0B70">
                  <w:pPr>
                    <w:pStyle w:val="108"/>
                    <w:spacing w:before="24" w:after="24"/>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符合。项目属现有项目的尾气回收技改，位于四川达州普光经济开发区普光功能区（达州普光化工园区）范围内，符合园区规划和规划环评要求。</w:t>
                  </w:r>
                </w:p>
              </w:tc>
            </w:tr>
            <w:tr w14:paraId="670AB81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C22639D">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三、确立水资源利用上线，妥善处理江河湖库关系</w:t>
                  </w:r>
                </w:p>
              </w:tc>
              <w:tc>
                <w:tcPr>
                  <w:tcW w:w="1727" w:type="dxa"/>
                  <w:vAlign w:val="center"/>
                </w:tcPr>
                <w:p w14:paraId="44722833">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w:t>
                  </w:r>
                </w:p>
              </w:tc>
            </w:tr>
            <w:tr w14:paraId="358044A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CB26B5E">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（一）实行总量强度双控推进重点领域节水。</w:t>
                  </w:r>
                </w:p>
                <w:p w14:paraId="24F4FEAD">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大力推进农业、工业、城镇节水，建设节水型社会。强化农业节水，优化农业种植结构，加快实施大中型灌区节水改造和南方节水减排区域规模化高效节水灌溉行动。推广和普及田间节水技术，开辟抗旱水源，科学调度抗旱用水。到2020年，农田灌溉水有效利用系数达到0.529以上。强化工业节水，以南京、武汉、长沙、重庆、成都等城市为重点，实施高耗水行业生产工艺节水改造，降低单位产品用水量。完善电力、钢铁、造纸、石化、化工、印染、化纤、食品发酵等高耗水行业省级用水定额。强化城镇节水，以宾馆、饭店、医院等为重点，全面推进城市节水，加快节水型服务业建设。</w:t>
                  </w:r>
                </w:p>
              </w:tc>
              <w:tc>
                <w:tcPr>
                  <w:tcW w:w="1727" w:type="dxa"/>
                  <w:vAlign w:val="center"/>
                </w:tcPr>
                <w:p w14:paraId="227CE610">
                  <w:pPr>
                    <w:pStyle w:val="108"/>
                    <w:spacing w:before="24" w:after="24"/>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符合。项目生产过程中涉及少量洗管废水，</w:t>
                  </w:r>
                  <w:r>
                    <w:rPr>
                      <w:rFonts w:hint="eastAsia" w:ascii="Times New Roman" w:hAnsi="Times New Roman" w:cs="Times New Roman"/>
                      <w:color w:val="000000" w:themeColor="text1"/>
                      <w:sz w:val="21"/>
                      <w:lang w:val="en-US" w:eastAsia="zh-CN"/>
                      <w14:textFill>
                        <w14:solidFill>
                          <w14:schemeClr w14:val="tx1"/>
                        </w14:solidFill>
                      </w14:textFill>
                    </w:rPr>
                    <w:t>全部排入回用水站处理</w:t>
                  </w:r>
                  <w:r>
                    <w:rPr>
                      <w:rFonts w:hint="default" w:ascii="Times New Roman" w:hAnsi="Times New Roman" w:eastAsia="宋体" w:cs="Times New Roman"/>
                      <w:color w:val="000000" w:themeColor="text1"/>
                      <w:sz w:val="21"/>
                      <w:lang w:eastAsia="zh-CN"/>
                      <w14:textFill>
                        <w14:solidFill>
                          <w14:schemeClr w14:val="tx1"/>
                        </w14:solidFill>
                      </w14:textFill>
                    </w:rPr>
                    <w:t>。</w:t>
                  </w:r>
                </w:p>
              </w:tc>
            </w:tr>
            <w:tr w14:paraId="66794F4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018D2757">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五、坚守环境质量底线，推进流域水污染统防统治</w:t>
                  </w:r>
                </w:p>
              </w:tc>
              <w:tc>
                <w:tcPr>
                  <w:tcW w:w="1727" w:type="dxa"/>
                  <w:vAlign w:val="center"/>
                </w:tcPr>
                <w:p w14:paraId="15A0D7CB">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w:t>
                  </w:r>
                </w:p>
              </w:tc>
            </w:tr>
            <w:tr w14:paraId="24C25F8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1BF50485">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（四）综合控制磷污染源治理岷江、沱江流域总磷污染。</w:t>
                  </w:r>
                  <w:r>
                    <w:rPr>
                      <w:rFonts w:hint="default" w:ascii="Times New Roman" w:hAnsi="Times New Roman" w:eastAsia="宋体" w:cs="Times New Roman"/>
                      <w:color w:val="000000" w:themeColor="text1"/>
                      <w:sz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lang w:eastAsia="zh-CN"/>
                      <w14:textFill>
                        <w14:solidFill>
                          <w14:schemeClr w14:val="tx1"/>
                        </w14:solidFill>
                      </w14:textFill>
                    </w:rPr>
                    <w:t>以成都、乐山、眉山、绵阳、德阳等为重点，实施总磷污染综合治理。开展区域内涉磷小企业专项整治，加强磷化工等涉磷企业废水排放监管，执行水污染物特别排放限值。实施总磷超标控制单元新建涉磷项目倍量削减替代。关闭生产能力小于50万吨/年的小磷矿，开展磷石膏、磷渣仓储标准化管理，推进磷石膏综合利用。提升成都、泸州、资阳、绵阳、自贡城镇污水处理设施总磷削减能力。加强阿坝州理县、凉山州美姑县等地区污水处理设施建设。重点治理成都、眉山、德阳、自贡等地区规模化畜禽养殖场（小区）。</w:t>
                  </w:r>
                </w:p>
              </w:tc>
              <w:tc>
                <w:tcPr>
                  <w:tcW w:w="1727" w:type="dxa"/>
                  <w:vAlign w:val="center"/>
                </w:tcPr>
                <w:p w14:paraId="4918801F">
                  <w:pPr>
                    <w:pStyle w:val="108"/>
                    <w:spacing w:before="24" w:after="24"/>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符合。本项目未涉及岷江、沱江流域，位于嘉陵江流域。</w:t>
                  </w:r>
                </w:p>
              </w:tc>
            </w:tr>
            <w:tr w14:paraId="11EA440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E7ED0AE">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六、全面推进环境污染治理，建设宜居城乡环境</w:t>
                  </w:r>
                </w:p>
              </w:tc>
              <w:tc>
                <w:tcPr>
                  <w:tcW w:w="1727" w:type="dxa"/>
                  <w:vAlign w:val="center"/>
                </w:tcPr>
                <w:p w14:paraId="3CC5942B">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w:t>
                  </w:r>
                </w:p>
              </w:tc>
            </w:tr>
            <w:tr w14:paraId="12FED84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7AC6903C">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（一）改善城市空气质量实施城市空气质量达标计划。</w:t>
                  </w:r>
                  <w:r>
                    <w:rPr>
                      <w:rFonts w:hint="default" w:ascii="Times New Roman" w:hAnsi="Times New Roman" w:eastAsia="宋体" w:cs="Times New Roman"/>
                      <w:color w:val="000000" w:themeColor="text1"/>
                      <w:sz w:val="21"/>
                      <w:lang w:eastAsia="zh-CN"/>
                      <w14:textFill>
                        <w14:solidFill>
                          <w14:schemeClr w14:val="tx1"/>
                        </w14:solidFill>
                      </w14:textFill>
                    </w:rPr>
                    <w:br w:type="textWrapping"/>
                  </w:r>
                  <w:r>
                    <w:rPr>
                      <w:rFonts w:hint="default" w:ascii="Times New Roman" w:hAnsi="Times New Roman" w:eastAsia="宋体" w:cs="Times New Roman"/>
                      <w:color w:val="000000" w:themeColor="text1"/>
                      <w:sz w:val="21"/>
                      <w:lang w:eastAsia="zh-CN"/>
                      <w14:textFill>
                        <w14:solidFill>
                          <w14:schemeClr w14:val="tx1"/>
                        </w14:solidFill>
                      </w14:textFill>
                    </w:rPr>
                    <w:t>全面推进长江经济带126个地级及以上城市空气质量限期达标工作，已达标城市空气质量进一步巩固，未达标城市要制定并实施分阶段达标计划。完善大气污染物排放总量控制制度，加强二氧化硫、氮氧化物、烟粉尘、挥发性有机物等主要污染物综合防治。地级及以上城市建成区基本淘汰10蒸吨以下燃煤锅炉，完成35蒸吨及以上燃煤锅炉脱硫脱硝除尘改造、钢铁行业烧结机脱硫改造、水泥行业脱硝改造、平板玻璃天然气燃料替代及脱硝改造。实施燃煤电厂超低排放改造工程和清洁柴油机行动计划。实施石化、化工、工业涂装、包装印刷、油品储运销、机动车等重点行业挥发性有机物综合整治工程。强化机动车尾气治理，优先发展公共交通，鼓励发展天然气汽车，加快推广使用新能源汽车。</w:t>
                  </w:r>
                </w:p>
              </w:tc>
              <w:tc>
                <w:tcPr>
                  <w:tcW w:w="1727" w:type="dxa"/>
                  <w:vAlign w:val="center"/>
                </w:tcPr>
                <w:p w14:paraId="4DE13D09">
                  <w:pPr>
                    <w:pStyle w:val="108"/>
                    <w:spacing w:before="24" w:after="24"/>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符合，本项目不涉及燃煤、燃气锅炉。</w:t>
                  </w:r>
                </w:p>
              </w:tc>
            </w:tr>
            <w:tr w14:paraId="0D9EAB7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4A8986A7">
                  <w:pPr>
                    <w:pStyle w:val="108"/>
                    <w:spacing w:before="24" w:after="24"/>
                    <w:jc w:val="both"/>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七、强化突发环境事件预防应对，严格管控环境风险</w:t>
                  </w:r>
                </w:p>
              </w:tc>
              <w:tc>
                <w:tcPr>
                  <w:tcW w:w="1727" w:type="dxa"/>
                  <w:vAlign w:val="center"/>
                </w:tcPr>
                <w:p w14:paraId="56EDFB8D">
                  <w:pPr>
                    <w:pStyle w:val="108"/>
                    <w:spacing w:before="24" w:after="24"/>
                    <w:rPr>
                      <w:rFonts w:hint="default" w:ascii="Times New Roman" w:hAnsi="Times New Roman" w:eastAsia="宋体" w:cs="Times New Roman"/>
                      <w:color w:val="000000" w:themeColor="text1"/>
                      <w:sz w:val="21"/>
                      <w:lang w:eastAsia="en-US"/>
                      <w14:textFill>
                        <w14:solidFill>
                          <w14:schemeClr w14:val="tx1"/>
                        </w14:solidFill>
                      </w14:textFill>
                    </w:rPr>
                  </w:pPr>
                  <w:r>
                    <w:rPr>
                      <w:rFonts w:hint="default" w:ascii="Times New Roman" w:hAnsi="Times New Roman" w:eastAsia="宋体" w:cs="Times New Roman"/>
                      <w:color w:val="000000" w:themeColor="text1"/>
                      <w:sz w:val="21"/>
                      <w:lang w:eastAsia="en-US"/>
                      <w14:textFill>
                        <w14:solidFill>
                          <w14:schemeClr w14:val="tx1"/>
                        </w14:solidFill>
                      </w14:textFill>
                    </w:rPr>
                    <w:t>/</w:t>
                  </w:r>
                </w:p>
              </w:tc>
            </w:tr>
            <w:tr w14:paraId="2E45A55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6052" w:type="dxa"/>
                  <w:vAlign w:val="center"/>
                </w:tcPr>
                <w:p w14:paraId="1C44C9D8">
                  <w:pPr>
                    <w:pStyle w:val="108"/>
                    <w:spacing w:before="24" w:after="24"/>
                    <w:jc w:val="left"/>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一）严格环境风险源头防控加强环境风险评估。强化企业环境风险评估，2018年底前，完成沿江石化、化工、医药、纺织、印染、化纤、危化品和石油类仓储、涉重金属和危险废物等重点企业环境风险评估，为实施环境安全隐患综合整治奠定基础。开展干流、主要支流及湖库等累积性环境风险评估，划定高风险区域，从严实施环境风险防控措施。开展化工园区、饮用水水源、重要生态功能区环境风险评估试点。2017年，在重庆等地开展风险评估综合试点示范。沿江重大环境风险企业应投保环境污染责任保险。强化工业园区环境风险管控。实施技术、工艺、设备等生态化、循环化改造，加快布局分散的企业向园区集中，按要求设置生态隔离带，建设相应的防护工程。选择典型化工园区开展环境风险预警和防控体系建设试点示范。</w:t>
                  </w:r>
                </w:p>
              </w:tc>
              <w:tc>
                <w:tcPr>
                  <w:tcW w:w="1727" w:type="dxa"/>
                  <w:vAlign w:val="center"/>
                </w:tcPr>
                <w:p w14:paraId="79D82F2F">
                  <w:pPr>
                    <w:pStyle w:val="108"/>
                    <w:spacing w:before="24" w:after="24"/>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符合。本项目采取了系列风险防控措施和应急预案，同时依托正达凯现有风险防控和应急措施，确保项目风险可控。</w:t>
                  </w:r>
                </w:p>
              </w:tc>
            </w:tr>
          </w:tbl>
          <w:p w14:paraId="1CDC0445">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经分析，项目符合《长江经济带生态环境保护规划》要求。</w:t>
            </w:r>
          </w:p>
          <w:p w14:paraId="112327DF">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（2）与《长江经济带发展负面清单指南（试行，2022年版）》符合性分析</w:t>
            </w:r>
          </w:p>
          <w:p w14:paraId="085B0C79">
            <w:pPr>
              <w:spacing w:line="360" w:lineRule="auto"/>
              <w:ind w:firstLine="480" w:firstLineChars="20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根据《长江经济带发展负面清单指南（试行，2022年版）》，本项目不在负面清单之中，符合性分析见下表。</w:t>
            </w:r>
          </w:p>
          <w:p w14:paraId="5DDEB2D2">
            <w:pPr>
              <w:autoSpaceDE w:val="0"/>
              <w:autoSpaceDN w:val="0"/>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表1-</w:t>
            </w:r>
            <w:r>
              <w:rPr>
                <w:rFonts w:hint="eastAsia" w:cs="Times New Roman"/>
                <w:b/>
                <w:bCs/>
                <w:color w:val="000000" w:themeColor="text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Cs w:val="21"/>
                <w14:textFill>
                  <w14:solidFill>
                    <w14:schemeClr w14:val="tx1"/>
                  </w14:solidFill>
                </w14:textFill>
              </w:rPr>
              <w:t xml:space="preserve">  本项目与《长江经济带发展负面清单指南（试行，2022年版）》符合性分析</w:t>
            </w:r>
          </w:p>
          <w:tbl>
            <w:tblPr>
              <w:tblStyle w:val="49"/>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872"/>
              <w:gridCol w:w="2341"/>
              <w:gridCol w:w="909"/>
            </w:tblGrid>
            <w:tr w14:paraId="4A3A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77" w:type="dxa"/>
                  <w:tcBorders>
                    <w:tl2br w:val="nil"/>
                    <w:tr2bl w:val="nil"/>
                  </w:tcBorders>
                  <w:vAlign w:val="center"/>
                </w:tcPr>
                <w:p w14:paraId="5192CEEB">
                  <w:pPr>
                    <w:pStyle w:val="108"/>
                    <w:spacing w:before="24" w:after="24"/>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序号</w:t>
                  </w:r>
                </w:p>
              </w:tc>
              <w:tc>
                <w:tcPr>
                  <w:tcW w:w="3872" w:type="dxa"/>
                  <w:tcBorders>
                    <w:tl2br w:val="nil"/>
                    <w:tr2bl w:val="nil"/>
                  </w:tcBorders>
                  <w:vAlign w:val="center"/>
                </w:tcPr>
                <w:p w14:paraId="6CEEAF81">
                  <w:pPr>
                    <w:pStyle w:val="108"/>
                    <w:spacing w:before="24" w:after="24"/>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长江经济带发展负面清单内容</w:t>
                  </w:r>
                </w:p>
              </w:tc>
              <w:tc>
                <w:tcPr>
                  <w:tcW w:w="2341" w:type="dxa"/>
                  <w:tcBorders>
                    <w:tl2br w:val="nil"/>
                    <w:tr2bl w:val="nil"/>
                  </w:tcBorders>
                  <w:vAlign w:val="center"/>
                </w:tcPr>
                <w:p w14:paraId="3063114E">
                  <w:pPr>
                    <w:pStyle w:val="108"/>
                    <w:spacing w:before="24" w:after="24"/>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本项目情况</w:t>
                  </w:r>
                </w:p>
              </w:tc>
              <w:tc>
                <w:tcPr>
                  <w:tcW w:w="909" w:type="dxa"/>
                  <w:tcBorders>
                    <w:tl2br w:val="nil"/>
                    <w:tr2bl w:val="nil"/>
                  </w:tcBorders>
                  <w:vAlign w:val="center"/>
                </w:tcPr>
                <w:p w14:paraId="4C5A4C42">
                  <w:pPr>
                    <w:pStyle w:val="108"/>
                    <w:spacing w:before="24" w:after="24"/>
                    <w:rPr>
                      <w:rFonts w:hint="default" w:ascii="Times New Roman" w:hAnsi="Times New Roman" w:eastAsia="宋体" w:cs="Times New Roman"/>
                      <w:b/>
                      <w:bCs/>
                      <w:color w:val="000000" w:themeColor="text1"/>
                      <w:sz w:val="21"/>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w:t>符合性</w:t>
                  </w:r>
                </w:p>
              </w:tc>
            </w:tr>
            <w:tr w14:paraId="0694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77" w:type="dxa"/>
                  <w:tcBorders>
                    <w:tl2br w:val="nil"/>
                    <w:tr2bl w:val="nil"/>
                  </w:tcBorders>
                  <w:vAlign w:val="center"/>
                </w:tcPr>
                <w:p w14:paraId="17A392C9">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w:t>
                  </w:r>
                </w:p>
              </w:tc>
              <w:tc>
                <w:tcPr>
                  <w:tcW w:w="3872" w:type="dxa"/>
                  <w:tcBorders>
                    <w:tl2br w:val="nil"/>
                    <w:tr2bl w:val="nil"/>
                  </w:tcBorders>
                  <w:vAlign w:val="center"/>
                </w:tcPr>
                <w:p w14:paraId="0C1C0B95">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2341" w:type="dxa"/>
                  <w:tcBorders>
                    <w:tl2br w:val="nil"/>
                    <w:tr2bl w:val="nil"/>
                  </w:tcBorders>
                  <w:vAlign w:val="center"/>
                </w:tcPr>
                <w:p w14:paraId="7D2FF65E">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w:t>
                  </w:r>
                  <w:r>
                    <w:rPr>
                      <w:rFonts w:hint="eastAsia" w:ascii="Times New Roman" w:hAnsi="Times New Roman" w:cs="Times New Roman"/>
                      <w:color w:val="000000" w:themeColor="text1"/>
                      <w:sz w:val="21"/>
                      <w:lang w:val="en-US" w:eastAsia="zh-CN"/>
                      <w14:textFill>
                        <w14:solidFill>
                          <w14:schemeClr w14:val="tx1"/>
                        </w14:solidFill>
                      </w14:textFill>
                    </w:rPr>
                    <w:t>属于</w:t>
                  </w:r>
                  <w:r>
                    <w:rPr>
                      <w:rFonts w:hint="default" w:ascii="Times New Roman" w:hAnsi="Times New Roman" w:eastAsia="宋体" w:cs="Times New Roman"/>
                      <w:color w:val="000000" w:themeColor="text1"/>
                      <w:sz w:val="21"/>
                      <w14:textFill>
                        <w14:solidFill>
                          <w14:schemeClr w14:val="tx1"/>
                        </w14:solidFill>
                      </w14:textFill>
                    </w:rPr>
                    <w:t>尾气回收制CO</w:t>
                  </w:r>
                  <w:r>
                    <w:rPr>
                      <w:rFonts w:hint="default" w:ascii="Times New Roman" w:hAnsi="Times New Roman" w:eastAsia="宋体" w:cs="Times New Roman"/>
                      <w:color w:val="000000" w:themeColor="text1"/>
                      <w:sz w:val="21"/>
                      <w:vertAlign w:val="subscript"/>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项目，不属于码头项目。</w:t>
                  </w:r>
                </w:p>
              </w:tc>
              <w:tc>
                <w:tcPr>
                  <w:tcW w:w="909" w:type="dxa"/>
                  <w:tcBorders>
                    <w:tl2br w:val="nil"/>
                    <w:tr2bl w:val="nil"/>
                  </w:tcBorders>
                  <w:vAlign w:val="center"/>
                </w:tcPr>
                <w:p w14:paraId="280197B9">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6E93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677" w:type="dxa"/>
                  <w:tcBorders>
                    <w:tl2br w:val="nil"/>
                    <w:tr2bl w:val="nil"/>
                  </w:tcBorders>
                  <w:vAlign w:val="center"/>
                </w:tcPr>
                <w:p w14:paraId="426E9F34">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2</w:t>
                  </w:r>
                </w:p>
              </w:tc>
              <w:tc>
                <w:tcPr>
                  <w:tcW w:w="3872" w:type="dxa"/>
                  <w:tcBorders>
                    <w:tl2br w:val="nil"/>
                    <w:tr2bl w:val="nil"/>
                  </w:tcBorders>
                  <w:vAlign w:val="center"/>
                </w:tcPr>
                <w:p w14:paraId="38469518">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2341" w:type="dxa"/>
                  <w:tcBorders>
                    <w:tl2br w:val="nil"/>
                    <w:tr2bl w:val="nil"/>
                  </w:tcBorders>
                  <w:vAlign w:val="center"/>
                </w:tcPr>
                <w:p w14:paraId="5E4E4625">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项目区及周边无自然保护区和风景名胜区。</w:t>
                  </w:r>
                </w:p>
              </w:tc>
              <w:tc>
                <w:tcPr>
                  <w:tcW w:w="909" w:type="dxa"/>
                  <w:tcBorders>
                    <w:tl2br w:val="nil"/>
                    <w:tr2bl w:val="nil"/>
                  </w:tcBorders>
                  <w:vAlign w:val="center"/>
                </w:tcPr>
                <w:p w14:paraId="631F7B25">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6C9E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677" w:type="dxa"/>
                  <w:tcBorders>
                    <w:tl2br w:val="nil"/>
                    <w:tr2bl w:val="nil"/>
                  </w:tcBorders>
                  <w:vAlign w:val="center"/>
                </w:tcPr>
                <w:p w14:paraId="1EB90FB7">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3</w:t>
                  </w:r>
                </w:p>
              </w:tc>
              <w:tc>
                <w:tcPr>
                  <w:tcW w:w="3872" w:type="dxa"/>
                  <w:tcBorders>
                    <w:tl2br w:val="nil"/>
                    <w:tr2bl w:val="nil"/>
                  </w:tcBorders>
                  <w:vAlign w:val="center"/>
                </w:tcPr>
                <w:p w14:paraId="429362E2">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41" w:type="dxa"/>
                  <w:tcBorders>
                    <w:tl2br w:val="nil"/>
                    <w:tr2bl w:val="nil"/>
                  </w:tcBorders>
                  <w:vAlign w:val="center"/>
                </w:tcPr>
                <w:p w14:paraId="2732A9B5">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项目区不涉及饮用水源保护区。</w:t>
                  </w:r>
                </w:p>
              </w:tc>
              <w:tc>
                <w:tcPr>
                  <w:tcW w:w="909" w:type="dxa"/>
                  <w:tcBorders>
                    <w:tl2br w:val="nil"/>
                    <w:tr2bl w:val="nil"/>
                  </w:tcBorders>
                  <w:vAlign w:val="center"/>
                </w:tcPr>
                <w:p w14:paraId="1F022725">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0E6B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tcBorders>
                    <w:tl2br w:val="nil"/>
                    <w:tr2bl w:val="nil"/>
                  </w:tcBorders>
                  <w:vAlign w:val="center"/>
                </w:tcPr>
                <w:p w14:paraId="0422C1E2">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4</w:t>
                  </w:r>
                </w:p>
              </w:tc>
              <w:tc>
                <w:tcPr>
                  <w:tcW w:w="3872" w:type="dxa"/>
                  <w:tcBorders>
                    <w:tl2br w:val="nil"/>
                    <w:tr2bl w:val="nil"/>
                  </w:tcBorders>
                  <w:vAlign w:val="center"/>
                </w:tcPr>
                <w:p w14:paraId="3B62B9C5">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禁止在水产种质资源保护区的岸线和河段范围内新建围湖造田、围海造地或填海等投资建设项目。禁止在国家湿地公园的岸线和河段范围内挖沙、采矿，以及任何不符合主体功能定位的投资建设项目。</w:t>
                  </w:r>
                </w:p>
              </w:tc>
              <w:tc>
                <w:tcPr>
                  <w:tcW w:w="2341" w:type="dxa"/>
                  <w:tcBorders>
                    <w:tl2br w:val="nil"/>
                    <w:tr2bl w:val="nil"/>
                  </w:tcBorders>
                  <w:vAlign w:val="center"/>
                </w:tcPr>
                <w:p w14:paraId="638EF621">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项目在现有正达凯建成区内进行技改，不涉及左列禁止建设的范围，不涉及湿地公园等。</w:t>
                  </w:r>
                </w:p>
              </w:tc>
              <w:tc>
                <w:tcPr>
                  <w:tcW w:w="909" w:type="dxa"/>
                  <w:tcBorders>
                    <w:tl2br w:val="nil"/>
                    <w:tr2bl w:val="nil"/>
                  </w:tcBorders>
                  <w:vAlign w:val="center"/>
                </w:tcPr>
                <w:p w14:paraId="5224252E">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468A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jc w:val="center"/>
              </w:trPr>
              <w:tc>
                <w:tcPr>
                  <w:tcW w:w="677" w:type="dxa"/>
                  <w:tcBorders>
                    <w:tl2br w:val="nil"/>
                    <w:tr2bl w:val="nil"/>
                  </w:tcBorders>
                  <w:vAlign w:val="center"/>
                </w:tcPr>
                <w:p w14:paraId="0DE77534">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5</w:t>
                  </w:r>
                </w:p>
              </w:tc>
              <w:tc>
                <w:tcPr>
                  <w:tcW w:w="3872" w:type="dxa"/>
                  <w:tcBorders>
                    <w:tl2br w:val="nil"/>
                    <w:tr2bl w:val="nil"/>
                  </w:tcBorders>
                  <w:vAlign w:val="center"/>
                </w:tcPr>
                <w:p w14:paraId="4A106B73">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41" w:type="dxa"/>
                  <w:tcBorders>
                    <w:tl2br w:val="nil"/>
                    <w:tr2bl w:val="nil"/>
                  </w:tcBorders>
                  <w:vAlign w:val="center"/>
                </w:tcPr>
                <w:p w14:paraId="4919324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项目不涉及利用、占用长江流域河湖岸线；不涉及相关保护区。</w:t>
                  </w:r>
                </w:p>
              </w:tc>
              <w:tc>
                <w:tcPr>
                  <w:tcW w:w="909" w:type="dxa"/>
                  <w:tcBorders>
                    <w:tl2br w:val="nil"/>
                    <w:tr2bl w:val="nil"/>
                  </w:tcBorders>
                  <w:vAlign w:val="center"/>
                </w:tcPr>
                <w:p w14:paraId="249BCE6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48C3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7" w:type="dxa"/>
                  <w:tcBorders>
                    <w:tl2br w:val="nil"/>
                    <w:tr2bl w:val="nil"/>
                  </w:tcBorders>
                  <w:vAlign w:val="center"/>
                </w:tcPr>
                <w:p w14:paraId="6465E70E">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6</w:t>
                  </w:r>
                </w:p>
              </w:tc>
              <w:tc>
                <w:tcPr>
                  <w:tcW w:w="3872" w:type="dxa"/>
                  <w:tcBorders>
                    <w:tl2br w:val="nil"/>
                    <w:tr2bl w:val="nil"/>
                  </w:tcBorders>
                  <w:vAlign w:val="center"/>
                </w:tcPr>
                <w:p w14:paraId="4C391B32">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禁止未经许可在长江干支流及湖泊新设、改设或扩大排污口。</w:t>
                  </w:r>
                </w:p>
              </w:tc>
              <w:tc>
                <w:tcPr>
                  <w:tcW w:w="2341" w:type="dxa"/>
                  <w:tcBorders>
                    <w:tl2br w:val="nil"/>
                    <w:tr2bl w:val="nil"/>
                  </w:tcBorders>
                  <w:vAlign w:val="center"/>
                </w:tcPr>
                <w:p w14:paraId="37B33470">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本项目不涉及在长江干支流及湖泊新设、改设或扩大排污口。</w:t>
                  </w:r>
                </w:p>
              </w:tc>
              <w:tc>
                <w:tcPr>
                  <w:tcW w:w="909" w:type="dxa"/>
                  <w:tcBorders>
                    <w:tl2br w:val="nil"/>
                    <w:tr2bl w:val="nil"/>
                  </w:tcBorders>
                  <w:vAlign w:val="center"/>
                </w:tcPr>
                <w:p w14:paraId="3D26438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798C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77" w:type="dxa"/>
                  <w:tcBorders>
                    <w:tl2br w:val="nil"/>
                    <w:tr2bl w:val="nil"/>
                  </w:tcBorders>
                  <w:vAlign w:val="center"/>
                </w:tcPr>
                <w:p w14:paraId="21850A5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7</w:t>
                  </w:r>
                </w:p>
              </w:tc>
              <w:tc>
                <w:tcPr>
                  <w:tcW w:w="3872" w:type="dxa"/>
                  <w:tcBorders>
                    <w:tl2br w:val="nil"/>
                    <w:tr2bl w:val="nil"/>
                  </w:tcBorders>
                  <w:vAlign w:val="center"/>
                </w:tcPr>
                <w:p w14:paraId="527EED69">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禁止在“一江一口两湖七河”和322个水生生物保护区开展生产性捕捞。</w:t>
                  </w:r>
                </w:p>
              </w:tc>
              <w:tc>
                <w:tcPr>
                  <w:tcW w:w="2341" w:type="dxa"/>
                  <w:tcBorders>
                    <w:tl2br w:val="nil"/>
                    <w:tr2bl w:val="nil"/>
                  </w:tcBorders>
                  <w:vAlign w:val="center"/>
                </w:tcPr>
                <w:p w14:paraId="4F617C20">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本项目不涉及捕捞。</w:t>
                  </w:r>
                </w:p>
              </w:tc>
              <w:tc>
                <w:tcPr>
                  <w:tcW w:w="909" w:type="dxa"/>
                  <w:tcBorders>
                    <w:tl2br w:val="nil"/>
                    <w:tr2bl w:val="nil"/>
                  </w:tcBorders>
                  <w:vAlign w:val="center"/>
                </w:tcPr>
                <w:p w14:paraId="33271AC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3DB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677" w:type="dxa"/>
                  <w:tcBorders>
                    <w:tl2br w:val="nil"/>
                    <w:tr2bl w:val="nil"/>
                  </w:tcBorders>
                  <w:vAlign w:val="center"/>
                </w:tcPr>
                <w:p w14:paraId="3BCDD63B">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8</w:t>
                  </w:r>
                </w:p>
              </w:tc>
              <w:tc>
                <w:tcPr>
                  <w:tcW w:w="3872" w:type="dxa"/>
                  <w:tcBorders>
                    <w:tl2br w:val="nil"/>
                    <w:tr2bl w:val="nil"/>
                  </w:tcBorders>
                  <w:vAlign w:val="center"/>
                </w:tcPr>
                <w:p w14:paraId="7331C32C">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磷石膏库，已提升安全、生态环境保护水平为目的的改建除外。</w:t>
                  </w:r>
                </w:p>
              </w:tc>
              <w:tc>
                <w:tcPr>
                  <w:tcW w:w="2341" w:type="dxa"/>
                  <w:vMerge w:val="restart"/>
                  <w:tcBorders>
                    <w:tl2br w:val="nil"/>
                    <w:tr2bl w:val="nil"/>
                  </w:tcBorders>
                  <w:vAlign w:val="center"/>
                </w:tcPr>
                <w:p w14:paraId="328A0C3E">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项目属于化工行业，选址位于化工园区内，距离后巴河约1.5km</w:t>
                  </w:r>
                  <w:r>
                    <w:rPr>
                      <w:rFonts w:hint="eastAsia" w:ascii="Times New Roman" w:hAnsi="Times New Roman"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项目属于现有正达凯建成厂区内的技改工程。本次项目位于工业园区内，不属于工业类高污染项目。</w:t>
                  </w:r>
                </w:p>
              </w:tc>
              <w:tc>
                <w:tcPr>
                  <w:tcW w:w="909" w:type="dxa"/>
                  <w:tcBorders>
                    <w:tl2br w:val="nil"/>
                    <w:tr2bl w:val="nil"/>
                  </w:tcBorders>
                  <w:vAlign w:val="center"/>
                </w:tcPr>
                <w:p w14:paraId="3AE2A19A">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6DEC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77" w:type="dxa"/>
                  <w:tcBorders>
                    <w:tl2br w:val="nil"/>
                    <w:tr2bl w:val="nil"/>
                  </w:tcBorders>
                  <w:vAlign w:val="center"/>
                </w:tcPr>
                <w:p w14:paraId="29A5446E">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9</w:t>
                  </w:r>
                </w:p>
              </w:tc>
              <w:tc>
                <w:tcPr>
                  <w:tcW w:w="3872" w:type="dxa"/>
                  <w:tcBorders>
                    <w:tl2br w:val="nil"/>
                    <w:tr2bl w:val="nil"/>
                  </w:tcBorders>
                  <w:vAlign w:val="center"/>
                </w:tcPr>
                <w:p w14:paraId="4F3AEC7C">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禁止在合规园区外新建、扩建钢铁、石化、化工、焦化、建材、有色、制浆造纸等高污染项目。</w:t>
                  </w:r>
                </w:p>
              </w:tc>
              <w:tc>
                <w:tcPr>
                  <w:tcW w:w="2341" w:type="dxa"/>
                  <w:vMerge w:val="continue"/>
                  <w:tcBorders>
                    <w:tl2br w:val="nil"/>
                    <w:tr2bl w:val="nil"/>
                  </w:tcBorders>
                  <w:vAlign w:val="center"/>
                </w:tcPr>
                <w:p w14:paraId="06C34787">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p>
              </w:tc>
              <w:tc>
                <w:tcPr>
                  <w:tcW w:w="909" w:type="dxa"/>
                  <w:tcBorders>
                    <w:tl2br w:val="nil"/>
                    <w:tr2bl w:val="nil"/>
                  </w:tcBorders>
                  <w:vAlign w:val="center"/>
                </w:tcPr>
                <w:p w14:paraId="2BE344BF">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2498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77" w:type="dxa"/>
                  <w:tcBorders>
                    <w:tl2br w:val="nil"/>
                    <w:tr2bl w:val="nil"/>
                  </w:tcBorders>
                  <w:vAlign w:val="center"/>
                </w:tcPr>
                <w:p w14:paraId="1B7AC302">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10</w:t>
                  </w:r>
                </w:p>
              </w:tc>
              <w:tc>
                <w:tcPr>
                  <w:tcW w:w="3872" w:type="dxa"/>
                  <w:tcBorders>
                    <w:tl2br w:val="nil"/>
                    <w:tr2bl w:val="nil"/>
                  </w:tcBorders>
                  <w:vAlign w:val="center"/>
                </w:tcPr>
                <w:p w14:paraId="1F651FD7">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禁止新建、扩建不符合国家石化、现代煤化工等产业布局规划的项目。</w:t>
                  </w:r>
                </w:p>
              </w:tc>
              <w:tc>
                <w:tcPr>
                  <w:tcW w:w="2341" w:type="dxa"/>
                  <w:tcBorders>
                    <w:tl2br w:val="nil"/>
                    <w:tr2bl w:val="nil"/>
                  </w:tcBorders>
                  <w:vAlign w:val="center"/>
                </w:tcPr>
                <w:p w14:paraId="3BE77988">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本项目不属于不符合国家石化、现代煤化工产业布局的项目。</w:t>
                  </w:r>
                </w:p>
              </w:tc>
              <w:tc>
                <w:tcPr>
                  <w:tcW w:w="909" w:type="dxa"/>
                  <w:tcBorders>
                    <w:tl2br w:val="nil"/>
                    <w:tr2bl w:val="nil"/>
                  </w:tcBorders>
                  <w:vAlign w:val="center"/>
                </w:tcPr>
                <w:p w14:paraId="24B6E270">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4383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jc w:val="center"/>
              </w:trPr>
              <w:tc>
                <w:tcPr>
                  <w:tcW w:w="677" w:type="dxa"/>
                  <w:tcBorders>
                    <w:tl2br w:val="nil"/>
                    <w:tr2bl w:val="nil"/>
                  </w:tcBorders>
                  <w:vAlign w:val="center"/>
                </w:tcPr>
                <w:p w14:paraId="02EF6E46">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11</w:t>
                  </w:r>
                </w:p>
              </w:tc>
              <w:tc>
                <w:tcPr>
                  <w:tcW w:w="3872" w:type="dxa"/>
                  <w:tcBorders>
                    <w:tl2br w:val="nil"/>
                    <w:tr2bl w:val="nil"/>
                  </w:tcBorders>
                  <w:vAlign w:val="center"/>
                </w:tcPr>
                <w:p w14:paraId="50E8970E">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2341" w:type="dxa"/>
                  <w:tcBorders>
                    <w:tl2br w:val="nil"/>
                    <w:tr2bl w:val="nil"/>
                  </w:tcBorders>
                  <w:vAlign w:val="center"/>
                </w:tcPr>
                <w:p w14:paraId="7F40C406">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本项目不属于落后产能项目，不属于过剩产能行业项目，不属于高耗能高排放项目。</w:t>
                  </w:r>
                </w:p>
              </w:tc>
              <w:tc>
                <w:tcPr>
                  <w:tcW w:w="909" w:type="dxa"/>
                  <w:tcBorders>
                    <w:tl2br w:val="nil"/>
                    <w:tr2bl w:val="nil"/>
                  </w:tcBorders>
                  <w:vAlign w:val="center"/>
                </w:tcPr>
                <w:p w14:paraId="77EAF618">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r w14:paraId="5AB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77" w:type="dxa"/>
                  <w:tcBorders>
                    <w:tl2br w:val="nil"/>
                    <w:tr2bl w:val="nil"/>
                  </w:tcBorders>
                  <w:vAlign w:val="center"/>
                </w:tcPr>
                <w:p w14:paraId="5EA71542">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12</w:t>
                  </w:r>
                </w:p>
              </w:tc>
              <w:tc>
                <w:tcPr>
                  <w:tcW w:w="3872" w:type="dxa"/>
                  <w:tcBorders>
                    <w:tl2br w:val="nil"/>
                    <w:tr2bl w:val="nil"/>
                  </w:tcBorders>
                  <w:vAlign w:val="center"/>
                </w:tcPr>
                <w:p w14:paraId="75F3F830">
                  <w:pPr>
                    <w:pStyle w:val="108"/>
                    <w:spacing w:before="24" w:after="24"/>
                    <w:jc w:val="both"/>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法律法规及相关政策文件有更加严格规定的从其规定。</w:t>
                  </w:r>
                </w:p>
              </w:tc>
              <w:tc>
                <w:tcPr>
                  <w:tcW w:w="2341" w:type="dxa"/>
                  <w:tcBorders>
                    <w:tl2br w:val="nil"/>
                    <w:tr2bl w:val="nil"/>
                  </w:tcBorders>
                  <w:vAlign w:val="center"/>
                </w:tcPr>
                <w:p w14:paraId="18D27091">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本项目符合相关法律法规及政策规定。</w:t>
                  </w:r>
                </w:p>
              </w:tc>
              <w:tc>
                <w:tcPr>
                  <w:tcW w:w="909" w:type="dxa"/>
                  <w:tcBorders>
                    <w:tl2br w:val="nil"/>
                    <w:tr2bl w:val="nil"/>
                  </w:tcBorders>
                  <w:vAlign w:val="center"/>
                </w:tcPr>
                <w:p w14:paraId="3F133135">
                  <w:pPr>
                    <w:pStyle w:val="108"/>
                    <w:spacing w:before="24" w:after="24"/>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符合</w:t>
                  </w:r>
                </w:p>
              </w:tc>
            </w:tr>
          </w:tbl>
          <w:p w14:paraId="61F58014">
            <w:pPr>
              <w:pStyle w:val="476"/>
              <w:spacing w:line="360" w:lineRule="auto"/>
              <w:ind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综上分析，本项目不属于《长江经济带发展负面清单指南（试行，2022年版）》禁止及限制建设内容。</w:t>
            </w:r>
          </w:p>
          <w:p w14:paraId="724088BB">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（3）与《四川省、重庆市长江经济带发展负面清单实施细则》符合性分析</w:t>
            </w:r>
          </w:p>
          <w:p w14:paraId="4F70D26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项目与四川省推动长江经济带发展领导小组办公室、重庆市推动长江经济带发展领导小组办公室关于印发《四川省、重庆市长江经济带发展负面清单实施细则（试行，2022年版）》（川长江办</w:t>
            </w:r>
            <w:r>
              <w:rPr>
                <w:rFonts w:hint="eastAsia" w:cs="Times New Roman"/>
                <w:color w:val="000000" w:themeColor="text1"/>
                <w:sz w:val="24"/>
                <w:lang w:eastAsia="zh-CN"/>
                <w14:textFill>
                  <w14:solidFill>
                    <w14:schemeClr w14:val="tx1"/>
                  </w14:solidFill>
                </w14:textFill>
              </w:rPr>
              <w:t>〔2022〕</w:t>
            </w:r>
            <w:r>
              <w:rPr>
                <w:rFonts w:hint="default" w:ascii="Times New Roman" w:hAnsi="Times New Roman" w:eastAsia="宋体" w:cs="Times New Roman"/>
                <w:color w:val="000000" w:themeColor="text1"/>
                <w:sz w:val="24"/>
                <w14:textFill>
                  <w14:solidFill>
                    <w14:schemeClr w14:val="tx1"/>
                  </w14:solidFill>
                </w14:textFill>
              </w:rPr>
              <w:t>17号）符合性分析见下表：</w:t>
            </w:r>
          </w:p>
          <w:p w14:paraId="33D7D791">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表1-</w:t>
            </w:r>
            <w:r>
              <w:rPr>
                <w:rFonts w:hint="eastAsia" w:cs="Times New Roman"/>
                <w:b/>
                <w:bCs/>
                <w:color w:val="000000" w:themeColor="text1"/>
                <w:szCs w:val="21"/>
                <w:lang w:val="en-US" w:eastAsia="zh-CN"/>
                <w14:textFill>
                  <w14:solidFill>
                    <w14:schemeClr w14:val="tx1"/>
                  </w14:solidFill>
                </w14:textFill>
              </w:rPr>
              <w:t>9</w:t>
            </w:r>
            <w:r>
              <w:rPr>
                <w:rFonts w:hint="default" w:ascii="Times New Roman" w:hAnsi="Times New Roman" w:eastAsia="宋体" w:cs="Times New Roman"/>
                <w:b/>
                <w:bCs/>
                <w:color w:val="000000" w:themeColor="text1"/>
                <w:szCs w:val="21"/>
                <w:lang w:val="eu-ES"/>
                <w14:textFill>
                  <w14:solidFill>
                    <w14:schemeClr w14:val="tx1"/>
                  </w14:solidFill>
                </w14:textFill>
              </w:rPr>
              <w:t xml:space="preserve">  与四川省、重庆市长江经济带发展</w:t>
            </w:r>
            <w:r>
              <w:rPr>
                <w:rFonts w:hint="default" w:ascii="Times New Roman" w:hAnsi="Times New Roman" w:eastAsia="宋体" w:cs="Times New Roman"/>
                <w:b/>
                <w:bCs/>
                <w:color w:val="000000" w:themeColor="text1"/>
                <w:szCs w:val="21"/>
                <w14:textFill>
                  <w14:solidFill>
                    <w14:schemeClr w14:val="tx1"/>
                  </w14:solidFill>
                </w14:textFill>
              </w:rPr>
              <w:t>负面</w:t>
            </w:r>
            <w:r>
              <w:rPr>
                <w:rFonts w:hint="default" w:ascii="Times New Roman" w:hAnsi="Times New Roman" w:eastAsia="宋体" w:cs="Times New Roman"/>
                <w:b/>
                <w:bCs/>
                <w:color w:val="000000" w:themeColor="text1"/>
                <w:szCs w:val="21"/>
                <w:lang w:val="eu-ES"/>
                <w14:textFill>
                  <w14:solidFill>
                    <w14:schemeClr w14:val="tx1"/>
                  </w14:solidFill>
                </w14:textFill>
              </w:rPr>
              <w:t>清单实施细则符合性分析</w:t>
            </w:r>
          </w:p>
          <w:tbl>
            <w:tblPr>
              <w:tblStyle w:val="48"/>
              <w:tblW w:w="783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660"/>
              <w:gridCol w:w="3699"/>
              <w:gridCol w:w="1622"/>
              <w:gridCol w:w="857"/>
            </w:tblGrid>
            <w:tr w14:paraId="0ACE466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18" w:hRule="atLeast"/>
                <w:jc w:val="center"/>
              </w:trPr>
              <w:tc>
                <w:tcPr>
                  <w:tcW w:w="1660" w:type="dxa"/>
                  <w:vAlign w:val="center"/>
                </w:tcPr>
                <w:p w14:paraId="3B135231">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文件名称</w:t>
                  </w:r>
                </w:p>
              </w:tc>
              <w:tc>
                <w:tcPr>
                  <w:tcW w:w="3699" w:type="dxa"/>
                  <w:vAlign w:val="center"/>
                </w:tcPr>
                <w:p w14:paraId="423CC291">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文件内容</w:t>
                  </w:r>
                </w:p>
              </w:tc>
              <w:tc>
                <w:tcPr>
                  <w:tcW w:w="1622" w:type="dxa"/>
                  <w:vAlign w:val="center"/>
                </w:tcPr>
                <w:p w14:paraId="77C570F3">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本项目情况</w:t>
                  </w:r>
                </w:p>
              </w:tc>
              <w:tc>
                <w:tcPr>
                  <w:tcW w:w="857" w:type="dxa"/>
                  <w:vAlign w:val="center"/>
                </w:tcPr>
                <w:p w14:paraId="70FAB368">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符合性</w:t>
                  </w:r>
                </w:p>
              </w:tc>
            </w:tr>
            <w:tr w14:paraId="08B91CA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660" w:type="dxa"/>
                  <w:vMerge w:val="restart"/>
                  <w:vAlign w:val="center"/>
                </w:tcPr>
                <w:p w14:paraId="692073F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四川省推动长江经济带发展领导小组办公室、重庆市推动长江经济带发展领导小组办公室关于印发《四川省、重庆市长江经济带发展负的通知面清单实施细则（试行，2022年版）》（川长江办</w:t>
                  </w:r>
                  <w:r>
                    <w:rPr>
                      <w:rFonts w:hint="eastAsia" w:cs="Times New Roman"/>
                      <w:color w:val="000000" w:themeColor="text1"/>
                      <w:szCs w:val="21"/>
                      <w:lang w:eastAsia="zh-CN"/>
                      <w14:textFill>
                        <w14:solidFill>
                          <w14:schemeClr w14:val="tx1"/>
                        </w14:solidFill>
                      </w14:textFill>
                    </w:rPr>
                    <w:t>〔2022〕</w:t>
                  </w:r>
                  <w:r>
                    <w:rPr>
                      <w:rFonts w:hint="default" w:ascii="Times New Roman" w:hAnsi="Times New Roman" w:eastAsia="宋体" w:cs="Times New Roman"/>
                      <w:color w:val="000000" w:themeColor="text1"/>
                      <w:szCs w:val="21"/>
                      <w14:textFill>
                        <w14:solidFill>
                          <w14:schemeClr w14:val="tx1"/>
                        </w14:solidFill>
                      </w14:textFill>
                    </w:rPr>
                    <w:t>17号）</w:t>
                  </w:r>
                </w:p>
              </w:tc>
              <w:tc>
                <w:tcPr>
                  <w:tcW w:w="3699" w:type="dxa"/>
                  <w:vAlign w:val="center"/>
                </w:tcPr>
                <w:p w14:paraId="742538ED">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第二十二条 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w:t>
                  </w:r>
                </w:p>
              </w:tc>
              <w:tc>
                <w:tcPr>
                  <w:tcW w:w="1622" w:type="dxa"/>
                  <w:vMerge w:val="restart"/>
                  <w:vAlign w:val="center"/>
                </w:tcPr>
                <w:p w14:paraId="08C48BF9">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本项目属于工艺尾气回收CO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类，不属于高污染项目；</w:t>
                  </w:r>
                </w:p>
                <w:p w14:paraId="0C1EA08A">
                  <w:pP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本项目不属于淘汰类、限制类项目；</w:t>
                  </w:r>
                </w:p>
                <w:p w14:paraId="37CA863E">
                  <w:pPr>
                    <w:pStyle w:val="17"/>
                    <w:ind w:left="0" w:leftChars="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本项目不属于产能过剩项目；</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本项目降低CO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年排放量7万吨，不属于高耗能、高排放、低水平。</w:t>
                  </w:r>
                </w:p>
              </w:tc>
              <w:tc>
                <w:tcPr>
                  <w:tcW w:w="857" w:type="dxa"/>
                  <w:vMerge w:val="restart"/>
                  <w:vAlign w:val="center"/>
                </w:tcPr>
                <w:p w14:paraId="4BF7074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p>
              </w:tc>
            </w:tr>
            <w:tr w14:paraId="00CCE71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864" w:hRule="atLeast"/>
                <w:jc w:val="center"/>
              </w:trPr>
              <w:tc>
                <w:tcPr>
                  <w:tcW w:w="1660" w:type="dxa"/>
                  <w:vMerge w:val="continue"/>
                  <w:vAlign w:val="center"/>
                </w:tcPr>
                <w:p w14:paraId="31EB231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699" w:type="dxa"/>
                  <w:vAlign w:val="center"/>
                </w:tcPr>
                <w:p w14:paraId="2F0BCC10">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22" w:type="dxa"/>
                  <w:vMerge w:val="continue"/>
                  <w:vAlign w:val="center"/>
                </w:tcPr>
                <w:p w14:paraId="74D18BFA">
                  <w:pPr>
                    <w:rPr>
                      <w:rFonts w:hint="default" w:ascii="Times New Roman" w:hAnsi="Times New Roman" w:eastAsia="宋体" w:cs="Times New Roman"/>
                      <w:color w:val="000000" w:themeColor="text1"/>
                      <w:szCs w:val="21"/>
                      <w14:textFill>
                        <w14:solidFill>
                          <w14:schemeClr w14:val="tx1"/>
                        </w14:solidFill>
                      </w14:textFill>
                    </w:rPr>
                  </w:pPr>
                </w:p>
              </w:tc>
              <w:tc>
                <w:tcPr>
                  <w:tcW w:w="857" w:type="dxa"/>
                  <w:vMerge w:val="continue"/>
                  <w:vAlign w:val="center"/>
                </w:tcPr>
                <w:p w14:paraId="4BAC63EC">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5B1A5A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1484" w:hRule="atLeast"/>
                <w:jc w:val="center"/>
              </w:trPr>
              <w:tc>
                <w:tcPr>
                  <w:tcW w:w="1660" w:type="dxa"/>
                  <w:vMerge w:val="continue"/>
                  <w:vAlign w:val="center"/>
                </w:tcPr>
                <w:p w14:paraId="1912D7E4">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699" w:type="dxa"/>
                  <w:vAlign w:val="center"/>
                </w:tcPr>
                <w:p w14:paraId="2FADFF88">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第二十四条 禁止新建、扩建不符合国家产能置换要求的严重过剩产能行业的项目。对于不符合国家产能置换要求的严重过剩产能行业，不得以其他任何名义、任何方式备案新增产能项目。</w:t>
                  </w:r>
                </w:p>
              </w:tc>
              <w:tc>
                <w:tcPr>
                  <w:tcW w:w="1622" w:type="dxa"/>
                  <w:vMerge w:val="continue"/>
                  <w:vAlign w:val="center"/>
                </w:tcPr>
                <w:p w14:paraId="5A32D1F6">
                  <w:pPr>
                    <w:rPr>
                      <w:rFonts w:hint="default" w:ascii="Times New Roman" w:hAnsi="Times New Roman" w:eastAsia="宋体" w:cs="Times New Roman"/>
                      <w:color w:val="000000" w:themeColor="text1"/>
                      <w:szCs w:val="21"/>
                      <w14:textFill>
                        <w14:solidFill>
                          <w14:schemeClr w14:val="tx1"/>
                        </w14:solidFill>
                      </w14:textFill>
                    </w:rPr>
                  </w:pPr>
                </w:p>
              </w:tc>
              <w:tc>
                <w:tcPr>
                  <w:tcW w:w="857" w:type="dxa"/>
                  <w:vMerge w:val="continue"/>
                  <w:vAlign w:val="center"/>
                </w:tcPr>
                <w:p w14:paraId="58FDF597">
                  <w:pPr>
                    <w:jc w:val="center"/>
                    <w:rPr>
                      <w:rFonts w:hint="default" w:ascii="Times New Roman" w:hAnsi="Times New Roman" w:eastAsia="宋体" w:cs="Times New Roman"/>
                      <w:color w:val="000000" w:themeColor="text1"/>
                      <w:szCs w:val="21"/>
                      <w14:textFill>
                        <w14:solidFill>
                          <w14:schemeClr w14:val="tx1"/>
                        </w14:solidFill>
                      </w14:textFill>
                    </w:rPr>
                  </w:pPr>
                </w:p>
              </w:tc>
            </w:tr>
            <w:tr w14:paraId="1E563A0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758" w:hRule="atLeast"/>
                <w:jc w:val="center"/>
              </w:trPr>
              <w:tc>
                <w:tcPr>
                  <w:tcW w:w="1660" w:type="dxa"/>
                  <w:vMerge w:val="continue"/>
                  <w:vAlign w:val="center"/>
                </w:tcPr>
                <w:p w14:paraId="4521054C">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699" w:type="dxa"/>
                  <w:vAlign w:val="center"/>
                </w:tcPr>
                <w:p w14:paraId="6D81A777">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第二十六条 禁止新建、扩建不符合要求的高耗能、高排放、低水平项目。</w:t>
                  </w:r>
                </w:p>
              </w:tc>
              <w:tc>
                <w:tcPr>
                  <w:tcW w:w="1622" w:type="dxa"/>
                  <w:vMerge w:val="continue"/>
                  <w:vAlign w:val="center"/>
                </w:tcPr>
                <w:p w14:paraId="66C14ED1">
                  <w:pPr>
                    <w:rPr>
                      <w:rFonts w:hint="default" w:ascii="Times New Roman" w:hAnsi="Times New Roman" w:eastAsia="宋体" w:cs="Times New Roman"/>
                      <w:color w:val="000000" w:themeColor="text1"/>
                      <w:szCs w:val="21"/>
                      <w14:textFill>
                        <w14:solidFill>
                          <w14:schemeClr w14:val="tx1"/>
                        </w14:solidFill>
                      </w14:textFill>
                    </w:rPr>
                  </w:pPr>
                </w:p>
              </w:tc>
              <w:tc>
                <w:tcPr>
                  <w:tcW w:w="857" w:type="dxa"/>
                  <w:vMerge w:val="continue"/>
                  <w:vAlign w:val="center"/>
                </w:tcPr>
                <w:p w14:paraId="60AD3265">
                  <w:pPr>
                    <w:jc w:val="center"/>
                    <w:rPr>
                      <w:rFonts w:hint="default" w:ascii="Times New Roman" w:hAnsi="Times New Roman" w:eastAsia="宋体" w:cs="Times New Roman"/>
                      <w:color w:val="000000" w:themeColor="text1"/>
                      <w:szCs w:val="21"/>
                      <w14:textFill>
                        <w14:solidFill>
                          <w14:schemeClr w14:val="tx1"/>
                        </w14:solidFill>
                      </w14:textFill>
                    </w:rPr>
                  </w:pPr>
                </w:p>
              </w:tc>
            </w:tr>
          </w:tbl>
          <w:p w14:paraId="0300DFFF">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p>
          <w:p w14:paraId="1A48B7E1">
            <w:pPr>
              <w:pStyle w:val="476"/>
              <w:spacing w:line="360" w:lineRule="auto"/>
              <w:ind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从上表分析可知，本项目符合《四川省、重庆市长江经济带发展负面清单实施细则》</w:t>
            </w:r>
            <w:r>
              <w:rPr>
                <w:rFonts w:hint="default" w:ascii="Times New Roman" w:hAnsi="Times New Roman" w:eastAsia="宋体" w:cs="Times New Roman"/>
                <w:color w:val="000000" w:themeColor="text1"/>
                <w14:textFill>
                  <w14:solidFill>
                    <w14:schemeClr w14:val="tx1"/>
                  </w14:solidFill>
                </w14:textFill>
              </w:rPr>
              <w:t>（川长江办</w:t>
            </w:r>
            <w:r>
              <w:rPr>
                <w:rFonts w:hint="eastAsia" w:cs="Times New Roman"/>
                <w:color w:val="000000" w:themeColor="text1"/>
                <w:lang w:eastAsia="zh-CN"/>
                <w14:textFill>
                  <w14:solidFill>
                    <w14:schemeClr w14:val="tx1"/>
                  </w14:solidFill>
                </w14:textFill>
              </w:rPr>
              <w:t>〔2022〕</w:t>
            </w:r>
            <w:r>
              <w:rPr>
                <w:rFonts w:hint="default" w:ascii="Times New Roman" w:hAnsi="Times New Roman" w:eastAsia="宋体" w:cs="Times New Roman"/>
                <w:color w:val="000000" w:themeColor="text1"/>
                <w14:textFill>
                  <w14:solidFill>
                    <w14:schemeClr w14:val="tx1"/>
                  </w14:solidFill>
                </w14:textFill>
              </w:rPr>
              <w:t>17号）</w:t>
            </w:r>
            <w:r>
              <w:rPr>
                <w:rFonts w:hint="default" w:ascii="Times New Roman" w:hAnsi="Times New Roman" w:eastAsia="宋体" w:cs="Times New Roman"/>
                <w:bCs/>
                <w:color w:val="000000" w:themeColor="text1"/>
                <w14:textFill>
                  <w14:solidFill>
                    <w14:schemeClr w14:val="tx1"/>
                  </w14:solidFill>
                </w14:textFill>
              </w:rPr>
              <w:t>中的相关规定要求。</w:t>
            </w:r>
          </w:p>
          <w:p w14:paraId="1D3F608B">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（4）与《四川省嘉陵江流域生态环境保护条例》符合性分析</w:t>
            </w:r>
          </w:p>
          <w:p w14:paraId="28739F0E">
            <w:pPr>
              <w:spacing w:line="360" w:lineRule="auto"/>
              <w:ind w:firstLine="480" w:firstLineChars="20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本项目与《四川省嘉陵江流域生态环境保护条例》符合性分析如下：</w:t>
            </w:r>
          </w:p>
          <w:p w14:paraId="17994827">
            <w:pPr>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表1-</w:t>
            </w:r>
            <w:r>
              <w:rPr>
                <w:rFonts w:hint="eastAsia" w:cs="Times New Roman"/>
                <w:b/>
                <w:bCs/>
                <w:color w:val="000000" w:themeColor="text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Cs w:val="21"/>
                <w14:textFill>
                  <w14:solidFill>
                    <w14:schemeClr w14:val="tx1"/>
                  </w14:solidFill>
                </w14:textFill>
              </w:rPr>
              <w:t xml:space="preserve">  项目与《四川省嘉陵江流域生态环境保护条例》符合性分析</w:t>
            </w:r>
          </w:p>
          <w:tbl>
            <w:tblPr>
              <w:tblStyle w:val="48"/>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081"/>
              <w:gridCol w:w="2032"/>
              <w:gridCol w:w="915"/>
            </w:tblGrid>
            <w:tr w14:paraId="5A39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50" w:type="dxa"/>
                  <w:vAlign w:val="center"/>
                </w:tcPr>
                <w:p w14:paraId="78A53C7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序号</w:t>
                  </w:r>
                </w:p>
              </w:tc>
              <w:tc>
                <w:tcPr>
                  <w:tcW w:w="4081" w:type="dxa"/>
                  <w:vAlign w:val="center"/>
                </w:tcPr>
                <w:p w14:paraId="5603B606">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条例内容</w:t>
                  </w:r>
                </w:p>
              </w:tc>
              <w:tc>
                <w:tcPr>
                  <w:tcW w:w="2032" w:type="dxa"/>
                  <w:vAlign w:val="center"/>
                </w:tcPr>
                <w:p w14:paraId="12E2AE6B">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本项目情况</w:t>
                  </w:r>
                </w:p>
              </w:tc>
              <w:tc>
                <w:tcPr>
                  <w:tcW w:w="915" w:type="dxa"/>
                  <w:vAlign w:val="center"/>
                </w:tcPr>
                <w:p w14:paraId="7615AD47">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符合性</w:t>
                  </w:r>
                </w:p>
              </w:tc>
            </w:tr>
            <w:tr w14:paraId="578F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50" w:type="dxa"/>
                  <w:vAlign w:val="center"/>
                </w:tcPr>
                <w:p w14:paraId="2182759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w:t>
                  </w:r>
                </w:p>
              </w:tc>
              <w:tc>
                <w:tcPr>
                  <w:tcW w:w="4081" w:type="dxa"/>
                  <w:vAlign w:val="center"/>
                </w:tcPr>
                <w:p w14:paraId="016A1BE3">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禁止在嘉陵江干支流岸线一公里范围内新建、扩建化工园区和化工项目</w:t>
                  </w:r>
                </w:p>
              </w:tc>
              <w:tc>
                <w:tcPr>
                  <w:tcW w:w="2032" w:type="dxa"/>
                  <w:vAlign w:val="center"/>
                </w:tcPr>
                <w:p w14:paraId="34C1A34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项目属于化工行业，选址位于化工园区内，距离后巴河约1.5km</w:t>
                  </w:r>
                </w:p>
              </w:tc>
              <w:tc>
                <w:tcPr>
                  <w:tcW w:w="915" w:type="dxa"/>
                  <w:vAlign w:val="center"/>
                </w:tcPr>
                <w:p w14:paraId="105E0F2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4BE8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0" w:hRule="atLeast"/>
                <w:jc w:val="center"/>
              </w:trPr>
              <w:tc>
                <w:tcPr>
                  <w:tcW w:w="750" w:type="dxa"/>
                  <w:vAlign w:val="center"/>
                </w:tcPr>
                <w:p w14:paraId="38F5910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w:t>
                  </w:r>
                </w:p>
              </w:tc>
              <w:tc>
                <w:tcPr>
                  <w:tcW w:w="4081" w:type="dxa"/>
                  <w:vAlign w:val="center"/>
                </w:tcPr>
                <w:p w14:paraId="69569B2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污单位排放污染物不得超过国家和省污染物排放标准，不得超过重点水污染物排放总量控制指标。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2032" w:type="dxa"/>
                  <w:vAlign w:val="center"/>
                </w:tcPr>
                <w:p w14:paraId="63ED6094">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本项目本身属于工艺废气的CO</w:t>
                  </w:r>
                  <w:r>
                    <w:rPr>
                      <w:rFonts w:hint="default" w:ascii="Times New Roman" w:hAnsi="Times New Roman" w:eastAsia="宋体" w:cs="Times New Roman"/>
                      <w:bCs/>
                      <w:color w:val="000000" w:themeColor="text1"/>
                      <w:szCs w:val="21"/>
                      <w:vertAlign w:val="subscript"/>
                      <w14:textFill>
                        <w14:solidFill>
                          <w14:schemeClr w14:val="tx1"/>
                        </w14:solidFill>
                      </w14:textFill>
                    </w:rPr>
                    <w:t>2</w:t>
                  </w:r>
                  <w:r>
                    <w:rPr>
                      <w:rFonts w:hint="default" w:ascii="Times New Roman" w:hAnsi="Times New Roman" w:eastAsia="宋体" w:cs="Times New Roman"/>
                      <w:bCs/>
                      <w:color w:val="000000" w:themeColor="text1"/>
                      <w:szCs w:val="21"/>
                      <w14:textFill>
                        <w14:solidFill>
                          <w14:schemeClr w14:val="tx1"/>
                        </w14:solidFill>
                      </w14:textFill>
                    </w:rPr>
                    <w:t>回收，有效降低CO</w:t>
                  </w:r>
                  <w:r>
                    <w:rPr>
                      <w:rFonts w:hint="default" w:ascii="Times New Roman" w:hAnsi="Times New Roman" w:eastAsia="宋体" w:cs="Times New Roman"/>
                      <w:bCs/>
                      <w:color w:val="000000" w:themeColor="text1"/>
                      <w:szCs w:val="21"/>
                      <w:vertAlign w:val="subscript"/>
                      <w14:textFill>
                        <w14:solidFill>
                          <w14:schemeClr w14:val="tx1"/>
                        </w14:solidFill>
                      </w14:textFill>
                    </w:rPr>
                    <w:t>2</w:t>
                  </w:r>
                  <w:r>
                    <w:rPr>
                      <w:rFonts w:hint="default" w:ascii="Times New Roman" w:hAnsi="Times New Roman" w:eastAsia="宋体" w:cs="Times New Roman"/>
                      <w:bCs/>
                      <w:color w:val="000000" w:themeColor="text1"/>
                      <w:szCs w:val="21"/>
                      <w14:textFill>
                        <w14:solidFill>
                          <w14:schemeClr w14:val="tx1"/>
                        </w14:solidFill>
                      </w14:textFill>
                    </w:rPr>
                    <w:t>排放，净化后尾气各污染物可以实现达标排放，未超过水污染物总量指标；</w:t>
                  </w:r>
                  <w:r>
                    <w:rPr>
                      <w:rFonts w:hint="default" w:ascii="Times New Roman" w:hAnsi="Times New Roman" w:eastAsia="宋体" w:cs="Times New Roman"/>
                      <w:bCs/>
                      <w:color w:val="000000" w:themeColor="text1"/>
                      <w:szCs w:val="21"/>
                      <w14:textFill>
                        <w14:solidFill>
                          <w14:schemeClr w14:val="tx1"/>
                        </w14:solidFill>
                      </w14:textFill>
                    </w:rPr>
                    <w:br w:type="textWrapping"/>
                  </w:r>
                  <w:r>
                    <w:rPr>
                      <w:rFonts w:hint="default" w:ascii="Times New Roman" w:hAnsi="Times New Roman" w:eastAsia="宋体" w:cs="Times New Roman"/>
                      <w:bCs/>
                      <w:color w:val="000000" w:themeColor="text1"/>
                      <w:szCs w:val="21"/>
                      <w14:textFill>
                        <w14:solidFill>
                          <w14:schemeClr w14:val="tx1"/>
                        </w14:solidFill>
                      </w14:textFill>
                    </w:rPr>
                    <w:t>本次技改后建设单位将依法变更排污许可证</w:t>
                  </w:r>
                </w:p>
              </w:tc>
              <w:tc>
                <w:tcPr>
                  <w:tcW w:w="915" w:type="dxa"/>
                  <w:vAlign w:val="center"/>
                </w:tcPr>
                <w:p w14:paraId="3A0FA13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087D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14:paraId="79EE170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w:t>
                  </w:r>
                </w:p>
              </w:tc>
              <w:tc>
                <w:tcPr>
                  <w:tcW w:w="4081" w:type="dxa"/>
                  <w:vAlign w:val="center"/>
                </w:tcPr>
                <w:p w14:paraId="52828146">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企事业单位和其他生产经营者向嘉陵江流域排放污水的，应当按照生态环境主管部门的规定建设规范化污染物排放口，并设置标志牌。重点排污单位应当按照水污染物排放自动监测设备，与生态环境主管部门的监控设备联网，并保证监测设备正常运行</w:t>
                  </w:r>
                </w:p>
              </w:tc>
              <w:tc>
                <w:tcPr>
                  <w:tcW w:w="2032" w:type="dxa"/>
                  <w:vAlign w:val="center"/>
                </w:tcPr>
                <w:p w14:paraId="255E2BB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本项目不涉及向嘉陵江流域排放污水</w:t>
                  </w:r>
                </w:p>
              </w:tc>
              <w:tc>
                <w:tcPr>
                  <w:tcW w:w="915" w:type="dxa"/>
                  <w:vAlign w:val="center"/>
                </w:tcPr>
                <w:p w14:paraId="665FF62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642C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14:paraId="6D597C44">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w:t>
                  </w:r>
                </w:p>
              </w:tc>
              <w:tc>
                <w:tcPr>
                  <w:tcW w:w="4081" w:type="dxa"/>
                  <w:vAlign w:val="center"/>
                </w:tcPr>
                <w:p w14:paraId="582597F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重点排污单位应当接受社会监督，依法公开以下环境信息：主要污染物排放信息，包括污染物排放种类、排放浓度、排放量、排放方式、超标排放情况、排放口数量和分布情况，以及执行的污染物排放标准、核定的排放总量</w:t>
                  </w:r>
                </w:p>
              </w:tc>
              <w:tc>
                <w:tcPr>
                  <w:tcW w:w="2032" w:type="dxa"/>
                  <w:vAlign w:val="center"/>
                </w:tcPr>
                <w:p w14:paraId="6CE4BC14">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本次技改后建设单位将依法变更排污许可证，并公开相关信息</w:t>
                  </w:r>
                </w:p>
              </w:tc>
              <w:tc>
                <w:tcPr>
                  <w:tcW w:w="915" w:type="dxa"/>
                  <w:vAlign w:val="center"/>
                </w:tcPr>
                <w:p w14:paraId="7EAE392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1A637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50" w:type="dxa"/>
                  <w:vAlign w:val="center"/>
                </w:tcPr>
                <w:p w14:paraId="2F53B1F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5</w:t>
                  </w:r>
                </w:p>
              </w:tc>
              <w:tc>
                <w:tcPr>
                  <w:tcW w:w="4081" w:type="dxa"/>
                  <w:vAlign w:val="center"/>
                </w:tcPr>
                <w:p w14:paraId="5922D5F3">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嘉陵江流域水利水电、航运枢纽等工程应当将生态用水调度纳入日常运行调度规程，建立常规生态调度机制，保证河湖生态流量水量；其下泄量不符合生态流量水量泄放要求的，由水行政主管部门提出整改措施并监督实施</w:t>
                  </w:r>
                </w:p>
              </w:tc>
              <w:tc>
                <w:tcPr>
                  <w:tcW w:w="2032" w:type="dxa"/>
                  <w:vAlign w:val="center"/>
                </w:tcPr>
                <w:p w14:paraId="225CF328">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63186346">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122E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50" w:type="dxa"/>
                  <w:vAlign w:val="center"/>
                </w:tcPr>
                <w:p w14:paraId="16E41DB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w:t>
                  </w:r>
                </w:p>
              </w:tc>
              <w:tc>
                <w:tcPr>
                  <w:tcW w:w="4081" w:type="dxa"/>
                  <w:vAlign w:val="center"/>
                </w:tcPr>
                <w:p w14:paraId="4338E6C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从事河道采砂的单位或者个人应当遵循河道采砂许可证规定的范围、作业方式等要求，不得在河道管理范围内设置砂石堆场、加工场，河道采砂作业结束后，按照规定对作业现场进行清理、平整，并负责限期恢复废弃作业场所的地貌和植被</w:t>
                  </w:r>
                </w:p>
              </w:tc>
              <w:tc>
                <w:tcPr>
                  <w:tcW w:w="2032" w:type="dxa"/>
                  <w:vAlign w:val="center"/>
                </w:tcPr>
                <w:p w14:paraId="76AB366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5160D48A">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3C3E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50" w:type="dxa"/>
                  <w:vAlign w:val="center"/>
                </w:tcPr>
                <w:p w14:paraId="7EACB7F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7</w:t>
                  </w:r>
                </w:p>
              </w:tc>
              <w:tc>
                <w:tcPr>
                  <w:tcW w:w="4081" w:type="dxa"/>
                  <w:vAlign w:val="center"/>
                </w:tcPr>
                <w:p w14:paraId="64C9C9B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禁止在嘉陵江流域水土流失严重、生态脆弱的区域开展可能造成水土流失的生产建设活动。确因国家发展战略和国计民生需要建设的，应当经科学论证，并依法办理审批手续</w:t>
                  </w:r>
                </w:p>
              </w:tc>
              <w:tc>
                <w:tcPr>
                  <w:tcW w:w="2032" w:type="dxa"/>
                  <w:vAlign w:val="center"/>
                </w:tcPr>
                <w:p w14:paraId="50FB6280">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本项目选址在正达凯厂区已采取</w:t>
                  </w:r>
                  <w:r>
                    <w:rPr>
                      <w:rFonts w:hint="eastAsia" w:cs="Times New Roman"/>
                      <w:color w:val="000000" w:themeColor="text1"/>
                      <w:lang w:val="en-US" w:eastAsia="zh-CN"/>
                      <w14:textFill>
                        <w14:solidFill>
                          <w14:schemeClr w14:val="tx1"/>
                        </w14:solidFill>
                      </w14:textFill>
                    </w:rPr>
                    <w:t>重点</w:t>
                  </w:r>
                  <w:r>
                    <w:rPr>
                      <w:rFonts w:hint="default" w:ascii="Times New Roman" w:hAnsi="Times New Roman" w:eastAsia="宋体" w:cs="Times New Roman"/>
                      <w:color w:val="000000" w:themeColor="text1"/>
                      <w14:textFill>
                        <w14:solidFill>
                          <w14:schemeClr w14:val="tx1"/>
                        </w14:solidFill>
                      </w14:textFill>
                    </w:rPr>
                    <w:t>防渗的区域直接安装设备，不涉及水土流失影响</w:t>
                  </w:r>
                </w:p>
              </w:tc>
              <w:tc>
                <w:tcPr>
                  <w:tcW w:w="915" w:type="dxa"/>
                  <w:vAlign w:val="center"/>
                </w:tcPr>
                <w:p w14:paraId="787D7F9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68E5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14:paraId="0241B80B">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8</w:t>
                  </w:r>
                </w:p>
              </w:tc>
              <w:tc>
                <w:tcPr>
                  <w:tcW w:w="4081" w:type="dxa"/>
                  <w:vAlign w:val="center"/>
                </w:tcPr>
                <w:p w14:paraId="6E370AD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严禁非法变更公益用途，禁止非法占用或者征收、征用嘉陵江流域内的公益林。因生态保护、基础设施建设等公共利益的需要，确需征收、征用林地、林木的，应当依法办理审批手续，并给予公平、合理的补偿</w:t>
                  </w:r>
                </w:p>
              </w:tc>
              <w:tc>
                <w:tcPr>
                  <w:tcW w:w="2032" w:type="dxa"/>
                  <w:vAlign w:val="center"/>
                </w:tcPr>
                <w:p w14:paraId="7F0A8C63">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400ADDAA">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5993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50" w:type="dxa"/>
                  <w:vAlign w:val="center"/>
                </w:tcPr>
                <w:p w14:paraId="67BE0F3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9</w:t>
                  </w:r>
                </w:p>
              </w:tc>
              <w:tc>
                <w:tcPr>
                  <w:tcW w:w="4081" w:type="dxa"/>
                  <w:vAlign w:val="center"/>
                </w:tcPr>
                <w:p w14:paraId="16599E4B">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非法采伐林木，擅自毁坏林木。因森林防火、林业有害生物防治、维护主要保护对象生存环境、遭受自然灾害、科研或者实验等特殊情况确需采伐的，依法办理林木采伐许可证。严禁擅自调整公益林等级或者将公益林变更为商品林</w:t>
                  </w:r>
                </w:p>
              </w:tc>
              <w:tc>
                <w:tcPr>
                  <w:tcW w:w="2032" w:type="dxa"/>
                  <w:vAlign w:val="center"/>
                </w:tcPr>
                <w:p w14:paraId="11A1845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374A21D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0A9E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0" w:type="dxa"/>
                  <w:vAlign w:val="center"/>
                </w:tcPr>
                <w:p w14:paraId="3EC85A76">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10</w:t>
                  </w:r>
                </w:p>
              </w:tc>
              <w:tc>
                <w:tcPr>
                  <w:tcW w:w="4081" w:type="dxa"/>
                  <w:vAlign w:val="center"/>
                </w:tcPr>
                <w:p w14:paraId="1F2DCC3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禁止在嘉陵江流域开放水域养殖、投放外来物种或者其他非本地物种种质资源。</w:t>
                  </w:r>
                </w:p>
              </w:tc>
              <w:tc>
                <w:tcPr>
                  <w:tcW w:w="2032" w:type="dxa"/>
                  <w:vAlign w:val="center"/>
                </w:tcPr>
                <w:p w14:paraId="7689017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55E28FAB">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519D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50" w:type="dxa"/>
                  <w:vAlign w:val="center"/>
                </w:tcPr>
                <w:p w14:paraId="68EBBFA3">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11</w:t>
                  </w:r>
                </w:p>
              </w:tc>
              <w:tc>
                <w:tcPr>
                  <w:tcW w:w="4081" w:type="dxa"/>
                  <w:vAlign w:val="center"/>
                </w:tcPr>
                <w:p w14:paraId="65D3D768">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禁止向农用地排放重金属或者其他有毒有害物质含量超标的污水、污泥，以及可能造成土壤污染的清淤底泥、尾矿、矿渣等</w:t>
                  </w:r>
                </w:p>
              </w:tc>
              <w:tc>
                <w:tcPr>
                  <w:tcW w:w="2032" w:type="dxa"/>
                  <w:vAlign w:val="center"/>
                </w:tcPr>
                <w:p w14:paraId="3284A8C2">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本项目不涉及重金属排放</w:t>
                  </w:r>
                </w:p>
              </w:tc>
              <w:tc>
                <w:tcPr>
                  <w:tcW w:w="915" w:type="dxa"/>
                  <w:vAlign w:val="center"/>
                </w:tcPr>
                <w:p w14:paraId="4D76B05A">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09AD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50" w:type="dxa"/>
                  <w:vAlign w:val="center"/>
                </w:tcPr>
                <w:p w14:paraId="2D4353DE">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12</w:t>
                  </w:r>
                </w:p>
              </w:tc>
              <w:tc>
                <w:tcPr>
                  <w:tcW w:w="4081" w:type="dxa"/>
                  <w:vAlign w:val="center"/>
                </w:tcPr>
                <w:p w14:paraId="678495B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禁止瞎用向水体投放化肥、粪便、动物尸体（肢体、内脏）、动物源性饲料等污染水体的方式从事水产养殖</w:t>
                  </w:r>
                </w:p>
              </w:tc>
              <w:tc>
                <w:tcPr>
                  <w:tcW w:w="2032" w:type="dxa"/>
                  <w:vAlign w:val="center"/>
                </w:tcPr>
                <w:p w14:paraId="6F11D9A7">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577D0E90">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681F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50" w:type="dxa"/>
                  <w:vAlign w:val="center"/>
                </w:tcPr>
                <w:p w14:paraId="2083477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13</w:t>
                  </w:r>
                </w:p>
              </w:tc>
              <w:tc>
                <w:tcPr>
                  <w:tcW w:w="4081" w:type="dxa"/>
                  <w:vAlign w:val="center"/>
                </w:tcPr>
                <w:p w14:paraId="2055963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禁止在合规园区外新建、扩建钢铁、石化化工、焦化、建材、有色金属等高污染项目</w:t>
                  </w:r>
                </w:p>
              </w:tc>
              <w:tc>
                <w:tcPr>
                  <w:tcW w:w="2032" w:type="dxa"/>
                  <w:vAlign w:val="center"/>
                </w:tcPr>
                <w:p w14:paraId="495A8A4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本项目选址在正达凯已建厂区内实施，属于合规化工园区</w:t>
                  </w:r>
                </w:p>
              </w:tc>
              <w:tc>
                <w:tcPr>
                  <w:tcW w:w="915" w:type="dxa"/>
                  <w:vAlign w:val="center"/>
                </w:tcPr>
                <w:p w14:paraId="6F9E944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r w14:paraId="6E6E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vAlign w:val="center"/>
                </w:tcPr>
                <w:p w14:paraId="69E61C99">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14</w:t>
                  </w:r>
                </w:p>
              </w:tc>
              <w:tc>
                <w:tcPr>
                  <w:tcW w:w="4081" w:type="dxa"/>
                  <w:vAlign w:val="center"/>
                </w:tcPr>
                <w:p w14:paraId="508AC4B5">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禁止采取冲滩方式进行船舶拆解作业</w:t>
                  </w:r>
                </w:p>
              </w:tc>
              <w:tc>
                <w:tcPr>
                  <w:tcW w:w="2032" w:type="dxa"/>
                  <w:vAlign w:val="center"/>
                </w:tcPr>
                <w:p w14:paraId="411B8446">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本项目不涉及</w:t>
                  </w:r>
                </w:p>
              </w:tc>
              <w:tc>
                <w:tcPr>
                  <w:tcW w:w="915" w:type="dxa"/>
                  <w:vAlign w:val="center"/>
                </w:tcPr>
                <w:p w14:paraId="6E16AE50">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符合</w:t>
                  </w:r>
                </w:p>
              </w:tc>
            </w:tr>
          </w:tbl>
          <w:p w14:paraId="5F31396C">
            <w:pPr>
              <w:pStyle w:val="476"/>
              <w:spacing w:line="360" w:lineRule="auto"/>
              <w:ind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从上表分析可知，本项目符合《四川省嘉陵江流域生态环境保护条例》中的相关规定要求。</w:t>
            </w:r>
          </w:p>
          <w:p w14:paraId="506AB464">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9</w:t>
            </w:r>
            <w:r>
              <w:rPr>
                <w:rFonts w:hint="default" w:ascii="Times New Roman" w:hAnsi="Times New Roman" w:eastAsia="宋体" w:cs="Times New Roman"/>
                <w:b/>
                <w:bCs/>
                <w:color w:val="000000" w:themeColor="text1"/>
                <w14:textFill>
                  <w14:solidFill>
                    <w14:schemeClr w14:val="tx1"/>
                  </w14:solidFill>
                </w14:textFill>
              </w:rPr>
              <w:t>、与《达州市“十四五”生态环境保护规划》符合性分析</w:t>
            </w:r>
          </w:p>
          <w:p w14:paraId="204E5856">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2022年4月24日，达州市人民政府印发《达州市“十四五”生态环境保护规划》（达市府发〔2022〕18号），本项目相关符合性分析见下表。</w:t>
            </w:r>
          </w:p>
          <w:p w14:paraId="4FE8896C">
            <w:pPr>
              <w:pStyle w:val="476"/>
              <w:spacing w:line="240" w:lineRule="auto"/>
              <w:ind w:firstLine="0" w:firstLineChars="0"/>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与《达州市“十四五”生态环境保护规划》符合性分析</w:t>
            </w:r>
          </w:p>
          <w:tbl>
            <w:tblPr>
              <w:tblStyle w:val="474"/>
              <w:tblW w:w="773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918"/>
              <w:gridCol w:w="5200"/>
              <w:gridCol w:w="1621"/>
            </w:tblGrid>
            <w:tr w14:paraId="6079481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7" w:hRule="atLeast"/>
                <w:jc w:val="center"/>
              </w:trPr>
              <w:tc>
                <w:tcPr>
                  <w:tcW w:w="6118" w:type="dxa"/>
                  <w:gridSpan w:val="2"/>
                  <w:vAlign w:val="center"/>
                </w:tcPr>
                <w:p w14:paraId="51D0952C">
                  <w:pPr>
                    <w:jc w:val="center"/>
                    <w:rPr>
                      <w:rFonts w:hint="default" w:ascii="Times New Roman" w:hAnsi="Times New Roman" w:eastAsia="宋体" w:cs="Times New Roman"/>
                      <w:bCs/>
                      <w:color w:val="000000" w:themeColor="text1"/>
                      <w:szCs w:val="21"/>
                      <w:lang w:eastAsia="en-US"/>
                      <w14:textFill>
                        <w14:solidFill>
                          <w14:schemeClr w14:val="tx1"/>
                        </w14:solidFill>
                      </w14:textFill>
                    </w:rPr>
                  </w:pPr>
                  <w:r>
                    <w:rPr>
                      <w:rFonts w:hint="default" w:ascii="Times New Roman" w:hAnsi="Times New Roman" w:eastAsia="宋体" w:cs="Times New Roman"/>
                      <w:bCs/>
                      <w:color w:val="000000" w:themeColor="text1"/>
                      <w:szCs w:val="21"/>
                      <w:lang w:eastAsia="en-US"/>
                      <w14:textFill>
                        <w14:solidFill>
                          <w14:schemeClr w14:val="tx1"/>
                        </w14:solidFill>
                      </w14:textFill>
                    </w:rPr>
                    <w:t>相关要求</w:t>
                  </w:r>
                </w:p>
              </w:tc>
              <w:tc>
                <w:tcPr>
                  <w:tcW w:w="1621" w:type="dxa"/>
                  <w:vAlign w:val="center"/>
                </w:tcPr>
                <w:p w14:paraId="2CDE742D">
                  <w:pPr>
                    <w:jc w:val="center"/>
                    <w:rPr>
                      <w:rFonts w:hint="default" w:ascii="Times New Roman" w:hAnsi="Times New Roman" w:eastAsia="宋体" w:cs="Times New Roman"/>
                      <w:bCs/>
                      <w:color w:val="000000" w:themeColor="text1"/>
                      <w:szCs w:val="21"/>
                      <w:lang w:eastAsia="en-US"/>
                      <w14:textFill>
                        <w14:solidFill>
                          <w14:schemeClr w14:val="tx1"/>
                        </w14:solidFill>
                      </w14:textFill>
                    </w:rPr>
                  </w:pPr>
                  <w:r>
                    <w:rPr>
                      <w:rFonts w:hint="default" w:ascii="Times New Roman" w:hAnsi="Times New Roman" w:eastAsia="宋体" w:cs="Times New Roman"/>
                      <w:bCs/>
                      <w:color w:val="000000" w:themeColor="text1"/>
                      <w:szCs w:val="21"/>
                      <w:lang w:eastAsia="en-US"/>
                      <w14:textFill>
                        <w14:solidFill>
                          <w14:schemeClr w14:val="tx1"/>
                        </w14:solidFill>
                      </w14:textFill>
                    </w:rPr>
                    <w:t>本项目情况</w:t>
                  </w:r>
                </w:p>
              </w:tc>
            </w:tr>
            <w:tr w14:paraId="41450E9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315" w:hRule="atLeast"/>
                <w:jc w:val="center"/>
              </w:trPr>
              <w:tc>
                <w:tcPr>
                  <w:tcW w:w="918" w:type="dxa"/>
                  <w:vAlign w:val="center"/>
                </w:tcPr>
                <w:p w14:paraId="6A4A8B53">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第一节推动产业结构绿色转型</w:t>
                  </w:r>
                </w:p>
              </w:tc>
              <w:tc>
                <w:tcPr>
                  <w:tcW w:w="5200" w:type="dxa"/>
                  <w:vAlign w:val="center"/>
                </w:tcPr>
                <w:p w14:paraId="3B692F33">
                  <w:pPr>
                    <w:jc w:val="center"/>
                    <w:rPr>
                      <w:rFonts w:hint="default" w:ascii="Times New Roman" w:hAnsi="Times New Roman" w:eastAsia="宋体" w:cs="Times New Roman"/>
                      <w:bCs/>
                      <w:color w:val="000000" w:themeColor="text1"/>
                      <w:szCs w:val="21"/>
                      <w:lang w:eastAsia="en-US"/>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促进传统产业绿色升级。严控石化化工、钢铁、建材、煤炭、有色金属等行业新增产能，严格执行产能等量或减量置换。加快30万千瓦以下燃煤机组淘汰。禁止在长江干支流岸线1公里范围内新建、扩建化工园区和化工项目，实施沱江、岷江、涪江、嘉陵江等沿江危险化学品生产企业搬迁改造。</w:t>
                  </w:r>
                  <w:r>
                    <w:rPr>
                      <w:rFonts w:hint="default" w:ascii="Times New Roman" w:hAnsi="Times New Roman" w:eastAsia="宋体" w:cs="Times New Roman"/>
                      <w:bCs/>
                      <w:color w:val="000000" w:themeColor="text1"/>
                      <w:szCs w:val="21"/>
                      <w:lang w:eastAsia="en-US"/>
                      <w14:textFill>
                        <w14:solidFill>
                          <w14:schemeClr w14:val="tx1"/>
                        </w14:solidFill>
                      </w14:textFill>
                    </w:rPr>
                    <w:t>发挥重庆、成都“双核引领”作用</w:t>
                  </w:r>
                </w:p>
              </w:tc>
              <w:tc>
                <w:tcPr>
                  <w:tcW w:w="1621" w:type="dxa"/>
                  <w:vAlign w:val="center"/>
                </w:tcPr>
                <w:p w14:paraId="4F552AFD">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项目属于化工行业，选址位于化工园区内，距离后巴河约1.5km</w:t>
                  </w:r>
                </w:p>
              </w:tc>
            </w:tr>
            <w:tr w14:paraId="3742E1B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72" w:hRule="atLeast"/>
                <w:jc w:val="center"/>
              </w:trPr>
              <w:tc>
                <w:tcPr>
                  <w:tcW w:w="918" w:type="dxa"/>
                  <w:vAlign w:val="center"/>
                </w:tcPr>
                <w:p w14:paraId="75883408">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第五章深化环境污染同防共治第二节深化大气污染联防联控</w:t>
                  </w:r>
                </w:p>
              </w:tc>
              <w:tc>
                <w:tcPr>
                  <w:tcW w:w="5200" w:type="dxa"/>
                  <w:vAlign w:val="center"/>
                </w:tcPr>
                <w:p w14:paraId="744903D9">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推进燃煤锅炉和小热电关停整合。加快供热管网建设，充分释放热电联产、工业余热等供热能力，淘汰管网覆盖范围内的燃煤锅炉。原则上不再新建35蒸吨/小时以下的燃煤锅炉，推动县级及以上城市建成区淘汰35蒸吨/小时以下的燃煤锅炉。到2025年，基本淘汰10蒸吨/小时以下的燃煤锅炉。推进小热电机组科学整合，鼓励有条件的地区通过替代建设高效清洁热源等方式，逐步淘汰燃煤小热电机组</w:t>
                  </w:r>
                </w:p>
              </w:tc>
              <w:tc>
                <w:tcPr>
                  <w:tcW w:w="1621" w:type="dxa"/>
                  <w:vAlign w:val="center"/>
                </w:tcPr>
                <w:p w14:paraId="66ACEDAB">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bCs/>
                      <w:color w:val="000000" w:themeColor="text1"/>
                      <w:szCs w:val="21"/>
                      <w:lang w:eastAsia="zh-CN"/>
                      <w14:textFill>
                        <w14:solidFill>
                          <w14:schemeClr w14:val="tx1"/>
                        </w14:solidFill>
                      </w14:textFill>
                    </w:rPr>
                    <w:t>项目不涉及燃煤锅炉，符合要求。</w:t>
                  </w:r>
                </w:p>
              </w:tc>
            </w:tr>
          </w:tbl>
          <w:p w14:paraId="08CA60EC">
            <w:pPr>
              <w:pStyle w:val="476"/>
              <w:spacing w:line="360" w:lineRule="auto"/>
              <w:ind w:firstLine="0" w:firstLineChars="0"/>
              <w:rPr>
                <w:rFonts w:hint="default" w:ascii="Times New Roman" w:hAnsi="Times New Roman" w:eastAsia="宋体" w:cs="Times New Roman"/>
                <w:b/>
                <w:bCs/>
                <w:color w:val="000000" w:themeColor="text1"/>
                <w14:textFill>
                  <w14:solidFill>
                    <w14:schemeClr w14:val="tx1"/>
                  </w14:solidFill>
                </w14:textFill>
              </w:rPr>
            </w:pPr>
          </w:p>
          <w:p w14:paraId="31C067D7">
            <w:pPr>
              <w:pStyle w:val="476"/>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、项目与所在地生态环境分区管控符合性分析</w:t>
            </w:r>
          </w:p>
          <w:p w14:paraId="59A840A8">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（1）与达州市“生态环境分区管控”的符合性</w:t>
            </w:r>
          </w:p>
          <w:p w14:paraId="39F32ACD">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根据《达州市2023年生态环境分区管控成果动态更新情况说明》，达州市生态空间管控分区数量共计85个。其中生态保护红线管控区分区数量34个，生态保护红线面积1202.83km</w:t>
            </w:r>
            <w:r>
              <w:rPr>
                <w:rFonts w:hint="default" w:ascii="Times New Roman" w:hAnsi="Times New Roman" w:eastAsia="宋体" w:cs="Times New Roman"/>
                <w:bCs/>
                <w:color w:val="000000" w:themeColor="text1"/>
                <w:vertAlign w:val="superscript"/>
                <w14:textFill>
                  <w14:solidFill>
                    <w14:schemeClr w14:val="tx1"/>
                  </w14:solidFill>
                </w14:textFill>
              </w:rPr>
              <w:t>2</w:t>
            </w:r>
            <w:r>
              <w:rPr>
                <w:rFonts w:hint="default" w:ascii="Times New Roman" w:hAnsi="Times New Roman" w:eastAsia="宋体" w:cs="Times New Roman"/>
                <w:bCs/>
                <w:color w:val="000000" w:themeColor="text1"/>
                <w14:textFill>
                  <w14:solidFill>
                    <w14:schemeClr w14:val="tx1"/>
                  </w14:solidFill>
                </w14:textFill>
              </w:rPr>
              <w:t>，占达州市国土面积比例的7.26%；一般生态空间管控区分区数量51个，一般生态空间面积3125.7km</w:t>
            </w:r>
            <w:r>
              <w:rPr>
                <w:rFonts w:hint="default" w:ascii="Times New Roman" w:hAnsi="Times New Roman" w:eastAsia="宋体" w:cs="Times New Roman"/>
                <w:bCs/>
                <w:color w:val="000000" w:themeColor="text1"/>
                <w:vertAlign w:val="superscript"/>
                <w14:textFill>
                  <w14:solidFill>
                    <w14:schemeClr w14:val="tx1"/>
                  </w14:solidFill>
                </w14:textFill>
              </w:rPr>
              <w:t>2</w:t>
            </w:r>
            <w:r>
              <w:rPr>
                <w:rFonts w:hint="default" w:ascii="Times New Roman" w:hAnsi="Times New Roman" w:eastAsia="宋体" w:cs="Times New Roman"/>
                <w:bCs/>
                <w:color w:val="000000" w:themeColor="text1"/>
                <w14:textFill>
                  <w14:solidFill>
                    <w14:schemeClr w14:val="tx1"/>
                  </w14:solidFill>
                </w14:textFill>
              </w:rPr>
              <w:t>，占达州市国土面积比例的18.87%。达州市生态保护红线分布情况如下。</w:t>
            </w:r>
          </w:p>
          <w:p w14:paraId="5B5851B3">
            <w:pPr>
              <w:adjustRightInd w:val="0"/>
              <w:snapToGrid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1458595</wp:posOffset>
                      </wp:positionH>
                      <wp:positionV relativeFrom="paragraph">
                        <wp:posOffset>671195</wp:posOffset>
                      </wp:positionV>
                      <wp:extent cx="1066165" cy="255270"/>
                      <wp:effectExtent l="4445" t="4445" r="15240" b="578485"/>
                      <wp:wrapNone/>
                      <wp:docPr id="25" name="矩形标注 25"/>
                      <wp:cNvGraphicFramePr/>
                      <a:graphic xmlns:a="http://schemas.openxmlformats.org/drawingml/2006/main">
                        <a:graphicData uri="http://schemas.microsoft.com/office/word/2010/wordprocessingShape">
                          <wps:wsp>
                            <wps:cNvSpPr/>
                            <wps:spPr>
                              <a:xfrm rot="10800000">
                                <a:off x="0" y="0"/>
                                <a:ext cx="1066165" cy="255270"/>
                              </a:xfrm>
                              <a:prstGeom prst="wedgeRectCallout">
                                <a:avLst>
                                  <a:gd name="adj1" fmla="val -26741"/>
                                  <a:gd name="adj2" fmla="val -268505"/>
                                </a:avLst>
                              </a:prstGeom>
                              <a:noFill/>
                              <a:ln w="3175" cap="flat" cmpd="sng">
                                <a:solidFill>
                                  <a:srgbClr val="000000"/>
                                </a:solidFill>
                                <a:prstDash val="solid"/>
                                <a:round/>
                                <a:headEnd type="none" w="med" len="med"/>
                                <a:tailEnd type="none" w="med" len="med"/>
                              </a:ln>
                            </wps:spPr>
                            <wps:txbx>
                              <w:txbxContent>
                                <w:p w14:paraId="3A786853">
                                  <w:pPr>
                                    <w:rPr>
                                      <w:b/>
                                      <w:color w:val="000000"/>
                                      <w:szCs w:val="32"/>
                                    </w:rPr>
                                  </w:pPr>
                                  <w:r>
                                    <w:rPr>
                                      <w:rFonts w:hint="eastAsia"/>
                                      <w:b/>
                                      <w:color w:val="000000"/>
                                      <w:szCs w:val="32"/>
                                    </w:rPr>
                                    <w:t>本项目所在地</w:t>
                                  </w:r>
                                </w:p>
                              </w:txbxContent>
                            </wps:txbx>
                            <wps:bodyPr anchor="ctr" anchorCtr="0" upright="1"/>
                          </wps:wsp>
                        </a:graphicData>
                      </a:graphic>
                    </wp:anchor>
                  </w:drawing>
                </mc:Choice>
                <mc:Fallback>
                  <w:pict>
                    <v:shape id="_x0000_s1026" o:spid="_x0000_s1026" o:spt="61" type="#_x0000_t61" style="position:absolute;left:0pt;margin-left:114.85pt;margin-top:52.85pt;height:20.1pt;width:83.95pt;rotation:11796480f;z-index:251665408;v-text-anchor:middle;mso-width-relative:page;mso-height-relative:page;" filled="f" stroked="t" coordsize="21600,21600" o:gfxdata="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KM2+/YAAAACwEAAA8AAAAAAAAA&#10;AQAgAAAAIgAAAGRycy9kb3ducmV2LnhtbFBLAQIUABQAAAAIAIdO4kDGHewZSgIAAJIEAAAOAAAA&#10;AAAAAAEAIAAAACcBAABkcnMvZTJvRG9jLnhtbFBLBQYAAAAABgAGAFkBAADjBQAAAAA=&#10;" adj="5024,-47197">
                      <v:fill on="f" focussize="0,0"/>
                      <v:stroke weight="0.25pt" color="#000000" joinstyle="round"/>
                      <v:imagedata o:title=""/>
                      <o:lock v:ext="edit" aspectratio="f"/>
                      <v:textbox>
                        <w:txbxContent>
                          <w:p w14:paraId="3A786853">
                            <w:pPr>
                              <w:rPr>
                                <w:b/>
                                <w:color w:val="000000"/>
                                <w:szCs w:val="32"/>
                              </w:rPr>
                            </w:pPr>
                            <w:r>
                              <w:rPr>
                                <w:rFonts w:hint="eastAsia"/>
                                <w:b/>
                                <w:color w:val="000000"/>
                                <w:szCs w:val="32"/>
                              </w:rPr>
                              <w:t>本项目所在地</w:t>
                            </w:r>
                          </w:p>
                        </w:txbxContent>
                      </v:textbox>
                    </v:shape>
                  </w:pict>
                </mc:Fallback>
              </mc:AlternateContent>
            </w:r>
            <w:r>
              <w:rPr>
                <w:rFonts w:hint="default" w:ascii="Times New Roman" w:hAnsi="Times New Roman" w:eastAsia="宋体" w:cs="Times New Roman"/>
                <w:b/>
                <w:bCs/>
                <w:color w:val="000000" w:themeColor="text1"/>
                <w:szCs w:val="2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2233930</wp:posOffset>
                      </wp:positionH>
                      <wp:positionV relativeFrom="paragraph">
                        <wp:posOffset>1464310</wp:posOffset>
                      </wp:positionV>
                      <wp:extent cx="76200" cy="76200"/>
                      <wp:effectExtent l="12700" t="12700" r="25400" b="25400"/>
                      <wp:wrapNone/>
                      <wp:docPr id="32" name="椭圆 32"/>
                      <wp:cNvGraphicFramePr/>
                      <a:graphic xmlns:a="http://schemas.openxmlformats.org/drawingml/2006/main">
                        <a:graphicData uri="http://schemas.microsoft.com/office/word/2010/wordprocessingShape">
                          <wps:wsp>
                            <wps:cNvSpPr/>
                            <wps:spPr>
                              <a:xfrm>
                                <a:off x="3874770" y="5338445"/>
                                <a:ext cx="76200" cy="76200"/>
                              </a:xfrm>
                              <a:prstGeom prst="ellipse">
                                <a:avLst/>
                              </a:prstGeom>
                              <a:solidFill>
                                <a:srgbClr val="FF0000"/>
                              </a:solidFill>
                              <a:ln w="25400" cap="flat" cmpd="sng" algn="ctr">
                                <a:solidFill>
                                  <a:srgbClr val="FF0000"/>
                                </a:solidFill>
                                <a:prstDash val="solid"/>
                              </a:ln>
                              <a:effectLst/>
                            </wps:spPr>
                            <wps:txbx>
                              <w:txbxContent>
                                <w:p w14:paraId="073930EC">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5.9pt;margin-top:115.3pt;height:6pt;width:6pt;z-index:251666432;v-text-anchor:middle;mso-width-relative:page;mso-height-relative:page;" fillcolor="#FF0000" filled="t" stroked="t" coordsize="21600,21600" o:gfxdata="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HqAINYAAAALAQAADwAAAAAAAAABACAAAAAiAAAAZHJz&#10;L2Rvd25yZXYueG1sUEsBAhQAFAAAAAgAh07iQHGfzAR4AgAABAUAAA4AAAAAAAAAAQAgAAAAJQEA&#10;AGRycy9lMm9Eb2MueG1sUEsFBgAAAAAGAAYAWQEAAA8GAAAAAA==&#10;">
                      <v:fill on="t" focussize="0,0"/>
                      <v:stroke weight="2pt" color="#FF0000" joinstyle="round"/>
                      <v:imagedata o:title=""/>
                      <o:lock v:ext="edit" aspectratio="f"/>
                      <v:textbox>
                        <w:txbxContent>
                          <w:p w14:paraId="073930EC">
                            <w:pPr>
                              <w:ind w:firstLine="480"/>
                              <w:jc w:val="center"/>
                            </w:pPr>
                          </w:p>
                        </w:txbxContent>
                      </v:textbox>
                    </v:shape>
                  </w:pict>
                </mc:Fallback>
              </mc:AlternateConten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4775200" cy="3489325"/>
                  <wp:effectExtent l="0" t="0" r="6350" b="15875"/>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5"/>
                          <a:stretch>
                            <a:fillRect/>
                          </a:stretch>
                        </pic:blipFill>
                        <pic:spPr>
                          <a:xfrm>
                            <a:off x="0" y="0"/>
                            <a:ext cx="4775200" cy="3489325"/>
                          </a:xfrm>
                          <a:prstGeom prst="rect">
                            <a:avLst/>
                          </a:prstGeom>
                          <a:noFill/>
                          <a:ln>
                            <a:noFill/>
                          </a:ln>
                        </pic:spPr>
                      </pic:pic>
                    </a:graphicData>
                  </a:graphic>
                </wp:inline>
              </w:drawing>
            </w:r>
          </w:p>
          <w:p w14:paraId="6C38E6C9">
            <w:pPr>
              <w:pStyle w:val="521"/>
              <w:tabs>
                <w:tab w:val="left" w:pos="0"/>
              </w:tabs>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图1-1  项目与达州市生态红线分布图的位置关系</w:t>
            </w:r>
          </w:p>
          <w:p w14:paraId="6B03A828">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本项目位于四川达州普光经济开发区，项目不在达州市生态保护红线范围内。</w:t>
            </w:r>
            <w:r>
              <w:rPr>
                <w:rFonts w:hint="default" w:ascii="Times New Roman" w:hAnsi="Times New Roman" w:eastAsia="宋体" w:cs="Times New Roman"/>
                <w:color w:val="000000" w:themeColor="text1"/>
                <w14:textFill>
                  <w14:solidFill>
                    <w14:schemeClr w14:val="tx1"/>
                  </w14:solidFill>
                </w14:textFill>
              </w:rPr>
              <w:t>达州市宣汉县工业重点管控单元总体生态环境管控要求如下：</w:t>
            </w:r>
          </w:p>
          <w:p w14:paraId="00B9FEEA">
            <w:pPr>
              <w:pStyle w:val="476"/>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本项目与达州市及宣汉县总体生态环境管控要求一览表</w:t>
            </w:r>
          </w:p>
          <w:tbl>
            <w:tblPr>
              <w:tblStyle w:val="4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4614"/>
              <w:gridCol w:w="2144"/>
              <w:gridCol w:w="488"/>
            </w:tblGrid>
            <w:tr w14:paraId="5134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vAlign w:val="center"/>
                </w:tcPr>
                <w:p w14:paraId="07AAA45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行政区划</w:t>
                  </w:r>
                </w:p>
              </w:tc>
              <w:tc>
                <w:tcPr>
                  <w:tcW w:w="2978" w:type="pct"/>
                  <w:tcBorders>
                    <w:tl2br w:val="nil"/>
                    <w:tr2bl w:val="nil"/>
                  </w:tcBorders>
                  <w:vAlign w:val="center"/>
                </w:tcPr>
                <w:p w14:paraId="2AE9E9D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全市及各县（市、区）总体生态环境管控要求</w:t>
                  </w:r>
                </w:p>
              </w:tc>
              <w:tc>
                <w:tcPr>
                  <w:tcW w:w="1384" w:type="pct"/>
                  <w:tcBorders>
                    <w:tl2br w:val="nil"/>
                    <w:tr2bl w:val="nil"/>
                  </w:tcBorders>
                  <w:vAlign w:val="center"/>
                </w:tcPr>
                <w:p w14:paraId="7933B65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p>
              </w:tc>
              <w:tc>
                <w:tcPr>
                  <w:tcW w:w="315" w:type="pct"/>
                  <w:tcBorders>
                    <w:tl2br w:val="nil"/>
                    <w:tr2bl w:val="nil"/>
                  </w:tcBorders>
                  <w:vAlign w:val="center"/>
                </w:tcPr>
                <w:p w14:paraId="3760F20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14:paraId="7725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 w:type="pct"/>
                  <w:tcBorders>
                    <w:tl2br w:val="nil"/>
                    <w:tr2bl w:val="nil"/>
                  </w:tcBorders>
                  <w:vAlign w:val="center"/>
                </w:tcPr>
                <w:p w14:paraId="11515B5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w:t>
                  </w:r>
                </w:p>
              </w:tc>
              <w:tc>
                <w:tcPr>
                  <w:tcW w:w="2978" w:type="pct"/>
                  <w:tcBorders>
                    <w:tl2br w:val="nil"/>
                    <w:tr2bl w:val="nil"/>
                  </w:tcBorders>
                  <w:vAlign w:val="center"/>
                </w:tcPr>
                <w:p w14:paraId="4CADCB6A">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1.长江干支流岸线1千米范围内，不得新建、扩建化工园区和化工项目。</w:t>
                  </w:r>
                </w:p>
                <w:p w14:paraId="6B0F4BBB">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2.严控产业转移环境准入。</w:t>
                  </w:r>
                </w:p>
                <w:p w14:paraId="3A42CCBD">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3.引进项目应符合园区规划环评和区域产业准入清单要求。</w:t>
                  </w:r>
                </w:p>
                <w:p w14:paraId="5EF4AA30">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4.造纸等产业污染治理和环境管理应达到国内先进水平。优化制浆造纸产业布局，提升行业清洁生产水平，推动制浆造纸工业向节能、环保、绿色方向发展。</w:t>
                  </w:r>
                </w:p>
                <w:p w14:paraId="41FA2AA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5.深化成都平原、川南、川东北地区大气污染联防联控工作机制，加强川渝地区联防联控。强化重污染天气区域应急联动机制，深化区域重污染天气联合应对。</w:t>
                  </w:r>
                </w:p>
                <w:p w14:paraId="1F973820">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384" w:type="pct"/>
                  <w:tcBorders>
                    <w:tl2br w:val="nil"/>
                    <w:tr2bl w:val="nil"/>
                  </w:tcBorders>
                  <w:vAlign w:val="center"/>
                </w:tcPr>
                <w:p w14:paraId="25C32F87">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1本项目不属于长江干支流岸线1千米范围内。</w:t>
                  </w:r>
                </w:p>
                <w:p w14:paraId="4888B4E7">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2.本项目符合园区规划环评和区域产业准入清单要求。</w:t>
                  </w:r>
                </w:p>
                <w:p w14:paraId="547909D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3.本项目不涉及造纸等产业。</w:t>
                  </w:r>
                </w:p>
                <w:p w14:paraId="22A60CD5">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.本项目不属于钢铁行业项目。</w:t>
                  </w:r>
                </w:p>
              </w:tc>
              <w:tc>
                <w:tcPr>
                  <w:tcW w:w="315" w:type="pct"/>
                  <w:tcBorders>
                    <w:tl2br w:val="nil"/>
                    <w:tr2bl w:val="nil"/>
                  </w:tcBorders>
                  <w:vAlign w:val="center"/>
                </w:tcPr>
                <w:p w14:paraId="2490F6A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773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2" w:type="pct"/>
                  <w:tcBorders>
                    <w:tl2br w:val="nil"/>
                    <w:tr2bl w:val="nil"/>
                  </w:tcBorders>
                  <w:vAlign w:val="center"/>
                </w:tcPr>
                <w:p w14:paraId="364F917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w:t>
                  </w:r>
                </w:p>
              </w:tc>
              <w:tc>
                <w:tcPr>
                  <w:tcW w:w="2978" w:type="pct"/>
                  <w:tcBorders>
                    <w:tl2br w:val="nil"/>
                    <w:tr2bl w:val="nil"/>
                  </w:tcBorders>
                  <w:vAlign w:val="center"/>
                </w:tcPr>
                <w:p w14:paraId="246979E7">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14:paraId="0AACC1CD">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2.打好升级版污染防治攻坚战。持续优化调整产业布局，以细颗粒物（PM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）和臭氧（O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）污染协同控制为重点，全面开展挥发性有机物（VOCs）治理，实施移动源整治，持续推进空气质量精细化管理。引进项目应符合园区规划环评和区域产业准入清单要求。</w:t>
                  </w:r>
                </w:p>
                <w:p w14:paraId="2BFC3949">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3.加强小流域水环境保护，推动农村环保基础设施建设，全面推进农村环境综合整治、生活污水处理项目。</w:t>
                  </w:r>
                </w:p>
                <w:p w14:paraId="6E42D0FE">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4.大力开展沿河畜禽养殖污染整治，大力推广生态种植，减少农药化肥使用量；普光气田开发污染防治和环境管理等方面要达国内先进水平。</w:t>
                  </w:r>
                </w:p>
              </w:tc>
              <w:tc>
                <w:tcPr>
                  <w:tcW w:w="1384" w:type="pct"/>
                  <w:tcBorders>
                    <w:tl2br w:val="nil"/>
                    <w:tr2bl w:val="nil"/>
                  </w:tcBorders>
                  <w:vAlign w:val="center"/>
                </w:tcPr>
                <w:p w14:paraId="18CFC30F">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1.本项目位于宣汉普光化工园区内，运营期“三废”均能得到有效处置。</w:t>
                  </w:r>
                </w:p>
                <w:p w14:paraId="3CCD97A6">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2.本项目不涉及VOCs、O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排放，符合园区规划环评和区域产业准入清单要求。</w:t>
                  </w:r>
                </w:p>
                <w:p w14:paraId="291E9536">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3.本项目废水可得到合理处置，不会对地表水造成影响。</w:t>
                  </w:r>
                </w:p>
                <w:p w14:paraId="472B4FAD">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4.本项目不属于畜禽养殖行业，污染防治和环境管理等方面可达国内先进水平。</w:t>
                  </w:r>
                </w:p>
              </w:tc>
              <w:tc>
                <w:tcPr>
                  <w:tcW w:w="315" w:type="pct"/>
                  <w:tcBorders>
                    <w:tl2br w:val="nil"/>
                    <w:tr2bl w:val="nil"/>
                  </w:tcBorders>
                  <w:vAlign w:val="center"/>
                </w:tcPr>
                <w:p w14:paraId="33702F9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05E02717">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本项目属于基础化学原料制造，不属于钢铁、造纸等高污染项目，本项目位于工业园区内，不涉及矿山开采，</w:t>
            </w:r>
            <w:r>
              <w:rPr>
                <w:rFonts w:hint="eastAsia" w:cs="Times New Roman"/>
                <w:color w:val="000000" w:themeColor="text1"/>
                <w:lang w:val="en-US" w:eastAsia="zh-CN"/>
                <w14:textFill>
                  <w14:solidFill>
                    <w14:schemeClr w14:val="tx1"/>
                  </w14:solidFill>
                </w14:textFill>
              </w:rPr>
              <w:t>燃烧后的废气基本无污染</w:t>
            </w:r>
            <w:r>
              <w:rPr>
                <w:rFonts w:hint="default" w:ascii="Times New Roman" w:hAnsi="Times New Roman" w:eastAsia="宋体" w:cs="Times New Roman"/>
                <w:color w:val="000000" w:themeColor="text1"/>
                <w14:textFill>
                  <w14:solidFill>
                    <w14:schemeClr w14:val="tx1"/>
                  </w14:solidFill>
                </w14:textFill>
              </w:rPr>
              <w:t>，少量洗管废水经处理后</w:t>
            </w:r>
            <w:r>
              <w:rPr>
                <w:rFonts w:hint="eastAsia" w:ascii="Times New Roman" w:hAnsi="Times New Roman" w:eastAsia="宋体" w:cs="Times New Roman"/>
                <w:color w:val="000000" w:themeColor="text1"/>
                <w:lang w:val="en-US" w:eastAsia="zh-CN"/>
                <w14:textFill>
                  <w14:solidFill>
                    <w14:schemeClr w14:val="tx1"/>
                  </w14:solidFill>
                </w14:textFill>
              </w:rPr>
              <w:t>循环使用不外排，</w:t>
            </w:r>
            <w:r>
              <w:rPr>
                <w:rFonts w:hint="default" w:ascii="Times New Roman" w:hAnsi="Times New Roman" w:eastAsia="宋体" w:cs="Times New Roman"/>
                <w:color w:val="000000" w:themeColor="text1"/>
                <w14:textFill>
                  <w14:solidFill>
                    <w14:schemeClr w14:val="tx1"/>
                  </w14:solidFill>
                </w14:textFill>
              </w:rPr>
              <w:t>可实现达标排放符合达州市及宣汉县总体生态环境管控要求。</w:t>
            </w:r>
          </w:p>
          <w:p w14:paraId="4B9C01AC">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（2）项目所属环境管控单元</w:t>
            </w:r>
          </w:p>
          <w:p w14:paraId="53D1AF27">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根据达州市人民政府《关于加强生态环境分区管控的通知》（达市府办函〔2024〕31号），达州市共划定47个综合环境管控单元，分为优先保护单元、重点管控单元及一般管控单元。</w:t>
            </w:r>
          </w:p>
          <w:p w14:paraId="0A6B1886">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优先保护单元。以生态环境保护为主的区域，全市划分优先保护单元18个，主要包括生态保护红线、自然保护地、饮用水水源保护区等。</w:t>
            </w:r>
          </w:p>
          <w:p w14:paraId="6389AB52">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重点管控单元。涉及水、大气、土壤、自然资源等资源环境要素重点管控的区域，全市划分重点管控单元22个，主要包括人口密集的城镇规划区和产业集聚的工业园区（工业集聚区）等。</w:t>
            </w:r>
          </w:p>
          <w:p w14:paraId="706D5768">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一般管控单元。除优先保护单元和重点管控单元之外的其他区域，全市共划分一般管控单元7个。</w:t>
            </w:r>
          </w:p>
          <w:p w14:paraId="1F495A8A">
            <w:pPr>
              <w:pStyle w:val="476"/>
              <w:spacing w:line="360" w:lineRule="auto"/>
              <w:ind w:firstLine="480"/>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本项目位于四川达州普光经济开发区，查询四川政务服务网—四川省生态环境厅“生态环境分区管控”应用平台，本项目位于宣汉县工业重点管控单元。</w:t>
            </w:r>
          </w:p>
          <w:p w14:paraId="61BFA433">
            <w:pPr>
              <w:pStyle w:val="521"/>
              <w:tabs>
                <w:tab w:val="left" w:pos="0"/>
              </w:tabs>
              <w:jc w:val="both"/>
              <w:rPr>
                <w:rFonts w:hint="default" w:ascii="Times New Roman" w:hAnsi="Times New Roman" w:eastAsia="宋体"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18710" cy="2693670"/>
                  <wp:effectExtent l="0" t="0" r="1524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6"/>
                          <a:stretch>
                            <a:fillRect/>
                          </a:stretch>
                        </pic:blipFill>
                        <pic:spPr>
                          <a:xfrm>
                            <a:off x="0" y="0"/>
                            <a:ext cx="4918710" cy="2693670"/>
                          </a:xfrm>
                          <a:prstGeom prst="rect">
                            <a:avLst/>
                          </a:prstGeom>
                          <a:noFill/>
                          <a:ln>
                            <a:noFill/>
                          </a:ln>
                        </pic:spPr>
                      </pic:pic>
                    </a:graphicData>
                  </a:graphic>
                </wp:inline>
              </w:drawing>
            </w:r>
          </w:p>
          <w:p w14:paraId="25C48494">
            <w:pPr>
              <w:pStyle w:val="521"/>
              <w:tabs>
                <w:tab w:val="left" w:pos="0"/>
              </w:tabs>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图1-2  项目生态环境</w:t>
            </w:r>
            <w:r>
              <w:rPr>
                <w:rFonts w:hint="eastAsia" w:eastAsia="宋体" w:cs="Times New Roman"/>
                <w:b/>
                <w:bCs/>
                <w:color w:val="000000" w:themeColor="text1"/>
                <w:lang w:val="en-US" w:eastAsia="zh-CN"/>
                <w14:textFill>
                  <w14:solidFill>
                    <w14:schemeClr w14:val="tx1"/>
                  </w14:solidFill>
                </w14:textFill>
              </w:rPr>
              <w:t>分区</w:t>
            </w:r>
            <w:r>
              <w:rPr>
                <w:rFonts w:hint="default" w:ascii="Times New Roman" w:hAnsi="Times New Roman" w:eastAsia="宋体" w:cs="Times New Roman"/>
                <w:b/>
                <w:bCs/>
                <w:color w:val="000000" w:themeColor="text1"/>
                <w14:textFill>
                  <w14:solidFill>
                    <w14:schemeClr w14:val="tx1"/>
                  </w14:solidFill>
                </w14:textFill>
              </w:rPr>
              <w:t>管控查询图</w:t>
            </w:r>
          </w:p>
          <w:p w14:paraId="23F8FE2A">
            <w:pPr>
              <w:pStyle w:val="476"/>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本项目涉及环境管控单元情况如下：</w:t>
            </w:r>
          </w:p>
          <w:p w14:paraId="24C59657">
            <w:pPr>
              <w:pStyle w:val="476"/>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本项目涉及环境管控单元情况</w:t>
            </w:r>
          </w:p>
          <w:tbl>
            <w:tblPr>
              <w:tblStyle w:val="48"/>
              <w:tblW w:w="7858"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273"/>
              <w:gridCol w:w="1384"/>
              <w:gridCol w:w="1548"/>
              <w:gridCol w:w="3630"/>
              <w:gridCol w:w="463"/>
              <w:gridCol w:w="560"/>
            </w:tblGrid>
            <w:tr w14:paraId="1B6A2F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051" w:hRule="atLeast"/>
                <w:jc w:val="center"/>
              </w:trPr>
              <w:tc>
                <w:tcPr>
                  <w:tcW w:w="273" w:type="dxa"/>
                  <w:tcBorders>
                    <w:top w:val="single" w:color="000000" w:sz="2" w:space="0"/>
                    <w:left w:val="single" w:color="000000" w:sz="2" w:space="0"/>
                    <w:bottom w:val="single" w:color="000000" w:sz="2" w:space="0"/>
                    <w:right w:val="single" w:color="000000" w:sz="2" w:space="0"/>
                  </w:tcBorders>
                  <w:vAlign w:val="center"/>
                </w:tcPr>
                <w:p w14:paraId="22B5322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384" w:type="dxa"/>
                  <w:tcBorders>
                    <w:top w:val="single" w:color="000000" w:sz="2" w:space="0"/>
                    <w:left w:val="single" w:color="000000" w:sz="2" w:space="0"/>
                    <w:bottom w:val="single" w:color="000000" w:sz="2" w:space="0"/>
                    <w:right w:val="single" w:color="000000" w:sz="2" w:space="0"/>
                  </w:tcBorders>
                  <w:vAlign w:val="center"/>
                </w:tcPr>
                <w:p w14:paraId="61E58FB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涉及环境管控单元名称</w:t>
                  </w:r>
                </w:p>
              </w:tc>
              <w:tc>
                <w:tcPr>
                  <w:tcW w:w="1548" w:type="dxa"/>
                  <w:tcBorders>
                    <w:top w:val="single" w:color="000000" w:sz="2" w:space="0"/>
                    <w:left w:val="single" w:color="000000" w:sz="2" w:space="0"/>
                    <w:bottom w:val="single" w:color="000000" w:sz="2" w:space="0"/>
                    <w:right w:val="single" w:color="000000" w:sz="2" w:space="0"/>
                  </w:tcBorders>
                  <w:vAlign w:val="center"/>
                </w:tcPr>
                <w:p w14:paraId="59BABD8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涉及环境管控单元编码</w:t>
                  </w:r>
                </w:p>
              </w:tc>
              <w:tc>
                <w:tcPr>
                  <w:tcW w:w="3630" w:type="dxa"/>
                  <w:tcBorders>
                    <w:top w:val="single" w:color="000000" w:sz="2" w:space="0"/>
                    <w:left w:val="single" w:color="000000" w:sz="2" w:space="0"/>
                    <w:bottom w:val="single" w:color="000000" w:sz="2" w:space="0"/>
                    <w:right w:val="single" w:color="000000" w:sz="2" w:space="0"/>
                  </w:tcBorders>
                  <w:vAlign w:val="center"/>
                </w:tcPr>
                <w:p w14:paraId="7E760FB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与管控单元关系（点选：点位信息；线选：相交长度,单位千米；面选：相交面积，单位平方千米）</w:t>
                  </w:r>
                </w:p>
              </w:tc>
              <w:tc>
                <w:tcPr>
                  <w:tcW w:w="463" w:type="dxa"/>
                  <w:tcBorders>
                    <w:top w:val="single" w:color="000000" w:sz="2" w:space="0"/>
                    <w:left w:val="single" w:color="000000" w:sz="2" w:space="0"/>
                    <w:bottom w:val="single" w:color="000000" w:sz="2" w:space="0"/>
                    <w:right w:val="single" w:color="000000" w:sz="2" w:space="0"/>
                  </w:tcBorders>
                  <w:vAlign w:val="center"/>
                </w:tcPr>
                <w:p w14:paraId="0D296C5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行政区划</w:t>
                  </w:r>
                </w:p>
              </w:tc>
              <w:tc>
                <w:tcPr>
                  <w:tcW w:w="560" w:type="dxa"/>
                  <w:tcBorders>
                    <w:top w:val="single" w:color="000000" w:sz="2" w:space="0"/>
                    <w:left w:val="single" w:color="000000" w:sz="2" w:space="0"/>
                    <w:bottom w:val="single" w:color="000000" w:sz="2" w:space="0"/>
                    <w:right w:val="single" w:color="000000" w:sz="2" w:space="0"/>
                  </w:tcBorders>
                  <w:vAlign w:val="center"/>
                </w:tcPr>
                <w:p w14:paraId="141D0B0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环境管控单元类型</w:t>
                  </w:r>
                </w:p>
              </w:tc>
            </w:tr>
            <w:tr w14:paraId="1C0432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055" w:hRule="atLeast"/>
                <w:jc w:val="center"/>
              </w:trPr>
              <w:tc>
                <w:tcPr>
                  <w:tcW w:w="273" w:type="dxa"/>
                  <w:tcBorders>
                    <w:top w:val="single" w:color="000000" w:sz="2" w:space="0"/>
                    <w:left w:val="single" w:color="000000" w:sz="2" w:space="0"/>
                    <w:bottom w:val="single" w:color="000000" w:sz="2" w:space="0"/>
                    <w:right w:val="single" w:color="000000" w:sz="2" w:space="0"/>
                  </w:tcBorders>
                  <w:vAlign w:val="center"/>
                </w:tcPr>
                <w:p w14:paraId="6065F57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84" w:type="dxa"/>
                  <w:tcBorders>
                    <w:top w:val="single" w:color="000000" w:sz="2" w:space="0"/>
                    <w:left w:val="single" w:color="000000" w:sz="2" w:space="0"/>
                    <w:bottom w:val="single" w:color="000000" w:sz="2" w:space="0"/>
                    <w:right w:val="single" w:color="000000" w:sz="2" w:space="0"/>
                  </w:tcBorders>
                  <w:vAlign w:val="center"/>
                </w:tcPr>
                <w:p w14:paraId="29B9EC0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四川达州普光经济开发区（含锂钾综合开发产业）</w:t>
                  </w:r>
                </w:p>
              </w:tc>
              <w:tc>
                <w:tcPr>
                  <w:tcW w:w="1548" w:type="dxa"/>
                  <w:tcBorders>
                    <w:top w:val="single" w:color="000000" w:sz="2" w:space="0"/>
                    <w:left w:val="single" w:color="000000" w:sz="2" w:space="0"/>
                    <w:bottom w:val="single" w:color="000000" w:sz="2" w:space="0"/>
                    <w:right w:val="single" w:color="000000" w:sz="2" w:space="0"/>
                  </w:tcBorders>
                  <w:vAlign w:val="center"/>
                </w:tcPr>
                <w:p w14:paraId="0537CC4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ZH51172220002</w:t>
                  </w:r>
                </w:p>
              </w:tc>
              <w:tc>
                <w:tcPr>
                  <w:tcW w:w="3630" w:type="dxa"/>
                  <w:tcBorders>
                    <w:top w:val="single" w:color="000000" w:sz="2" w:space="0"/>
                    <w:left w:val="single" w:color="000000" w:sz="2" w:space="0"/>
                    <w:bottom w:val="single" w:color="000000" w:sz="2" w:space="0"/>
                    <w:right w:val="single" w:color="000000" w:sz="2" w:space="0"/>
                  </w:tcBorders>
                  <w:vAlign w:val="center"/>
                </w:tcPr>
                <w:p w14:paraId="7F648B0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[107.67866534223148 31.519595265683336]</w:t>
                  </w:r>
                </w:p>
              </w:tc>
              <w:tc>
                <w:tcPr>
                  <w:tcW w:w="463" w:type="dxa"/>
                  <w:tcBorders>
                    <w:top w:val="single" w:color="000000" w:sz="2" w:space="0"/>
                    <w:left w:val="single" w:color="000000" w:sz="2" w:space="0"/>
                    <w:bottom w:val="single" w:color="000000" w:sz="2" w:space="0"/>
                    <w:right w:val="single" w:color="000000" w:sz="2" w:space="0"/>
                  </w:tcBorders>
                  <w:vAlign w:val="center"/>
                </w:tcPr>
                <w:p w14:paraId="615B326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560" w:type="dxa"/>
                  <w:tcBorders>
                    <w:top w:val="single" w:color="000000" w:sz="2" w:space="0"/>
                    <w:left w:val="single" w:color="000000" w:sz="2" w:space="0"/>
                    <w:bottom w:val="single" w:color="000000" w:sz="2" w:space="0"/>
                    <w:right w:val="single" w:color="000000" w:sz="2" w:space="0"/>
                  </w:tcBorders>
                  <w:vAlign w:val="center"/>
                </w:tcPr>
                <w:p w14:paraId="5B737B6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工业重点管控单元</w:t>
                  </w:r>
                </w:p>
              </w:tc>
            </w:tr>
          </w:tbl>
          <w:p w14:paraId="26740922">
            <w:pPr>
              <w:pStyle w:val="476"/>
              <w:spacing w:line="240" w:lineRule="auto"/>
              <w:ind w:left="0" w:leftChars="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本项目涉及环境要素管控分区情况</w:t>
            </w:r>
          </w:p>
          <w:tbl>
            <w:tblPr>
              <w:tblStyle w:val="48"/>
              <w:tblW w:w="7829"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361"/>
              <w:gridCol w:w="1883"/>
              <w:gridCol w:w="2204"/>
              <w:gridCol w:w="890"/>
              <w:gridCol w:w="893"/>
              <w:gridCol w:w="1598"/>
            </w:tblGrid>
            <w:tr w14:paraId="59D4B0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7"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6815453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883" w:type="dxa"/>
                  <w:tcBorders>
                    <w:top w:val="single" w:color="000000" w:sz="2" w:space="0"/>
                    <w:left w:val="single" w:color="000000" w:sz="2" w:space="0"/>
                    <w:bottom w:val="single" w:color="000000" w:sz="2" w:space="0"/>
                    <w:right w:val="single" w:color="000000" w:sz="2" w:space="0"/>
                  </w:tcBorders>
                  <w:vAlign w:val="center"/>
                </w:tcPr>
                <w:p w14:paraId="282E847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涉及环境要素管控分区名称</w:t>
                  </w:r>
                </w:p>
              </w:tc>
              <w:tc>
                <w:tcPr>
                  <w:tcW w:w="2204" w:type="dxa"/>
                  <w:tcBorders>
                    <w:top w:val="single" w:color="000000" w:sz="2" w:space="0"/>
                    <w:left w:val="single" w:color="000000" w:sz="2" w:space="0"/>
                    <w:bottom w:val="single" w:color="000000" w:sz="2" w:space="0"/>
                    <w:right w:val="single" w:color="000000" w:sz="2" w:space="0"/>
                  </w:tcBorders>
                  <w:vAlign w:val="center"/>
                </w:tcPr>
                <w:p w14:paraId="7D8AEB1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涉及环境要素管控分区编码</w:t>
                  </w:r>
                </w:p>
              </w:tc>
              <w:tc>
                <w:tcPr>
                  <w:tcW w:w="890" w:type="dxa"/>
                  <w:tcBorders>
                    <w:top w:val="single" w:color="000000" w:sz="2" w:space="0"/>
                    <w:left w:val="single" w:color="000000" w:sz="2" w:space="0"/>
                    <w:bottom w:val="single" w:color="000000" w:sz="2" w:space="0"/>
                    <w:right w:val="single" w:color="000000" w:sz="2" w:space="0"/>
                  </w:tcBorders>
                  <w:vAlign w:val="center"/>
                </w:tcPr>
                <w:p w14:paraId="3647203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行政区划</w:t>
                  </w:r>
                </w:p>
              </w:tc>
              <w:tc>
                <w:tcPr>
                  <w:tcW w:w="893" w:type="dxa"/>
                  <w:tcBorders>
                    <w:top w:val="single" w:color="000000" w:sz="2" w:space="0"/>
                    <w:left w:val="single" w:color="000000" w:sz="2" w:space="0"/>
                    <w:bottom w:val="single" w:color="000000" w:sz="2" w:space="0"/>
                    <w:right w:val="single" w:color="000000" w:sz="2" w:space="0"/>
                  </w:tcBorders>
                  <w:vAlign w:val="center"/>
                </w:tcPr>
                <w:p w14:paraId="4833BAD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环境要素类型</w:t>
                  </w:r>
                </w:p>
              </w:tc>
              <w:tc>
                <w:tcPr>
                  <w:tcW w:w="1598" w:type="dxa"/>
                  <w:tcBorders>
                    <w:top w:val="single" w:color="000000" w:sz="2" w:space="0"/>
                    <w:left w:val="single" w:color="000000" w:sz="2" w:space="0"/>
                    <w:bottom w:val="single" w:color="000000" w:sz="2" w:space="0"/>
                    <w:right w:val="single" w:color="000000" w:sz="2" w:space="0"/>
                  </w:tcBorders>
                  <w:vAlign w:val="center"/>
                </w:tcPr>
                <w:p w14:paraId="6A8EE43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环境要素细类</w:t>
                  </w:r>
                </w:p>
              </w:tc>
            </w:tr>
            <w:tr w14:paraId="3E2D32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7"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2B14ED3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883" w:type="dxa"/>
                  <w:tcBorders>
                    <w:top w:val="single" w:color="000000" w:sz="2" w:space="0"/>
                    <w:left w:val="single" w:color="000000" w:sz="2" w:space="0"/>
                    <w:bottom w:val="single" w:color="000000" w:sz="2" w:space="0"/>
                    <w:right w:val="single" w:color="000000" w:sz="2" w:space="0"/>
                  </w:tcBorders>
                  <w:vAlign w:val="center"/>
                </w:tcPr>
                <w:p w14:paraId="0CD8377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州河-宣汉县-张鼓坪-控制单元</w:t>
                  </w:r>
                </w:p>
              </w:tc>
              <w:tc>
                <w:tcPr>
                  <w:tcW w:w="2204" w:type="dxa"/>
                  <w:tcBorders>
                    <w:top w:val="single" w:color="000000" w:sz="2" w:space="0"/>
                    <w:left w:val="single" w:color="000000" w:sz="2" w:space="0"/>
                    <w:bottom w:val="single" w:color="000000" w:sz="2" w:space="0"/>
                    <w:right w:val="single" w:color="000000" w:sz="2" w:space="0"/>
                  </w:tcBorders>
                  <w:vAlign w:val="center"/>
                </w:tcPr>
                <w:p w14:paraId="0B3275F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YS5117222210001</w:t>
                  </w:r>
                </w:p>
              </w:tc>
              <w:tc>
                <w:tcPr>
                  <w:tcW w:w="890" w:type="dxa"/>
                  <w:tcBorders>
                    <w:top w:val="single" w:color="000000" w:sz="2" w:space="0"/>
                    <w:left w:val="single" w:color="000000" w:sz="2" w:space="0"/>
                    <w:bottom w:val="single" w:color="000000" w:sz="2" w:space="0"/>
                    <w:right w:val="single" w:color="000000" w:sz="2" w:space="0"/>
                  </w:tcBorders>
                  <w:vAlign w:val="center"/>
                </w:tcPr>
                <w:p w14:paraId="1357103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893" w:type="dxa"/>
                  <w:tcBorders>
                    <w:top w:val="single" w:color="000000" w:sz="2" w:space="0"/>
                    <w:left w:val="single" w:color="000000" w:sz="2" w:space="0"/>
                    <w:bottom w:val="single" w:color="000000" w:sz="2" w:space="0"/>
                    <w:right w:val="single" w:color="000000" w:sz="2" w:space="0"/>
                  </w:tcBorders>
                  <w:vAlign w:val="center"/>
                </w:tcPr>
                <w:p w14:paraId="7803615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w:t>
                  </w:r>
                </w:p>
              </w:tc>
              <w:tc>
                <w:tcPr>
                  <w:tcW w:w="1598" w:type="dxa"/>
                  <w:tcBorders>
                    <w:top w:val="single" w:color="000000" w:sz="2" w:space="0"/>
                    <w:left w:val="single" w:color="000000" w:sz="2" w:space="0"/>
                    <w:bottom w:val="single" w:color="000000" w:sz="2" w:space="0"/>
                    <w:right w:val="single" w:color="000000" w:sz="2" w:space="0"/>
                  </w:tcBorders>
                  <w:vAlign w:val="center"/>
                </w:tcPr>
                <w:p w14:paraId="47D5A46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水环境工业污染重点管控区</w:t>
                  </w:r>
                </w:p>
              </w:tc>
            </w:tr>
            <w:tr w14:paraId="57DE6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7"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66C2533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883" w:type="dxa"/>
                  <w:tcBorders>
                    <w:top w:val="single" w:color="000000" w:sz="2" w:space="0"/>
                    <w:left w:val="single" w:color="000000" w:sz="2" w:space="0"/>
                    <w:bottom w:val="single" w:color="000000" w:sz="2" w:space="0"/>
                    <w:right w:val="single" w:color="000000" w:sz="2" w:space="0"/>
                  </w:tcBorders>
                  <w:vAlign w:val="center"/>
                </w:tcPr>
                <w:p w14:paraId="057569F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四川达州普光经济开发区</w:t>
                  </w:r>
                </w:p>
              </w:tc>
              <w:tc>
                <w:tcPr>
                  <w:tcW w:w="2204" w:type="dxa"/>
                  <w:tcBorders>
                    <w:top w:val="single" w:color="000000" w:sz="2" w:space="0"/>
                    <w:left w:val="single" w:color="000000" w:sz="2" w:space="0"/>
                    <w:bottom w:val="single" w:color="000000" w:sz="2" w:space="0"/>
                    <w:right w:val="single" w:color="000000" w:sz="2" w:space="0"/>
                  </w:tcBorders>
                  <w:vAlign w:val="center"/>
                </w:tcPr>
                <w:p w14:paraId="5E57B42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YS5117222310001</w:t>
                  </w:r>
                </w:p>
              </w:tc>
              <w:tc>
                <w:tcPr>
                  <w:tcW w:w="890" w:type="dxa"/>
                  <w:tcBorders>
                    <w:top w:val="single" w:color="000000" w:sz="2" w:space="0"/>
                    <w:left w:val="single" w:color="000000" w:sz="2" w:space="0"/>
                    <w:bottom w:val="single" w:color="000000" w:sz="2" w:space="0"/>
                    <w:right w:val="single" w:color="000000" w:sz="2" w:space="0"/>
                  </w:tcBorders>
                  <w:vAlign w:val="center"/>
                </w:tcPr>
                <w:p w14:paraId="3493256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893" w:type="dxa"/>
                  <w:tcBorders>
                    <w:top w:val="single" w:color="000000" w:sz="2" w:space="0"/>
                    <w:left w:val="single" w:color="000000" w:sz="2" w:space="0"/>
                    <w:bottom w:val="single" w:color="000000" w:sz="2" w:space="0"/>
                    <w:right w:val="single" w:color="000000" w:sz="2" w:space="0"/>
                  </w:tcBorders>
                  <w:vAlign w:val="center"/>
                </w:tcPr>
                <w:p w14:paraId="500A038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tc>
              <w:tc>
                <w:tcPr>
                  <w:tcW w:w="1598" w:type="dxa"/>
                  <w:tcBorders>
                    <w:top w:val="single" w:color="000000" w:sz="2" w:space="0"/>
                    <w:left w:val="single" w:color="000000" w:sz="2" w:space="0"/>
                    <w:bottom w:val="single" w:color="000000" w:sz="2" w:space="0"/>
                    <w:right w:val="single" w:color="000000" w:sz="2" w:space="0"/>
                  </w:tcBorders>
                  <w:vAlign w:val="center"/>
                </w:tcPr>
                <w:p w14:paraId="22C1BEC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大气环境高排放重点管控区</w:t>
                  </w:r>
                </w:p>
              </w:tc>
            </w:tr>
            <w:tr w14:paraId="2F85CE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7"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1E11408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883" w:type="dxa"/>
                  <w:tcBorders>
                    <w:top w:val="single" w:color="000000" w:sz="2" w:space="0"/>
                    <w:left w:val="single" w:color="000000" w:sz="2" w:space="0"/>
                    <w:bottom w:val="single" w:color="000000" w:sz="2" w:space="0"/>
                    <w:right w:val="single" w:color="000000" w:sz="2" w:space="0"/>
                  </w:tcBorders>
                  <w:vAlign w:val="center"/>
                </w:tcPr>
                <w:p w14:paraId="79FDF3E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宣汉县城镇开发边界</w:t>
                  </w:r>
                </w:p>
              </w:tc>
              <w:tc>
                <w:tcPr>
                  <w:tcW w:w="2204" w:type="dxa"/>
                  <w:tcBorders>
                    <w:top w:val="single" w:color="000000" w:sz="2" w:space="0"/>
                    <w:left w:val="single" w:color="000000" w:sz="2" w:space="0"/>
                    <w:bottom w:val="single" w:color="000000" w:sz="2" w:space="0"/>
                    <w:right w:val="single" w:color="000000" w:sz="2" w:space="0"/>
                  </w:tcBorders>
                  <w:vAlign w:val="center"/>
                </w:tcPr>
                <w:p w14:paraId="32D1292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YS5117222530001</w:t>
                  </w:r>
                </w:p>
              </w:tc>
              <w:tc>
                <w:tcPr>
                  <w:tcW w:w="890" w:type="dxa"/>
                  <w:tcBorders>
                    <w:top w:val="single" w:color="000000" w:sz="2" w:space="0"/>
                    <w:left w:val="single" w:color="000000" w:sz="2" w:space="0"/>
                    <w:bottom w:val="single" w:color="000000" w:sz="2" w:space="0"/>
                    <w:right w:val="single" w:color="000000" w:sz="2" w:space="0"/>
                  </w:tcBorders>
                  <w:vAlign w:val="center"/>
                </w:tcPr>
                <w:p w14:paraId="34FC1DE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893" w:type="dxa"/>
                  <w:tcBorders>
                    <w:top w:val="single" w:color="000000" w:sz="2" w:space="0"/>
                    <w:left w:val="single" w:color="000000" w:sz="2" w:space="0"/>
                    <w:bottom w:val="single" w:color="000000" w:sz="2" w:space="0"/>
                    <w:right w:val="single" w:color="000000" w:sz="2" w:space="0"/>
                  </w:tcBorders>
                  <w:vAlign w:val="center"/>
                </w:tcPr>
                <w:p w14:paraId="0588C5F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自然资源</w:t>
                  </w:r>
                </w:p>
              </w:tc>
              <w:tc>
                <w:tcPr>
                  <w:tcW w:w="1598" w:type="dxa"/>
                  <w:tcBorders>
                    <w:top w:val="single" w:color="000000" w:sz="2" w:space="0"/>
                    <w:left w:val="single" w:color="000000" w:sz="2" w:space="0"/>
                    <w:bottom w:val="single" w:color="000000" w:sz="2" w:space="0"/>
                    <w:right w:val="single" w:color="000000" w:sz="2" w:space="0"/>
                  </w:tcBorders>
                  <w:vAlign w:val="center"/>
                </w:tcPr>
                <w:p w14:paraId="09715E0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土地资源重点管控区</w:t>
                  </w:r>
                </w:p>
              </w:tc>
            </w:tr>
            <w:tr w14:paraId="50F7D5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497"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178A76A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883" w:type="dxa"/>
                  <w:tcBorders>
                    <w:top w:val="single" w:color="000000" w:sz="2" w:space="0"/>
                    <w:left w:val="single" w:color="000000" w:sz="2" w:space="0"/>
                    <w:bottom w:val="single" w:color="000000" w:sz="2" w:space="0"/>
                    <w:right w:val="single" w:color="000000" w:sz="2" w:space="0"/>
                  </w:tcBorders>
                  <w:vAlign w:val="center"/>
                </w:tcPr>
                <w:p w14:paraId="7268518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宣汉县自然资源重点管控区</w:t>
                  </w:r>
                </w:p>
              </w:tc>
              <w:tc>
                <w:tcPr>
                  <w:tcW w:w="2204" w:type="dxa"/>
                  <w:tcBorders>
                    <w:top w:val="single" w:color="000000" w:sz="2" w:space="0"/>
                    <w:left w:val="single" w:color="000000" w:sz="2" w:space="0"/>
                    <w:bottom w:val="single" w:color="000000" w:sz="2" w:space="0"/>
                    <w:right w:val="single" w:color="000000" w:sz="2" w:space="0"/>
                  </w:tcBorders>
                  <w:vAlign w:val="center"/>
                </w:tcPr>
                <w:p w14:paraId="79E8564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YS5117222550001</w:t>
                  </w:r>
                </w:p>
              </w:tc>
              <w:tc>
                <w:tcPr>
                  <w:tcW w:w="890" w:type="dxa"/>
                  <w:tcBorders>
                    <w:top w:val="single" w:color="000000" w:sz="2" w:space="0"/>
                    <w:left w:val="single" w:color="000000" w:sz="2" w:space="0"/>
                    <w:bottom w:val="single" w:color="000000" w:sz="2" w:space="0"/>
                    <w:right w:val="single" w:color="000000" w:sz="2" w:space="0"/>
                  </w:tcBorders>
                  <w:vAlign w:val="center"/>
                </w:tcPr>
                <w:p w14:paraId="790FA93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893" w:type="dxa"/>
                  <w:tcBorders>
                    <w:top w:val="single" w:color="000000" w:sz="2" w:space="0"/>
                    <w:left w:val="single" w:color="000000" w:sz="2" w:space="0"/>
                    <w:bottom w:val="single" w:color="000000" w:sz="2" w:space="0"/>
                    <w:right w:val="single" w:color="000000" w:sz="2" w:space="0"/>
                  </w:tcBorders>
                  <w:vAlign w:val="center"/>
                </w:tcPr>
                <w:p w14:paraId="1420DC0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自然资源</w:t>
                  </w:r>
                </w:p>
              </w:tc>
              <w:tc>
                <w:tcPr>
                  <w:tcW w:w="1598" w:type="dxa"/>
                  <w:tcBorders>
                    <w:top w:val="single" w:color="000000" w:sz="2" w:space="0"/>
                    <w:left w:val="single" w:color="000000" w:sz="2" w:space="0"/>
                    <w:bottom w:val="single" w:color="000000" w:sz="2" w:space="0"/>
                    <w:right w:val="single" w:color="000000" w:sz="2" w:space="0"/>
                  </w:tcBorders>
                  <w:vAlign w:val="center"/>
                </w:tcPr>
                <w:p w14:paraId="3139EE8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自然资源重点管控区</w:t>
                  </w:r>
                </w:p>
              </w:tc>
            </w:tr>
            <w:tr w14:paraId="3E812F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1" w:hRule="atLeast"/>
                <w:jc w:val="center"/>
              </w:trPr>
              <w:tc>
                <w:tcPr>
                  <w:tcW w:w="361" w:type="dxa"/>
                  <w:tcBorders>
                    <w:top w:val="single" w:color="000000" w:sz="2" w:space="0"/>
                    <w:left w:val="single" w:color="000000" w:sz="2" w:space="0"/>
                    <w:bottom w:val="single" w:color="000000" w:sz="2" w:space="0"/>
                    <w:right w:val="single" w:color="000000" w:sz="2" w:space="0"/>
                  </w:tcBorders>
                  <w:vAlign w:val="center"/>
                </w:tcPr>
                <w:p w14:paraId="4A076A7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883" w:type="dxa"/>
                  <w:tcBorders>
                    <w:top w:val="single" w:color="000000" w:sz="2" w:space="0"/>
                    <w:left w:val="single" w:color="000000" w:sz="2" w:space="0"/>
                    <w:bottom w:val="single" w:color="000000" w:sz="2" w:space="0"/>
                    <w:right w:val="single" w:color="000000" w:sz="2" w:space="0"/>
                  </w:tcBorders>
                  <w:vAlign w:val="center"/>
                </w:tcPr>
                <w:p w14:paraId="2BC546A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宣汉县其他区域</w:t>
                  </w:r>
                </w:p>
              </w:tc>
              <w:tc>
                <w:tcPr>
                  <w:tcW w:w="2204" w:type="dxa"/>
                  <w:tcBorders>
                    <w:top w:val="single" w:color="000000" w:sz="2" w:space="0"/>
                    <w:left w:val="single" w:color="000000" w:sz="2" w:space="0"/>
                    <w:bottom w:val="single" w:color="000000" w:sz="2" w:space="0"/>
                    <w:right w:val="single" w:color="000000" w:sz="2" w:space="0"/>
                  </w:tcBorders>
                  <w:vAlign w:val="center"/>
                </w:tcPr>
                <w:p w14:paraId="54E4CE9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YS5117223110001</w:t>
                  </w:r>
                </w:p>
              </w:tc>
              <w:tc>
                <w:tcPr>
                  <w:tcW w:w="890" w:type="dxa"/>
                  <w:tcBorders>
                    <w:top w:val="single" w:color="000000" w:sz="2" w:space="0"/>
                    <w:left w:val="single" w:color="000000" w:sz="2" w:space="0"/>
                    <w:bottom w:val="single" w:color="000000" w:sz="2" w:space="0"/>
                    <w:right w:val="single" w:color="000000" w:sz="2" w:space="0"/>
                  </w:tcBorders>
                  <w:vAlign w:val="center"/>
                </w:tcPr>
                <w:p w14:paraId="6E38490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达州市宣汉县</w:t>
                  </w:r>
                </w:p>
              </w:tc>
              <w:tc>
                <w:tcPr>
                  <w:tcW w:w="893" w:type="dxa"/>
                  <w:tcBorders>
                    <w:top w:val="single" w:color="000000" w:sz="2" w:space="0"/>
                    <w:left w:val="single" w:color="000000" w:sz="2" w:space="0"/>
                    <w:bottom w:val="single" w:color="000000" w:sz="2" w:space="0"/>
                    <w:right w:val="single" w:color="000000" w:sz="2" w:space="0"/>
                  </w:tcBorders>
                  <w:vAlign w:val="center"/>
                </w:tcPr>
                <w:p w14:paraId="1128E6F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w:t>
                  </w:r>
                </w:p>
              </w:tc>
              <w:tc>
                <w:tcPr>
                  <w:tcW w:w="1598" w:type="dxa"/>
                  <w:tcBorders>
                    <w:top w:val="single" w:color="000000" w:sz="2" w:space="0"/>
                    <w:left w:val="single" w:color="000000" w:sz="2" w:space="0"/>
                    <w:bottom w:val="single" w:color="000000" w:sz="2" w:space="0"/>
                    <w:right w:val="single" w:color="000000" w:sz="2" w:space="0"/>
                  </w:tcBorders>
                  <w:vAlign w:val="center"/>
                </w:tcPr>
                <w:p w14:paraId="12705C9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一般管控区</w:t>
                  </w:r>
                </w:p>
              </w:tc>
            </w:tr>
          </w:tbl>
          <w:p w14:paraId="5AF075C1">
            <w:pPr>
              <w:pStyle w:val="476"/>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综合以上，项目占地范围不涉及达州市生态保护红线。</w:t>
            </w:r>
          </w:p>
          <w:p w14:paraId="5814A495">
            <w:pPr>
              <w:pStyle w:val="476"/>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项目与“生态环境分区管控”相关要求的符合性分析见下表：</w:t>
            </w:r>
          </w:p>
        </w:tc>
      </w:tr>
    </w:tbl>
    <w:p w14:paraId="21300BEF">
      <w:pPr>
        <w:rPr>
          <w:rFonts w:hint="default" w:ascii="Times New Roman" w:hAnsi="Times New Roman" w:eastAsia="宋体" w:cs="Times New Roman"/>
          <w:color w:val="000000" w:themeColor="text1"/>
          <w14:textFill>
            <w14:solidFill>
              <w14:schemeClr w14:val="tx1"/>
            </w14:solidFill>
          </w14:textFill>
        </w:rPr>
        <w:sectPr>
          <w:headerReference r:id="rId4" w:type="default"/>
          <w:footerReference r:id="rId5" w:type="default"/>
          <w:pgSz w:w="11906" w:h="16838"/>
          <w:pgMar w:top="1701" w:right="1531" w:bottom="1701" w:left="1531" w:header="851" w:footer="1077" w:gutter="0"/>
          <w:pgNumType w:start="1"/>
          <w:cols w:space="720" w:num="1"/>
          <w:docGrid w:linePitch="312" w:charSpace="0"/>
        </w:sectPr>
      </w:pPr>
    </w:p>
    <w:p w14:paraId="0C18B588">
      <w:pPr>
        <w:pStyle w:val="476"/>
        <w:widowControl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 xml:space="preserve">  本项目“生态环境分区管控”总体管控要求符合性分析一览表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970"/>
        <w:gridCol w:w="765"/>
        <w:gridCol w:w="6613"/>
        <w:gridCol w:w="3341"/>
        <w:gridCol w:w="650"/>
      </w:tblGrid>
      <w:tr w14:paraId="04F3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4" w:type="pct"/>
            <w:gridSpan w:val="3"/>
            <w:tcBorders>
              <w:tl2br w:val="nil"/>
              <w:tr2bl w:val="nil"/>
            </w:tcBorders>
            <w:vAlign w:val="center"/>
          </w:tcPr>
          <w:p w14:paraId="05996B4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2422" w:type="pct"/>
            <w:tcBorders>
              <w:tl2br w:val="nil"/>
              <w:tr2bl w:val="nil"/>
            </w:tcBorders>
            <w:vAlign w:val="center"/>
          </w:tcPr>
          <w:p w14:paraId="0997F16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管控要求</w:t>
            </w:r>
          </w:p>
        </w:tc>
        <w:tc>
          <w:tcPr>
            <w:tcW w:w="1224" w:type="pct"/>
            <w:tcBorders>
              <w:tl2br w:val="nil"/>
              <w:tr2bl w:val="nil"/>
            </w:tcBorders>
            <w:vAlign w:val="center"/>
          </w:tcPr>
          <w:p w14:paraId="126F473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238" w:type="pct"/>
            <w:tcBorders>
              <w:tl2br w:val="nil"/>
              <w:tr2bl w:val="nil"/>
            </w:tcBorders>
            <w:vAlign w:val="center"/>
          </w:tcPr>
          <w:p w14:paraId="6A464E9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14:paraId="5013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restart"/>
            <w:tcBorders>
              <w:tl2br w:val="nil"/>
              <w:tr2bl w:val="nil"/>
            </w:tcBorders>
            <w:vAlign w:val="center"/>
          </w:tcPr>
          <w:p w14:paraId="22EB458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ZH51172220002四川达州普光经济开发区（含锂钾综合开发产业）</w:t>
            </w:r>
          </w:p>
        </w:tc>
        <w:tc>
          <w:tcPr>
            <w:tcW w:w="355" w:type="pct"/>
            <w:vMerge w:val="restart"/>
            <w:tcBorders>
              <w:tl2br w:val="nil"/>
              <w:tr2bl w:val="nil"/>
            </w:tcBorders>
            <w:vAlign w:val="center"/>
          </w:tcPr>
          <w:p w14:paraId="343D42E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普适性清单管求控要</w:t>
            </w:r>
          </w:p>
        </w:tc>
        <w:tc>
          <w:tcPr>
            <w:tcW w:w="280" w:type="pct"/>
            <w:vMerge w:val="restart"/>
            <w:tcBorders>
              <w:tl2br w:val="nil"/>
              <w:tr2bl w:val="nil"/>
            </w:tcBorders>
            <w:vAlign w:val="center"/>
          </w:tcPr>
          <w:p w14:paraId="69D3C9F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22" w:type="pct"/>
            <w:tcBorders>
              <w:tl2br w:val="nil"/>
              <w:tr2bl w:val="nil"/>
            </w:tcBorders>
            <w:vAlign w:val="center"/>
          </w:tcPr>
          <w:p w14:paraId="4A8C1CC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14:paraId="7CEF644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-禁止在长江干支流、重要湖泊岸线一公里范围内新建、扩建化工园区和化工项目，严控新建石油化工、煤化工、涉磷、造纸、印染、制革等项目。</w:t>
            </w:r>
          </w:p>
          <w:p w14:paraId="55E32E5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-禁止从事《长江经济带发展负面清单指南（试行）》禁止准入类事项。</w:t>
            </w:r>
          </w:p>
          <w:p w14:paraId="6EE8CC9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-引进项目应符合园区规划环评和区域产业准入及负面清单要求。</w:t>
            </w:r>
          </w:p>
          <w:p w14:paraId="5471C7C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-禁止新建不符合国家产业政策和行业准入条件的高污染项目。</w:t>
            </w:r>
          </w:p>
          <w:p w14:paraId="4D04519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-工业园区禁止新建高污染燃料锅炉。</w:t>
            </w:r>
          </w:p>
          <w:p w14:paraId="7077D23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-禁止在长江流域河湖管理范围内倾倒、填埋、堆放、弃置、处理固体废物。</w:t>
            </w:r>
          </w:p>
          <w:p w14:paraId="36014E2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-未通过认定的化工园区，不得新建、改扩建化工项目（安全、环保、节能和智能化改造项目除外），按属地原则依法依规妥善做好未通过认定化工园区及园内企业的转型、关闭、处置及监管工作。</w:t>
            </w:r>
          </w:p>
        </w:tc>
        <w:tc>
          <w:tcPr>
            <w:tcW w:w="1224" w:type="pct"/>
            <w:tcBorders>
              <w:tl2br w:val="nil"/>
              <w:tr2bl w:val="nil"/>
            </w:tcBorders>
            <w:vAlign w:val="center"/>
          </w:tcPr>
          <w:p w14:paraId="60C2B4E5">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①本项目选址于已认定的普光化工园区范围内建成的正达凯厂区内，本次属于技术改造；</w:t>
            </w:r>
          </w:p>
          <w:p w14:paraId="4734A034">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根据《四川省水利厅关于四川达州普光经济开发区申报化工园区认定审查意见的函》（川水函〔2021〕1637号）：“经复核，达州普光经济开发区位于长江一级支流嘉陵江、长江二级支流渠江岸线一公里范围外，不违背《中华人民共和国长江保护法》相关规定”；不属于《长江经济带发展负面清单指南（试行）》禁止准入类事项，符合园区规划环评准入要求；</w:t>
            </w:r>
          </w:p>
          <w:p w14:paraId="2CC79772">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③项目属于化工行业，选址位于化工园区内，距离后巴河约1.5km；</w:t>
            </w:r>
          </w:p>
          <w:p w14:paraId="5E8D15F3">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④本项目不涉及高污染燃料锅炉使用；</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⑤本项目不涉及VOCs排放，不属于禁止、限制开发建设活动。</w:t>
            </w:r>
          </w:p>
        </w:tc>
        <w:tc>
          <w:tcPr>
            <w:tcW w:w="238" w:type="pct"/>
            <w:tcBorders>
              <w:tl2br w:val="nil"/>
              <w:tr2bl w:val="nil"/>
            </w:tcBorders>
            <w:vAlign w:val="center"/>
          </w:tcPr>
          <w:p w14:paraId="763249E7">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6C1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13AFD03C">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0EC9373E">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73A9883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6AFEE0B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14:paraId="31B3FEF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-严格控制污染物新增排放量，对新建排放二氧化硫、氮氧化物、工业烟粉尘和VOCs的项目实施现役源2倍削减量替代。</w:t>
            </w:r>
          </w:p>
          <w:p w14:paraId="7871363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-严格实施环评制度，将细颗粒物达标情况纳入规划环评和相关项目环评内容，加快制定颗粒物、VOCs排放总量管理配套政策。</w:t>
            </w:r>
          </w:p>
          <w:p w14:paraId="6F7D965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-严格控制新建、扩建燃煤发电项目。</w:t>
            </w:r>
          </w:p>
          <w:p w14:paraId="6C6A06C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-严控达州市主城区上游沿岸地区新建石油化工、煤化工、涉磷、造纸、印染、制革等项目。</w:t>
            </w:r>
          </w:p>
        </w:tc>
        <w:tc>
          <w:tcPr>
            <w:tcW w:w="1224" w:type="pct"/>
            <w:tcBorders>
              <w:tl2br w:val="nil"/>
              <w:tr2bl w:val="nil"/>
            </w:tcBorders>
            <w:vAlign w:val="center"/>
          </w:tcPr>
          <w:p w14:paraId="3774B89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①经工程分析，本项目总量控制指标</w:t>
            </w:r>
            <w:r>
              <w:rPr>
                <w:rFonts w:hint="eastAsia" w:cs="Times New Roman"/>
                <w:color w:val="000000" w:themeColor="text1"/>
                <w:sz w:val="21"/>
                <w:szCs w:val="21"/>
                <w:lang w:val="en-US" w:eastAsia="zh-CN"/>
                <w14:textFill>
                  <w14:solidFill>
                    <w14:schemeClr w14:val="tx1"/>
                  </w14:solidFill>
                </w14:textFill>
              </w:rPr>
              <w:t>主要为生活污水中COD、NH</w:t>
            </w:r>
            <w:r>
              <w:rPr>
                <w:rFonts w:hint="eastAsia" w:cs="Times New Roman"/>
                <w:color w:val="000000" w:themeColor="text1"/>
                <w:sz w:val="21"/>
                <w:szCs w:val="21"/>
                <w:vertAlign w:val="sub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及TP的总量指标，不涉及废气指标</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②本项目仅为工艺尾气CO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的回收</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不涉及新建石油化工、煤化工、涉磷、造纸、印染、制革等类型。</w:t>
            </w:r>
          </w:p>
        </w:tc>
        <w:tc>
          <w:tcPr>
            <w:tcW w:w="238" w:type="pct"/>
            <w:tcBorders>
              <w:tl2br w:val="nil"/>
              <w:tr2bl w:val="nil"/>
            </w:tcBorders>
            <w:vAlign w:val="center"/>
          </w:tcPr>
          <w:p w14:paraId="54EDC4ED">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23C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5B731A44">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01BEB40E">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4307E816">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45CF4018">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14:paraId="5E8DD99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-现有属于禁止引入产业门类的企业，应按相关规定限期整治或退出。</w:t>
            </w:r>
          </w:p>
          <w:p w14:paraId="0021D1B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51F5346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-引导重污染产业退出或搬迁、企业分类退城入园，逐步打破近水靠城的历史工业布局。加大城市区域现有装备水平低、环保设施差的微小企业“关、停、并、转”实施力度，清理建成区上风向重点涉气项目。</w:t>
            </w:r>
          </w:p>
          <w:p w14:paraId="4003897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-石化、现代煤化工项目应纳入国家产业规划。新建、扩建石化、化工、焦化、有色金属冶炼、平板玻璃项目应布设在依法合规设立并经规划环评的产业园区。</w:t>
            </w:r>
          </w:p>
        </w:tc>
        <w:tc>
          <w:tcPr>
            <w:tcW w:w="1224" w:type="pct"/>
            <w:tcBorders>
              <w:tl2br w:val="nil"/>
              <w:tr2bl w:val="nil"/>
            </w:tcBorders>
            <w:vAlign w:val="center"/>
          </w:tcPr>
          <w:p w14:paraId="219D2280">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本项目选址位于依法合规设立并经规划环评的园区，并符合规划环评的产业园区准入要求。</w:t>
            </w:r>
          </w:p>
        </w:tc>
        <w:tc>
          <w:tcPr>
            <w:tcW w:w="238" w:type="pct"/>
            <w:tcBorders>
              <w:tl2br w:val="nil"/>
              <w:tr2bl w:val="nil"/>
            </w:tcBorders>
            <w:vAlign w:val="center"/>
          </w:tcPr>
          <w:p w14:paraId="404C4E9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AD5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2C1E1AF2">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4F8AE0D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68747EB4">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7027476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c>
          <w:tcPr>
            <w:tcW w:w="1224" w:type="pct"/>
            <w:tcBorders>
              <w:tl2br w:val="nil"/>
              <w:tr2bl w:val="nil"/>
            </w:tcBorders>
            <w:vAlign w:val="center"/>
          </w:tcPr>
          <w:p w14:paraId="53145E85">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38" w:type="pct"/>
            <w:tcBorders>
              <w:tl2br w:val="nil"/>
              <w:tr2bl w:val="nil"/>
            </w:tcBorders>
            <w:vAlign w:val="center"/>
          </w:tcPr>
          <w:p w14:paraId="080D622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52C4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4F6B1CA9">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762FEEB9">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restart"/>
            <w:tcBorders>
              <w:tl2br w:val="nil"/>
              <w:tr2bl w:val="nil"/>
            </w:tcBorders>
            <w:vAlign w:val="center"/>
          </w:tcPr>
          <w:p w14:paraId="0270A12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22" w:type="pct"/>
            <w:tcBorders>
              <w:tl2br w:val="nil"/>
              <w:tr2bl w:val="nil"/>
            </w:tcBorders>
            <w:vAlign w:val="center"/>
          </w:tcPr>
          <w:p w14:paraId="13AA8BB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允许排放量要求</w:t>
            </w:r>
          </w:p>
          <w:p w14:paraId="43A5E3E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达州市2025年水污染物允许排放量COD 4396.41t，氨氮 418.7t，TP 45.36t；达州市2025年大气污染物一次PM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14:textFill>
                  <w14:solidFill>
                    <w14:schemeClr w14:val="tx1"/>
                  </w14:solidFill>
                </w14:textFill>
              </w:rPr>
              <w:t xml:space="preserve"> 5805t、SO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xml:space="preserve"> 12773t、NOx 11892t、VOCs 13969t</w:t>
            </w:r>
          </w:p>
        </w:tc>
        <w:tc>
          <w:tcPr>
            <w:tcW w:w="1224" w:type="pct"/>
            <w:vMerge w:val="restart"/>
            <w:tcBorders>
              <w:tl2br w:val="nil"/>
              <w:tr2bl w:val="nil"/>
            </w:tcBorders>
            <w:vAlign w:val="center"/>
          </w:tcPr>
          <w:p w14:paraId="09D5D42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①经工程分析，本项目</w:t>
            </w:r>
            <w:r>
              <w:rPr>
                <w:rFonts w:hint="eastAsia" w:cs="Times New Roman"/>
                <w:color w:val="000000" w:themeColor="text1"/>
                <w:sz w:val="21"/>
                <w:szCs w:val="21"/>
                <w:lang w:val="en-US" w:eastAsia="zh-CN"/>
                <w14:textFill>
                  <w14:solidFill>
                    <w14:schemeClr w14:val="tx1"/>
                  </w14:solidFill>
                </w14:textFill>
              </w:rPr>
              <w:t>仅新增少量工作人员，生产环节不涉及新增总量控制指标</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②本项目少量洗管废水经</w:t>
            </w:r>
            <w:r>
              <w:rPr>
                <w:rFonts w:hint="eastAsia" w:cs="Times New Roman"/>
                <w:color w:val="000000" w:themeColor="text1"/>
                <w:sz w:val="21"/>
                <w:szCs w:val="21"/>
                <w:lang w:val="en-US" w:eastAsia="zh-CN"/>
                <w14:textFill>
                  <w14:solidFill>
                    <w14:schemeClr w14:val="tx1"/>
                  </w14:solidFill>
                </w14:textFill>
              </w:rPr>
              <w:t>回用水站处理后回用于生产工序</w:t>
            </w: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val="en-US" w:eastAsia="zh-CN"/>
                <w14:textFill>
                  <w14:solidFill>
                    <w14:schemeClr w14:val="tx1"/>
                  </w14:solidFill>
                </w14:textFill>
              </w:rPr>
              <w:t>改建</w:t>
            </w:r>
            <w:r>
              <w:rPr>
                <w:rFonts w:hint="default" w:ascii="Times New Roman" w:hAnsi="Times New Roman" w:eastAsia="宋体" w:cs="Times New Roman"/>
                <w:color w:val="000000" w:themeColor="text1"/>
                <w:sz w:val="21"/>
                <w:szCs w:val="21"/>
                <w14:textFill>
                  <w14:solidFill>
                    <w14:schemeClr w14:val="tx1"/>
                  </w14:solidFill>
                </w14:textFill>
              </w:rPr>
              <w:t>项目，相关环保设施依托正达凯已建设施，目前，正达凯</w:t>
            </w:r>
            <w:r>
              <w:rPr>
                <w:rFonts w:hint="eastAsia" w:cs="Times New Roman"/>
                <w:color w:val="000000" w:themeColor="text1"/>
                <w:sz w:val="21"/>
                <w:szCs w:val="21"/>
                <w:lang w:val="en-US" w:eastAsia="zh-CN"/>
                <w14:textFill>
                  <w14:solidFill>
                    <w14:schemeClr w14:val="tx1"/>
                  </w14:solidFill>
                </w14:textFill>
              </w:rPr>
              <w:t>已经取得</w:t>
            </w:r>
            <w:r>
              <w:rPr>
                <w:rFonts w:hint="default" w:ascii="Times New Roman" w:hAnsi="Times New Roman" w:eastAsia="宋体" w:cs="Times New Roman"/>
                <w:color w:val="000000" w:themeColor="text1"/>
                <w:sz w:val="21"/>
                <w:szCs w:val="21"/>
                <w14:textFill>
                  <w14:solidFill>
                    <w14:schemeClr w14:val="tx1"/>
                  </w14:solidFill>
                </w14:textFill>
              </w:rPr>
              <w:t>环评重新报批</w:t>
            </w:r>
            <w:r>
              <w:rPr>
                <w:rFonts w:hint="eastAsia" w:cs="Times New Roman"/>
                <w:color w:val="000000" w:themeColor="text1"/>
                <w:sz w:val="21"/>
                <w:szCs w:val="21"/>
                <w:lang w:val="en-US" w:eastAsia="zh-CN"/>
                <w14:textFill>
                  <w14:solidFill>
                    <w14:schemeClr w14:val="tx1"/>
                  </w14:solidFill>
                </w14:textFill>
              </w:rPr>
              <w:t>批复</w:t>
            </w:r>
            <w:r>
              <w:rPr>
                <w:rFonts w:hint="default" w:ascii="Times New Roman" w:hAnsi="Times New Roman" w:eastAsia="宋体" w:cs="Times New Roman"/>
                <w:color w:val="000000" w:themeColor="text1"/>
                <w:sz w:val="21"/>
                <w:szCs w:val="21"/>
                <w14:textFill>
                  <w14:solidFill>
                    <w14:schemeClr w14:val="tx1"/>
                  </w14:solidFill>
                </w14:textFill>
              </w:rPr>
              <w:t>，废气排放源满足规定的排放要求；</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③正达凯设置有初期雨水收集治理设施；</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④正达凯目前已经实施“一企一管、明管输送、实时监测”，已经与园区污水处理厂运营单位通过签订委托处理合同等方式协同处理废水。</w:t>
            </w:r>
          </w:p>
        </w:tc>
        <w:tc>
          <w:tcPr>
            <w:tcW w:w="238" w:type="pct"/>
            <w:vMerge w:val="restart"/>
            <w:tcBorders>
              <w:tl2br w:val="nil"/>
              <w:tr2bl w:val="nil"/>
            </w:tcBorders>
            <w:vAlign w:val="center"/>
          </w:tcPr>
          <w:p w14:paraId="346BF1C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986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479" w:type="pct"/>
            <w:vMerge w:val="continue"/>
            <w:tcBorders>
              <w:tl2br w:val="nil"/>
              <w:tr2bl w:val="nil"/>
            </w:tcBorders>
            <w:vAlign w:val="center"/>
          </w:tcPr>
          <w:p w14:paraId="03E1904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1E729894">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35E1143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31865A7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现有源提标升级改造</w:t>
            </w:r>
          </w:p>
          <w:p w14:paraId="094BEEC8">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-污水收集处理率达100%；</w:t>
            </w:r>
          </w:p>
          <w:p w14:paraId="493CBF3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0DD1DBF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06C86C4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1224" w:type="pct"/>
            <w:vMerge w:val="continue"/>
            <w:tcBorders>
              <w:tl2br w:val="nil"/>
              <w:tr2bl w:val="nil"/>
            </w:tcBorders>
            <w:vAlign w:val="center"/>
          </w:tcPr>
          <w:p w14:paraId="05BD6A0E">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38" w:type="pct"/>
            <w:vMerge w:val="continue"/>
            <w:tcBorders>
              <w:tl2br w:val="nil"/>
              <w:tr2bl w:val="nil"/>
            </w:tcBorders>
            <w:vAlign w:val="center"/>
          </w:tcPr>
          <w:p w14:paraId="4D7FF010">
            <w:pPr>
              <w:pStyle w:val="516"/>
              <w:rPr>
                <w:rFonts w:hint="default" w:ascii="Times New Roman" w:hAnsi="Times New Roman" w:eastAsia="宋体" w:cs="Times New Roman"/>
                <w:color w:val="000000" w:themeColor="text1"/>
                <w:sz w:val="21"/>
                <w:szCs w:val="21"/>
                <w14:textFill>
                  <w14:solidFill>
                    <w14:schemeClr w14:val="tx1"/>
                  </w14:solidFill>
                </w14:textFill>
              </w:rPr>
            </w:pPr>
          </w:p>
        </w:tc>
      </w:tr>
      <w:tr w14:paraId="1453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2071EBBE">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124B4F4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3177C70C">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6E26730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其他污染物排放管控要求</w:t>
            </w:r>
          </w:p>
          <w:p w14:paraId="437896A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新增源等量或倍量替代：上一年度水环境质量未完成目标的，新建排放水污染的建设项目按照总量管控要求进行倍量削减替代。</w:t>
            </w:r>
          </w:p>
          <w:p w14:paraId="40138FD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上一年度空气质量年平均浓度不达标的城市，建设项目新增相关污染物按照总量管控要求进行倍量削减替代。</w:t>
            </w:r>
          </w:p>
          <w:p w14:paraId="4272D13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6B5DB2E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污染物排放绩效水平准入要求:新、改扩建项目污染排放指标满足《四川省省级生态工业园区指标》综合类生态工业园区要求。工业固体废弃物利用处置率达100%，危险废物处置率达100%。</w:t>
            </w:r>
          </w:p>
          <w:p w14:paraId="5CADE06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14:paraId="480627A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钢铁行业新建应参考达州市“三线一单”生态环境分区管控中钢铁行业资源环境绩效准入门槛。                         </w:t>
            </w:r>
          </w:p>
          <w:p w14:paraId="30FC56B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7DD4F15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4318C52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E8D900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224" w:type="pct"/>
            <w:tcBorders>
              <w:tl2br w:val="nil"/>
              <w:tr2bl w:val="nil"/>
            </w:tcBorders>
            <w:vAlign w:val="center"/>
          </w:tcPr>
          <w:p w14:paraId="0524F529">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①项目所在区域上一年度水环境质量、空气质量年平均浓度达标；</w:t>
            </w:r>
          </w:p>
          <w:p w14:paraId="2053E4E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②本项目工艺尾气主要含CO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，经物理回收后</w:t>
            </w:r>
            <w:r>
              <w:rPr>
                <w:rFonts w:hint="eastAsia" w:cs="Times New Roman"/>
                <w:color w:val="000000" w:themeColor="text1"/>
                <w:sz w:val="21"/>
                <w:szCs w:val="21"/>
                <w:lang w:val="en-US" w:eastAsia="zh-CN"/>
                <w14:textFill>
                  <w14:solidFill>
                    <w14:schemeClr w14:val="tx1"/>
                  </w14:solidFill>
                </w14:textFill>
              </w:rPr>
              <w:t>引至天然气加热炉燃烧</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③本项目固废处置合理，处理率达到100%；</w:t>
            </w:r>
          </w:p>
          <w:p w14:paraId="438EC5FD">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④本项目不涉及使用燃煤等高污染物燃料；</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⑤本项目不涉及重金属污染物排放；</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⑥本项目不涉及VOCs排放。</w:t>
            </w:r>
          </w:p>
        </w:tc>
        <w:tc>
          <w:tcPr>
            <w:tcW w:w="238" w:type="pct"/>
            <w:tcBorders>
              <w:tl2br w:val="nil"/>
              <w:tr2bl w:val="nil"/>
            </w:tcBorders>
            <w:vAlign w:val="center"/>
          </w:tcPr>
          <w:p w14:paraId="4F37F09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8BD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0E93E08A">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3389A2FD">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restart"/>
            <w:tcBorders>
              <w:tl2br w:val="nil"/>
              <w:tr2bl w:val="nil"/>
            </w:tcBorders>
            <w:vAlign w:val="center"/>
          </w:tcPr>
          <w:p w14:paraId="6257078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环境风险防范</w:t>
            </w:r>
          </w:p>
        </w:tc>
        <w:tc>
          <w:tcPr>
            <w:tcW w:w="2422" w:type="pct"/>
            <w:tcBorders>
              <w:tl2br w:val="nil"/>
              <w:tr2bl w:val="nil"/>
            </w:tcBorders>
            <w:vAlign w:val="center"/>
          </w:tcPr>
          <w:p w14:paraId="0E8F281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联防联控要求</w:t>
            </w:r>
          </w:p>
          <w:p w14:paraId="737584D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tc>
        <w:tc>
          <w:tcPr>
            <w:tcW w:w="1224" w:type="pct"/>
            <w:tcBorders>
              <w:tl2br w:val="nil"/>
              <w:tr2bl w:val="nil"/>
            </w:tcBorders>
            <w:vAlign w:val="center"/>
          </w:tcPr>
          <w:p w14:paraId="224F657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238" w:type="pct"/>
            <w:tcBorders>
              <w:tl2br w:val="nil"/>
              <w:tr2bl w:val="nil"/>
            </w:tcBorders>
            <w:vAlign w:val="center"/>
          </w:tcPr>
          <w:p w14:paraId="211ABE34">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C23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14:paraId="1F4FC82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60CD5075">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6089F807">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3FCB934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其他环境风险防控要求</w:t>
            </w:r>
          </w:p>
          <w:p w14:paraId="77FE5BF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2D9DC84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3932405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224" w:type="pct"/>
            <w:tcBorders>
              <w:tl2br w:val="nil"/>
              <w:tr2bl w:val="nil"/>
            </w:tcBorders>
            <w:vAlign w:val="center"/>
          </w:tcPr>
          <w:p w14:paraId="533363E2">
            <w:pPr>
              <w:pStyle w:val="516"/>
              <w:wordWrap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①本项目不涉及相应名录中列出的有毒有害物质；</w:t>
            </w:r>
          </w:p>
          <w:p w14:paraId="6760EF92">
            <w:pPr>
              <w:pStyle w:val="516"/>
              <w:wordWrap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w:t>
            </w:r>
            <w:r>
              <w:rPr>
                <w:rFonts w:hint="eastAsia" w:cs="Times New Roman"/>
                <w:color w:val="000000" w:themeColor="text1"/>
                <w:sz w:val="21"/>
                <w:szCs w:val="21"/>
                <w:lang w:val="en-US" w:eastAsia="zh-CN"/>
                <w14:textFill>
                  <w14:solidFill>
                    <w14:schemeClr w14:val="tx1"/>
                  </w14:solidFill>
                </w14:textFill>
              </w:rPr>
              <w:t>主要依托</w:t>
            </w:r>
            <w:r>
              <w:rPr>
                <w:rFonts w:hint="default" w:ascii="Times New Roman" w:hAnsi="Times New Roman" w:eastAsia="宋体" w:cs="Times New Roman"/>
                <w:color w:val="000000" w:themeColor="text1"/>
                <w:sz w:val="21"/>
                <w:szCs w:val="21"/>
                <w14:textFill>
                  <w14:solidFill>
                    <w14:schemeClr w14:val="tx1"/>
                  </w14:solidFill>
                </w14:textFill>
              </w:rPr>
              <w:t>正达凯现有风险防控和应急措施</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同时新增针对液氨采取风险防范措施</w:t>
            </w:r>
            <w:r>
              <w:rPr>
                <w:rFonts w:hint="default" w:ascii="Times New Roman" w:hAnsi="Times New Roman" w:eastAsia="宋体" w:cs="Times New Roman"/>
                <w:color w:val="000000" w:themeColor="text1"/>
                <w:sz w:val="21"/>
                <w:szCs w:val="21"/>
                <w14:textFill>
                  <w14:solidFill>
                    <w14:schemeClr w14:val="tx1"/>
                  </w14:solidFill>
                </w14:textFill>
              </w:rPr>
              <w:t>，确保项目风险可控。</w:t>
            </w:r>
          </w:p>
        </w:tc>
        <w:tc>
          <w:tcPr>
            <w:tcW w:w="238" w:type="pct"/>
            <w:tcBorders>
              <w:tl2br w:val="nil"/>
              <w:tr2bl w:val="nil"/>
            </w:tcBorders>
            <w:vAlign w:val="center"/>
          </w:tcPr>
          <w:p w14:paraId="6BF7F3A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F7C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479" w:type="pct"/>
            <w:vMerge w:val="continue"/>
            <w:tcBorders>
              <w:tl2br w:val="nil"/>
              <w:tr2bl w:val="nil"/>
            </w:tcBorders>
            <w:vAlign w:val="center"/>
          </w:tcPr>
          <w:p w14:paraId="10AAA8B8">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155B527D">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restart"/>
            <w:tcBorders>
              <w:tl2br w:val="nil"/>
              <w:tr2bl w:val="nil"/>
            </w:tcBorders>
            <w:vAlign w:val="center"/>
          </w:tcPr>
          <w:p w14:paraId="3655B3A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资源开发利用效率</w:t>
            </w:r>
          </w:p>
        </w:tc>
        <w:tc>
          <w:tcPr>
            <w:tcW w:w="2422" w:type="pct"/>
            <w:tcBorders>
              <w:tl2br w:val="nil"/>
              <w:tr2bl w:val="nil"/>
            </w:tcBorders>
            <w:vAlign w:val="center"/>
          </w:tcPr>
          <w:p w14:paraId="598A38A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水资源利用总量要求</w:t>
            </w:r>
          </w:p>
          <w:p w14:paraId="71C1CE0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新、改扩建项目污染水耗指标满足《四川省省级生态工业园区指标》综合类生态工业园区要求；到2022年，万元国内生产总值用水量、万元工业增加值用水量较2015年分别下降30%和28%。</w:t>
            </w:r>
          </w:p>
          <w:p w14:paraId="28ED50A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地下水开采要求</w:t>
            </w:r>
          </w:p>
          <w:p w14:paraId="37A2984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以省市下发指标为准</w:t>
            </w:r>
          </w:p>
        </w:tc>
        <w:tc>
          <w:tcPr>
            <w:tcW w:w="1224" w:type="pct"/>
            <w:tcBorders>
              <w:tl2br w:val="nil"/>
              <w:tr2bl w:val="nil"/>
            </w:tcBorders>
            <w:vAlign w:val="center"/>
          </w:tcPr>
          <w:p w14:paraId="2272161E">
            <w:pPr>
              <w:pStyle w:val="516"/>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本项目仅涉及</w:t>
            </w:r>
            <w:r>
              <w:rPr>
                <w:rFonts w:hint="eastAsia" w:cs="Times New Roman"/>
                <w:color w:val="000000" w:themeColor="text1"/>
                <w:sz w:val="21"/>
                <w:szCs w:val="21"/>
                <w:lang w:val="en-US" w:eastAsia="zh-CN"/>
                <w14:textFill>
                  <w14:solidFill>
                    <w14:schemeClr w14:val="tx1"/>
                  </w14:solidFill>
                </w14:textFill>
              </w:rPr>
              <w:t>原料气冷凝水和</w:t>
            </w:r>
            <w:r>
              <w:rPr>
                <w:rFonts w:hint="default" w:ascii="Times New Roman" w:hAnsi="Times New Roman" w:eastAsia="宋体" w:cs="Times New Roman"/>
                <w:color w:val="000000" w:themeColor="text1"/>
                <w:sz w:val="21"/>
                <w:szCs w:val="21"/>
                <w14:textFill>
                  <w14:solidFill>
                    <w14:schemeClr w14:val="tx1"/>
                  </w14:solidFill>
                </w14:textFill>
              </w:rPr>
              <w:t>少量洗管废水</w:t>
            </w:r>
            <w:r>
              <w:rPr>
                <w:rFonts w:hint="eastAsia" w:cs="Times New Roman"/>
                <w:color w:val="000000" w:themeColor="text1"/>
                <w:sz w:val="21"/>
                <w:szCs w:val="21"/>
                <w:lang w:eastAsia="zh-CN"/>
                <w14:textFill>
                  <w14:solidFill>
                    <w14:schemeClr w14:val="tx1"/>
                  </w14:solidFill>
                </w14:textFill>
              </w:rPr>
              <w:t>。</w:t>
            </w:r>
          </w:p>
        </w:tc>
        <w:tc>
          <w:tcPr>
            <w:tcW w:w="238" w:type="pct"/>
            <w:tcBorders>
              <w:tl2br w:val="nil"/>
              <w:tr2bl w:val="nil"/>
            </w:tcBorders>
            <w:vAlign w:val="center"/>
          </w:tcPr>
          <w:p w14:paraId="292A98C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525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pct"/>
            <w:vMerge w:val="continue"/>
            <w:tcBorders>
              <w:tl2br w:val="nil"/>
              <w:tr2bl w:val="nil"/>
            </w:tcBorders>
            <w:vAlign w:val="center"/>
          </w:tcPr>
          <w:p w14:paraId="1B8715DC">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7AEB8B2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2FC50504">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28BBFD3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能源利用总量及效率要求</w:t>
            </w:r>
          </w:p>
          <w:p w14:paraId="62CA151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川东北区域实施新建项目与煤炭消费总量控制挂钩机制，耗煤建设项目实行煤炭消耗等量减量替代。提高煤炭利用效率和天然气利用占比，工业领域有序推进“煤改电”和有序推进“煤改气”。</w:t>
            </w:r>
          </w:p>
          <w:p w14:paraId="052FB9D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-大力实施和推广以电代煤、以电代油工程，重点在城市交通、工商业等领域实施以电代油、以电代煤。</w:t>
            </w:r>
          </w:p>
          <w:p w14:paraId="267C63A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-增加天然气对煤炭和石油的替代，提高天然气民用、交通、发电、工业领域天然气消费比重。</w:t>
            </w:r>
          </w:p>
          <w:p w14:paraId="6EF54B9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-实施煤炭消费总量控制：严格控制煤炭消费总量；严格控制新建、改建、扩建耗煤项目，新增耗煤项目实行煤炭消耗减量倍量替代。</w:t>
            </w:r>
          </w:p>
          <w:p w14:paraId="7769A64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4CA3548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-推进清洁能源的推广使用，全面推进散煤清洁化整治；</w:t>
            </w:r>
          </w:p>
          <w:p w14:paraId="4BA225D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38353F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1224" w:type="pct"/>
            <w:tcBorders>
              <w:tl2br w:val="nil"/>
              <w:tr2bl w:val="nil"/>
            </w:tcBorders>
            <w:vAlign w:val="center"/>
          </w:tcPr>
          <w:p w14:paraId="60EA043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①本项目使用能源为电能，不涉及使用高污染燃料；</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②本项目不涉及新增锅炉。</w:t>
            </w:r>
          </w:p>
        </w:tc>
        <w:tc>
          <w:tcPr>
            <w:tcW w:w="238" w:type="pct"/>
            <w:tcBorders>
              <w:tl2br w:val="nil"/>
              <w:tr2bl w:val="nil"/>
            </w:tcBorders>
            <w:vAlign w:val="center"/>
          </w:tcPr>
          <w:p w14:paraId="49F7FBE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2E2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trPr>
        <w:tc>
          <w:tcPr>
            <w:tcW w:w="479" w:type="pct"/>
            <w:vMerge w:val="continue"/>
            <w:tcBorders>
              <w:tl2br w:val="nil"/>
              <w:tr2bl w:val="nil"/>
            </w:tcBorders>
            <w:vAlign w:val="center"/>
          </w:tcPr>
          <w:p w14:paraId="1FFFD808">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76BE06F5">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0091A759">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2C89969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禁燃区要求</w:t>
            </w:r>
          </w:p>
          <w:p w14:paraId="20465D7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14F3840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-禁燃区内禁止销售、燃用高污染燃料；禁止新建、改建、扩建燃用高污染燃料的设施和设备。</w:t>
            </w:r>
          </w:p>
          <w:p w14:paraId="3DBEBB6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-禁燃区内已建成的高污染燃料燃用设施由辖区人民政府制定限期改造计划，改用天然气、页岩气、液化石油气、电或其他清洁能源。</w:t>
            </w:r>
          </w:p>
        </w:tc>
        <w:tc>
          <w:tcPr>
            <w:tcW w:w="1224" w:type="pct"/>
            <w:tcBorders>
              <w:tl2br w:val="nil"/>
              <w:tr2bl w:val="nil"/>
            </w:tcBorders>
            <w:vAlign w:val="center"/>
          </w:tcPr>
          <w:p w14:paraId="0F3A3CB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本项目使用能源为电能，不涉及使用高污染燃料。</w:t>
            </w:r>
          </w:p>
        </w:tc>
        <w:tc>
          <w:tcPr>
            <w:tcW w:w="238" w:type="pct"/>
            <w:tcBorders>
              <w:tl2br w:val="nil"/>
              <w:tr2bl w:val="nil"/>
            </w:tcBorders>
            <w:vAlign w:val="center"/>
          </w:tcPr>
          <w:p w14:paraId="04B9722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166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79" w:type="pct"/>
            <w:vMerge w:val="continue"/>
            <w:tcBorders>
              <w:tl2br w:val="nil"/>
              <w:tr2bl w:val="nil"/>
            </w:tcBorders>
            <w:vAlign w:val="center"/>
          </w:tcPr>
          <w:p w14:paraId="4B183C4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20DA36C7">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vMerge w:val="continue"/>
            <w:tcBorders>
              <w:tl2br w:val="nil"/>
              <w:tr2bl w:val="nil"/>
            </w:tcBorders>
            <w:vAlign w:val="center"/>
          </w:tcPr>
          <w:p w14:paraId="608DD916">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422" w:type="pct"/>
            <w:tcBorders>
              <w:tl2br w:val="nil"/>
              <w:tr2bl w:val="nil"/>
            </w:tcBorders>
            <w:vAlign w:val="center"/>
          </w:tcPr>
          <w:p w14:paraId="334B607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其他资源利用效率要求：/</w:t>
            </w:r>
          </w:p>
        </w:tc>
        <w:tc>
          <w:tcPr>
            <w:tcW w:w="1224" w:type="pct"/>
            <w:tcBorders>
              <w:tl2br w:val="nil"/>
              <w:tr2bl w:val="nil"/>
            </w:tcBorders>
            <w:vAlign w:val="center"/>
          </w:tcPr>
          <w:p w14:paraId="1934484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38" w:type="pct"/>
            <w:tcBorders>
              <w:tl2br w:val="nil"/>
              <w:tr2bl w:val="nil"/>
            </w:tcBorders>
            <w:vAlign w:val="center"/>
          </w:tcPr>
          <w:p w14:paraId="5DF39AB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3FF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pct"/>
            <w:vMerge w:val="continue"/>
            <w:tcBorders>
              <w:tl2br w:val="nil"/>
              <w:tr2bl w:val="nil"/>
            </w:tcBorders>
            <w:vAlign w:val="center"/>
          </w:tcPr>
          <w:p w14:paraId="1B01F61A">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restart"/>
            <w:tcBorders>
              <w:tl2br w:val="nil"/>
              <w:tr2bl w:val="nil"/>
            </w:tcBorders>
            <w:vAlign w:val="center"/>
          </w:tcPr>
          <w:p w14:paraId="6223C18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单元特性管控要求</w:t>
            </w:r>
          </w:p>
        </w:tc>
        <w:tc>
          <w:tcPr>
            <w:tcW w:w="280" w:type="pct"/>
            <w:tcBorders>
              <w:tl2br w:val="nil"/>
              <w:tr2bl w:val="nil"/>
            </w:tcBorders>
            <w:vAlign w:val="center"/>
          </w:tcPr>
          <w:p w14:paraId="1464FA1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22" w:type="pct"/>
            <w:tcBorders>
              <w:tl2br w:val="nil"/>
              <w:tr2bl w:val="nil"/>
            </w:tcBorders>
            <w:vAlign w:val="center"/>
          </w:tcPr>
          <w:p w14:paraId="502B512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14:paraId="320E77B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1、禁止引入有色金属冶炼（再生铝除外）、印染、皮革鞣制、制浆造纸、印制电路板、专业电镀等重污染项目；</w:t>
            </w:r>
          </w:p>
          <w:p w14:paraId="7DBCC0D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2、宣汉县徐家坡饮用水源地准保护区撤销前，柳池功能区饮用水源准保护区内禁止新建、扩建对水体污染严重的建设项目，改建建设项目，不得增加排污量；</w:t>
            </w:r>
          </w:p>
          <w:p w14:paraId="2D46574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3、其它同达州市工业重点管控单元要求</w:t>
            </w:r>
          </w:p>
          <w:p w14:paraId="2B3A019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14:paraId="607C383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1、涉及电镀的工序必须达到清洁生产一级水平</w:t>
            </w:r>
          </w:p>
          <w:p w14:paraId="4557D86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2、普光化工园区周边涉及永久基本农田区域，布局项目应充分考虑涉气特征污染物（氟化氢、氯气、硫酸雾、硫化氢、氯化氢等）对基本农田的影响，适当优化布局</w:t>
            </w:r>
          </w:p>
          <w:p w14:paraId="6EE0950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3、其它同达州市工业重点管控单元要求</w:t>
            </w:r>
          </w:p>
          <w:p w14:paraId="29E8E63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允许开发建设活动的要求：/</w:t>
            </w:r>
          </w:p>
          <w:p w14:paraId="0A2A9C6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14:paraId="5BBA1A7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南坝功能区：1）中石油净化厂厂址用地可布局改性硫磺、天然气脱硫净化配套服务业、相关设备制造等环境影响较小的产业；2）该功能区不得在规划边界外现有或已规划的居住区等敏感目标的近距离范围内布设与敏感目标相禁忌的产业；不得入驻食品、医药成品等与该功能区主导产业相禁忌的产业</w:t>
            </w:r>
          </w:p>
          <w:p w14:paraId="6A3DD1B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普光功能区：将天然气化工、硫化工、锂钾综合开发等符合相关规划的化工产业布局在达州普光化工园区内；改性硫磺、天然气脱硫净化、锂钾综合开发等化工产业的配套服务业、相关设备制造业等符合相关规划的产业优先布局在达州普光化工园区之外的工业用地上</w:t>
            </w:r>
          </w:p>
          <w:p w14:paraId="3F3F26C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3、方斗功能区：农副食品加工产业中涉及恶臭、异味的企业建议集中布局在方斗社区以西、国道210线以南的区域</w:t>
            </w:r>
          </w:p>
          <w:p w14:paraId="10FC70F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c>
          <w:tcPr>
            <w:tcW w:w="1224" w:type="pct"/>
            <w:tcBorders>
              <w:tl2br w:val="nil"/>
              <w:tr2bl w:val="nil"/>
            </w:tcBorders>
            <w:vAlign w:val="center"/>
          </w:tcPr>
          <w:p w14:paraId="47475AD1">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本项目位于四川达州普光经济开发区-普光功能区</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普光化工园区</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，属于基础化学原料制造，不属于禁止引入的</w:t>
            </w:r>
            <w:r>
              <w:rPr>
                <w:rFonts w:hint="eastAsia" w:cs="Times New Roman"/>
                <w:color w:val="000000" w:themeColor="text1"/>
                <w:sz w:val="21"/>
                <w:szCs w:val="21"/>
                <w:lang w:val="en-US" w:eastAsia="zh-CN"/>
                <w14:textFill>
                  <w14:solidFill>
                    <w14:schemeClr w14:val="tx1"/>
                  </w14:solidFill>
                </w14:textFill>
              </w:rPr>
              <w:t>行业类别</w:t>
            </w:r>
            <w:r>
              <w:rPr>
                <w:rFonts w:hint="default" w:ascii="Times New Roman" w:hAnsi="Times New Roman" w:eastAsia="宋体" w:cs="Times New Roman"/>
                <w:color w:val="000000" w:themeColor="text1"/>
                <w:sz w:val="21"/>
                <w:szCs w:val="21"/>
                <w14:textFill>
                  <w14:solidFill>
                    <w14:schemeClr w14:val="tx1"/>
                  </w14:solidFill>
                </w14:textFill>
              </w:rPr>
              <w:t>。本项目位于普光功能区范围。</w:t>
            </w:r>
          </w:p>
          <w:p w14:paraId="0D410527">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38" w:type="pct"/>
            <w:tcBorders>
              <w:tl2br w:val="nil"/>
              <w:tr2bl w:val="nil"/>
            </w:tcBorders>
            <w:vAlign w:val="center"/>
          </w:tcPr>
          <w:p w14:paraId="1A121C53">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A69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79" w:type="pct"/>
            <w:vMerge w:val="continue"/>
            <w:tcBorders>
              <w:tl2br w:val="nil"/>
              <w:tr2bl w:val="nil"/>
            </w:tcBorders>
            <w:vAlign w:val="center"/>
          </w:tcPr>
          <w:p w14:paraId="1B4A0021">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0698E808">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7C4DE5AC">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22" w:type="pct"/>
            <w:tcBorders>
              <w:tl2br w:val="nil"/>
              <w:tr2bl w:val="nil"/>
            </w:tcBorders>
            <w:vAlign w:val="center"/>
          </w:tcPr>
          <w:p w14:paraId="1409542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现有源提标升级改造</w:t>
            </w:r>
          </w:p>
          <w:p w14:paraId="300E226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柳池—方斗功能区二区废水需经深度处理至主要水污染物指标达《地表水环境质量标准》Ⅲ类水域水质标准，石柱槽功能区废水处理达到回用水质标准外，其他各功能区污水厂出水标准执行《城镇污水处理厂污染物排放标准》一级A标准。</w:t>
            </w:r>
          </w:p>
          <w:p w14:paraId="18C0331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-含五类重点控制的重金属（汞、镉、铅、砷、铬）废水实现零排放。其他同达州市工业重点总体准入要求</w:t>
            </w:r>
          </w:p>
          <w:p w14:paraId="75288ED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新增源等量或倍量替代</w:t>
            </w:r>
          </w:p>
          <w:p w14:paraId="6D7CAC2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执行达州市工业重点管控单元总体准入要求</w:t>
            </w:r>
          </w:p>
          <w:p w14:paraId="6455CE4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新增源排放标准限值</w:t>
            </w:r>
          </w:p>
          <w:p w14:paraId="003F4DBB">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同达州市工业重点总体准入要求</w:t>
            </w:r>
          </w:p>
          <w:p w14:paraId="2205880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污染物排放绩效水平准入要求</w:t>
            </w:r>
          </w:p>
          <w:p w14:paraId="3AB3FBD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针对该区域重点发展行业提出大气和水污染物排放约束性和建议性准入指标，逐步构建绿色化工等产业园区。其他同达州市工业重点总体准入要求</w:t>
            </w:r>
          </w:p>
          <w:p w14:paraId="2257F2D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其他污染物排放管控要求：/</w:t>
            </w:r>
          </w:p>
        </w:tc>
        <w:tc>
          <w:tcPr>
            <w:tcW w:w="1224" w:type="pct"/>
            <w:tcBorders>
              <w:tl2br w:val="nil"/>
              <w:tr2bl w:val="nil"/>
            </w:tcBorders>
            <w:vAlign w:val="center"/>
          </w:tcPr>
          <w:p w14:paraId="4A7D11A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本项目少量洗管废水</w:t>
            </w:r>
            <w:r>
              <w:rPr>
                <w:rFonts w:hint="eastAsia" w:cs="Times New Roman"/>
                <w:color w:val="000000" w:themeColor="text1"/>
                <w:sz w:val="21"/>
                <w:szCs w:val="21"/>
                <w:lang w:val="en-US" w:eastAsia="zh-CN"/>
                <w14:textFill>
                  <w14:solidFill>
                    <w14:schemeClr w14:val="tx1"/>
                  </w14:solidFill>
                </w14:textFill>
              </w:rPr>
              <w:t>排入回用水站处理后回用于生产工序</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原料气分离冷凝水和新增员工生活污水</w:t>
            </w:r>
            <w:r>
              <w:rPr>
                <w:rFonts w:hint="default" w:ascii="Times New Roman" w:hAnsi="Times New Roman" w:eastAsia="宋体" w:cs="Times New Roman"/>
                <w:color w:val="000000" w:themeColor="text1"/>
                <w:sz w:val="21"/>
                <w:szCs w:val="21"/>
                <w14:textFill>
                  <w14:solidFill>
                    <w14:schemeClr w14:val="tx1"/>
                  </w14:solidFill>
                </w14:textFill>
              </w:rPr>
              <w:t>排入厂区已建污水处理站处理后排入园区管网，废气、噪声能做到达标排放，固废合理处置。</w:t>
            </w:r>
          </w:p>
        </w:tc>
        <w:tc>
          <w:tcPr>
            <w:tcW w:w="238" w:type="pct"/>
            <w:tcBorders>
              <w:tl2br w:val="nil"/>
              <w:tr2bl w:val="nil"/>
            </w:tcBorders>
            <w:vAlign w:val="center"/>
          </w:tcPr>
          <w:p w14:paraId="032BFF1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483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79" w:type="pct"/>
            <w:vMerge w:val="continue"/>
            <w:tcBorders>
              <w:tl2br w:val="nil"/>
              <w:tr2bl w:val="nil"/>
            </w:tcBorders>
            <w:vAlign w:val="center"/>
          </w:tcPr>
          <w:p w14:paraId="750E7566">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3C53078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77F2E8FB">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422" w:type="pct"/>
            <w:tcBorders>
              <w:tl2br w:val="nil"/>
              <w:tr2bl w:val="nil"/>
            </w:tcBorders>
            <w:vAlign w:val="center"/>
          </w:tcPr>
          <w:p w14:paraId="4438DEBA">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严格管控类农用地管控要求</w:t>
            </w:r>
          </w:p>
          <w:p w14:paraId="763795A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1、优先保护类耕地集中区域现有可能造成土壤污染的相关行业企业要采用新技术、新工艺，加快提标升级改造步伐，定期开展土壤污染隐患排查与风险管控，防止对耕地造成污染；</w:t>
            </w:r>
          </w:p>
          <w:p w14:paraId="639D71E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2、排放污染物的企业事业单位和其他生产经营者应当采取有效措施，确保废水、废气排放和固体废物处理、处置符合国家有关规定要求，强化土壤环境污染治理及风险管控，防止对周边农用地土壤造成污染。</w:t>
            </w:r>
          </w:p>
          <w:p w14:paraId="02CBF6E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其他同达州市工业重点总体准入要求</w:t>
            </w:r>
          </w:p>
          <w:p w14:paraId="49A34BB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安全利用类农用地管控要求</w:t>
            </w:r>
          </w:p>
          <w:p w14:paraId="392AEEF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天然气化工、硫化工等污染排放较大且环境风险防范要求较高的产业应避开下风向近距离场镇等人群集中居住区，其他同达州市工业重点总体准入要求</w:t>
            </w:r>
          </w:p>
          <w:p w14:paraId="5F3894E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污染地块管控要求</w:t>
            </w:r>
          </w:p>
          <w:p w14:paraId="7AE2A3B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执行达州市工业重点管控单元总体要求</w:t>
            </w:r>
          </w:p>
          <w:p w14:paraId="5179BAD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园区环境风险防控要求</w:t>
            </w:r>
          </w:p>
          <w:p w14:paraId="14F21D4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化工园区：建立污染源头、过程处理和最终排放的“三级防控”机制。高度重视化工园区的环境安全工作，构建“企业-园区-流域”三级防控体系，实现“事故废水不出涉事企业、不出园区管网、不进园区周边水系”的风险防控目标。</w:t>
            </w:r>
          </w:p>
          <w:p w14:paraId="69AA461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其他同达州市工业重点总体准入要求</w:t>
            </w:r>
          </w:p>
          <w:p w14:paraId="38859A0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企业环境风险防控要求</w:t>
            </w:r>
          </w:p>
          <w:p w14:paraId="0D9AC460">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-天然气化工、硫化工等污染排放较大且环境风险防范要求较高的产业应避开下风向近距离场镇等人群集中居住区。</w:t>
            </w:r>
          </w:p>
          <w:p w14:paraId="76B2710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-在化工园区外禁止设置存储大宗危险化学物质的仓储项目，化工园区内设置存储大宗危险化学物质的仓储项目应充分论证其必要性。</w:t>
            </w:r>
          </w:p>
          <w:p w14:paraId="40C8F917">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其他同达州市工业重点总体准入要求</w:t>
            </w:r>
          </w:p>
          <w:p w14:paraId="6ADF3AB2">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其他环境风险防控要求：/</w:t>
            </w:r>
          </w:p>
        </w:tc>
        <w:tc>
          <w:tcPr>
            <w:tcW w:w="1224" w:type="pct"/>
            <w:tcBorders>
              <w:tl2br w:val="nil"/>
              <w:tr2bl w:val="nil"/>
            </w:tcBorders>
            <w:vAlign w:val="center"/>
          </w:tcPr>
          <w:p w14:paraId="1EBD7BC9">
            <w:pPr>
              <w:pStyle w:val="516"/>
              <w:wordWrap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①本项目在现有厂区内进行技术改造，不涉及新增占地；</w:t>
            </w:r>
          </w:p>
          <w:p w14:paraId="2283C38C">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②本项目采取了系列风险防控措施和应急预案，同时依托正达凯现有风险防控和应急措施，确保项目风险可控。</w:t>
            </w:r>
          </w:p>
        </w:tc>
        <w:tc>
          <w:tcPr>
            <w:tcW w:w="238" w:type="pct"/>
            <w:tcBorders>
              <w:tl2br w:val="nil"/>
              <w:tr2bl w:val="nil"/>
            </w:tcBorders>
            <w:vAlign w:val="center"/>
          </w:tcPr>
          <w:p w14:paraId="737BD86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504D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479" w:type="pct"/>
            <w:vMerge w:val="continue"/>
            <w:tcBorders>
              <w:tl2br w:val="nil"/>
              <w:tr2bl w:val="nil"/>
            </w:tcBorders>
            <w:vAlign w:val="center"/>
          </w:tcPr>
          <w:p w14:paraId="077C39B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41EFBAAB">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197059D8">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w:t>
            </w:r>
          </w:p>
        </w:tc>
        <w:tc>
          <w:tcPr>
            <w:tcW w:w="2422" w:type="pct"/>
            <w:tcBorders>
              <w:tl2br w:val="nil"/>
              <w:tr2bl w:val="nil"/>
            </w:tcBorders>
            <w:vAlign w:val="center"/>
          </w:tcPr>
          <w:p w14:paraId="79F7B2C4">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水资源利用效率要求</w:t>
            </w:r>
          </w:p>
          <w:p w14:paraId="7AC1B47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执行达州市工业重点管控单元总体要求</w:t>
            </w:r>
          </w:p>
          <w:p w14:paraId="4B15A12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地下水开采要求</w:t>
            </w:r>
          </w:p>
          <w:p w14:paraId="73E95A8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执行达州市工业重点管控单元总体要求</w:t>
            </w:r>
          </w:p>
          <w:p w14:paraId="52AEB22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能源利用效率要求</w:t>
            </w:r>
          </w:p>
          <w:p w14:paraId="12EF881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执行达州市工业重点管控单元总体要求</w:t>
            </w:r>
          </w:p>
          <w:p w14:paraId="4047C10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其他资源利用效率要求：/</w:t>
            </w:r>
          </w:p>
        </w:tc>
        <w:tc>
          <w:tcPr>
            <w:tcW w:w="1224" w:type="pct"/>
            <w:tcBorders>
              <w:tl2br w:val="nil"/>
              <w:tr2bl w:val="nil"/>
            </w:tcBorders>
            <w:vAlign w:val="center"/>
          </w:tcPr>
          <w:p w14:paraId="204F262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本项目用水由供水管网供水，使用能源为电能。</w:t>
            </w:r>
          </w:p>
        </w:tc>
        <w:tc>
          <w:tcPr>
            <w:tcW w:w="238" w:type="pct"/>
            <w:tcBorders>
              <w:tl2br w:val="nil"/>
              <w:tr2bl w:val="nil"/>
            </w:tcBorders>
            <w:vAlign w:val="center"/>
          </w:tcPr>
          <w:p w14:paraId="47D90B50">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11F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pct"/>
            <w:vMerge w:val="restart"/>
            <w:tcBorders>
              <w:tl2br w:val="nil"/>
              <w:tr2bl w:val="nil"/>
            </w:tcBorders>
            <w:vAlign w:val="center"/>
          </w:tcPr>
          <w:p w14:paraId="4F3731C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YS5117222210001州河-宣汉县-张鼓坪-控制单元</w:t>
            </w:r>
          </w:p>
        </w:tc>
        <w:tc>
          <w:tcPr>
            <w:tcW w:w="355" w:type="pct"/>
            <w:vMerge w:val="restart"/>
            <w:tcBorders>
              <w:tl2br w:val="nil"/>
              <w:tr2bl w:val="nil"/>
            </w:tcBorders>
            <w:vAlign w:val="center"/>
          </w:tcPr>
          <w:p w14:paraId="6FC737F1">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单元特性管控要求</w:t>
            </w:r>
          </w:p>
        </w:tc>
        <w:tc>
          <w:tcPr>
            <w:tcW w:w="280" w:type="pct"/>
            <w:tcBorders>
              <w:tl2br w:val="nil"/>
              <w:tr2bl w:val="nil"/>
            </w:tcBorders>
            <w:vAlign w:val="center"/>
          </w:tcPr>
          <w:p w14:paraId="09127B9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2422" w:type="pct"/>
            <w:tcBorders>
              <w:tl2br w:val="nil"/>
              <w:tr2bl w:val="nil"/>
            </w:tcBorders>
            <w:vAlign w:val="center"/>
          </w:tcPr>
          <w:p w14:paraId="13A38AE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p w14:paraId="59AF40EC">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限制开发建设活动的要求</w:t>
            </w:r>
          </w:p>
          <w:p w14:paraId="155EEEF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严控磷铵、黄磷等产业违规新增产能加快退出不符合产业政策和环保要求、不满足安全生产条件的涉磷企业</w:t>
            </w:r>
          </w:p>
          <w:p w14:paraId="4D256AC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允许开发建设活动的要求</w:t>
            </w:r>
          </w:p>
          <w:p w14:paraId="4A683539">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不符合空间布局要求活动的退出要求</w:t>
            </w:r>
          </w:p>
          <w:p w14:paraId="6A664986">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c>
          <w:tcPr>
            <w:tcW w:w="1224" w:type="pct"/>
            <w:tcBorders>
              <w:tl2br w:val="nil"/>
              <w:tr2bl w:val="nil"/>
            </w:tcBorders>
            <w:vAlign w:val="center"/>
          </w:tcPr>
          <w:p w14:paraId="0CD34339">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本项目属于工艺尾气中CO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的物理回收，不属于涉磷企业，不属于禁止、限制开发建设活动。</w:t>
            </w:r>
          </w:p>
        </w:tc>
        <w:tc>
          <w:tcPr>
            <w:tcW w:w="238" w:type="pct"/>
            <w:tcBorders>
              <w:tl2br w:val="nil"/>
              <w:tr2bl w:val="nil"/>
            </w:tcBorders>
            <w:vAlign w:val="center"/>
          </w:tcPr>
          <w:p w14:paraId="77B5D0F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A8A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9" w:type="pct"/>
            <w:vMerge w:val="continue"/>
            <w:tcBorders>
              <w:tl2br w:val="nil"/>
              <w:tr2bl w:val="nil"/>
            </w:tcBorders>
            <w:vAlign w:val="center"/>
          </w:tcPr>
          <w:p w14:paraId="2CF0843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1694DDA1">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65604036">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2422" w:type="pct"/>
            <w:tcBorders>
              <w:tl2br w:val="nil"/>
              <w:tr2bl w:val="nil"/>
            </w:tcBorders>
            <w:vAlign w:val="center"/>
          </w:tcPr>
          <w:p w14:paraId="21D8296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城镇污水污染控制措施要求</w:t>
            </w:r>
          </w:p>
          <w:p w14:paraId="0EC93B3E">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工业废水污染控制措施要求</w:t>
            </w:r>
          </w:p>
          <w:p w14:paraId="7C2CDC83">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化工园区应按照分类收集，分质处理的要求，配备专业化工生产废水集中处理设施（独立建设或依托骨干企业）及专管或明管输送的配套管网，化工生产废水纳管率达到100%；入河排污口设置应符合相关规定。4、加强工业园区集中污水处理设施运行监管，强企业废水预处理和排水管理，鼓励纳管企业与园区污水处理厂运营单位通过签订委托处理合同等方式协同处理废水。5、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5443EE8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农业面源水污染控制措施要求</w:t>
            </w:r>
          </w:p>
          <w:p w14:paraId="1BC6BBF1">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船舶港口水污染控制措施要求</w:t>
            </w:r>
          </w:p>
          <w:p w14:paraId="5CF83855">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饮用水水源和其它特殊水体保护要求</w:t>
            </w:r>
          </w:p>
        </w:tc>
        <w:tc>
          <w:tcPr>
            <w:tcW w:w="1224" w:type="pct"/>
            <w:tcBorders>
              <w:tl2br w:val="nil"/>
              <w:tr2bl w:val="nil"/>
            </w:tcBorders>
            <w:vAlign w:val="center"/>
          </w:tcPr>
          <w:p w14:paraId="268AF1EB">
            <w:pPr>
              <w:pStyle w:val="516"/>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①本项目少量洗管废水</w:t>
            </w:r>
            <w:r>
              <w:rPr>
                <w:rFonts w:hint="eastAsia" w:cs="Times New Roman"/>
                <w:color w:val="000000" w:themeColor="text1"/>
                <w:sz w:val="21"/>
                <w:szCs w:val="21"/>
                <w:lang w:val="en-US" w:eastAsia="zh-CN"/>
                <w14:textFill>
                  <w14:solidFill>
                    <w14:schemeClr w14:val="tx1"/>
                  </w14:solidFill>
                </w14:textFill>
              </w:rPr>
              <w:t>排入回用水站处理后回用于生产工序</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原料气分离冷凝水和新增员工生活污水</w:t>
            </w:r>
            <w:r>
              <w:rPr>
                <w:rFonts w:hint="default" w:ascii="Times New Roman" w:hAnsi="Times New Roman" w:eastAsia="宋体" w:cs="Times New Roman"/>
                <w:color w:val="000000" w:themeColor="text1"/>
                <w:sz w:val="21"/>
                <w:szCs w:val="21"/>
                <w14:textFill>
                  <w14:solidFill>
                    <w14:schemeClr w14:val="tx1"/>
                  </w14:solidFill>
                </w14:textFill>
              </w:rPr>
              <w:t>排入厂区已建污水处理站处理后排入园区管网；</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②洗管废水</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原料气分离冷凝水</w:t>
            </w:r>
            <w:r>
              <w:rPr>
                <w:rFonts w:hint="default" w:ascii="Times New Roman" w:hAnsi="Times New Roman" w:eastAsia="宋体" w:cs="Times New Roman"/>
                <w:color w:val="000000" w:themeColor="text1"/>
                <w:sz w:val="21"/>
                <w:szCs w:val="21"/>
                <w14:textFill>
                  <w14:solidFill>
                    <w14:schemeClr w14:val="tx1"/>
                  </w14:solidFill>
                </w14:textFill>
              </w:rPr>
              <w:t>水质简单，现有</w:t>
            </w:r>
            <w:r>
              <w:rPr>
                <w:rFonts w:hint="eastAsia" w:cs="Times New Roman"/>
                <w:color w:val="000000" w:themeColor="text1"/>
                <w:sz w:val="21"/>
                <w:szCs w:val="21"/>
                <w:lang w:val="en-US" w:eastAsia="zh-CN"/>
                <w14:textFill>
                  <w14:solidFill>
                    <w14:schemeClr w14:val="tx1"/>
                  </w14:solidFill>
                </w14:textFill>
              </w:rPr>
              <w:t>回用水站、</w:t>
            </w:r>
            <w:r>
              <w:rPr>
                <w:rFonts w:hint="default" w:ascii="Times New Roman" w:hAnsi="Times New Roman" w:eastAsia="宋体" w:cs="Times New Roman"/>
                <w:color w:val="000000" w:themeColor="text1"/>
                <w:sz w:val="21"/>
                <w:szCs w:val="21"/>
                <w14:textFill>
                  <w14:solidFill>
                    <w14:schemeClr w14:val="tx1"/>
                  </w14:solidFill>
                </w14:textFill>
              </w:rPr>
              <w:t>污水处理站完全有能力进行处理，无需设置预处理设施。</w:t>
            </w:r>
          </w:p>
        </w:tc>
        <w:tc>
          <w:tcPr>
            <w:tcW w:w="238" w:type="pct"/>
            <w:tcBorders>
              <w:tl2br w:val="nil"/>
              <w:tr2bl w:val="nil"/>
            </w:tcBorders>
            <w:vAlign w:val="center"/>
          </w:tcPr>
          <w:p w14:paraId="4E20F57A">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D98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79" w:type="pct"/>
            <w:vMerge w:val="continue"/>
            <w:tcBorders>
              <w:tl2br w:val="nil"/>
              <w:tr2bl w:val="nil"/>
            </w:tcBorders>
            <w:vAlign w:val="center"/>
          </w:tcPr>
          <w:p w14:paraId="43B02BB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5D3202FB">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5B7F2312">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2422" w:type="pct"/>
            <w:tcBorders>
              <w:tl2br w:val="nil"/>
              <w:tr2bl w:val="nil"/>
            </w:tcBorders>
            <w:vAlign w:val="center"/>
          </w:tcPr>
          <w:p w14:paraId="572B7E9D">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1224" w:type="pct"/>
            <w:tcBorders>
              <w:tl2br w:val="nil"/>
              <w:tr2bl w:val="nil"/>
            </w:tcBorders>
            <w:vAlign w:val="center"/>
          </w:tcPr>
          <w:p w14:paraId="5EA53ECB">
            <w:pPr>
              <w:pStyle w:val="516"/>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①本项目属于</w:t>
            </w:r>
            <w:r>
              <w:rPr>
                <w:rFonts w:hint="eastAsia" w:cs="Times New Roman"/>
                <w:color w:val="000000" w:themeColor="text1"/>
                <w:sz w:val="21"/>
                <w:szCs w:val="21"/>
                <w:lang w:val="en-US" w:eastAsia="zh-CN"/>
                <w14:textFill>
                  <w14:solidFill>
                    <w14:schemeClr w14:val="tx1"/>
                  </w14:solidFill>
                </w14:textFill>
              </w:rPr>
              <w:t>废气资源化利用中的CO</w:t>
            </w:r>
            <w:r>
              <w:rPr>
                <w:rFonts w:hint="eastAsia" w:cs="Times New Roman"/>
                <w:color w:val="000000" w:themeColor="text1"/>
                <w:sz w:val="21"/>
                <w:szCs w:val="21"/>
                <w:vertAlign w:val="sub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直排捕集</w:t>
            </w:r>
            <w:r>
              <w:rPr>
                <w:rFonts w:hint="default" w:ascii="Times New Roman" w:hAnsi="Times New Roman" w:eastAsia="宋体" w:cs="Times New Roman"/>
                <w:color w:val="000000" w:themeColor="text1"/>
                <w:sz w:val="21"/>
                <w:szCs w:val="21"/>
                <w14:textFill>
                  <w14:solidFill>
                    <w14:schemeClr w14:val="tx1"/>
                  </w14:solidFill>
                </w14:textFill>
              </w:rPr>
              <w:t>，所在正达凯厂区距离后巴河约1.5km；</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②本项目主要依托正达凯已经建设的三级环境风险防控体系，并纳入日常环境管理制度体系</w:t>
            </w:r>
          </w:p>
        </w:tc>
        <w:tc>
          <w:tcPr>
            <w:tcW w:w="238" w:type="pct"/>
            <w:tcBorders>
              <w:tl2br w:val="nil"/>
              <w:tr2bl w:val="nil"/>
            </w:tcBorders>
            <w:vAlign w:val="center"/>
          </w:tcPr>
          <w:p w14:paraId="092FAAF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921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79" w:type="pct"/>
            <w:vMerge w:val="continue"/>
            <w:tcBorders>
              <w:tl2br w:val="nil"/>
              <w:tr2bl w:val="nil"/>
            </w:tcBorders>
            <w:vAlign w:val="center"/>
          </w:tcPr>
          <w:p w14:paraId="700E9390">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355" w:type="pct"/>
            <w:vMerge w:val="continue"/>
            <w:tcBorders>
              <w:tl2br w:val="nil"/>
              <w:tr2bl w:val="nil"/>
            </w:tcBorders>
            <w:vAlign w:val="center"/>
          </w:tcPr>
          <w:p w14:paraId="5691CC8F">
            <w:pPr>
              <w:pStyle w:val="516"/>
              <w:rPr>
                <w:rFonts w:hint="default" w:ascii="Times New Roman" w:hAnsi="Times New Roman" w:eastAsia="宋体" w:cs="Times New Roman"/>
                <w:color w:val="000000" w:themeColor="text1"/>
                <w:sz w:val="21"/>
                <w:szCs w:val="21"/>
                <w14:textFill>
                  <w14:solidFill>
                    <w14:schemeClr w14:val="tx1"/>
                  </w14:solidFill>
                </w14:textFill>
              </w:rPr>
            </w:pPr>
          </w:p>
        </w:tc>
        <w:tc>
          <w:tcPr>
            <w:tcW w:w="280" w:type="pct"/>
            <w:tcBorders>
              <w:tl2br w:val="nil"/>
              <w:tr2bl w:val="nil"/>
            </w:tcBorders>
            <w:vAlign w:val="center"/>
          </w:tcPr>
          <w:p w14:paraId="3C9F46B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资源开发效率</w:t>
            </w:r>
          </w:p>
        </w:tc>
        <w:tc>
          <w:tcPr>
            <w:tcW w:w="2422" w:type="pct"/>
            <w:tcBorders>
              <w:tl2br w:val="nil"/>
              <w:tr2bl w:val="nil"/>
            </w:tcBorders>
            <w:vAlign w:val="center"/>
          </w:tcPr>
          <w:p w14:paraId="584DC30F">
            <w:pPr>
              <w:pStyle w:val="516"/>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加强高耗水行业用水定额管理，以水定产，严格控制高耗水新建、改建、扩建项目。</w:t>
            </w:r>
          </w:p>
        </w:tc>
        <w:tc>
          <w:tcPr>
            <w:tcW w:w="1224" w:type="pct"/>
            <w:tcBorders>
              <w:tl2br w:val="nil"/>
              <w:tr2bl w:val="nil"/>
            </w:tcBorders>
            <w:vAlign w:val="center"/>
          </w:tcPr>
          <w:p w14:paraId="1784A4CE">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本项目用水环节为洗管作业，用水量较小，不属于高耗水项目</w:t>
            </w:r>
          </w:p>
        </w:tc>
        <w:tc>
          <w:tcPr>
            <w:tcW w:w="238" w:type="pct"/>
            <w:tcBorders>
              <w:tl2br w:val="nil"/>
              <w:tr2bl w:val="nil"/>
            </w:tcBorders>
            <w:vAlign w:val="center"/>
          </w:tcPr>
          <w:p w14:paraId="5EA1B97F">
            <w:pPr>
              <w:pStyle w:val="516"/>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362AC0ED">
      <w:pPr>
        <w:pStyle w:val="476"/>
        <w:widowControl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p w14:paraId="51D6F1B8">
      <w:pPr>
        <w:pStyle w:val="476"/>
        <w:widowControl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p w14:paraId="162CF231">
      <w:pPr>
        <w:pStyle w:val="476"/>
        <w:widowControl w:val="0"/>
        <w:spacing w:line="240" w:lineRule="auto"/>
        <w:ind w:firstLine="0" w:firstLineChars="0"/>
        <w:rPr>
          <w:rFonts w:hint="default" w:ascii="Times New Roman" w:hAnsi="Times New Roman" w:eastAsia="宋体" w:cs="Times New Roman"/>
          <w:b/>
          <w:bCs/>
          <w:color w:val="000000" w:themeColor="text1"/>
          <w:sz w:val="21"/>
          <w:szCs w:val="21"/>
          <w14:textFill>
            <w14:solidFill>
              <w14:schemeClr w14:val="tx1"/>
            </w14:solidFill>
          </w14:textFill>
        </w:rPr>
      </w:pPr>
    </w:p>
    <w:p w14:paraId="3287E980">
      <w:pPr>
        <w:widowControl/>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达州市宣汉县环境综合管控单元工业重点管控单元（管控单元名称：四川达州普光经济开发区（含锂钾综合开发产业），管控单元编号：ZH51172220002），项目相关建设内容符合该管控单元的普适性和单元特性管控要求。</w:t>
      </w:r>
      <w:r>
        <w:rPr>
          <w:rFonts w:hint="default" w:ascii="Times New Roman" w:hAnsi="Times New Roman" w:eastAsia="宋体" w:cs="Times New Roman"/>
          <w:b/>
          <w:bCs/>
          <w:color w:val="000000" w:themeColor="text1"/>
          <w:sz w:val="24"/>
          <w14:textFill>
            <w14:solidFill>
              <w14:schemeClr w14:val="tx1"/>
            </w14:solidFill>
          </w14:textFill>
        </w:rPr>
        <w:t>综上，本项目与“生态环境分区管控”相关要求相符</w:t>
      </w:r>
      <w:r>
        <w:rPr>
          <w:rFonts w:hint="default" w:ascii="Times New Roman" w:hAnsi="Times New Roman" w:eastAsia="宋体" w:cs="Times New Roman"/>
          <w:color w:val="000000" w:themeColor="text1"/>
          <w:sz w:val="24"/>
          <w14:textFill>
            <w14:solidFill>
              <w14:schemeClr w14:val="tx1"/>
            </w14:solidFill>
          </w14:textFill>
        </w:rPr>
        <w:t>。</w:t>
      </w:r>
    </w:p>
    <w:p w14:paraId="5683372A">
      <w:pPr>
        <w:autoSpaceDE w:val="0"/>
        <w:autoSpaceDN w:val="0"/>
        <w:adjustRightInd w:val="0"/>
        <w:spacing w:line="360" w:lineRule="auto"/>
        <w:ind w:firstLine="420"/>
        <w:jc w:val="left"/>
        <w:rPr>
          <w:rFonts w:hint="default" w:ascii="Times New Roman" w:hAnsi="Times New Roman" w:eastAsia="宋体" w:cs="Times New Roman"/>
          <w:color w:val="000000" w:themeColor="text1"/>
          <w:sz w:val="24"/>
          <w14:textFill>
            <w14:solidFill>
              <w14:schemeClr w14:val="tx1"/>
            </w14:solidFill>
          </w14:textFill>
        </w:rPr>
        <w:sectPr>
          <w:headerReference r:id="rId6" w:type="default"/>
          <w:pgSz w:w="16838" w:h="11906" w:orient="landscape"/>
          <w:pgMar w:top="1531" w:right="1701" w:bottom="1531" w:left="1701" w:header="851" w:footer="1077" w:gutter="0"/>
          <w:cols w:space="720" w:num="1"/>
          <w:docGrid w:linePitch="312" w:charSpace="0"/>
        </w:sectPr>
      </w:pPr>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864"/>
      </w:tblGrid>
      <w:tr w14:paraId="54EED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9" w:hRule="atLeast"/>
          <w:jc w:val="center"/>
        </w:trPr>
        <w:tc>
          <w:tcPr>
            <w:tcW w:w="1006" w:type="dxa"/>
            <w:vAlign w:val="center"/>
          </w:tcPr>
          <w:p w14:paraId="5A507CD6">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其他符合性分析</w:t>
            </w:r>
          </w:p>
        </w:tc>
        <w:tc>
          <w:tcPr>
            <w:tcW w:w="7864" w:type="dxa"/>
          </w:tcPr>
          <w:p w14:paraId="4813274B">
            <w:pPr>
              <w:widowControl/>
              <w:spacing w:line="360" w:lineRule="auto"/>
              <w:ind w:firstLine="482" w:firstLineChars="200"/>
              <w:jc w:val="left"/>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14:textFill>
                  <w14:solidFill>
                    <w14:schemeClr w14:val="tx1"/>
                  </w14:solidFill>
                </w14:textFill>
              </w:rPr>
              <w:t>、外环境关系</w:t>
            </w:r>
          </w:p>
          <w:p w14:paraId="523A2CD5">
            <w:pPr>
              <w:widowControl/>
              <w:spacing w:line="360" w:lineRule="auto"/>
              <w:ind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本项目位于正达凯已建厂区西北侧乙二醇装置区（本次在厂区内进行技术改造，不新增占地）。厂区道路交通基础设施建设完善，主要环保设施已经建设完毕，可为本项目提供完备的配套服务。</w:t>
            </w:r>
          </w:p>
          <w:p w14:paraId="4C87DBD3">
            <w:pPr>
              <w:widowControl/>
              <w:spacing w:line="360" w:lineRule="auto"/>
              <w:ind w:firstLine="480" w:firstLineChars="200"/>
              <w:jc w:val="left"/>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本项目外环境关系：</w:t>
            </w:r>
          </w:p>
          <w:p w14:paraId="0F806B7F">
            <w:pPr>
              <w:widowControl/>
              <w:spacing w:line="360" w:lineRule="auto"/>
              <w:ind w:firstLine="480" w:firstLineChars="200"/>
              <w:jc w:val="lef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本项目西侧为合成气制备装置压缩厂房、北侧为工艺循环水站、东侧为合成气制备装置变电所、南侧为PSA装置。</w:t>
            </w:r>
          </w:p>
          <w:p w14:paraId="2AC33624">
            <w:pPr>
              <w:widowControl/>
              <w:spacing w:line="360" w:lineRule="auto"/>
              <w:ind w:firstLine="480" w:firstLineChars="200"/>
              <w:jc w:val="left"/>
              <w:rPr>
                <w:rFonts w:hint="default" w:ascii="Times New Roman" w:hAnsi="Times New Roman" w:eastAsia="宋体" w:cs="Times New Roman"/>
                <w:color w:val="000000" w:themeColor="text1"/>
                <w:kern w:val="0"/>
                <w:sz w:val="24"/>
                <w:u w:val="single"/>
                <w:lang w:bidi="ar"/>
                <w14:textFill>
                  <w14:solidFill>
                    <w14:schemeClr w14:val="tx1"/>
                  </w14:solidFill>
                </w14:textFill>
              </w:rPr>
            </w:pPr>
            <w:r>
              <w:rPr>
                <w:rFonts w:hint="default" w:ascii="Times New Roman" w:hAnsi="Times New Roman" w:eastAsia="宋体" w:cs="Times New Roman"/>
                <w:color w:val="000000" w:themeColor="text1"/>
                <w:kern w:val="0"/>
                <w:sz w:val="24"/>
                <w:u w:val="single"/>
                <w:lang w:bidi="ar"/>
                <w14:textFill>
                  <w14:solidFill>
                    <w14:schemeClr w14:val="tx1"/>
                  </w14:solidFill>
                </w14:textFill>
              </w:rPr>
              <w:t>本项目所在正达凯厂区外环境关系：</w:t>
            </w:r>
          </w:p>
          <w:p w14:paraId="7188A781">
            <w:pPr>
              <w:widowControl/>
              <w:spacing w:line="360" w:lineRule="auto"/>
              <w:ind w:firstLine="480" w:firstLineChars="200"/>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正达凯厂界南侧、东侧距离后巴河最近直线分别约1108.3m、东侧1.5km；东侧距离后河的最近直线距离约6.0km、中河约7.3km。项目厂区西南侧距达州市中心城区约35km，距双河镇场镇约6.0km；西北侧距胡家镇场镇约4.7km；东侧距普光镇场镇约7.4km，东南侧距土主镇场镇约2.2km，南距距宣汉县城区约16km。厂界周围主要以园区预留用地和工业企业为主，厂址位于普光经开区普光功能组团中西部。目前项目建设区无集中式</w:t>
            </w:r>
            <w:r>
              <w:rPr>
                <w:rFonts w:hint="eastAsia" w:cs="Times New Roman"/>
                <w:color w:val="000000" w:themeColor="text1"/>
                <w:kern w:val="0"/>
                <w:sz w:val="24"/>
                <w:lang w:val="en-US" w:eastAsia="zh-CN" w:bidi="ar"/>
                <w14:textFill>
                  <w14:solidFill>
                    <w14:schemeClr w14:val="tx1"/>
                  </w14:solidFill>
                </w14:textFill>
              </w:rPr>
              <w:t>饮</w:t>
            </w:r>
            <w:r>
              <w:rPr>
                <w:rFonts w:hint="default" w:ascii="Times New Roman" w:hAnsi="Times New Roman" w:eastAsia="宋体" w:cs="Times New Roman"/>
                <w:color w:val="000000" w:themeColor="text1"/>
                <w:kern w:val="0"/>
                <w:sz w:val="24"/>
                <w:lang w:bidi="ar"/>
                <w14:textFill>
                  <w14:solidFill>
                    <w14:schemeClr w14:val="tx1"/>
                  </w14:solidFill>
                </w14:textFill>
              </w:rPr>
              <w:t>用水水源地，无国家或地方政府设定的与地下水环境相关的其他保护区。</w:t>
            </w:r>
          </w:p>
          <w:p w14:paraId="2E476C27">
            <w:pPr>
              <w:widowControl/>
              <w:spacing w:line="360" w:lineRule="auto"/>
              <w:ind w:firstLine="480" w:firstLineChars="200"/>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pPr>
            <w:r>
              <w:rPr>
                <w:rFonts w:hint="eastAsia" w:cs="Times New Roman"/>
                <w:color w:val="000000" w:themeColor="text1"/>
                <w:kern w:val="0"/>
                <w:sz w:val="24"/>
                <w:u w:val="single"/>
                <w:lang w:val="en-US" w:eastAsia="zh-CN" w:bidi="ar"/>
                <w14:textFill>
                  <w14:solidFill>
                    <w14:schemeClr w14:val="tx1"/>
                  </w14:solidFill>
                </w14:textFill>
              </w:rPr>
              <w:t>本项目与周边企业的关系：</w:t>
            </w:r>
          </w:p>
          <w:p w14:paraId="4E2C821D">
            <w:pPr>
              <w:widowControl/>
              <w:spacing w:line="360" w:lineRule="auto"/>
              <w:ind w:firstLine="480" w:firstLineChars="200"/>
              <w:jc w:val="left"/>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pPr>
            <w:r>
              <w:rPr>
                <w:rFonts w:hint="eastAsia" w:cs="Times New Roman"/>
                <w:color w:val="000000" w:themeColor="text1"/>
                <w:kern w:val="0"/>
                <w:sz w:val="24"/>
                <w:lang w:val="en-US" w:eastAsia="zh-CN" w:bidi="ar"/>
                <w14:textFill>
                  <w14:solidFill>
                    <w14:schemeClr w14:val="tx1"/>
                  </w14:solidFill>
                </w14:textFill>
              </w:rPr>
              <w:t>本项目东侧距离四川亿隆环保科技有限公司约267m，东南侧距离宣汉天敏化工有限公司约410m。</w:t>
            </w:r>
          </w:p>
          <w:p w14:paraId="2DDE917F">
            <w:pPr>
              <w:widowControl/>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本项目外环境关系见下表和附图。</w:t>
            </w:r>
          </w:p>
          <w:p w14:paraId="5C0B154F">
            <w:pPr>
              <w:widowControl/>
              <w:ind w:firstLine="422" w:firstLineChars="20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表1-1</w:t>
            </w:r>
            <w:r>
              <w:rPr>
                <w:rFonts w:hint="eastAsia" w:cs="Times New Roman"/>
                <w:b/>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14:textFill>
                  <w14:solidFill>
                    <w14:schemeClr w14:val="tx1"/>
                  </w14:solidFill>
                </w14:textFill>
              </w:rPr>
              <w:t xml:space="preserve">  本项目500m范围外环境关系一览表</w:t>
            </w:r>
          </w:p>
          <w:tbl>
            <w:tblPr>
              <w:tblStyle w:val="49"/>
              <w:tblW w:w="7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864"/>
              <w:gridCol w:w="941"/>
              <w:gridCol w:w="1333"/>
              <w:gridCol w:w="1667"/>
            </w:tblGrid>
            <w:tr w14:paraId="78DA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7C0355F8">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序号</w:t>
                  </w:r>
                </w:p>
              </w:tc>
              <w:tc>
                <w:tcPr>
                  <w:tcW w:w="2864" w:type="dxa"/>
                  <w:vAlign w:val="center"/>
                </w:tcPr>
                <w:p w14:paraId="2792DDFF">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名称</w:t>
                  </w:r>
                </w:p>
              </w:tc>
              <w:tc>
                <w:tcPr>
                  <w:tcW w:w="941" w:type="dxa"/>
                  <w:vAlign w:val="center"/>
                </w:tcPr>
                <w:p w14:paraId="7460E58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方位</w:t>
                  </w:r>
                </w:p>
              </w:tc>
              <w:tc>
                <w:tcPr>
                  <w:tcW w:w="1333" w:type="dxa"/>
                  <w:vAlign w:val="center"/>
                </w:tcPr>
                <w:p w14:paraId="7BAF8C4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厂界距离</w:t>
                  </w:r>
                </w:p>
              </w:tc>
              <w:tc>
                <w:tcPr>
                  <w:tcW w:w="1667" w:type="dxa"/>
                  <w:vAlign w:val="center"/>
                </w:tcPr>
                <w:p w14:paraId="31C0386C">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性质</w:t>
                  </w:r>
                </w:p>
              </w:tc>
            </w:tr>
            <w:tr w14:paraId="0166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69290AD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864" w:type="dxa"/>
                  <w:vAlign w:val="center"/>
                </w:tcPr>
                <w:p w14:paraId="7DADB10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合成气制备装置变电所</w:t>
                  </w:r>
                </w:p>
              </w:tc>
              <w:tc>
                <w:tcPr>
                  <w:tcW w:w="941" w:type="dxa"/>
                  <w:vAlign w:val="center"/>
                </w:tcPr>
                <w:p w14:paraId="57CB52A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东侧</w:t>
                  </w:r>
                </w:p>
              </w:tc>
              <w:tc>
                <w:tcPr>
                  <w:tcW w:w="1333" w:type="dxa"/>
                  <w:vAlign w:val="center"/>
                </w:tcPr>
                <w:p w14:paraId="56CCC97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12m</w:t>
                  </w:r>
                </w:p>
              </w:tc>
              <w:tc>
                <w:tcPr>
                  <w:tcW w:w="1667" w:type="dxa"/>
                  <w:vAlign w:val="center"/>
                </w:tcPr>
                <w:p w14:paraId="36DD511E">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内部生产装置</w:t>
                  </w:r>
                </w:p>
              </w:tc>
            </w:tr>
            <w:tr w14:paraId="7B71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5E117AD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864" w:type="dxa"/>
                  <w:vAlign w:val="center"/>
                </w:tcPr>
                <w:p w14:paraId="7931059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PSA装置</w:t>
                  </w:r>
                </w:p>
              </w:tc>
              <w:tc>
                <w:tcPr>
                  <w:tcW w:w="941" w:type="dxa"/>
                  <w:vAlign w:val="center"/>
                </w:tcPr>
                <w:p w14:paraId="71A9B732">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南侧</w:t>
                  </w:r>
                </w:p>
              </w:tc>
              <w:tc>
                <w:tcPr>
                  <w:tcW w:w="1333" w:type="dxa"/>
                  <w:vAlign w:val="center"/>
                </w:tcPr>
                <w:p w14:paraId="11BE47D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25m</w:t>
                  </w:r>
                </w:p>
              </w:tc>
              <w:tc>
                <w:tcPr>
                  <w:tcW w:w="1667" w:type="dxa"/>
                  <w:vAlign w:val="center"/>
                </w:tcPr>
                <w:p w14:paraId="50F5195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内部生产装置</w:t>
                  </w:r>
                </w:p>
              </w:tc>
            </w:tr>
            <w:tr w14:paraId="7AD9F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2" w:type="dxa"/>
                  <w:vAlign w:val="center"/>
                </w:tcPr>
                <w:p w14:paraId="1D0BC11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864" w:type="dxa"/>
                  <w:vAlign w:val="center"/>
                </w:tcPr>
                <w:p w14:paraId="086E4E6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合成气制备装置压缩厂房</w:t>
                  </w:r>
                </w:p>
              </w:tc>
              <w:tc>
                <w:tcPr>
                  <w:tcW w:w="941" w:type="dxa"/>
                  <w:vAlign w:val="center"/>
                </w:tcPr>
                <w:p w14:paraId="6247F740">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西侧</w:t>
                  </w:r>
                </w:p>
              </w:tc>
              <w:tc>
                <w:tcPr>
                  <w:tcW w:w="1333" w:type="dxa"/>
                  <w:vAlign w:val="center"/>
                </w:tcPr>
                <w:p w14:paraId="56A2A452">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3m</w:t>
                  </w:r>
                </w:p>
              </w:tc>
              <w:tc>
                <w:tcPr>
                  <w:tcW w:w="1667" w:type="dxa"/>
                  <w:vAlign w:val="center"/>
                </w:tcPr>
                <w:p w14:paraId="05381590">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内部生产装置</w:t>
                  </w:r>
                </w:p>
              </w:tc>
            </w:tr>
            <w:tr w14:paraId="6023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5B5043D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864" w:type="dxa"/>
                  <w:vAlign w:val="center"/>
                </w:tcPr>
                <w:p w14:paraId="09119A6B">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工艺循环水站</w:t>
                  </w:r>
                </w:p>
              </w:tc>
              <w:tc>
                <w:tcPr>
                  <w:tcW w:w="941" w:type="dxa"/>
                  <w:vAlign w:val="center"/>
                </w:tcPr>
                <w:p w14:paraId="60382A0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北侧</w:t>
                  </w:r>
                </w:p>
              </w:tc>
              <w:tc>
                <w:tcPr>
                  <w:tcW w:w="1333" w:type="dxa"/>
                  <w:vAlign w:val="center"/>
                </w:tcPr>
                <w:p w14:paraId="07132C0E">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41m</w:t>
                  </w:r>
                </w:p>
              </w:tc>
              <w:tc>
                <w:tcPr>
                  <w:tcW w:w="1667" w:type="dxa"/>
                  <w:vAlign w:val="center"/>
                </w:tcPr>
                <w:p w14:paraId="26F64D7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内部生产装置</w:t>
                  </w:r>
                </w:p>
              </w:tc>
            </w:tr>
            <w:tr w14:paraId="6E91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2" w:type="dxa"/>
                  <w:vAlign w:val="center"/>
                </w:tcPr>
                <w:p w14:paraId="68E62C6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2864" w:type="dxa"/>
                  <w:vAlign w:val="center"/>
                </w:tcPr>
                <w:p w14:paraId="4AB2BE0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熊家沟散户居民</w:t>
                  </w:r>
                </w:p>
              </w:tc>
              <w:tc>
                <w:tcPr>
                  <w:tcW w:w="941" w:type="dxa"/>
                  <w:vAlign w:val="center"/>
                </w:tcPr>
                <w:p w14:paraId="2F8FEB3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西</w:t>
                  </w:r>
                  <w:r>
                    <w:rPr>
                      <w:rFonts w:hint="default" w:ascii="Times New Roman" w:hAnsi="Times New Roman" w:eastAsia="宋体" w:cs="Times New Roman"/>
                      <w:color w:val="000000" w:themeColor="text1"/>
                      <w:szCs w:val="21"/>
                      <w14:textFill>
                        <w14:solidFill>
                          <w14:schemeClr w14:val="tx1"/>
                        </w14:solidFill>
                      </w14:textFill>
                    </w:rPr>
                    <w:t>北侧</w:t>
                  </w:r>
                </w:p>
              </w:tc>
              <w:tc>
                <w:tcPr>
                  <w:tcW w:w="1333" w:type="dxa"/>
                  <w:vAlign w:val="center"/>
                </w:tcPr>
                <w:p w14:paraId="3DB8C2F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464</w:t>
                  </w:r>
                  <w:r>
                    <w:rPr>
                      <w:rFonts w:hint="default" w:ascii="Times New Roman" w:hAnsi="Times New Roman" w:eastAsia="宋体" w:cs="Times New Roman"/>
                      <w:color w:val="000000" w:themeColor="text1"/>
                      <w:szCs w:val="21"/>
                      <w14:textFill>
                        <w14:solidFill>
                          <w14:schemeClr w14:val="tx1"/>
                        </w14:solidFill>
                      </w14:textFill>
                    </w:rPr>
                    <w:t>m</w:t>
                  </w:r>
                </w:p>
              </w:tc>
              <w:tc>
                <w:tcPr>
                  <w:tcW w:w="1667" w:type="dxa"/>
                  <w:vAlign w:val="center"/>
                </w:tcPr>
                <w:p w14:paraId="000D93C8">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2户4人</w:t>
                  </w:r>
                </w:p>
              </w:tc>
            </w:tr>
            <w:tr w14:paraId="1439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65383672">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p>
              </w:tc>
              <w:tc>
                <w:tcPr>
                  <w:tcW w:w="2864" w:type="dxa"/>
                  <w:vAlign w:val="center"/>
                </w:tcPr>
                <w:p w14:paraId="148CABB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四川亿隆环保科技有限公司</w:t>
                  </w:r>
                </w:p>
              </w:tc>
              <w:tc>
                <w:tcPr>
                  <w:tcW w:w="941" w:type="dxa"/>
                  <w:vAlign w:val="center"/>
                </w:tcPr>
                <w:p w14:paraId="23651616">
                  <w:pPr>
                    <w:widowControl/>
                    <w:jc w:val="center"/>
                    <w:rPr>
                      <w:rFonts w:hint="eastAsia"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东侧</w:t>
                  </w:r>
                </w:p>
              </w:tc>
              <w:tc>
                <w:tcPr>
                  <w:tcW w:w="1333" w:type="dxa"/>
                  <w:vAlign w:val="center"/>
                </w:tcPr>
                <w:p w14:paraId="72A7B637">
                  <w:pPr>
                    <w:widowControl/>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267m</w:t>
                  </w:r>
                </w:p>
              </w:tc>
              <w:tc>
                <w:tcPr>
                  <w:tcW w:w="1667" w:type="dxa"/>
                  <w:vAlign w:val="center"/>
                </w:tcPr>
                <w:p w14:paraId="2C228842">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生产企业</w:t>
                  </w:r>
                </w:p>
              </w:tc>
            </w:tr>
            <w:tr w14:paraId="5E4E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7A4FCA92">
                  <w:pPr>
                    <w:widowControl/>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w:t>
                  </w:r>
                </w:p>
              </w:tc>
              <w:tc>
                <w:tcPr>
                  <w:tcW w:w="2864" w:type="dxa"/>
                  <w:vAlign w:val="center"/>
                </w:tcPr>
                <w:p w14:paraId="5CBD3B5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宣汉天敏化工有限公司</w:t>
                  </w:r>
                </w:p>
              </w:tc>
              <w:tc>
                <w:tcPr>
                  <w:tcW w:w="941" w:type="dxa"/>
                  <w:vAlign w:val="center"/>
                </w:tcPr>
                <w:p w14:paraId="121F85AA">
                  <w:pPr>
                    <w:widowControl/>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东南侧</w:t>
                  </w:r>
                </w:p>
              </w:tc>
              <w:tc>
                <w:tcPr>
                  <w:tcW w:w="1333" w:type="dxa"/>
                  <w:vAlign w:val="center"/>
                </w:tcPr>
                <w:p w14:paraId="21379EBF">
                  <w:pPr>
                    <w:widowControl/>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410m</w:t>
                  </w:r>
                </w:p>
              </w:tc>
              <w:tc>
                <w:tcPr>
                  <w:tcW w:w="1667" w:type="dxa"/>
                  <w:vAlign w:val="center"/>
                </w:tcPr>
                <w:p w14:paraId="6E8EBFD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生产企业</w:t>
                  </w:r>
                </w:p>
              </w:tc>
            </w:tr>
          </w:tbl>
          <w:p w14:paraId="07D56392">
            <w:pPr>
              <w:widowControl/>
              <w:spacing w:line="360" w:lineRule="auto"/>
              <w:ind w:firstLine="480" w:firstLineChars="20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根据外环境关系可知，本项目周边500m范围内无医院、学校，主要分布为正达凯内部工业生产装置，西北侧存在少量散户民宅。</w:t>
            </w:r>
          </w:p>
        </w:tc>
      </w:tr>
    </w:tbl>
    <w:p w14:paraId="72AFB553">
      <w:pPr>
        <w:spacing w:line="360" w:lineRule="auto"/>
        <w:jc w:val="center"/>
        <w:rPr>
          <w:rFonts w:hint="default" w:ascii="Times New Roman" w:hAnsi="Times New Roman" w:eastAsia="宋体" w:cs="Times New Roman"/>
          <w:color w:val="000000" w:themeColor="text1"/>
          <w:szCs w:val="21"/>
          <w:highlight w:val="yellow"/>
          <w14:textFill>
            <w14:solidFill>
              <w14:schemeClr w14:val="tx1"/>
            </w14:solidFill>
          </w14:textFill>
        </w:rPr>
        <w:sectPr>
          <w:headerReference r:id="rId7" w:type="default"/>
          <w:pgSz w:w="11906" w:h="16838"/>
          <w:pgMar w:top="1701" w:right="1531" w:bottom="1701" w:left="1531" w:header="851" w:footer="1077" w:gutter="0"/>
          <w:cols w:space="720" w:num="1"/>
          <w:docGrid w:linePitch="312" w:charSpace="0"/>
        </w:sectPr>
      </w:pPr>
    </w:p>
    <w:p w14:paraId="4D7F99DB">
      <w:pPr>
        <w:pStyle w:val="2"/>
        <w:numPr>
          <w:ilvl w:val="0"/>
          <w:numId w:val="0"/>
        </w:numPr>
        <w:spacing w:before="0" w:after="0" w:line="240" w:lineRule="auto"/>
        <w:jc w:val="center"/>
        <w:rPr>
          <w:rFonts w:hint="default" w:ascii="Times New Roman" w:hAnsi="Times New Roman" w:eastAsia="宋体" w:cs="Times New Roman"/>
          <w:snapToGrid w:val="0"/>
          <w:color w:val="000000" w:themeColor="text1"/>
          <w:sz w:val="21"/>
          <w:szCs w:val="21"/>
          <w:highlight w:val="yellow"/>
          <w14:textFill>
            <w14:solidFill>
              <w14:schemeClr w14:val="tx1"/>
            </w14:solidFill>
          </w14:textFill>
        </w:rPr>
      </w:pPr>
      <w:bookmarkStart w:id="5" w:name="_Toc3221"/>
      <w:r>
        <w:rPr>
          <w:rFonts w:hint="default" w:ascii="Times New Roman" w:hAnsi="Times New Roman" w:eastAsia="宋体" w:cs="Times New Roman"/>
          <w:color w:val="000000" w:themeColor="text1"/>
          <w14:textFill>
            <w14:solidFill>
              <w14:schemeClr w14:val="tx1"/>
            </w14:solidFill>
          </w14:textFill>
        </w:rPr>
        <w:t>二、建设项目工程分析</w:t>
      </w:r>
      <w:bookmarkEnd w:id="5"/>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603"/>
      </w:tblGrid>
      <w:tr w14:paraId="14669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1" w:type="dxa"/>
            <w:vAlign w:val="center"/>
          </w:tcPr>
          <w:p w14:paraId="4D9D2101">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建设内容</w:t>
            </w:r>
          </w:p>
        </w:tc>
        <w:tc>
          <w:tcPr>
            <w:tcW w:w="8603" w:type="dxa"/>
          </w:tcPr>
          <w:p w14:paraId="605D3C97">
            <w:pPr>
              <w:pStyle w:val="468"/>
              <w:numPr>
                <w:ilvl w:val="0"/>
                <w:numId w:val="0"/>
              </w:numPr>
              <w:spacing w:before="120" w:after="120"/>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2.1项目概况及由来</w:t>
            </w:r>
          </w:p>
          <w:p w14:paraId="7F95A01F">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四川正达凯新材料有限公司实施的“宣汉县先进智造产业园项目（年产120万吨MEG联产10万吨电子级DMC新材料项目）”目前</w:t>
            </w:r>
            <w:r>
              <w:rPr>
                <w:rFonts w:hint="eastAsia" w:cs="Times New Roman"/>
                <w:color w:val="000000" w:themeColor="text1"/>
                <w:lang w:val="en-US" w:eastAsia="zh-CN"/>
                <w14:textFill>
                  <w14:solidFill>
                    <w14:schemeClr w14:val="tx1"/>
                  </w14:solidFill>
                </w14:textFill>
              </w:rPr>
              <w:t>重大变动后</w:t>
            </w:r>
            <w:r>
              <w:rPr>
                <w:rFonts w:hint="default" w:ascii="Times New Roman" w:hAnsi="Times New Roman" w:eastAsia="宋体" w:cs="Times New Roman"/>
                <w:color w:val="000000" w:themeColor="text1"/>
                <w14:textFill>
                  <w14:solidFill>
                    <w14:schemeClr w14:val="tx1"/>
                  </w14:solidFill>
                </w14:textFill>
              </w:rPr>
              <w:t>进入</w:t>
            </w:r>
            <w:r>
              <w:rPr>
                <w:rFonts w:hint="eastAsia" w:cs="Times New Roman"/>
                <w:color w:val="000000" w:themeColor="text1"/>
                <w:lang w:val="en-US" w:eastAsia="zh-CN"/>
                <w14:textFill>
                  <w14:solidFill>
                    <w14:schemeClr w14:val="tx1"/>
                  </w14:solidFill>
                </w14:textFill>
              </w:rPr>
              <w:t>继续建设</w:t>
            </w:r>
            <w:r>
              <w:rPr>
                <w:rFonts w:hint="default" w:ascii="Times New Roman" w:hAnsi="Times New Roman" w:eastAsia="宋体" w:cs="Times New Roman"/>
                <w:color w:val="000000" w:themeColor="text1"/>
                <w14:textFill>
                  <w14:solidFill>
                    <w14:schemeClr w14:val="tx1"/>
                  </w14:solidFill>
                </w14:textFill>
              </w:rPr>
              <w:t>阶段，根据相关环评及工艺资料，生产工艺中“天然气净化及转化装置”中的“MDEA脱CO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放空气”年排放量约75594.56t/a，通过</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0m排气筒直排</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即MEDA（N-甲基二乙醇胺）作为CO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的吸附剂，对原料气中大量CO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进行吸附后，通过增压器增压转移至闪蒸洗涤塔和换热器进行降压和降温，在不同温度和压力下溶解度的不同，CO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被解析出MEDA直接排放，MEDA由富液转为贫液循环使用。</w:t>
            </w:r>
          </w:p>
          <w:p w14:paraId="27F8D6C4">
            <w:pPr>
              <w:pStyle w:val="457"/>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为有效降低</w:t>
            </w:r>
            <w:r>
              <w:rPr>
                <w:rFonts w:hint="eastAsia" w:cs="Times New Roman"/>
                <w:color w:val="000000" w:themeColor="text1"/>
                <w:lang w:val="en-US" w:eastAsia="zh-CN"/>
                <w14:textFill>
                  <w14:solidFill>
                    <w14:schemeClr w14:val="tx1"/>
                  </w14:solidFill>
                </w14:textFill>
              </w:rPr>
              <w:t>上述解析出的</w:t>
            </w:r>
            <w:r>
              <w:rPr>
                <w:rFonts w:hint="default" w:ascii="Times New Roman" w:hAnsi="Times New Roman" w:eastAsia="宋体" w:cs="Times New Roman"/>
                <w:color w:val="000000" w:themeColor="text1"/>
                <w14:textFill>
                  <w14:solidFill>
                    <w14:schemeClr w14:val="tx1"/>
                  </w14:solidFill>
                </w14:textFill>
              </w:rPr>
              <w:t>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eastAsia" w:cs="Times New Roman"/>
                <w:color w:val="000000" w:themeColor="text1"/>
                <w:vertAlign w:val="baseline"/>
                <w:lang w:val="en-US" w:eastAsia="zh-CN"/>
                <w14:textFill>
                  <w14:solidFill>
                    <w14:schemeClr w14:val="tx1"/>
                  </w14:solidFill>
                </w14:textFill>
              </w:rPr>
              <w:t>直排气量</w:t>
            </w:r>
            <w:r>
              <w:rPr>
                <w:rFonts w:hint="default" w:ascii="Times New Roman" w:hAnsi="Times New Roman" w:eastAsia="宋体" w:cs="Times New Roman"/>
                <w:color w:val="000000" w:themeColor="text1"/>
                <w14:textFill>
                  <w14:solidFill>
                    <w14:schemeClr w14:val="tx1"/>
                  </w14:solidFill>
                </w14:textFill>
              </w:rPr>
              <w:t>，合理利用工艺废气中排放的CO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，为达州市“双碳”（碳达峰、碳中和）相关政策</w:t>
            </w:r>
            <w:r>
              <w:rPr>
                <w:rFonts w:hint="eastAsia" w:cs="Times New Roman"/>
                <w:color w:val="000000" w:themeColor="text1"/>
                <w:lang w:eastAsia="zh-CN"/>
                <w14:textFill>
                  <w14:solidFill>
                    <w14:schemeClr w14:val="tx1"/>
                  </w14:solidFill>
                </w14:textFill>
              </w:rPr>
              <w:t>作出贡献</w:t>
            </w:r>
            <w:r>
              <w:rPr>
                <w:rFonts w:hint="default" w:ascii="Times New Roman" w:hAnsi="Times New Roman" w:eastAsia="宋体" w:cs="Times New Roman"/>
                <w:color w:val="000000" w:themeColor="text1"/>
                <w14:textFill>
                  <w14:solidFill>
                    <w14:schemeClr w14:val="tx1"/>
                  </w14:solidFill>
                </w14:textFill>
              </w:rPr>
              <w:t>，四川正达凯新材料有限公司决定在现有厂区内新增CO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物理回收装置，对上述MDEA脱CO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eastAsia" w:cs="Times New Roman"/>
                <w:color w:val="000000" w:themeColor="text1"/>
                <w:vertAlign w:val="baseline"/>
                <w:lang w:val="en-US" w:eastAsia="zh-CN"/>
                <w14:textFill>
                  <w14:solidFill>
                    <w14:schemeClr w14:val="tx1"/>
                  </w14:solidFill>
                </w14:textFill>
              </w:rPr>
              <w:t>直排</w:t>
            </w:r>
            <w:r>
              <w:rPr>
                <w:rFonts w:hint="default" w:ascii="Times New Roman" w:hAnsi="Times New Roman" w:eastAsia="宋体" w:cs="Times New Roman"/>
                <w:color w:val="000000" w:themeColor="text1"/>
                <w14:textFill>
                  <w14:solidFill>
                    <w14:schemeClr w14:val="tx1"/>
                  </w14:solidFill>
                </w14:textFill>
              </w:rPr>
              <w:t>尾气进行回收，生产高纯液态二氧化碳</w:t>
            </w:r>
            <w:r>
              <w:rPr>
                <w:rFonts w:hint="eastAsia" w:cs="Times New Roman"/>
                <w:color w:val="000000" w:themeColor="text1"/>
                <w:lang w:val="en-US" w:eastAsia="zh-CN"/>
                <w14:textFill>
                  <w14:solidFill>
                    <w14:schemeClr w14:val="tx1"/>
                  </w14:solidFill>
                </w14:textFill>
              </w:rPr>
              <w:t>满足产品国标质量标准后外售</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本次项目实施不涉及现有工程生产设施、生产工艺及原辅料的变化。</w:t>
            </w:r>
          </w:p>
          <w:p w14:paraId="049898A3">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项目名称：</w:t>
            </w:r>
            <w:r>
              <w:rPr>
                <w:rFonts w:hint="default" w:ascii="Times New Roman" w:hAnsi="Times New Roman" w:eastAsia="宋体" w:cs="Times New Roman"/>
                <w:color w:val="000000" w:themeColor="text1"/>
                <w14:textFill>
                  <w14:solidFill>
                    <w14:schemeClr w14:val="tx1"/>
                  </w14:solidFill>
                </w14:textFill>
              </w:rPr>
              <w:t>乙二醇装置工艺废气回收制高纯液态二氧化碳技改项目；</w:t>
            </w:r>
          </w:p>
          <w:p w14:paraId="35472B9B">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建设单位：</w:t>
            </w:r>
            <w:r>
              <w:rPr>
                <w:rFonts w:hint="default" w:ascii="Times New Roman" w:hAnsi="Times New Roman" w:eastAsia="宋体" w:cs="Times New Roman"/>
                <w:color w:val="000000" w:themeColor="text1"/>
                <w14:textFill>
                  <w14:solidFill>
                    <w14:schemeClr w14:val="tx1"/>
                  </w14:solidFill>
                </w14:textFill>
              </w:rPr>
              <w:t>四川正达凯新材料有限公司；</w:t>
            </w:r>
          </w:p>
          <w:p w14:paraId="316D2C3B">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建设地点：</w:t>
            </w:r>
            <w:r>
              <w:rPr>
                <w:rFonts w:hint="default" w:ascii="Times New Roman" w:hAnsi="Times New Roman" w:eastAsia="宋体" w:cs="Times New Roman"/>
                <w:color w:val="000000" w:themeColor="text1"/>
                <w14:textFill>
                  <w14:solidFill>
                    <w14:schemeClr w14:val="tx1"/>
                  </w14:solidFill>
                </w14:textFill>
              </w:rPr>
              <w:t>普光镇化工大道8号现有厂区范围内；</w:t>
            </w:r>
          </w:p>
          <w:p w14:paraId="19165240">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建设性质：</w:t>
            </w:r>
            <w:r>
              <w:rPr>
                <w:rFonts w:hint="default" w:ascii="Times New Roman" w:hAnsi="Times New Roman" w:eastAsia="宋体" w:cs="Times New Roman"/>
                <w:color w:val="000000" w:themeColor="text1"/>
                <w14:textFill>
                  <w14:solidFill>
                    <w14:schemeClr w14:val="tx1"/>
                  </w14:solidFill>
                </w14:textFill>
              </w:rPr>
              <w:t>技改；</w:t>
            </w:r>
          </w:p>
          <w:p w14:paraId="1691BE68">
            <w:pPr>
              <w:pStyle w:val="457"/>
              <w:spacing w:line="360" w:lineRule="auto"/>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项目投资：</w:t>
            </w:r>
            <w:r>
              <w:rPr>
                <w:rFonts w:hint="default" w:ascii="Times New Roman" w:hAnsi="Times New Roman" w:eastAsia="宋体" w:cs="Times New Roman"/>
                <w:color w:val="000000" w:themeColor="text1"/>
                <w14:textFill>
                  <w14:solidFill>
                    <w14:schemeClr w14:val="tx1"/>
                  </w14:solidFill>
                </w14:textFill>
              </w:rPr>
              <w:t>2000万元；</w:t>
            </w:r>
          </w:p>
          <w:p w14:paraId="14104952">
            <w:pPr>
              <w:pStyle w:val="457"/>
              <w:spacing w:line="360" w:lineRule="auto"/>
              <w:ind w:firstLine="482"/>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劳动定员及工作制度：</w:t>
            </w:r>
            <w:r>
              <w:rPr>
                <w:rFonts w:hint="default" w:ascii="Times New Roman" w:hAnsi="Times New Roman" w:eastAsia="宋体" w:cs="Times New Roman"/>
                <w:color w:val="000000" w:themeColor="text1"/>
                <w:shd w:val="clear" w:color="auto"/>
                <w14:textFill>
                  <w14:solidFill>
                    <w14:schemeClr w14:val="tx1"/>
                  </w14:solidFill>
                </w14:textFill>
              </w:rPr>
              <w:t>本次技改</w:t>
            </w:r>
            <w:r>
              <w:rPr>
                <w:rFonts w:hint="default" w:ascii="Times New Roman" w:hAnsi="Times New Roman" w:eastAsia="宋体" w:cs="Times New Roman"/>
                <w:color w:val="000000" w:themeColor="text1"/>
                <w:shd w:val="clear" w:color="auto"/>
                <w:lang w:val="en-US" w:eastAsia="zh-CN"/>
                <w14:textFill>
                  <w14:solidFill>
                    <w14:schemeClr w14:val="tx1"/>
                  </w14:solidFill>
                </w14:textFill>
              </w:rPr>
              <w:t>新增</w:t>
            </w:r>
            <w:r>
              <w:rPr>
                <w:rFonts w:hint="default" w:ascii="Times New Roman" w:hAnsi="Times New Roman" w:eastAsia="宋体" w:cs="Times New Roman"/>
                <w:color w:val="000000" w:themeColor="text1"/>
                <w:shd w:val="clear" w:color="auto"/>
                <w14:textFill>
                  <w14:solidFill>
                    <w14:schemeClr w14:val="tx1"/>
                  </w14:solidFill>
                </w14:textFill>
              </w:rPr>
              <w:t>劳动定员</w:t>
            </w:r>
            <w:r>
              <w:rPr>
                <w:rFonts w:hint="default" w:ascii="Times New Roman" w:hAnsi="Times New Roman" w:eastAsia="宋体" w:cs="Times New Roman"/>
                <w:color w:val="000000" w:themeColor="text1"/>
                <w:shd w:val="clear" w:color="auto"/>
                <w:lang w:val="en-US" w:eastAsia="zh-CN"/>
                <w14:textFill>
                  <w14:solidFill>
                    <w14:schemeClr w14:val="tx1"/>
                  </w14:solidFill>
                </w14:textFill>
              </w:rPr>
              <w:t>8人，技改后全厂劳动定员共计</w:t>
            </w:r>
            <w:r>
              <w:rPr>
                <w:rFonts w:hint="eastAsia" w:cs="Times New Roman"/>
                <w:color w:val="000000" w:themeColor="text1"/>
                <w:shd w:val="clear" w:color="auto"/>
                <w:lang w:val="en-US" w:eastAsia="zh-CN"/>
                <w14:textFill>
                  <w14:solidFill>
                    <w14:schemeClr w14:val="tx1"/>
                  </w14:solidFill>
                </w14:textFill>
              </w:rPr>
              <w:t>831</w:t>
            </w:r>
            <w:r>
              <w:rPr>
                <w:rFonts w:hint="default" w:ascii="Times New Roman" w:hAnsi="Times New Roman" w:eastAsia="宋体" w:cs="Times New Roman"/>
                <w:color w:val="000000" w:themeColor="text1"/>
                <w:shd w:val="clear" w:color="auto"/>
                <w14:textFill>
                  <w14:solidFill>
                    <w14:schemeClr w14:val="tx1"/>
                  </w14:solidFill>
                </w14:textFill>
              </w:rPr>
              <w:t>人</w:t>
            </w:r>
            <w:r>
              <w:rPr>
                <w:rFonts w:hint="default" w:ascii="Times New Roman" w:hAnsi="Times New Roman" w:eastAsia="宋体" w:cs="Times New Roman"/>
                <w:color w:val="000000" w:themeColor="text1"/>
                <w:shd w:val="clear" w:color="auto"/>
                <w:lang w:eastAsia="zh-CN"/>
                <w14:textFill>
                  <w14:solidFill>
                    <w14:schemeClr w14:val="tx1"/>
                  </w14:solidFill>
                </w14:textFill>
              </w:rPr>
              <w:t>（</w:t>
            </w:r>
            <w:r>
              <w:rPr>
                <w:rFonts w:hint="default" w:ascii="Times New Roman" w:hAnsi="Times New Roman" w:eastAsia="宋体" w:cs="Times New Roman"/>
                <w:color w:val="000000" w:themeColor="text1"/>
                <w:shd w:val="clear" w:color="auto"/>
                <w14:textFill>
                  <w14:solidFill>
                    <w14:schemeClr w14:val="tx1"/>
                  </w14:solidFill>
                </w14:textFill>
              </w:rPr>
              <w:t>一期</w:t>
            </w:r>
            <w:r>
              <w:rPr>
                <w:rFonts w:hint="default" w:ascii="Times New Roman" w:hAnsi="Times New Roman" w:eastAsia="宋体" w:cs="Times New Roman"/>
                <w:color w:val="000000" w:themeColor="text1"/>
                <w:shd w:val="clear" w:color="auto"/>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，年生产时间为333天、8000小时（每天24h）；</w:t>
            </w:r>
          </w:p>
          <w:p w14:paraId="334A512F">
            <w:pPr>
              <w:pStyle w:val="457"/>
              <w:spacing w:line="360" w:lineRule="auto"/>
              <w:ind w:firstLine="482"/>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
                <w:color w:val="000000" w:themeColor="text1"/>
                <w:szCs w:val="24"/>
                <w14:textFill>
                  <w14:solidFill>
                    <w14:schemeClr w14:val="tx1"/>
                  </w14:solidFill>
                </w14:textFill>
              </w:rPr>
              <w:t>建设内容：</w:t>
            </w:r>
            <w:r>
              <w:rPr>
                <w:rFonts w:hint="default" w:ascii="Times New Roman" w:hAnsi="Times New Roman" w:eastAsia="宋体" w:cs="Times New Roman"/>
                <w:bCs/>
                <w:color w:val="000000" w:themeColor="text1"/>
                <w:szCs w:val="24"/>
                <w14:textFill>
                  <w14:solidFill>
                    <w14:schemeClr w14:val="tx1"/>
                  </w14:solidFill>
                </w14:textFill>
              </w:rPr>
              <w:t>项目占地约5亩（厂区内现有空地），以一期</w:t>
            </w:r>
            <w:r>
              <w:rPr>
                <w:rFonts w:hint="eastAsia" w:cs="Times New Roman"/>
                <w:bCs/>
                <w:color w:val="000000" w:themeColor="text1"/>
                <w:szCs w:val="24"/>
                <w:lang w:val="en-US" w:eastAsia="zh-CN"/>
                <w14:textFill>
                  <w14:solidFill>
                    <w14:schemeClr w14:val="tx1"/>
                  </w14:solidFill>
                </w14:textFill>
              </w:rPr>
              <w:t>MEDA吸附CO</w:t>
            </w:r>
            <w:r>
              <w:rPr>
                <w:rFonts w:hint="eastAsia" w:cs="Times New Roman"/>
                <w:bCs/>
                <w:color w:val="000000" w:themeColor="text1"/>
                <w:szCs w:val="24"/>
                <w:vertAlign w:val="subscript"/>
                <w:lang w:val="en-US" w:eastAsia="zh-CN"/>
                <w14:textFill>
                  <w14:solidFill>
                    <w14:schemeClr w14:val="tx1"/>
                  </w14:solidFill>
                </w14:textFill>
              </w:rPr>
              <w:t>2</w:t>
            </w:r>
            <w:r>
              <w:rPr>
                <w:rFonts w:hint="eastAsia" w:cs="Times New Roman"/>
                <w:bCs/>
                <w:color w:val="000000" w:themeColor="text1"/>
                <w:szCs w:val="24"/>
                <w:lang w:val="en-US" w:eastAsia="zh-CN"/>
                <w14:textFill>
                  <w14:solidFill>
                    <w14:schemeClr w14:val="tx1"/>
                  </w14:solidFill>
                </w14:textFill>
              </w:rPr>
              <w:t>后解析</w:t>
            </w:r>
            <w:r>
              <w:rPr>
                <w:rFonts w:hint="default" w:ascii="Times New Roman" w:hAnsi="Times New Roman" w:eastAsia="宋体" w:cs="Times New Roman"/>
                <w:bCs/>
                <w:color w:val="000000" w:themeColor="text1"/>
                <w:szCs w:val="24"/>
                <w14:textFill>
                  <w14:solidFill>
                    <w14:schemeClr w14:val="tx1"/>
                  </w14:solidFill>
                </w14:textFill>
              </w:rPr>
              <w:t>废气二氧化碳为原料，采用先进的低温精馏法制高纯液态二氧化碳生产工艺，规划建设年产7万吨高纯液态二氧化碳技改项目。主要设备为液态二氧化碳制备、液态二氧化碳存储、液态二氧化碳装车等相关配套设施，系统CO</w:t>
            </w:r>
            <w:r>
              <w:rPr>
                <w:rFonts w:hint="default" w:ascii="Times New Roman" w:hAnsi="Times New Roman" w:eastAsia="宋体" w:cs="Times New Roman"/>
                <w:bCs/>
                <w:color w:val="000000" w:themeColor="text1"/>
                <w:szCs w:val="24"/>
                <w:vertAlign w:val="subscript"/>
                <w14:textFill>
                  <w14:solidFill>
                    <w14:schemeClr w14:val="tx1"/>
                  </w14:solidFill>
                </w14:textFill>
              </w:rPr>
              <w:t>2</w:t>
            </w:r>
            <w:r>
              <w:rPr>
                <w:rFonts w:hint="default" w:ascii="Times New Roman" w:hAnsi="Times New Roman" w:eastAsia="宋体" w:cs="Times New Roman"/>
                <w:bCs/>
                <w:color w:val="000000" w:themeColor="text1"/>
                <w:szCs w:val="24"/>
                <w14:textFill>
                  <w14:solidFill>
                    <w14:schemeClr w14:val="tx1"/>
                  </w14:solidFill>
                </w14:textFill>
              </w:rPr>
              <w:t>回收率≥94%。</w:t>
            </w:r>
          </w:p>
          <w:p w14:paraId="5094A67C">
            <w:pPr>
              <w:pStyle w:val="457"/>
              <w:spacing w:line="360" w:lineRule="auto"/>
              <w:ind w:firstLine="480"/>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本次技改后全厂主要生产产品见下表2-1。</w:t>
            </w:r>
          </w:p>
          <w:p w14:paraId="71834A35">
            <w:pPr>
              <w:jc w:val="center"/>
              <w:rPr>
                <w:rFonts w:hint="default" w:ascii="Times New Roman" w:hAnsi="Times New Roman" w:eastAsia="宋体" w:cs="Times New Roman"/>
                <w:b/>
                <w:bCs/>
                <w:color w:val="000000" w:themeColor="text1"/>
                <w:szCs w:val="21"/>
                <w:lang w:bidi="ar"/>
                <w14:textFill>
                  <w14:solidFill>
                    <w14:schemeClr w14:val="tx1"/>
                  </w14:solidFill>
                </w14:textFill>
              </w:rPr>
            </w:pPr>
          </w:p>
          <w:p w14:paraId="2328B3EB">
            <w:pPr>
              <w:jc w:val="center"/>
              <w:rPr>
                <w:rFonts w:hint="default" w:ascii="Times New Roman" w:hAnsi="Times New Roman" w:eastAsia="宋体" w:cs="Times New Roman"/>
                <w:b/>
                <w:bCs/>
                <w:color w:val="000000" w:themeColor="text1"/>
                <w:szCs w:val="21"/>
                <w:lang w:bidi="ar"/>
                <w14:textFill>
                  <w14:solidFill>
                    <w14:schemeClr w14:val="tx1"/>
                  </w14:solidFill>
                </w14:textFill>
              </w:rPr>
            </w:pPr>
          </w:p>
          <w:p w14:paraId="730D1B7D">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表2-1 主要产品一览表</w:t>
            </w:r>
          </w:p>
          <w:tbl>
            <w:tblPr>
              <w:tblStyle w:val="48"/>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571"/>
              <w:gridCol w:w="928"/>
              <w:gridCol w:w="995"/>
              <w:gridCol w:w="1105"/>
              <w:gridCol w:w="1063"/>
              <w:gridCol w:w="1487"/>
              <w:gridCol w:w="898"/>
            </w:tblGrid>
            <w:tr w14:paraId="2CA7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4" w:type="pct"/>
                  <w:vMerge w:val="restart"/>
                  <w:noWrap w:val="0"/>
                  <w:vAlign w:val="center"/>
                </w:tcPr>
                <w:p w14:paraId="0A01F31D">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926" w:type="pct"/>
                  <w:vMerge w:val="restart"/>
                  <w:noWrap w:val="0"/>
                  <w:vAlign w:val="center"/>
                </w:tcPr>
                <w:p w14:paraId="576C258A">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产品名称</w:t>
                  </w:r>
                </w:p>
              </w:tc>
              <w:tc>
                <w:tcPr>
                  <w:tcW w:w="547" w:type="pct"/>
                  <w:vMerge w:val="restart"/>
                  <w:noWrap w:val="0"/>
                  <w:vAlign w:val="center"/>
                </w:tcPr>
                <w:p w14:paraId="2942F0AE">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单位</w:t>
                  </w:r>
                </w:p>
              </w:tc>
              <w:tc>
                <w:tcPr>
                  <w:tcW w:w="1865" w:type="pct"/>
                  <w:gridSpan w:val="3"/>
                  <w:noWrap w:val="0"/>
                  <w:vAlign w:val="center"/>
                </w:tcPr>
                <w:p w14:paraId="0A609C52">
                  <w:pPr>
                    <w:snapToGrid w:val="0"/>
                    <w:spacing w:line="240" w:lineRule="auto"/>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生产量</w:t>
                  </w:r>
                </w:p>
              </w:tc>
              <w:tc>
                <w:tcPr>
                  <w:tcW w:w="876" w:type="pct"/>
                  <w:vMerge w:val="restart"/>
                  <w:noWrap w:val="0"/>
                  <w:vAlign w:val="center"/>
                </w:tcPr>
                <w:p w14:paraId="4DC51FC4">
                  <w:pPr>
                    <w:snapToGrid w:val="0"/>
                    <w:spacing w:line="240" w:lineRule="auto"/>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产品情况</w:t>
                  </w:r>
                </w:p>
              </w:tc>
              <w:tc>
                <w:tcPr>
                  <w:tcW w:w="529" w:type="pct"/>
                  <w:vMerge w:val="restart"/>
                  <w:noWrap w:val="0"/>
                  <w:vAlign w:val="center"/>
                </w:tcPr>
                <w:p w14:paraId="7D02AA70">
                  <w:pPr>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备注</w:t>
                  </w:r>
                </w:p>
              </w:tc>
            </w:tr>
            <w:tr w14:paraId="2C2A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54" w:type="pct"/>
                  <w:vMerge w:val="continue"/>
                  <w:noWrap w:val="0"/>
                  <w:vAlign w:val="center"/>
                </w:tcPr>
                <w:p w14:paraId="546169C1">
                  <w:pPr>
                    <w:snapToGrid w:val="0"/>
                    <w:spacing w:line="240" w:lineRule="auto"/>
                    <w:jc w:val="center"/>
                    <w:rPr>
                      <w:color w:val="000000" w:themeColor="text1"/>
                      <w:sz w:val="21"/>
                      <w:szCs w:val="21"/>
                      <w14:textFill>
                        <w14:solidFill>
                          <w14:schemeClr w14:val="tx1"/>
                        </w14:solidFill>
                      </w14:textFill>
                    </w:rPr>
                  </w:pPr>
                </w:p>
              </w:tc>
              <w:tc>
                <w:tcPr>
                  <w:tcW w:w="926" w:type="pct"/>
                  <w:vMerge w:val="continue"/>
                  <w:noWrap w:val="0"/>
                  <w:vAlign w:val="center"/>
                </w:tcPr>
                <w:p w14:paraId="7B62C47F">
                  <w:pPr>
                    <w:snapToGrid w:val="0"/>
                    <w:spacing w:line="240" w:lineRule="auto"/>
                    <w:jc w:val="center"/>
                    <w:rPr>
                      <w:color w:val="000000" w:themeColor="text1"/>
                      <w:sz w:val="21"/>
                      <w:szCs w:val="21"/>
                      <w14:textFill>
                        <w14:solidFill>
                          <w14:schemeClr w14:val="tx1"/>
                        </w14:solidFill>
                      </w14:textFill>
                    </w:rPr>
                  </w:pPr>
                </w:p>
              </w:tc>
              <w:tc>
                <w:tcPr>
                  <w:tcW w:w="547" w:type="pct"/>
                  <w:vMerge w:val="continue"/>
                  <w:noWrap w:val="0"/>
                  <w:vAlign w:val="center"/>
                </w:tcPr>
                <w:p w14:paraId="4056C01B">
                  <w:pPr>
                    <w:snapToGrid w:val="0"/>
                    <w:spacing w:line="240" w:lineRule="auto"/>
                    <w:jc w:val="center"/>
                    <w:rPr>
                      <w:color w:val="000000" w:themeColor="text1"/>
                      <w:sz w:val="21"/>
                      <w:szCs w:val="21"/>
                      <w14:textFill>
                        <w14:solidFill>
                          <w14:schemeClr w14:val="tx1"/>
                        </w14:solidFill>
                      </w14:textFill>
                    </w:rPr>
                  </w:pPr>
                </w:p>
              </w:tc>
              <w:tc>
                <w:tcPr>
                  <w:tcW w:w="586" w:type="pct"/>
                  <w:noWrap w:val="0"/>
                  <w:vAlign w:val="center"/>
                </w:tcPr>
                <w:p w14:paraId="1FE1D9ED">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一期</w:t>
                  </w:r>
                </w:p>
              </w:tc>
              <w:tc>
                <w:tcPr>
                  <w:tcW w:w="651" w:type="pct"/>
                  <w:noWrap w:val="0"/>
                  <w:vAlign w:val="center"/>
                </w:tcPr>
                <w:p w14:paraId="4FF3B0A5">
                  <w:pPr>
                    <w:snapToGri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二期</w:t>
                  </w:r>
                </w:p>
              </w:tc>
              <w:tc>
                <w:tcPr>
                  <w:tcW w:w="626" w:type="pct"/>
                  <w:noWrap w:val="0"/>
                  <w:vAlign w:val="center"/>
                </w:tcPr>
                <w:p w14:paraId="3331EF58">
                  <w:pPr>
                    <w:snapToGri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两期合计</w:t>
                  </w:r>
                </w:p>
              </w:tc>
              <w:tc>
                <w:tcPr>
                  <w:tcW w:w="876" w:type="pct"/>
                  <w:vMerge w:val="continue"/>
                  <w:noWrap w:val="0"/>
                  <w:vAlign w:val="center"/>
                </w:tcPr>
                <w:p w14:paraId="506320DA">
                  <w:pPr>
                    <w:snapToGrid w:val="0"/>
                    <w:spacing w:line="240" w:lineRule="auto"/>
                    <w:jc w:val="center"/>
                    <w:rPr>
                      <w:color w:val="000000" w:themeColor="text1"/>
                      <w:sz w:val="21"/>
                      <w:szCs w:val="21"/>
                      <w14:textFill>
                        <w14:solidFill>
                          <w14:schemeClr w14:val="tx1"/>
                        </w14:solidFill>
                      </w14:textFill>
                    </w:rPr>
                  </w:pPr>
                </w:p>
              </w:tc>
              <w:tc>
                <w:tcPr>
                  <w:tcW w:w="529" w:type="pct"/>
                  <w:vMerge w:val="continue"/>
                  <w:noWrap w:val="0"/>
                  <w:vAlign w:val="center"/>
                </w:tcPr>
                <w:p w14:paraId="55077E3E">
                  <w:pPr>
                    <w:snapToGrid w:val="0"/>
                    <w:spacing w:line="240" w:lineRule="auto"/>
                    <w:jc w:val="center"/>
                    <w:rPr>
                      <w:color w:val="000000" w:themeColor="text1"/>
                      <w:sz w:val="21"/>
                      <w:szCs w:val="21"/>
                      <w14:textFill>
                        <w14:solidFill>
                          <w14:schemeClr w14:val="tx1"/>
                        </w14:solidFill>
                      </w14:textFill>
                    </w:rPr>
                  </w:pPr>
                </w:p>
              </w:tc>
            </w:tr>
            <w:tr w14:paraId="616D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54" w:type="pct"/>
                  <w:noWrap w:val="0"/>
                  <w:vAlign w:val="center"/>
                </w:tcPr>
                <w:p w14:paraId="01F495CB">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926" w:type="pct"/>
                  <w:noWrap w:val="0"/>
                  <w:vAlign w:val="center"/>
                </w:tcPr>
                <w:p w14:paraId="78F0B2EB">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聚酯级</w:t>
                  </w:r>
                  <w:r>
                    <w:rPr>
                      <w:color w:val="000000" w:themeColor="text1"/>
                      <w:sz w:val="21"/>
                      <w:szCs w:val="21"/>
                      <w14:textFill>
                        <w14:solidFill>
                          <w14:schemeClr w14:val="tx1"/>
                        </w14:solidFill>
                      </w14:textFill>
                    </w:rPr>
                    <w:t>乙二醇</w:t>
                  </w:r>
                </w:p>
              </w:tc>
              <w:tc>
                <w:tcPr>
                  <w:tcW w:w="547" w:type="pct"/>
                  <w:noWrap w:val="0"/>
                  <w:vAlign w:val="center"/>
                </w:tcPr>
                <w:p w14:paraId="45E2BADB">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吨/年</w:t>
                  </w:r>
                </w:p>
              </w:tc>
              <w:tc>
                <w:tcPr>
                  <w:tcW w:w="586" w:type="pct"/>
                  <w:noWrap w:val="0"/>
                  <w:vAlign w:val="center"/>
                </w:tcPr>
                <w:p w14:paraId="64DD5730">
                  <w:pPr>
                    <w:snapToGrid w:val="0"/>
                    <w:spacing w:line="240" w:lineRule="auto"/>
                    <w:jc w:val="center"/>
                    <w:rPr>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600000</w:t>
                  </w:r>
                </w:p>
              </w:tc>
              <w:tc>
                <w:tcPr>
                  <w:tcW w:w="651" w:type="pct"/>
                  <w:noWrap w:val="0"/>
                  <w:vAlign w:val="center"/>
                </w:tcPr>
                <w:p w14:paraId="6FF69DCC">
                  <w:pPr>
                    <w:snapToGrid w:val="0"/>
                    <w:spacing w:line="240" w:lineRule="auto"/>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600000</w:t>
                  </w:r>
                </w:p>
              </w:tc>
              <w:tc>
                <w:tcPr>
                  <w:tcW w:w="626" w:type="pct"/>
                  <w:noWrap w:val="0"/>
                  <w:vAlign w:val="center"/>
                </w:tcPr>
                <w:p w14:paraId="3131C352">
                  <w:pPr>
                    <w:snapToGrid w:val="0"/>
                    <w:spacing w:line="240" w:lineRule="auto"/>
                    <w:jc w:val="center"/>
                    <w:rPr>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1200000</w:t>
                  </w:r>
                </w:p>
              </w:tc>
              <w:tc>
                <w:tcPr>
                  <w:tcW w:w="876" w:type="pct"/>
                  <w:noWrap w:val="0"/>
                  <w:vAlign w:val="center"/>
                </w:tcPr>
                <w:p w14:paraId="393033DF">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主产品，含量≥99.9%，外售</w:t>
                  </w:r>
                </w:p>
              </w:tc>
              <w:tc>
                <w:tcPr>
                  <w:tcW w:w="529" w:type="pct"/>
                  <w:noWrap w:val="0"/>
                  <w:vAlign w:val="center"/>
                </w:tcPr>
                <w:p w14:paraId="2FE3D15A">
                  <w:pPr>
                    <w:snapToGrid w:val="0"/>
                    <w:spacing w:line="240" w:lineRule="auto"/>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786D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54" w:type="pct"/>
                  <w:noWrap w:val="0"/>
                  <w:vAlign w:val="center"/>
                </w:tcPr>
                <w:p w14:paraId="68A6ACBB">
                  <w:pPr>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926" w:type="pct"/>
                  <w:noWrap w:val="0"/>
                  <w:vAlign w:val="center"/>
                </w:tcPr>
                <w:p w14:paraId="7AB9834F">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优品级</w:t>
                  </w:r>
                  <w:r>
                    <w:rPr>
                      <w:color w:val="000000" w:themeColor="text1"/>
                      <w:sz w:val="21"/>
                      <w:szCs w:val="21"/>
                      <w14:textFill>
                        <w14:solidFill>
                          <w14:schemeClr w14:val="tx1"/>
                        </w14:solidFill>
                      </w14:textFill>
                    </w:rPr>
                    <w:t>DMC</w:t>
                  </w:r>
                </w:p>
              </w:tc>
              <w:tc>
                <w:tcPr>
                  <w:tcW w:w="547" w:type="pct"/>
                  <w:noWrap w:val="0"/>
                  <w:vAlign w:val="center"/>
                </w:tcPr>
                <w:p w14:paraId="6CEB2A13">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吨/年</w:t>
                  </w:r>
                </w:p>
              </w:tc>
              <w:tc>
                <w:tcPr>
                  <w:tcW w:w="586" w:type="pct"/>
                  <w:noWrap w:val="0"/>
                  <w:vAlign w:val="center"/>
                </w:tcPr>
                <w:p w14:paraId="30A07FE2">
                  <w:pPr>
                    <w:snapToGrid w:val="0"/>
                    <w:spacing w:line="240" w:lineRule="auto"/>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18200</w:t>
                  </w:r>
                </w:p>
              </w:tc>
              <w:tc>
                <w:tcPr>
                  <w:tcW w:w="651" w:type="pct"/>
                  <w:noWrap w:val="0"/>
                  <w:vAlign w:val="center"/>
                </w:tcPr>
                <w:p w14:paraId="11B0A268">
                  <w:pPr>
                    <w:snapToGrid w:val="0"/>
                    <w:spacing w:line="240" w:lineRule="auto"/>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w:t>
                  </w:r>
                </w:p>
              </w:tc>
              <w:tc>
                <w:tcPr>
                  <w:tcW w:w="626" w:type="pct"/>
                  <w:noWrap w:val="0"/>
                  <w:vAlign w:val="center"/>
                </w:tcPr>
                <w:p w14:paraId="3367FCD8">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w:t>
                  </w:r>
                </w:p>
              </w:tc>
              <w:tc>
                <w:tcPr>
                  <w:tcW w:w="876" w:type="pct"/>
                  <w:noWrap w:val="0"/>
                  <w:vAlign w:val="center"/>
                </w:tcPr>
                <w:p w14:paraId="55C87C84">
                  <w:pPr>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副产品，含量≥99.9%，外售</w:t>
                  </w:r>
                </w:p>
              </w:tc>
              <w:tc>
                <w:tcPr>
                  <w:tcW w:w="529" w:type="pct"/>
                  <w:noWrap w:val="0"/>
                  <w:vAlign w:val="center"/>
                </w:tcPr>
                <w:p w14:paraId="7746C815">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1083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54" w:type="pct"/>
                  <w:noWrap w:val="0"/>
                  <w:vAlign w:val="center"/>
                </w:tcPr>
                <w:p w14:paraId="2EBF9431">
                  <w:pPr>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926" w:type="pct"/>
                  <w:noWrap w:val="0"/>
                  <w:vAlign w:val="center"/>
                </w:tcPr>
                <w:p w14:paraId="24B3404A">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电子级DMC</w:t>
                  </w:r>
                </w:p>
              </w:tc>
              <w:tc>
                <w:tcPr>
                  <w:tcW w:w="547" w:type="pct"/>
                  <w:noWrap w:val="0"/>
                  <w:vAlign w:val="center"/>
                </w:tcPr>
                <w:p w14:paraId="4B43052D">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吨/年</w:t>
                  </w:r>
                </w:p>
              </w:tc>
              <w:tc>
                <w:tcPr>
                  <w:tcW w:w="586" w:type="pct"/>
                  <w:noWrap w:val="0"/>
                  <w:vAlign w:val="center"/>
                </w:tcPr>
                <w:p w14:paraId="06512933">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w:t>
                  </w:r>
                </w:p>
              </w:tc>
              <w:tc>
                <w:tcPr>
                  <w:tcW w:w="651" w:type="pct"/>
                  <w:noWrap w:val="0"/>
                  <w:vAlign w:val="center"/>
                </w:tcPr>
                <w:p w14:paraId="0A5DC77F">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100000</w:t>
                  </w:r>
                </w:p>
              </w:tc>
              <w:tc>
                <w:tcPr>
                  <w:tcW w:w="626" w:type="pct"/>
                  <w:noWrap w:val="0"/>
                  <w:vAlign w:val="center"/>
                </w:tcPr>
                <w:p w14:paraId="5C696A6D">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100000</w:t>
                  </w:r>
                </w:p>
              </w:tc>
              <w:tc>
                <w:tcPr>
                  <w:tcW w:w="876" w:type="pct"/>
                  <w:noWrap w:val="0"/>
                  <w:vAlign w:val="center"/>
                </w:tcPr>
                <w:p w14:paraId="242AAC32">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主产品</w:t>
                  </w:r>
                  <w:r>
                    <w:rPr>
                      <w:color w:val="000000" w:themeColor="text1"/>
                      <w:sz w:val="21"/>
                      <w:szCs w:val="21"/>
                      <w14:textFill>
                        <w14:solidFill>
                          <w14:schemeClr w14:val="tx1"/>
                        </w14:solidFill>
                      </w14:textFill>
                    </w:rPr>
                    <w:t>，含量≥99.</w:t>
                  </w:r>
                  <w:r>
                    <w:rPr>
                      <w:rFonts w:hint="eastAsia"/>
                      <w:color w:val="000000" w:themeColor="text1"/>
                      <w:sz w:val="21"/>
                      <w:szCs w:val="21"/>
                      <w14:textFill>
                        <w14:solidFill>
                          <w14:schemeClr w14:val="tx1"/>
                        </w14:solidFill>
                      </w14:textFill>
                    </w:rPr>
                    <w:t>99</w:t>
                  </w:r>
                  <w:r>
                    <w:rPr>
                      <w:color w:val="000000" w:themeColor="text1"/>
                      <w:sz w:val="21"/>
                      <w:szCs w:val="21"/>
                      <w14:textFill>
                        <w14:solidFill>
                          <w14:schemeClr w14:val="tx1"/>
                        </w14:solidFill>
                      </w14:textFill>
                    </w:rPr>
                    <w:t>%，外售</w:t>
                  </w:r>
                </w:p>
              </w:tc>
              <w:tc>
                <w:tcPr>
                  <w:tcW w:w="529" w:type="pct"/>
                  <w:noWrap w:val="0"/>
                  <w:vAlign w:val="center"/>
                </w:tcPr>
                <w:p w14:paraId="1661835D">
                  <w:pPr>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3BE1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54" w:type="pct"/>
                  <w:noWrap w:val="0"/>
                  <w:vAlign w:val="center"/>
                </w:tcPr>
                <w:p w14:paraId="7C9777C2">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926" w:type="pct"/>
                  <w:noWrap w:val="0"/>
                  <w:vAlign w:val="center"/>
                </w:tcPr>
                <w:p w14:paraId="6E2C092C">
                  <w:pPr>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无水乙醇</w:t>
                  </w:r>
                </w:p>
              </w:tc>
              <w:tc>
                <w:tcPr>
                  <w:tcW w:w="547" w:type="pct"/>
                  <w:noWrap w:val="0"/>
                  <w:vAlign w:val="center"/>
                </w:tcPr>
                <w:p w14:paraId="03097166">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吨/年</w:t>
                  </w:r>
                </w:p>
              </w:tc>
              <w:tc>
                <w:tcPr>
                  <w:tcW w:w="586" w:type="pct"/>
                  <w:noWrap w:val="0"/>
                  <w:vAlign w:val="center"/>
                </w:tcPr>
                <w:p w14:paraId="13F2D218">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7200</w:t>
                  </w:r>
                </w:p>
              </w:tc>
              <w:tc>
                <w:tcPr>
                  <w:tcW w:w="651" w:type="pct"/>
                  <w:noWrap w:val="0"/>
                  <w:vAlign w:val="center"/>
                </w:tcPr>
                <w:p w14:paraId="31512601">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7200</w:t>
                  </w:r>
                </w:p>
              </w:tc>
              <w:tc>
                <w:tcPr>
                  <w:tcW w:w="626" w:type="pct"/>
                  <w:noWrap w:val="0"/>
                  <w:vAlign w:val="center"/>
                </w:tcPr>
                <w:p w14:paraId="1FBE9905">
                  <w:pPr>
                    <w:snapToGrid w:val="0"/>
                    <w:spacing w:line="240" w:lineRule="auto"/>
                    <w:jc w:val="center"/>
                    <w:rPr>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14400</w:t>
                  </w:r>
                </w:p>
              </w:tc>
              <w:tc>
                <w:tcPr>
                  <w:tcW w:w="876" w:type="pct"/>
                  <w:noWrap w:val="0"/>
                  <w:vAlign w:val="center"/>
                </w:tcPr>
                <w:p w14:paraId="45691095">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副产品，含量≥9</w:t>
                  </w:r>
                  <w:r>
                    <w:rPr>
                      <w:rFonts w:hint="eastAsia"/>
                      <w:color w:val="000000" w:themeColor="text1"/>
                      <w:sz w:val="21"/>
                      <w:szCs w:val="21"/>
                      <w14:textFill>
                        <w14:solidFill>
                          <w14:schemeClr w14:val="tx1"/>
                        </w14:solidFill>
                      </w14:textFill>
                    </w:rPr>
                    <w:t>9.5</w:t>
                  </w:r>
                  <w:r>
                    <w:rPr>
                      <w:color w:val="000000" w:themeColor="text1"/>
                      <w:sz w:val="21"/>
                      <w:szCs w:val="21"/>
                      <w14:textFill>
                        <w14:solidFill>
                          <w14:schemeClr w14:val="tx1"/>
                        </w14:solidFill>
                      </w14:textFill>
                    </w:rPr>
                    <w:t>%，外售</w:t>
                  </w:r>
                </w:p>
              </w:tc>
              <w:tc>
                <w:tcPr>
                  <w:tcW w:w="529" w:type="pct"/>
                  <w:noWrap w:val="0"/>
                  <w:vAlign w:val="center"/>
                </w:tcPr>
                <w:p w14:paraId="379F7145">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1721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54" w:type="pct"/>
                  <w:noWrap w:val="0"/>
                  <w:vAlign w:val="center"/>
                </w:tcPr>
                <w:p w14:paraId="27657DDD">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926" w:type="pct"/>
                  <w:noWrap w:val="0"/>
                  <w:vAlign w:val="center"/>
                </w:tcPr>
                <w:p w14:paraId="2221B876">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混合一元醇</w:t>
                  </w:r>
                </w:p>
              </w:tc>
              <w:tc>
                <w:tcPr>
                  <w:tcW w:w="547" w:type="pct"/>
                  <w:noWrap w:val="0"/>
                  <w:vAlign w:val="center"/>
                </w:tcPr>
                <w:p w14:paraId="4F6464E9">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吨/年</w:t>
                  </w:r>
                </w:p>
              </w:tc>
              <w:tc>
                <w:tcPr>
                  <w:tcW w:w="586" w:type="pct"/>
                  <w:noWrap w:val="0"/>
                  <w:vAlign w:val="center"/>
                </w:tcPr>
                <w:p w14:paraId="6E7BC941">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7900</w:t>
                  </w:r>
                </w:p>
              </w:tc>
              <w:tc>
                <w:tcPr>
                  <w:tcW w:w="651" w:type="pct"/>
                  <w:noWrap w:val="0"/>
                  <w:vAlign w:val="center"/>
                </w:tcPr>
                <w:p w14:paraId="19C0FA44">
                  <w:pPr>
                    <w:snapToGrid w:val="0"/>
                    <w:spacing w:line="240" w:lineRule="auto"/>
                    <w:jc w:val="center"/>
                    <w:rPr>
                      <w:rFonts w:hint="eastAsia"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7900</w:t>
                  </w:r>
                </w:p>
              </w:tc>
              <w:tc>
                <w:tcPr>
                  <w:tcW w:w="626" w:type="pct"/>
                  <w:noWrap w:val="0"/>
                  <w:vAlign w:val="center"/>
                </w:tcPr>
                <w:p w14:paraId="49E016BC">
                  <w:pPr>
                    <w:snapToGrid w:val="0"/>
                    <w:spacing w:line="240" w:lineRule="auto"/>
                    <w:jc w:val="center"/>
                    <w:rPr>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15800</w:t>
                  </w:r>
                </w:p>
              </w:tc>
              <w:tc>
                <w:tcPr>
                  <w:tcW w:w="876" w:type="pct"/>
                  <w:noWrap w:val="0"/>
                  <w:vAlign w:val="center"/>
                </w:tcPr>
                <w:p w14:paraId="0D9AD467">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副产品，外售</w:t>
                  </w:r>
                </w:p>
              </w:tc>
              <w:tc>
                <w:tcPr>
                  <w:tcW w:w="529" w:type="pct"/>
                  <w:noWrap w:val="0"/>
                  <w:vAlign w:val="center"/>
                </w:tcPr>
                <w:p w14:paraId="7A5599D6">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0F7E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4" w:type="pct"/>
                  <w:noWrap w:val="0"/>
                  <w:vAlign w:val="center"/>
                </w:tcPr>
                <w:p w14:paraId="29C1D73B">
                  <w:pPr>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926" w:type="pct"/>
                  <w:noWrap w:val="0"/>
                  <w:vAlign w:val="center"/>
                </w:tcPr>
                <w:p w14:paraId="1A0CA8F3">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液氧</w:t>
                  </w:r>
                </w:p>
              </w:tc>
              <w:tc>
                <w:tcPr>
                  <w:tcW w:w="547" w:type="pct"/>
                  <w:noWrap w:val="0"/>
                  <w:vAlign w:val="center"/>
                </w:tcPr>
                <w:p w14:paraId="79EBBB39">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万Nm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/年</w:t>
                  </w:r>
                </w:p>
              </w:tc>
              <w:tc>
                <w:tcPr>
                  <w:tcW w:w="586" w:type="pct"/>
                  <w:noWrap w:val="0"/>
                  <w:vAlign w:val="center"/>
                </w:tcPr>
                <w:p w14:paraId="542C2F21">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400</w:t>
                  </w:r>
                </w:p>
              </w:tc>
              <w:tc>
                <w:tcPr>
                  <w:tcW w:w="651" w:type="pct"/>
                  <w:noWrap w:val="0"/>
                  <w:vAlign w:val="center"/>
                </w:tcPr>
                <w:p w14:paraId="758F6339">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400</w:t>
                  </w:r>
                </w:p>
              </w:tc>
              <w:tc>
                <w:tcPr>
                  <w:tcW w:w="626" w:type="pct"/>
                  <w:noWrap w:val="0"/>
                  <w:vAlign w:val="center"/>
                </w:tcPr>
                <w:p w14:paraId="1F845351">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800</w:t>
                  </w:r>
                </w:p>
              </w:tc>
              <w:tc>
                <w:tcPr>
                  <w:tcW w:w="876" w:type="pct"/>
                  <w:noWrap w:val="0"/>
                  <w:vAlign w:val="center"/>
                </w:tcPr>
                <w:p w14:paraId="13683E50">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副产品，外售</w:t>
                  </w:r>
                </w:p>
              </w:tc>
              <w:tc>
                <w:tcPr>
                  <w:tcW w:w="529" w:type="pct"/>
                  <w:noWrap w:val="0"/>
                  <w:vAlign w:val="center"/>
                </w:tcPr>
                <w:p w14:paraId="4AB210DD">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634A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4" w:type="pct"/>
                  <w:noWrap w:val="0"/>
                  <w:vAlign w:val="center"/>
                </w:tcPr>
                <w:p w14:paraId="66624EE1">
                  <w:pPr>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926" w:type="pct"/>
                  <w:noWrap w:val="0"/>
                  <w:vAlign w:val="center"/>
                </w:tcPr>
                <w:p w14:paraId="28BB3D91">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液氮</w:t>
                  </w:r>
                </w:p>
              </w:tc>
              <w:tc>
                <w:tcPr>
                  <w:tcW w:w="547" w:type="pct"/>
                  <w:noWrap w:val="0"/>
                  <w:vAlign w:val="center"/>
                </w:tcPr>
                <w:p w14:paraId="0A87787B">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万Nm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/年</w:t>
                  </w:r>
                </w:p>
              </w:tc>
              <w:tc>
                <w:tcPr>
                  <w:tcW w:w="586" w:type="pct"/>
                  <w:noWrap w:val="0"/>
                  <w:vAlign w:val="center"/>
                </w:tcPr>
                <w:p w14:paraId="06768170">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400</w:t>
                  </w:r>
                </w:p>
              </w:tc>
              <w:tc>
                <w:tcPr>
                  <w:tcW w:w="651" w:type="pct"/>
                  <w:noWrap w:val="0"/>
                  <w:vAlign w:val="center"/>
                </w:tcPr>
                <w:p w14:paraId="2112FA11">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400</w:t>
                  </w:r>
                </w:p>
              </w:tc>
              <w:tc>
                <w:tcPr>
                  <w:tcW w:w="626" w:type="pct"/>
                  <w:noWrap w:val="0"/>
                  <w:vAlign w:val="center"/>
                </w:tcPr>
                <w:p w14:paraId="4D1C1AA4">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800</w:t>
                  </w:r>
                </w:p>
              </w:tc>
              <w:tc>
                <w:tcPr>
                  <w:tcW w:w="876" w:type="pct"/>
                  <w:noWrap w:val="0"/>
                  <w:vAlign w:val="center"/>
                </w:tcPr>
                <w:p w14:paraId="0D09C75B">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副产品，外售</w:t>
                  </w:r>
                </w:p>
              </w:tc>
              <w:tc>
                <w:tcPr>
                  <w:tcW w:w="529" w:type="pct"/>
                  <w:noWrap w:val="0"/>
                  <w:vAlign w:val="center"/>
                </w:tcPr>
                <w:p w14:paraId="2B271567">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230E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4" w:type="pct"/>
                  <w:noWrap w:val="0"/>
                  <w:vAlign w:val="center"/>
                </w:tcPr>
                <w:p w14:paraId="388345AF">
                  <w:pPr>
                    <w:snapToGrid w:val="0"/>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926" w:type="pct"/>
                  <w:noWrap w:val="0"/>
                  <w:vAlign w:val="center"/>
                </w:tcPr>
                <w:p w14:paraId="77BCC113">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液氩</w:t>
                  </w:r>
                </w:p>
              </w:tc>
              <w:tc>
                <w:tcPr>
                  <w:tcW w:w="547" w:type="pct"/>
                  <w:noWrap w:val="0"/>
                  <w:vAlign w:val="center"/>
                </w:tcPr>
                <w:p w14:paraId="3E2BFD3F">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万Nm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/年</w:t>
                  </w:r>
                </w:p>
              </w:tc>
              <w:tc>
                <w:tcPr>
                  <w:tcW w:w="586" w:type="pct"/>
                  <w:noWrap w:val="0"/>
                  <w:vAlign w:val="center"/>
                </w:tcPr>
                <w:p w14:paraId="5A34384E">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1440</w:t>
                  </w:r>
                </w:p>
              </w:tc>
              <w:tc>
                <w:tcPr>
                  <w:tcW w:w="651" w:type="pct"/>
                  <w:noWrap w:val="0"/>
                  <w:vAlign w:val="center"/>
                </w:tcPr>
                <w:p w14:paraId="277D74B7">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1440</w:t>
                  </w:r>
                </w:p>
              </w:tc>
              <w:tc>
                <w:tcPr>
                  <w:tcW w:w="626" w:type="pct"/>
                  <w:noWrap w:val="0"/>
                  <w:vAlign w:val="center"/>
                </w:tcPr>
                <w:p w14:paraId="09639514">
                  <w:pPr>
                    <w:snapToGrid w:val="0"/>
                    <w:spacing w:line="240" w:lineRule="auto"/>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14:textFill>
                        <w14:solidFill>
                          <w14:schemeClr w14:val="tx1"/>
                        </w14:solidFill>
                      </w14:textFill>
                    </w:rPr>
                    <w:t>2880</w:t>
                  </w:r>
                </w:p>
              </w:tc>
              <w:tc>
                <w:tcPr>
                  <w:tcW w:w="876" w:type="pct"/>
                  <w:noWrap w:val="0"/>
                  <w:vAlign w:val="center"/>
                </w:tcPr>
                <w:p w14:paraId="62F2394F">
                  <w:pPr>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副产品，外售</w:t>
                  </w:r>
                </w:p>
              </w:tc>
              <w:tc>
                <w:tcPr>
                  <w:tcW w:w="529" w:type="pct"/>
                  <w:noWrap w:val="0"/>
                  <w:vAlign w:val="center"/>
                </w:tcPr>
                <w:p w14:paraId="61E63BA6">
                  <w:pPr>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不变</w:t>
                  </w:r>
                </w:p>
              </w:tc>
            </w:tr>
            <w:tr w14:paraId="3FDB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4" w:type="pct"/>
                  <w:noWrap w:val="0"/>
                  <w:vAlign w:val="center"/>
                </w:tcPr>
                <w:p w14:paraId="4CCB04DD">
                  <w:pPr>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926" w:type="pct"/>
                  <w:noWrap w:val="0"/>
                  <w:vAlign w:val="center"/>
                </w:tcPr>
                <w:p w14:paraId="63C1552C">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高纯液态二氧化碳</w:t>
                  </w:r>
                </w:p>
              </w:tc>
              <w:tc>
                <w:tcPr>
                  <w:tcW w:w="547" w:type="pct"/>
                  <w:noWrap w:val="0"/>
                  <w:vAlign w:val="center"/>
                </w:tcPr>
                <w:p w14:paraId="76BCCBFC">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吨/年</w:t>
                  </w:r>
                </w:p>
              </w:tc>
              <w:tc>
                <w:tcPr>
                  <w:tcW w:w="586" w:type="pct"/>
                  <w:noWrap w:val="0"/>
                  <w:vAlign w:val="center"/>
                </w:tcPr>
                <w:p w14:paraId="1BB61276">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70000</w:t>
                  </w:r>
                </w:p>
              </w:tc>
              <w:tc>
                <w:tcPr>
                  <w:tcW w:w="651" w:type="pct"/>
                  <w:noWrap w:val="0"/>
                  <w:vAlign w:val="center"/>
                </w:tcPr>
                <w:p w14:paraId="17338138">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p>
              </w:tc>
              <w:tc>
                <w:tcPr>
                  <w:tcW w:w="626" w:type="pct"/>
                  <w:noWrap w:val="0"/>
                  <w:vAlign w:val="center"/>
                </w:tcPr>
                <w:p w14:paraId="16905F93">
                  <w:pPr>
                    <w:jc w:val="cente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p>
              </w:tc>
              <w:tc>
                <w:tcPr>
                  <w:tcW w:w="876" w:type="pct"/>
                  <w:noWrap w:val="0"/>
                  <w:vAlign w:val="center"/>
                </w:tcPr>
                <w:p w14:paraId="18531A77">
                  <w:pPr>
                    <w:jc w:val="center"/>
                    <w:rPr>
                      <w:rFonts w:hint="default"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产品纯度≥99.99%</w:t>
                  </w:r>
                </w:p>
              </w:tc>
              <w:tc>
                <w:tcPr>
                  <w:tcW w:w="529" w:type="pct"/>
                  <w:noWrap w:val="0"/>
                  <w:vAlign w:val="center"/>
                </w:tcPr>
                <w:p w14:paraId="0F6933DA">
                  <w:pPr>
                    <w:snapToGrid w:val="0"/>
                    <w:spacing w:line="240" w:lineRule="auto"/>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本次项目</w:t>
                  </w:r>
                </w:p>
              </w:tc>
            </w:tr>
          </w:tbl>
          <w:p w14:paraId="58FFD393">
            <w:pPr>
              <w:pStyle w:val="457"/>
              <w:ind w:firstLine="482"/>
              <w:rPr>
                <w:rFonts w:hint="default" w:ascii="Times New Roman" w:hAnsi="Times New Roman" w:eastAsia="宋体" w:cs="Times New Roman"/>
                <w:b/>
                <w:bCs/>
                <w:color w:val="000000" w:themeColor="text1"/>
                <w14:textFill>
                  <w14:solidFill>
                    <w14:schemeClr w14:val="tx1"/>
                  </w14:solidFill>
                </w14:textFill>
              </w:rPr>
            </w:pPr>
          </w:p>
          <w:p w14:paraId="5E1063D7">
            <w:pPr>
              <w:pStyle w:val="457"/>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本次生产的高纯液态二氧化碳设计温度：-2</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℃，设计压力：1.6~2.3MPa（G）</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其余技术指标如下：</w:t>
            </w:r>
          </w:p>
          <w:p w14:paraId="3223783B">
            <w:pPr>
              <w:pStyle w:val="457"/>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表2-2 高纯CO</w:t>
            </w:r>
            <w:r>
              <w:rPr>
                <w:rFonts w:hint="default" w:ascii="Times New Roman" w:hAnsi="Times New Roman" w:eastAsia="宋体" w:cs="Times New Roman"/>
                <w:b/>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产品指标</w:t>
            </w:r>
          </w:p>
          <w:tbl>
            <w:tblPr>
              <w:tblStyle w:val="474"/>
              <w:tblW w:w="8458"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4242"/>
              <w:gridCol w:w="2809"/>
              <w:gridCol w:w="1407"/>
            </w:tblGrid>
            <w:tr w14:paraId="333899F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66" w:hRule="atLeast"/>
                <w:jc w:val="center"/>
              </w:trPr>
              <w:tc>
                <w:tcPr>
                  <w:tcW w:w="4242" w:type="dxa"/>
                  <w:tcBorders>
                    <w:bottom w:val="nil"/>
                  </w:tcBorders>
                  <w:vAlign w:val="center"/>
                </w:tcPr>
                <w:p w14:paraId="2E709FAD">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产品名称</w:t>
                  </w:r>
                </w:p>
              </w:tc>
              <w:tc>
                <w:tcPr>
                  <w:tcW w:w="2809" w:type="dxa"/>
                  <w:vAlign w:val="center"/>
                </w:tcPr>
                <w:p w14:paraId="788BBC67">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指标</w:t>
                  </w:r>
                </w:p>
              </w:tc>
              <w:tc>
                <w:tcPr>
                  <w:tcW w:w="1407" w:type="dxa"/>
                  <w:tcBorders>
                    <w:bottom w:val="single" w:color="auto" w:sz="4" w:space="0"/>
                  </w:tcBorders>
                  <w:vAlign w:val="center"/>
                </w:tcPr>
                <w:p w14:paraId="692E3558">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执行标准</w:t>
                  </w:r>
                </w:p>
              </w:tc>
            </w:tr>
            <w:tr w14:paraId="450C741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4242" w:type="dxa"/>
                  <w:vAlign w:val="center"/>
                </w:tcPr>
                <w:p w14:paraId="74C7E6EE">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二氧化碳(CO</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)纯度(摩尔分数)/10</w:t>
                  </w:r>
                  <w:r>
                    <w:rPr>
                      <w:rFonts w:hint="default" w:ascii="Times New Roman" w:hAnsi="Times New Roman" w:eastAsia="宋体" w:cs="Times New Roman"/>
                      <w:color w:val="000000" w:themeColor="text1"/>
                      <w:vertAlign w:val="superscript"/>
                      <w:lang w:eastAsia="en-US"/>
                      <w14:textFill>
                        <w14:solidFill>
                          <w14:schemeClr w14:val="tx1"/>
                        </w14:solidFill>
                      </w14:textFill>
                    </w:rPr>
                    <w:t>-2</w:t>
                  </w:r>
                </w:p>
              </w:tc>
              <w:tc>
                <w:tcPr>
                  <w:tcW w:w="2809" w:type="dxa"/>
                  <w:vAlign w:val="center"/>
                </w:tcPr>
                <w:p w14:paraId="078C9635">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≥99.99</w:t>
                  </w:r>
                </w:p>
              </w:tc>
              <w:tc>
                <w:tcPr>
                  <w:tcW w:w="1407" w:type="dxa"/>
                  <w:vMerge w:val="restart"/>
                  <w:tcBorders>
                    <w:top w:val="single" w:color="auto" w:sz="4" w:space="0"/>
                  </w:tcBorders>
                  <w:vAlign w:val="center"/>
                </w:tcPr>
                <w:p w14:paraId="1BC5DC67">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《高纯二氧化碳》（GB/T 23938-2021）</w:t>
                  </w:r>
                </w:p>
              </w:tc>
            </w:tr>
            <w:tr w14:paraId="2382D40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4242" w:type="dxa"/>
                  <w:vAlign w:val="center"/>
                </w:tcPr>
                <w:p w14:paraId="075E424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氢气(H</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)含量(摩尔分数)/10</w:t>
                  </w:r>
                  <w:r>
                    <w:rPr>
                      <w:rFonts w:hint="default" w:ascii="Times New Roman" w:hAnsi="Times New Roman" w:eastAsia="宋体" w:cs="Times New Roman"/>
                      <w:color w:val="000000" w:themeColor="text1"/>
                      <w:vertAlign w:val="superscript"/>
                      <w:lang w:eastAsia="en-US"/>
                      <w14:textFill>
                        <w14:solidFill>
                          <w14:schemeClr w14:val="tx1"/>
                        </w14:solidFill>
                      </w14:textFill>
                    </w:rPr>
                    <w:t>-6</w:t>
                  </w:r>
                </w:p>
              </w:tc>
              <w:tc>
                <w:tcPr>
                  <w:tcW w:w="2809" w:type="dxa"/>
                  <w:vAlign w:val="center"/>
                </w:tcPr>
                <w:p w14:paraId="02E75F89">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＜5</w:t>
                  </w:r>
                </w:p>
              </w:tc>
              <w:tc>
                <w:tcPr>
                  <w:tcW w:w="1407" w:type="dxa"/>
                  <w:vMerge w:val="continue"/>
                  <w:vAlign w:val="center"/>
                </w:tcPr>
                <w:p w14:paraId="2C345B5D">
                  <w:pPr>
                    <w:jc w:val="center"/>
                    <w:rPr>
                      <w:rFonts w:hint="default" w:ascii="Times New Roman" w:hAnsi="Times New Roman" w:eastAsia="宋体" w:cs="Times New Roman"/>
                      <w:color w:val="000000" w:themeColor="text1"/>
                      <w:lang w:eastAsia="en-US"/>
                      <w14:textFill>
                        <w14:solidFill>
                          <w14:schemeClr w14:val="tx1"/>
                        </w14:solidFill>
                      </w14:textFill>
                    </w:rPr>
                  </w:pPr>
                </w:p>
              </w:tc>
            </w:tr>
            <w:tr w14:paraId="21B1FBC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4242" w:type="dxa"/>
                  <w:vAlign w:val="center"/>
                </w:tcPr>
                <w:p w14:paraId="1D989056">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氧气(O</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)含量(摩尔分数)/10</w:t>
                  </w:r>
                  <w:r>
                    <w:rPr>
                      <w:rFonts w:hint="default" w:ascii="Times New Roman" w:hAnsi="Times New Roman" w:eastAsia="宋体" w:cs="Times New Roman"/>
                      <w:color w:val="000000" w:themeColor="text1"/>
                      <w:vertAlign w:val="superscript"/>
                      <w:lang w:eastAsia="en-US"/>
                      <w14:textFill>
                        <w14:solidFill>
                          <w14:schemeClr w14:val="tx1"/>
                        </w14:solidFill>
                      </w14:textFill>
                    </w:rPr>
                    <w:t>-6</w:t>
                  </w:r>
                </w:p>
              </w:tc>
              <w:tc>
                <w:tcPr>
                  <w:tcW w:w="2809" w:type="dxa"/>
                  <w:vAlign w:val="center"/>
                </w:tcPr>
                <w:p w14:paraId="2A4D0986">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＜10</w:t>
                  </w:r>
                </w:p>
              </w:tc>
              <w:tc>
                <w:tcPr>
                  <w:tcW w:w="1407" w:type="dxa"/>
                  <w:vMerge w:val="continue"/>
                  <w:vAlign w:val="center"/>
                </w:tcPr>
                <w:p w14:paraId="0A18571A">
                  <w:pPr>
                    <w:jc w:val="center"/>
                    <w:rPr>
                      <w:rFonts w:hint="default" w:ascii="Times New Roman" w:hAnsi="Times New Roman" w:eastAsia="宋体" w:cs="Times New Roman"/>
                      <w:color w:val="000000" w:themeColor="text1"/>
                      <w:lang w:eastAsia="en-US"/>
                      <w14:textFill>
                        <w14:solidFill>
                          <w14:schemeClr w14:val="tx1"/>
                        </w14:solidFill>
                      </w14:textFill>
                    </w:rPr>
                  </w:pPr>
                </w:p>
              </w:tc>
            </w:tr>
            <w:tr w14:paraId="1C5B3D8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4242" w:type="dxa"/>
                  <w:vAlign w:val="center"/>
                </w:tcPr>
                <w:p w14:paraId="6B9D3ED8">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氮气(N</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)含量(摩尔分数)/10</w:t>
                  </w:r>
                  <w:r>
                    <w:rPr>
                      <w:rFonts w:hint="default" w:ascii="Times New Roman" w:hAnsi="Times New Roman" w:eastAsia="宋体" w:cs="Times New Roman"/>
                      <w:color w:val="000000" w:themeColor="text1"/>
                      <w:vertAlign w:val="superscript"/>
                      <w:lang w:eastAsia="en-US"/>
                      <w14:textFill>
                        <w14:solidFill>
                          <w14:schemeClr w14:val="tx1"/>
                        </w14:solidFill>
                      </w14:textFill>
                    </w:rPr>
                    <w:t>-6</w:t>
                  </w:r>
                </w:p>
              </w:tc>
              <w:tc>
                <w:tcPr>
                  <w:tcW w:w="2809" w:type="dxa"/>
                  <w:vAlign w:val="center"/>
                </w:tcPr>
                <w:p w14:paraId="05323EEA">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＜60</w:t>
                  </w:r>
                </w:p>
              </w:tc>
              <w:tc>
                <w:tcPr>
                  <w:tcW w:w="1407" w:type="dxa"/>
                  <w:vMerge w:val="continue"/>
                  <w:vAlign w:val="center"/>
                </w:tcPr>
                <w:p w14:paraId="59CEB249">
                  <w:pPr>
                    <w:jc w:val="center"/>
                    <w:rPr>
                      <w:rFonts w:hint="default" w:ascii="Times New Roman" w:hAnsi="Times New Roman" w:eastAsia="宋体" w:cs="Times New Roman"/>
                      <w:color w:val="000000" w:themeColor="text1"/>
                      <w:lang w:eastAsia="en-US"/>
                      <w14:textFill>
                        <w14:solidFill>
                          <w14:schemeClr w14:val="tx1"/>
                        </w14:solidFill>
                      </w14:textFill>
                    </w:rPr>
                  </w:pPr>
                </w:p>
              </w:tc>
            </w:tr>
            <w:tr w14:paraId="11674DD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4242" w:type="dxa"/>
                  <w:vAlign w:val="center"/>
                </w:tcPr>
                <w:p w14:paraId="308574CD">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一氧化碳(CO)含量(摩尔分数)/10</w:t>
                  </w:r>
                  <w:r>
                    <w:rPr>
                      <w:rFonts w:hint="default" w:ascii="Times New Roman" w:hAnsi="Times New Roman" w:eastAsia="宋体" w:cs="Times New Roman"/>
                      <w:color w:val="000000" w:themeColor="text1"/>
                      <w:vertAlign w:val="superscript"/>
                      <w:lang w:eastAsia="en-US"/>
                      <w14:textFill>
                        <w14:solidFill>
                          <w14:schemeClr w14:val="tx1"/>
                        </w14:solidFill>
                      </w14:textFill>
                    </w:rPr>
                    <w:t>-6</w:t>
                  </w:r>
                </w:p>
              </w:tc>
              <w:tc>
                <w:tcPr>
                  <w:tcW w:w="2809" w:type="dxa"/>
                  <w:vAlign w:val="center"/>
                </w:tcPr>
                <w:p w14:paraId="7A02016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＜5</w:t>
                  </w:r>
                </w:p>
              </w:tc>
              <w:tc>
                <w:tcPr>
                  <w:tcW w:w="1407" w:type="dxa"/>
                  <w:vMerge w:val="continue"/>
                  <w:vAlign w:val="center"/>
                </w:tcPr>
                <w:p w14:paraId="0E32A347">
                  <w:pPr>
                    <w:jc w:val="center"/>
                    <w:rPr>
                      <w:rFonts w:hint="default" w:ascii="Times New Roman" w:hAnsi="Times New Roman" w:eastAsia="宋体" w:cs="Times New Roman"/>
                      <w:color w:val="000000" w:themeColor="text1"/>
                      <w:lang w:eastAsia="en-US"/>
                      <w14:textFill>
                        <w14:solidFill>
                          <w14:schemeClr w14:val="tx1"/>
                        </w14:solidFill>
                      </w14:textFill>
                    </w:rPr>
                  </w:pPr>
                </w:p>
              </w:tc>
            </w:tr>
            <w:tr w14:paraId="2D22694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4242" w:type="dxa"/>
                  <w:vAlign w:val="center"/>
                </w:tcPr>
                <w:p w14:paraId="5335CC3A">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总烃(THC)含量(以甲烷计，摩尔分数)/10</w:t>
                  </w:r>
                  <w:r>
                    <w:rPr>
                      <w:rFonts w:hint="default" w:ascii="Times New Roman" w:hAnsi="Times New Roman" w:eastAsia="宋体" w:cs="Times New Roman"/>
                      <w:color w:val="000000" w:themeColor="text1"/>
                      <w:vertAlign w:val="superscript"/>
                      <w:lang w:eastAsia="zh-CN"/>
                      <w14:textFill>
                        <w14:solidFill>
                          <w14:schemeClr w14:val="tx1"/>
                        </w14:solidFill>
                      </w14:textFill>
                    </w:rPr>
                    <w:t>-6</w:t>
                  </w:r>
                </w:p>
              </w:tc>
              <w:tc>
                <w:tcPr>
                  <w:tcW w:w="2809" w:type="dxa"/>
                  <w:vAlign w:val="center"/>
                </w:tcPr>
                <w:p w14:paraId="40CE7B4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＜5</w:t>
                  </w:r>
                </w:p>
              </w:tc>
              <w:tc>
                <w:tcPr>
                  <w:tcW w:w="1407" w:type="dxa"/>
                  <w:vMerge w:val="continue"/>
                  <w:vAlign w:val="center"/>
                </w:tcPr>
                <w:p w14:paraId="75832FB1">
                  <w:pPr>
                    <w:jc w:val="center"/>
                    <w:rPr>
                      <w:rFonts w:hint="default" w:ascii="Times New Roman" w:hAnsi="Times New Roman" w:eastAsia="宋体" w:cs="Times New Roman"/>
                      <w:color w:val="000000" w:themeColor="text1"/>
                      <w:lang w:eastAsia="en-US"/>
                      <w14:textFill>
                        <w14:solidFill>
                          <w14:schemeClr w14:val="tx1"/>
                        </w14:solidFill>
                      </w14:textFill>
                    </w:rPr>
                  </w:pPr>
                </w:p>
              </w:tc>
            </w:tr>
            <w:tr w14:paraId="32B8BDF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4242" w:type="dxa"/>
                  <w:vAlign w:val="center"/>
                </w:tcPr>
                <w:p w14:paraId="655ACB0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水分(H</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O)含量(摩尔分数)/10</w:t>
                  </w:r>
                  <w:r>
                    <w:rPr>
                      <w:rFonts w:hint="default" w:ascii="Times New Roman" w:hAnsi="Times New Roman" w:eastAsia="宋体" w:cs="Times New Roman"/>
                      <w:color w:val="000000" w:themeColor="text1"/>
                      <w:vertAlign w:val="superscript"/>
                      <w:lang w:eastAsia="zh-CN"/>
                      <w14:textFill>
                        <w14:solidFill>
                          <w14:schemeClr w14:val="tx1"/>
                        </w14:solidFill>
                      </w14:textFill>
                    </w:rPr>
                    <w:t>-6</w:t>
                  </w:r>
                </w:p>
              </w:tc>
              <w:tc>
                <w:tcPr>
                  <w:tcW w:w="2809" w:type="dxa"/>
                  <w:vAlign w:val="center"/>
                </w:tcPr>
                <w:p w14:paraId="39C3E4DE">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＜15</w:t>
                  </w:r>
                </w:p>
              </w:tc>
              <w:tc>
                <w:tcPr>
                  <w:tcW w:w="1407" w:type="dxa"/>
                  <w:vMerge w:val="continue"/>
                  <w:vAlign w:val="center"/>
                </w:tcPr>
                <w:p w14:paraId="5B520BFB">
                  <w:pPr>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6C71667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4242" w:type="dxa"/>
                  <w:vAlign w:val="center"/>
                </w:tcPr>
                <w:p w14:paraId="4C084BC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总硫</w:t>
                  </w:r>
                  <w:r>
                    <w:rPr>
                      <w:rFonts w:hint="default" w:ascii="Times New Roman" w:hAnsi="Times New Roman" w:eastAsia="宋体" w:cs="Times New Roman"/>
                      <w:color w:val="000000" w:themeColor="text1"/>
                      <w:lang w:eastAsia="zh-CN"/>
                      <w14:textFill>
                        <w14:solidFill>
                          <w14:schemeClr w14:val="tx1"/>
                        </w14:solidFill>
                      </w14:textFill>
                    </w:rPr>
                    <w:t>含量(</w:t>
                  </w:r>
                  <w:r>
                    <w:rPr>
                      <w:rFonts w:hint="default" w:ascii="Times New Roman" w:hAnsi="Times New Roman" w:eastAsia="宋体" w:cs="Times New Roman"/>
                      <w:color w:val="000000" w:themeColor="text1"/>
                      <w:lang w:val="en-US" w:eastAsia="zh-CN"/>
                      <w14:textFill>
                        <w14:solidFill>
                          <w14:schemeClr w14:val="tx1"/>
                        </w14:solidFill>
                      </w14:textFill>
                    </w:rPr>
                    <w:t>以硫计</w:t>
                  </w:r>
                  <w:r>
                    <w:rPr>
                      <w:rFonts w:hint="default" w:ascii="Times New Roman" w:hAnsi="Times New Roman" w:eastAsia="宋体" w:cs="Times New Roman"/>
                      <w:color w:val="000000" w:themeColor="text1"/>
                      <w:lang w:eastAsia="zh-CN"/>
                      <w14:textFill>
                        <w14:solidFill>
                          <w14:schemeClr w14:val="tx1"/>
                        </w14:solidFill>
                      </w14:textFill>
                    </w:rPr>
                    <w:t>，摩尔分数)/10</w:t>
                  </w:r>
                  <w:r>
                    <w:rPr>
                      <w:rFonts w:hint="default" w:ascii="Times New Roman" w:hAnsi="Times New Roman" w:eastAsia="宋体" w:cs="Times New Roman"/>
                      <w:color w:val="000000" w:themeColor="text1"/>
                      <w:vertAlign w:val="superscript"/>
                      <w:lang w:eastAsia="zh-CN"/>
                      <w14:textFill>
                        <w14:solidFill>
                          <w14:schemeClr w14:val="tx1"/>
                        </w14:solidFill>
                      </w14:textFill>
                    </w:rPr>
                    <w:t>-6</w:t>
                  </w:r>
                </w:p>
              </w:tc>
              <w:tc>
                <w:tcPr>
                  <w:tcW w:w="2809" w:type="dxa"/>
                  <w:vAlign w:val="center"/>
                </w:tcPr>
                <w:p w14:paraId="41FF954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需双方商定</w:t>
                  </w:r>
                </w:p>
              </w:tc>
              <w:tc>
                <w:tcPr>
                  <w:tcW w:w="1407" w:type="dxa"/>
                  <w:vMerge w:val="continue"/>
                  <w:vAlign w:val="center"/>
                </w:tcPr>
                <w:p w14:paraId="19891E76">
                  <w:pPr>
                    <w:jc w:val="center"/>
                    <w:rPr>
                      <w:rFonts w:hint="default" w:ascii="Times New Roman" w:hAnsi="Times New Roman" w:eastAsia="宋体" w:cs="Times New Roman"/>
                      <w:color w:val="000000" w:themeColor="text1"/>
                      <w:lang w:eastAsia="zh-CN"/>
                      <w14:textFill>
                        <w14:solidFill>
                          <w14:schemeClr w14:val="tx1"/>
                        </w14:solidFill>
                      </w14:textFill>
                    </w:rPr>
                  </w:pPr>
                </w:p>
              </w:tc>
            </w:tr>
          </w:tbl>
          <w:p w14:paraId="307C8399">
            <w:pPr>
              <w:pStyle w:val="457"/>
              <w:ind w:firstLine="0" w:firstLineChars="0"/>
              <w:rPr>
                <w:rFonts w:hint="default" w:ascii="Times New Roman" w:hAnsi="Times New Roman" w:eastAsia="宋体" w:cs="Times New Roman"/>
                <w:b/>
                <w:bCs/>
                <w:color w:val="000000" w:themeColor="text1"/>
                <w14:textFill>
                  <w14:solidFill>
                    <w14:schemeClr w14:val="tx1"/>
                  </w14:solidFill>
                </w14:textFill>
              </w:rPr>
            </w:pPr>
          </w:p>
          <w:p w14:paraId="60DDDDD1">
            <w:pPr>
              <w:pStyle w:val="457"/>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2.2项目组成及主要环境问题</w:t>
            </w:r>
          </w:p>
          <w:p w14:paraId="050A1A71">
            <w:pPr>
              <w:pStyle w:val="457"/>
              <w:spacing w:line="360" w:lineRule="auto"/>
              <w:ind w:firstLine="480"/>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项目由主体工程、辅助工程、公用工程、储运工程、环保设施、生活及办公设施组成，本项目组成及主要环境问题见下表：</w:t>
            </w:r>
          </w:p>
          <w:p w14:paraId="12B01D45">
            <w:pPr>
              <w:autoSpaceDE w:val="0"/>
              <w:autoSpaceDN w:val="0"/>
              <w:adjustRightInd w:val="0"/>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表2-3 项目组成内容及主要环境问题</w:t>
            </w:r>
          </w:p>
          <w:tbl>
            <w:tblPr>
              <w:tblStyle w:val="474"/>
              <w:tblW w:w="825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599"/>
              <w:gridCol w:w="603"/>
              <w:gridCol w:w="509"/>
              <w:gridCol w:w="9"/>
              <w:gridCol w:w="4922"/>
              <w:gridCol w:w="787"/>
              <w:gridCol w:w="829"/>
            </w:tblGrid>
            <w:tr w14:paraId="170AECA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99" w:type="dxa"/>
                  <w:vAlign w:val="center"/>
                </w:tcPr>
                <w:p w14:paraId="2A0FFB1A">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名称</w:t>
                  </w:r>
                </w:p>
              </w:tc>
              <w:tc>
                <w:tcPr>
                  <w:tcW w:w="6043" w:type="dxa"/>
                  <w:gridSpan w:val="4"/>
                  <w:vAlign w:val="center"/>
                </w:tcPr>
                <w:p w14:paraId="232E6B32">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建设内容及规模</w:t>
                  </w:r>
                </w:p>
              </w:tc>
              <w:tc>
                <w:tcPr>
                  <w:tcW w:w="787" w:type="dxa"/>
                  <w:vAlign w:val="center"/>
                </w:tcPr>
                <w:p w14:paraId="3FB3C6C4">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营运期污染物</w:t>
                  </w:r>
                </w:p>
              </w:tc>
              <w:tc>
                <w:tcPr>
                  <w:tcW w:w="829" w:type="dxa"/>
                  <w:vAlign w:val="center"/>
                </w:tcPr>
                <w:p w14:paraId="58C5CC26">
                  <w:pPr>
                    <w:jc w:val="center"/>
                    <w:rPr>
                      <w:rFonts w:hint="default" w:ascii="Times New Roman" w:hAnsi="Times New Roman" w:eastAsia="宋体" w:cs="Times New Roman"/>
                      <w:b/>
                      <w:bCs/>
                      <w:color w:val="000000" w:themeColor="text1"/>
                      <w:lang w:eastAsia="en-US"/>
                      <w14:textFill>
                        <w14:solidFill>
                          <w14:schemeClr w14:val="tx1"/>
                        </w14:solidFill>
                      </w14:textFill>
                    </w:rPr>
                  </w:pPr>
                  <w:r>
                    <w:rPr>
                      <w:rFonts w:hint="default" w:ascii="Times New Roman" w:hAnsi="Times New Roman" w:eastAsia="宋体" w:cs="Times New Roman"/>
                      <w:b/>
                      <w:bCs/>
                      <w:color w:val="000000" w:themeColor="text1"/>
                      <w:lang w:eastAsia="en-US"/>
                      <w14:textFill>
                        <w14:solidFill>
                          <w14:schemeClr w14:val="tx1"/>
                        </w14:solidFill>
                      </w14:textFill>
                    </w:rPr>
                    <w:t>备注</w:t>
                  </w:r>
                </w:p>
              </w:tc>
            </w:tr>
            <w:tr w14:paraId="35CF78E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99" w:type="dxa"/>
                  <w:vAlign w:val="center"/>
                </w:tcPr>
                <w:p w14:paraId="4346BFDB">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主体 工程</w:t>
                  </w:r>
                </w:p>
              </w:tc>
              <w:tc>
                <w:tcPr>
                  <w:tcW w:w="1112" w:type="dxa"/>
                  <w:gridSpan w:val="2"/>
                  <w:vAlign w:val="center"/>
                </w:tcPr>
                <w:p w14:paraId="799BF852">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生产区</w:t>
                  </w:r>
                </w:p>
              </w:tc>
              <w:tc>
                <w:tcPr>
                  <w:tcW w:w="4931" w:type="dxa"/>
                  <w:gridSpan w:val="2"/>
                  <w:vAlign w:val="center"/>
                </w:tcPr>
                <w:p w14:paraId="6763268E">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在现有厂区</w:t>
                  </w:r>
                  <w:r>
                    <w:rPr>
                      <w:rFonts w:hint="default" w:ascii="Times New Roman" w:hAnsi="Times New Roman" w:eastAsia="宋体" w:cs="Times New Roman"/>
                      <w:color w:val="000000" w:themeColor="text1"/>
                      <w:szCs w:val="21"/>
                      <w:lang w:eastAsia="zh-CN"/>
                      <w14:textFill>
                        <w14:solidFill>
                          <w14:schemeClr w14:val="tx1"/>
                        </w14:solidFill>
                      </w14:textFill>
                    </w:rPr>
                    <w:t>合成气制备装置压缩厂房旁设置原料预冷器、冰机机组、二氧化碳冷箱等设备，占地约5亩（约3333m</w:t>
                  </w:r>
                  <w:r>
                    <w:rPr>
                      <w:rFonts w:hint="default" w:ascii="Times New Roman" w:hAnsi="Times New Roman" w:eastAsia="宋体" w:cs="Times New Roman"/>
                      <w:color w:val="000000" w:themeColor="text1"/>
                      <w:szCs w:val="21"/>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），对现有生产工艺中MDEA脱CO</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放空气</w:t>
                  </w:r>
                  <w:r>
                    <w:rPr>
                      <w:rFonts w:hint="default" w:ascii="Times New Roman" w:hAnsi="Times New Roman" w:eastAsia="宋体" w:cs="Times New Roman"/>
                      <w:color w:val="000000" w:themeColor="text1"/>
                      <w:lang w:eastAsia="zh-CN"/>
                      <w14:textFill>
                        <w14:solidFill>
                          <w14:schemeClr w14:val="tx1"/>
                        </w14:solidFill>
                      </w14:textFill>
                    </w:rPr>
                    <w:t>进行CO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回收</w:t>
                  </w:r>
                </w:p>
              </w:tc>
              <w:tc>
                <w:tcPr>
                  <w:tcW w:w="787" w:type="dxa"/>
                  <w:vAlign w:val="center"/>
                </w:tcPr>
                <w:p w14:paraId="448B2A48">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噪声、 固废、 废气、 废水</w:t>
                  </w:r>
                </w:p>
              </w:tc>
              <w:tc>
                <w:tcPr>
                  <w:tcW w:w="829" w:type="dxa"/>
                  <w:vAlign w:val="center"/>
                </w:tcPr>
                <w:p w14:paraId="259A52E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技术改造</w:t>
                  </w:r>
                </w:p>
              </w:tc>
            </w:tr>
            <w:tr w14:paraId="75A37C6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73" w:hRule="atLeast"/>
                <w:jc w:val="center"/>
              </w:trPr>
              <w:tc>
                <w:tcPr>
                  <w:tcW w:w="599" w:type="dxa"/>
                  <w:vMerge w:val="restart"/>
                  <w:vAlign w:val="center"/>
                </w:tcPr>
                <w:p w14:paraId="4F3A3D4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辅助 工程</w:t>
                  </w:r>
                </w:p>
              </w:tc>
              <w:tc>
                <w:tcPr>
                  <w:tcW w:w="1121" w:type="dxa"/>
                  <w:gridSpan w:val="3"/>
                  <w:tcBorders>
                    <w:bottom w:val="single" w:color="auto" w:sz="4" w:space="0"/>
                    <w:right w:val="single" w:color="auto" w:sz="4" w:space="0"/>
                  </w:tcBorders>
                  <w:vAlign w:val="center"/>
                </w:tcPr>
                <w:p w14:paraId="2FE8FBB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产品检测</w:t>
                  </w:r>
                </w:p>
              </w:tc>
              <w:tc>
                <w:tcPr>
                  <w:tcW w:w="4922" w:type="dxa"/>
                  <w:tcBorders>
                    <w:left w:val="single" w:color="auto" w:sz="4" w:space="0"/>
                    <w:bottom w:val="single" w:color="auto" w:sz="4" w:space="0"/>
                  </w:tcBorders>
                  <w:vAlign w:val="center"/>
                </w:tcPr>
                <w:p w14:paraId="2AA8017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依托已建实验室对CO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产品成分进行监测</w:t>
                  </w:r>
                </w:p>
              </w:tc>
              <w:tc>
                <w:tcPr>
                  <w:tcW w:w="787" w:type="dxa"/>
                  <w:tcBorders>
                    <w:bottom w:val="single" w:color="auto" w:sz="4" w:space="0"/>
                  </w:tcBorders>
                  <w:vAlign w:val="center"/>
                </w:tcPr>
                <w:p w14:paraId="5F029782">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tcBorders>
                    <w:bottom w:val="single" w:color="auto" w:sz="4" w:space="0"/>
                  </w:tcBorders>
                  <w:vAlign w:val="center"/>
                </w:tcPr>
                <w:p w14:paraId="416E0A0D">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76310E8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99" w:type="dxa"/>
                  <w:vMerge w:val="continue"/>
                  <w:tcBorders>
                    <w:bottom w:val="nil"/>
                  </w:tcBorders>
                  <w:vAlign w:val="center"/>
                </w:tcPr>
                <w:p w14:paraId="2CF6BB39">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21" w:type="dxa"/>
                  <w:gridSpan w:val="3"/>
                  <w:tcBorders>
                    <w:top w:val="single" w:color="auto" w:sz="4" w:space="0"/>
                    <w:bottom w:val="single" w:color="auto" w:sz="4" w:space="0"/>
                    <w:right w:val="single" w:color="auto" w:sz="4" w:space="0"/>
                  </w:tcBorders>
                  <w:vAlign w:val="center"/>
                </w:tcPr>
                <w:p w14:paraId="32EDDA8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增压器</w:t>
                  </w:r>
                </w:p>
              </w:tc>
              <w:tc>
                <w:tcPr>
                  <w:tcW w:w="4922" w:type="dxa"/>
                  <w:tcBorders>
                    <w:top w:val="single" w:color="auto" w:sz="4" w:space="0"/>
                    <w:left w:val="single" w:color="auto" w:sz="4" w:space="0"/>
                    <w:bottom w:val="single" w:color="auto" w:sz="4" w:space="0"/>
                  </w:tcBorders>
                  <w:vAlign w:val="center"/>
                </w:tcPr>
                <w:p w14:paraId="5CEBB5C2">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依托已建CO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增压器对MDEA原料气进行增压</w:t>
                  </w:r>
                </w:p>
              </w:tc>
              <w:tc>
                <w:tcPr>
                  <w:tcW w:w="787" w:type="dxa"/>
                  <w:tcBorders>
                    <w:top w:val="single" w:color="auto" w:sz="4" w:space="0"/>
                    <w:bottom w:val="single" w:color="auto" w:sz="4" w:space="0"/>
                  </w:tcBorders>
                  <w:vAlign w:val="center"/>
                </w:tcPr>
                <w:p w14:paraId="62B385B0">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bottom w:val="single" w:color="auto" w:sz="4" w:space="0"/>
                  </w:tcBorders>
                  <w:vAlign w:val="center"/>
                </w:tcPr>
                <w:p w14:paraId="7FB729BF">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1A3D954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80" w:hRule="atLeast"/>
                <w:jc w:val="center"/>
              </w:trPr>
              <w:tc>
                <w:tcPr>
                  <w:tcW w:w="599" w:type="dxa"/>
                  <w:vMerge w:val="continue"/>
                  <w:tcBorders>
                    <w:bottom w:val="nil"/>
                  </w:tcBorders>
                  <w:vAlign w:val="center"/>
                </w:tcPr>
                <w:p w14:paraId="13CE575E">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21" w:type="dxa"/>
                  <w:gridSpan w:val="3"/>
                  <w:tcBorders>
                    <w:top w:val="single" w:color="auto" w:sz="4" w:space="0"/>
                    <w:bottom w:val="single" w:color="auto" w:sz="4" w:space="0"/>
                    <w:right w:val="single" w:color="auto" w:sz="4" w:space="0"/>
                  </w:tcBorders>
                  <w:vAlign w:val="center"/>
                </w:tcPr>
                <w:p w14:paraId="329AAA0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设备维护及修理</w:t>
                  </w:r>
                </w:p>
              </w:tc>
              <w:tc>
                <w:tcPr>
                  <w:tcW w:w="4922" w:type="dxa"/>
                  <w:tcBorders>
                    <w:top w:val="single" w:color="auto" w:sz="4" w:space="0"/>
                    <w:left w:val="single" w:color="auto" w:sz="4" w:space="0"/>
                    <w:bottom w:val="single" w:color="auto" w:sz="4" w:space="0"/>
                  </w:tcBorders>
                  <w:vAlign w:val="center"/>
                </w:tcPr>
                <w:p w14:paraId="4E1EFBA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依托厂区已建机修站对设备进行维护及修理</w:t>
                  </w:r>
                </w:p>
              </w:tc>
              <w:tc>
                <w:tcPr>
                  <w:tcW w:w="787" w:type="dxa"/>
                  <w:tcBorders>
                    <w:top w:val="single" w:color="auto" w:sz="4" w:space="0"/>
                    <w:bottom w:val="single" w:color="auto" w:sz="4" w:space="0"/>
                  </w:tcBorders>
                  <w:vAlign w:val="center"/>
                </w:tcPr>
                <w:p w14:paraId="48B8FB05">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bottom w:val="single" w:color="auto" w:sz="4" w:space="0"/>
                  </w:tcBorders>
                  <w:vAlign w:val="center"/>
                </w:tcPr>
                <w:p w14:paraId="669D8E6E">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58A77C6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60" w:hRule="atLeast"/>
                <w:jc w:val="center"/>
              </w:trPr>
              <w:tc>
                <w:tcPr>
                  <w:tcW w:w="599" w:type="dxa"/>
                  <w:vMerge w:val="continue"/>
                  <w:tcBorders>
                    <w:bottom w:val="nil"/>
                  </w:tcBorders>
                  <w:vAlign w:val="center"/>
                </w:tcPr>
                <w:p w14:paraId="0C6CC97F">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21" w:type="dxa"/>
                  <w:gridSpan w:val="3"/>
                  <w:tcBorders>
                    <w:top w:val="single" w:color="auto" w:sz="4" w:space="0"/>
                    <w:bottom w:val="single" w:color="auto" w:sz="4" w:space="0"/>
                    <w:right w:val="single" w:color="auto" w:sz="4" w:space="0"/>
                  </w:tcBorders>
                  <w:vAlign w:val="center"/>
                </w:tcPr>
                <w:p w14:paraId="59E110F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氮气供应</w:t>
                  </w:r>
                </w:p>
              </w:tc>
              <w:tc>
                <w:tcPr>
                  <w:tcW w:w="4922" w:type="dxa"/>
                  <w:tcBorders>
                    <w:top w:val="single" w:color="auto" w:sz="4" w:space="0"/>
                    <w:left w:val="single" w:color="auto" w:sz="4" w:space="0"/>
                    <w:bottom w:val="single" w:color="auto" w:sz="4" w:space="0"/>
                  </w:tcBorders>
                  <w:vAlign w:val="center"/>
                </w:tcPr>
                <w:p w14:paraId="12D1B49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依托厂区已建氮气制备系统提供氮气</w:t>
                  </w:r>
                </w:p>
              </w:tc>
              <w:tc>
                <w:tcPr>
                  <w:tcW w:w="787" w:type="dxa"/>
                  <w:tcBorders>
                    <w:top w:val="single" w:color="auto" w:sz="4" w:space="0"/>
                    <w:bottom w:val="single" w:color="auto" w:sz="4" w:space="0"/>
                  </w:tcBorders>
                  <w:vAlign w:val="center"/>
                </w:tcPr>
                <w:p w14:paraId="6C3079F9">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bottom w:val="single" w:color="auto" w:sz="4" w:space="0"/>
                  </w:tcBorders>
                  <w:vAlign w:val="center"/>
                </w:tcPr>
                <w:p w14:paraId="72D1495A">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5D9536F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27" w:hRule="atLeast"/>
                <w:jc w:val="center"/>
              </w:trPr>
              <w:tc>
                <w:tcPr>
                  <w:tcW w:w="599" w:type="dxa"/>
                  <w:vMerge w:val="continue"/>
                  <w:tcBorders>
                    <w:bottom w:val="nil"/>
                  </w:tcBorders>
                  <w:vAlign w:val="center"/>
                </w:tcPr>
                <w:p w14:paraId="1C44FD2B">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21" w:type="dxa"/>
                  <w:gridSpan w:val="3"/>
                  <w:tcBorders>
                    <w:top w:val="single" w:color="auto" w:sz="4" w:space="0"/>
                    <w:bottom w:val="single" w:color="auto" w:sz="4" w:space="0"/>
                    <w:right w:val="single" w:color="auto" w:sz="4" w:space="0"/>
                  </w:tcBorders>
                  <w:vAlign w:val="center"/>
                </w:tcPr>
                <w:p w14:paraId="2495D045">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管线吹扫</w:t>
                  </w:r>
                </w:p>
              </w:tc>
              <w:tc>
                <w:tcPr>
                  <w:tcW w:w="4922" w:type="dxa"/>
                  <w:tcBorders>
                    <w:top w:val="single" w:color="auto" w:sz="4" w:space="0"/>
                    <w:left w:val="single" w:color="auto" w:sz="4" w:space="0"/>
                    <w:bottom w:val="single" w:color="auto" w:sz="4" w:space="0"/>
                  </w:tcBorders>
                  <w:vAlign w:val="center"/>
                </w:tcPr>
                <w:p w14:paraId="60597D92">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依托厂区现有空气压缩机对管线进行吹扫</w:t>
                  </w:r>
                </w:p>
              </w:tc>
              <w:tc>
                <w:tcPr>
                  <w:tcW w:w="787" w:type="dxa"/>
                  <w:tcBorders>
                    <w:top w:val="single" w:color="auto" w:sz="4" w:space="0"/>
                    <w:bottom w:val="nil"/>
                  </w:tcBorders>
                  <w:vAlign w:val="center"/>
                </w:tcPr>
                <w:p w14:paraId="39AC0786">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bottom w:val="single" w:color="auto" w:sz="4" w:space="0"/>
                  </w:tcBorders>
                  <w:vAlign w:val="center"/>
                </w:tcPr>
                <w:p w14:paraId="7FD874D5">
                  <w:pPr>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w:t>
                  </w:r>
                </w:p>
              </w:tc>
            </w:tr>
            <w:tr w14:paraId="448A037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1" w:hRule="atLeast"/>
                <w:jc w:val="center"/>
              </w:trPr>
              <w:tc>
                <w:tcPr>
                  <w:tcW w:w="599" w:type="dxa"/>
                  <w:vMerge w:val="restart"/>
                  <w:tcBorders>
                    <w:top w:val="single" w:color="auto" w:sz="4" w:space="0"/>
                    <w:bottom w:val="nil"/>
                  </w:tcBorders>
                  <w:vAlign w:val="center"/>
                </w:tcPr>
                <w:p w14:paraId="091BDD6C">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公用 工程</w:t>
                  </w:r>
                </w:p>
              </w:tc>
              <w:tc>
                <w:tcPr>
                  <w:tcW w:w="1112" w:type="dxa"/>
                  <w:gridSpan w:val="2"/>
                  <w:tcBorders>
                    <w:top w:val="single" w:color="auto" w:sz="4" w:space="0"/>
                  </w:tcBorders>
                  <w:vAlign w:val="center"/>
                </w:tcPr>
                <w:p w14:paraId="4B6C067B">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供水</w:t>
                  </w:r>
                </w:p>
              </w:tc>
              <w:tc>
                <w:tcPr>
                  <w:tcW w:w="4931" w:type="dxa"/>
                  <w:gridSpan w:val="2"/>
                  <w:tcBorders>
                    <w:top w:val="single" w:color="auto" w:sz="4" w:space="0"/>
                  </w:tcBorders>
                  <w:vAlign w:val="center"/>
                </w:tcPr>
                <w:p w14:paraId="3C71524E">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管线冲洗用水由市政自来水管网供应</w:t>
                  </w:r>
                </w:p>
              </w:tc>
              <w:tc>
                <w:tcPr>
                  <w:tcW w:w="787" w:type="dxa"/>
                  <w:tcBorders>
                    <w:top w:val="single" w:color="auto" w:sz="4" w:space="0"/>
                  </w:tcBorders>
                  <w:vAlign w:val="center"/>
                </w:tcPr>
                <w:p w14:paraId="61A43027">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tcBorders>
                    <w:top w:val="single" w:color="auto" w:sz="4" w:space="0"/>
                  </w:tcBorders>
                  <w:vAlign w:val="center"/>
                </w:tcPr>
                <w:p w14:paraId="5A56BC23">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依托</w:t>
                  </w:r>
                </w:p>
              </w:tc>
            </w:tr>
            <w:tr w14:paraId="7837DCA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79" w:hRule="atLeast"/>
                <w:jc w:val="center"/>
              </w:trPr>
              <w:tc>
                <w:tcPr>
                  <w:tcW w:w="599" w:type="dxa"/>
                  <w:vMerge w:val="continue"/>
                  <w:tcBorders>
                    <w:top w:val="nil"/>
                    <w:bottom w:val="nil"/>
                  </w:tcBorders>
                  <w:vAlign w:val="center"/>
                </w:tcPr>
                <w:p w14:paraId="14F9D74C">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12" w:type="dxa"/>
                  <w:gridSpan w:val="2"/>
                  <w:vAlign w:val="center"/>
                </w:tcPr>
                <w:p w14:paraId="1F50FBAC">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排水</w:t>
                  </w:r>
                </w:p>
              </w:tc>
              <w:tc>
                <w:tcPr>
                  <w:tcW w:w="4931" w:type="dxa"/>
                  <w:gridSpan w:val="2"/>
                  <w:vAlign w:val="center"/>
                </w:tcPr>
                <w:p w14:paraId="428ECC60">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管线</w:t>
                  </w:r>
                  <w:r>
                    <w:rPr>
                      <w:rFonts w:hint="default" w:ascii="Times New Roman" w:hAnsi="Times New Roman" w:eastAsia="宋体" w:cs="Times New Roman"/>
                      <w:color w:val="000000" w:themeColor="text1"/>
                      <w:lang w:eastAsia="zh-CN"/>
                      <w14:textFill>
                        <w14:solidFill>
                          <w14:schemeClr w14:val="tx1"/>
                        </w14:solidFill>
                      </w14:textFill>
                    </w:rPr>
                    <w:t>冲洗废水排入厂区已建</w:t>
                  </w:r>
                  <w:r>
                    <w:rPr>
                      <w:rFonts w:hint="eastAsia" w:cs="Times New Roman"/>
                      <w:color w:val="000000" w:themeColor="text1"/>
                      <w:lang w:val="en-US" w:eastAsia="zh-CN"/>
                      <w14:textFill>
                        <w14:solidFill>
                          <w14:schemeClr w14:val="tx1"/>
                        </w14:solidFill>
                      </w14:textFill>
                    </w:rPr>
                    <w:t>回用水</w:t>
                  </w:r>
                  <w:r>
                    <w:rPr>
                      <w:rFonts w:hint="default" w:ascii="Times New Roman" w:hAnsi="Times New Roman" w:eastAsia="宋体" w:cs="Times New Roman"/>
                      <w:color w:val="000000" w:themeColor="text1"/>
                      <w:lang w:eastAsia="zh-CN"/>
                      <w14:textFill>
                        <w14:solidFill>
                          <w14:schemeClr w14:val="tx1"/>
                        </w14:solidFill>
                      </w14:textFill>
                    </w:rPr>
                    <w:t>站处理</w:t>
                  </w:r>
                </w:p>
              </w:tc>
              <w:tc>
                <w:tcPr>
                  <w:tcW w:w="787" w:type="dxa"/>
                  <w:vAlign w:val="center"/>
                </w:tcPr>
                <w:p w14:paraId="7CDA6714">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vAlign w:val="center"/>
                </w:tcPr>
                <w:p w14:paraId="4B13B2A8">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依托</w:t>
                  </w:r>
                </w:p>
              </w:tc>
            </w:tr>
            <w:tr w14:paraId="2A63E1C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79" w:hRule="atLeast"/>
                <w:jc w:val="center"/>
              </w:trPr>
              <w:tc>
                <w:tcPr>
                  <w:tcW w:w="599" w:type="dxa"/>
                  <w:vMerge w:val="continue"/>
                  <w:tcBorders>
                    <w:top w:val="nil"/>
                  </w:tcBorders>
                  <w:vAlign w:val="center"/>
                </w:tcPr>
                <w:p w14:paraId="78C94705">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12" w:type="dxa"/>
                  <w:gridSpan w:val="2"/>
                  <w:vAlign w:val="center"/>
                </w:tcPr>
                <w:p w14:paraId="035BEDE6">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供电</w:t>
                  </w:r>
                </w:p>
              </w:tc>
              <w:tc>
                <w:tcPr>
                  <w:tcW w:w="4931" w:type="dxa"/>
                  <w:gridSpan w:val="2"/>
                  <w:vAlign w:val="center"/>
                </w:tcPr>
                <w:p w14:paraId="4F590B1C">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由市政电网供应，厂区变电站调压</w:t>
                  </w:r>
                </w:p>
              </w:tc>
              <w:tc>
                <w:tcPr>
                  <w:tcW w:w="787" w:type="dxa"/>
                  <w:vAlign w:val="center"/>
                </w:tcPr>
                <w:p w14:paraId="3E5DCE07">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vAlign w:val="center"/>
                </w:tcPr>
                <w:p w14:paraId="38791B1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依托</w:t>
                  </w:r>
                </w:p>
              </w:tc>
            </w:tr>
            <w:tr w14:paraId="1D08E5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19" w:hRule="atLeast"/>
                <w:jc w:val="center"/>
              </w:trPr>
              <w:tc>
                <w:tcPr>
                  <w:tcW w:w="599" w:type="dxa"/>
                  <w:vMerge w:val="restart"/>
                  <w:tcBorders>
                    <w:bottom w:val="nil"/>
                  </w:tcBorders>
                  <w:vAlign w:val="center"/>
                </w:tcPr>
                <w:p w14:paraId="2E218131">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仓储 工程</w:t>
                  </w:r>
                </w:p>
              </w:tc>
              <w:tc>
                <w:tcPr>
                  <w:tcW w:w="1112" w:type="dxa"/>
                  <w:gridSpan w:val="2"/>
                  <w:vAlign w:val="center"/>
                </w:tcPr>
                <w:p w14:paraId="36412234">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CO</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产品罐区</w:t>
                  </w:r>
                </w:p>
              </w:tc>
              <w:tc>
                <w:tcPr>
                  <w:tcW w:w="4931" w:type="dxa"/>
                  <w:gridSpan w:val="2"/>
                  <w:vAlign w:val="center"/>
                </w:tcPr>
                <w:p w14:paraId="387FDCAD">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位于回收区</w:t>
                  </w:r>
                  <w:r>
                    <w:rPr>
                      <w:rFonts w:hint="eastAsia" w:cs="Times New Roman"/>
                      <w:color w:val="000000" w:themeColor="text1"/>
                      <w:lang w:val="en-US" w:eastAsia="zh-CN"/>
                      <w14:textFill>
                        <w14:solidFill>
                          <w14:schemeClr w14:val="tx1"/>
                        </w14:solidFill>
                      </w14:textFill>
                    </w:rPr>
                    <w:t>西</w:t>
                  </w:r>
                  <w:r>
                    <w:rPr>
                      <w:rFonts w:hint="default" w:ascii="Times New Roman" w:hAnsi="Times New Roman" w:eastAsia="宋体" w:cs="Times New Roman"/>
                      <w:color w:val="000000" w:themeColor="text1"/>
                      <w:lang w:eastAsia="zh-CN"/>
                      <w14:textFill>
                        <w14:solidFill>
                          <w14:schemeClr w14:val="tx1"/>
                        </w14:solidFill>
                      </w14:textFill>
                    </w:rPr>
                    <w:t>北侧，设置CO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球罐1个</w:t>
                  </w:r>
                  <w:r>
                    <w:rPr>
                      <w:rFonts w:hint="eastAsia" w:cs="Times New Roman"/>
                      <w:color w:val="000000" w:themeColor="text1"/>
                      <w:lang w:val="en-US" w:eastAsia="zh-CN"/>
                      <w14:textFill>
                        <w14:solidFill>
                          <w14:schemeClr w14:val="tx1"/>
                        </w14:solidFill>
                      </w14:textFill>
                    </w:rPr>
                    <w:t>（工作压力1.53MPa，工作温度-25℃，直径18m，氮封）</w:t>
                  </w:r>
                  <w:r>
                    <w:rPr>
                      <w:rFonts w:hint="default" w:ascii="Times New Roman" w:hAnsi="Times New Roman" w:eastAsia="宋体" w:cs="Times New Roman"/>
                      <w:color w:val="000000" w:themeColor="text1"/>
                      <w:lang w:eastAsia="zh-CN"/>
                      <w14:textFill>
                        <w14:solidFill>
                          <w14:schemeClr w14:val="tx1"/>
                        </w14:solidFill>
                      </w14:textFill>
                    </w:rPr>
                    <w:t>，3000m</w:t>
                  </w:r>
                  <w:r>
                    <w:rPr>
                      <w:rFonts w:hint="default" w:ascii="Times New Roman" w:hAnsi="Times New Roman" w:eastAsia="宋体" w:cs="Times New Roman"/>
                      <w:color w:val="000000" w:themeColor="text1"/>
                      <w:vertAlign w:val="superscript"/>
                      <w:lang w:eastAsia="zh-CN"/>
                      <w14:textFill>
                        <w14:solidFill>
                          <w14:schemeClr w14:val="tx1"/>
                        </w14:solidFill>
                      </w14:textFill>
                    </w:rPr>
                    <w:t>3</w:t>
                  </w:r>
                </w:p>
              </w:tc>
              <w:tc>
                <w:tcPr>
                  <w:tcW w:w="787" w:type="dxa"/>
                  <w:vAlign w:val="center"/>
                </w:tcPr>
                <w:p w14:paraId="22AFA52D">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vAlign w:val="center"/>
                </w:tcPr>
                <w:p w14:paraId="7AE0B3C7">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新增</w:t>
                  </w:r>
                </w:p>
              </w:tc>
            </w:tr>
            <w:tr w14:paraId="214824D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69" w:hRule="atLeast"/>
                <w:jc w:val="center"/>
              </w:trPr>
              <w:tc>
                <w:tcPr>
                  <w:tcW w:w="599" w:type="dxa"/>
                  <w:vMerge w:val="continue"/>
                  <w:tcBorders>
                    <w:top w:val="nil"/>
                    <w:bottom w:val="nil"/>
                  </w:tcBorders>
                  <w:vAlign w:val="center"/>
                </w:tcPr>
                <w:p w14:paraId="66B308DF">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12" w:type="dxa"/>
                  <w:gridSpan w:val="2"/>
                  <w:tcBorders>
                    <w:bottom w:val="single" w:color="auto" w:sz="4" w:space="0"/>
                  </w:tcBorders>
                  <w:vAlign w:val="center"/>
                </w:tcPr>
                <w:p w14:paraId="1D5E32EC">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氮气罐</w:t>
                  </w:r>
                </w:p>
              </w:tc>
              <w:tc>
                <w:tcPr>
                  <w:tcW w:w="4931" w:type="dxa"/>
                  <w:gridSpan w:val="2"/>
                  <w:tcBorders>
                    <w:bottom w:val="single" w:color="auto" w:sz="4" w:space="0"/>
                  </w:tcBorders>
                  <w:vAlign w:val="center"/>
                </w:tcPr>
                <w:p w14:paraId="34CAD8D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依托现有厂区氮气罐供气</w:t>
                  </w:r>
                </w:p>
              </w:tc>
              <w:tc>
                <w:tcPr>
                  <w:tcW w:w="787" w:type="dxa"/>
                  <w:tcBorders>
                    <w:bottom w:val="single" w:color="auto" w:sz="4" w:space="0"/>
                  </w:tcBorders>
                  <w:vAlign w:val="center"/>
                </w:tcPr>
                <w:p w14:paraId="4C7138AA">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tcBorders>
                    <w:bottom w:val="single" w:color="auto" w:sz="4" w:space="0"/>
                  </w:tcBorders>
                  <w:vAlign w:val="center"/>
                </w:tcPr>
                <w:p w14:paraId="21057607">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依托</w:t>
                  </w:r>
                </w:p>
              </w:tc>
            </w:tr>
            <w:tr w14:paraId="62834B1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118" w:hRule="atLeast"/>
                <w:jc w:val="center"/>
              </w:trPr>
              <w:tc>
                <w:tcPr>
                  <w:tcW w:w="599" w:type="dxa"/>
                  <w:vMerge w:val="continue"/>
                  <w:tcBorders>
                    <w:bottom w:val="nil"/>
                  </w:tcBorders>
                  <w:vAlign w:val="center"/>
                </w:tcPr>
                <w:p w14:paraId="75754AFC">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1112" w:type="dxa"/>
                  <w:gridSpan w:val="2"/>
                  <w:tcBorders>
                    <w:top w:val="single" w:color="auto" w:sz="4" w:space="0"/>
                  </w:tcBorders>
                  <w:vAlign w:val="center"/>
                </w:tcPr>
                <w:p w14:paraId="4A0F264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液氨储罐</w:t>
                  </w:r>
                </w:p>
              </w:tc>
              <w:tc>
                <w:tcPr>
                  <w:tcW w:w="4931" w:type="dxa"/>
                  <w:gridSpan w:val="2"/>
                  <w:tcBorders>
                    <w:top w:val="single" w:color="auto" w:sz="4" w:space="0"/>
                  </w:tcBorders>
                  <w:vAlign w:val="center"/>
                </w:tcPr>
                <w:p w14:paraId="7E086A5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新增液氨罐区1处（冰机自带），1个液氨储罐，容积2.9m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，设置围堰及紧急排放口</w:t>
                  </w:r>
                </w:p>
              </w:tc>
              <w:tc>
                <w:tcPr>
                  <w:tcW w:w="787" w:type="dxa"/>
                  <w:tcBorders>
                    <w:top w:val="single" w:color="auto" w:sz="4" w:space="0"/>
                  </w:tcBorders>
                  <w:vAlign w:val="center"/>
                </w:tcPr>
                <w:p w14:paraId="20CBD96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环境风险</w:t>
                  </w:r>
                </w:p>
              </w:tc>
              <w:tc>
                <w:tcPr>
                  <w:tcW w:w="829" w:type="dxa"/>
                  <w:tcBorders>
                    <w:top w:val="single" w:color="auto" w:sz="4" w:space="0"/>
                  </w:tcBorders>
                  <w:vAlign w:val="center"/>
                </w:tcPr>
                <w:p w14:paraId="472FF0C6">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新增</w:t>
                  </w:r>
                </w:p>
              </w:tc>
            </w:tr>
            <w:tr w14:paraId="58191E8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65" w:hRule="atLeast"/>
                <w:jc w:val="center"/>
              </w:trPr>
              <w:tc>
                <w:tcPr>
                  <w:tcW w:w="599" w:type="dxa"/>
                  <w:vMerge w:val="restart"/>
                  <w:tcBorders>
                    <w:bottom w:val="nil"/>
                  </w:tcBorders>
                  <w:vAlign w:val="center"/>
                </w:tcPr>
                <w:p w14:paraId="17316CBD">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环保 工程</w:t>
                  </w:r>
                </w:p>
              </w:tc>
              <w:tc>
                <w:tcPr>
                  <w:tcW w:w="603" w:type="dxa"/>
                  <w:tcBorders>
                    <w:bottom w:val="single" w:color="auto" w:sz="4" w:space="0"/>
                    <w:right w:val="single" w:color="auto" w:sz="4" w:space="0"/>
                  </w:tcBorders>
                  <w:vAlign w:val="center"/>
                </w:tcPr>
                <w:p w14:paraId="22DC2370">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施工期</w:t>
                  </w:r>
                </w:p>
              </w:tc>
              <w:tc>
                <w:tcPr>
                  <w:tcW w:w="5440" w:type="dxa"/>
                  <w:gridSpan w:val="3"/>
                  <w:tcBorders>
                    <w:left w:val="single" w:color="auto" w:sz="4" w:space="0"/>
                    <w:bottom w:val="single" w:color="auto" w:sz="4" w:space="0"/>
                  </w:tcBorders>
                  <w:vAlign w:val="center"/>
                </w:tcPr>
                <w:p w14:paraId="157D19AA">
                  <w:pPr>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施工期间洒水降尘</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选用低噪声施工机械</w:t>
                  </w:r>
                  <w:r>
                    <w:rPr>
                      <w:rFonts w:hint="default" w:ascii="Times New Roman" w:hAnsi="Times New Roman" w:eastAsia="宋体" w:cs="Times New Roman"/>
                      <w:color w:val="000000" w:themeColor="text1"/>
                      <w:sz w:val="21"/>
                      <w:szCs w:val="21"/>
                      <w14:textFill>
                        <w14:solidFill>
                          <w14:schemeClr w14:val="tx1"/>
                        </w14:solidFill>
                      </w14:textFill>
                    </w:rPr>
                    <w:t>、施工人员生活垃圾</w:t>
                  </w:r>
                  <w:r>
                    <w:rPr>
                      <w:rFonts w:hint="eastAsia" w:cs="Times New Roman"/>
                      <w:color w:val="000000" w:themeColor="text1"/>
                      <w:sz w:val="21"/>
                      <w:szCs w:val="21"/>
                      <w:lang w:val="en-US" w:eastAsia="zh-CN"/>
                      <w14:textFill>
                        <w14:solidFill>
                          <w14:schemeClr w14:val="tx1"/>
                        </w14:solidFill>
                      </w14:textFill>
                    </w:rPr>
                    <w:t>及时交由环卫部门处理</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建筑垃圾可资源化利用的资源化利用，不可利用部分运至市政指定建筑垃圾处置场处置，</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eastAsia" w:cs="Times New Roman"/>
                      <w:color w:val="000000" w:themeColor="text1"/>
                      <w:sz w:val="21"/>
                      <w:szCs w:val="21"/>
                      <w:lang w:val="en-US" w:eastAsia="zh-CN"/>
                      <w14:textFill>
                        <w14:solidFill>
                          <w14:schemeClr w14:val="tx1"/>
                        </w14:solidFill>
                      </w14:textFill>
                    </w:rPr>
                    <w:t>依托厂区已建污水处理设施处理。</w:t>
                  </w:r>
                </w:p>
              </w:tc>
              <w:tc>
                <w:tcPr>
                  <w:tcW w:w="787" w:type="dxa"/>
                  <w:tcBorders>
                    <w:bottom w:val="single" w:color="auto" w:sz="4" w:space="0"/>
                  </w:tcBorders>
                  <w:vAlign w:val="center"/>
                </w:tcPr>
                <w:p w14:paraId="52AD2CDE">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bottom w:val="single" w:color="auto" w:sz="4" w:space="0"/>
                  </w:tcBorders>
                  <w:vAlign w:val="center"/>
                </w:tcPr>
                <w:p w14:paraId="522AA40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新增</w:t>
                  </w:r>
                </w:p>
              </w:tc>
            </w:tr>
            <w:tr w14:paraId="7558A6E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01" w:hRule="atLeast"/>
                <w:jc w:val="center"/>
              </w:trPr>
              <w:tc>
                <w:tcPr>
                  <w:tcW w:w="599" w:type="dxa"/>
                  <w:vMerge w:val="continue"/>
                  <w:vAlign w:val="center"/>
                </w:tcPr>
                <w:p w14:paraId="388F913A">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restart"/>
                  <w:tcBorders>
                    <w:top w:val="single" w:color="auto" w:sz="4" w:space="0"/>
                    <w:right w:val="single" w:color="auto" w:sz="4" w:space="0"/>
                  </w:tcBorders>
                  <w:vAlign w:val="center"/>
                </w:tcPr>
                <w:p w14:paraId="74204C05">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营运期</w:t>
                  </w:r>
                </w:p>
              </w:tc>
              <w:tc>
                <w:tcPr>
                  <w:tcW w:w="509" w:type="dxa"/>
                  <w:tcBorders>
                    <w:top w:val="single" w:color="auto" w:sz="4" w:space="0"/>
                    <w:left w:val="single" w:color="auto" w:sz="4" w:space="0"/>
                    <w:bottom w:val="nil"/>
                  </w:tcBorders>
                  <w:vAlign w:val="center"/>
                </w:tcPr>
                <w:p w14:paraId="5F6C3A4B">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废气治理</w:t>
                  </w:r>
                </w:p>
              </w:tc>
              <w:tc>
                <w:tcPr>
                  <w:tcW w:w="4931" w:type="dxa"/>
                  <w:gridSpan w:val="2"/>
                  <w:tcBorders>
                    <w:top w:val="single" w:color="auto" w:sz="4" w:space="0"/>
                  </w:tcBorders>
                  <w:vAlign w:val="center"/>
                </w:tcPr>
                <w:p w14:paraId="52C2C4B5">
                  <w:pPr>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w:t>
                  </w:r>
                  <w:r>
                    <w:rPr>
                      <w:rFonts w:hint="default" w:ascii="Times New Roman" w:hAnsi="Times New Roman" w:eastAsia="宋体" w:cs="Times New Roman"/>
                      <w:color w:val="000000" w:themeColor="text1"/>
                      <w:szCs w:val="21"/>
                      <w:lang w:eastAsia="zh-CN"/>
                      <w14:textFill>
                        <w14:solidFill>
                          <w14:schemeClr w14:val="tx1"/>
                        </w14:solidFill>
                      </w14:textFill>
                    </w:rPr>
                    <w:t>MDEA脱CO</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放空气</w:t>
                  </w:r>
                  <w:r>
                    <w:rPr>
                      <w:rFonts w:hint="default" w:ascii="Times New Roman" w:hAnsi="Times New Roman" w:eastAsia="宋体" w:cs="Times New Roman"/>
                      <w:color w:val="000000" w:themeColor="text1"/>
                      <w:lang w:eastAsia="zh-CN"/>
                      <w14:textFill>
                        <w14:solidFill>
                          <w14:schemeClr w14:val="tx1"/>
                        </w14:solidFill>
                      </w14:textFill>
                    </w:rPr>
                    <w:t>经回收CO</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后，管道送入厂区转化装置加热炉前的燃料气分离器中，分离后送至</w:t>
                  </w:r>
                  <w:r>
                    <w:rPr>
                      <w:rFonts w:hint="eastAsia" w:cs="Times New Roman"/>
                      <w:color w:val="000000" w:themeColor="text1"/>
                      <w:lang w:val="en-US" w:eastAsia="zh-CN"/>
                      <w14:textFill>
                        <w14:solidFill>
                          <w14:schemeClr w14:val="tx1"/>
                        </w14:solidFill>
                      </w14:textFill>
                    </w:rPr>
                    <w:t>天然气加热炉</w:t>
                  </w:r>
                  <w:r>
                    <w:rPr>
                      <w:rFonts w:hint="default" w:ascii="Times New Roman" w:hAnsi="Times New Roman" w:eastAsia="宋体" w:cs="Times New Roman"/>
                      <w:color w:val="000000" w:themeColor="text1"/>
                      <w:lang w:eastAsia="zh-CN"/>
                      <w14:textFill>
                        <w14:solidFill>
                          <w14:schemeClr w14:val="tx1"/>
                        </w14:solidFill>
                      </w14:textFill>
                    </w:rPr>
                    <w:t>燃烧</w:t>
                  </w:r>
                  <w:r>
                    <w:rPr>
                      <w:rFonts w:hint="eastAsia" w:cs="Times New Roman"/>
                      <w:color w:val="000000" w:themeColor="text1"/>
                      <w:lang w:eastAsia="zh-CN"/>
                      <w14:textFill>
                        <w14:solidFill>
                          <w14:schemeClr w14:val="tx1"/>
                        </w14:solidFill>
                      </w14:textFill>
                    </w:rPr>
                    <w:t>（依托燃烧炉设置有低氮燃烧+SCR脱硝系统）</w:t>
                  </w:r>
                  <w:r>
                    <w:rPr>
                      <w:rFonts w:hint="default" w:ascii="Times New Roman" w:hAnsi="Times New Roman" w:eastAsia="宋体" w:cs="Times New Roman"/>
                      <w:color w:val="000000" w:themeColor="text1"/>
                      <w:lang w:eastAsia="zh-CN"/>
                      <w14:textFill>
                        <w14:solidFill>
                          <w14:schemeClr w14:val="tx1"/>
                        </w14:solidFill>
                      </w14:textFill>
                    </w:rPr>
                    <w:t>，经1根</w:t>
                  </w:r>
                  <w:r>
                    <w:rPr>
                      <w:rFonts w:hint="eastAsia" w:cs="Times New Roman"/>
                      <w:color w:val="000000" w:themeColor="text1"/>
                      <w:lang w:val="en-US" w:eastAsia="zh-CN"/>
                      <w14:textFill>
                        <w14:solidFill>
                          <w14:schemeClr w14:val="tx1"/>
                        </w14:solidFill>
                      </w14:textFill>
                    </w:rPr>
                    <w:t>60</w:t>
                  </w:r>
                  <w:r>
                    <w:rPr>
                      <w:rFonts w:hint="default" w:ascii="Times New Roman" w:hAnsi="Times New Roman" w:eastAsia="宋体" w:cs="Times New Roman"/>
                      <w:color w:val="000000" w:themeColor="text1"/>
                      <w:lang w:eastAsia="zh-CN"/>
                      <w14:textFill>
                        <w14:solidFill>
                          <w14:schemeClr w14:val="tx1"/>
                        </w14:solidFill>
                      </w14:textFill>
                    </w:rPr>
                    <w:t>m排气筒排放；</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②管线吹扫采用空气吹扫，平均1年吹扫1次，少量含尘空气直接排放</w:t>
                  </w:r>
                </w:p>
              </w:tc>
              <w:tc>
                <w:tcPr>
                  <w:tcW w:w="787" w:type="dxa"/>
                  <w:tcBorders>
                    <w:top w:val="single" w:color="auto" w:sz="4" w:space="0"/>
                    <w:bottom w:val="nil"/>
                  </w:tcBorders>
                  <w:vAlign w:val="center"/>
                </w:tcPr>
                <w:p w14:paraId="27022813">
                  <w:pPr>
                    <w:jc w:val="center"/>
                    <w:rPr>
                      <w:rFonts w:hint="default"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tcBorders>
                    <w:top w:val="single" w:color="auto" w:sz="4" w:space="0"/>
                    <w:bottom w:val="nil"/>
                  </w:tcBorders>
                  <w:vAlign w:val="center"/>
                </w:tcPr>
                <w:p w14:paraId="23DB9459">
                  <w:pPr>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依托加热炉</w:t>
                  </w:r>
                </w:p>
              </w:tc>
            </w:tr>
            <w:tr w14:paraId="56A17C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798" w:hRule="atLeast"/>
                <w:jc w:val="center"/>
              </w:trPr>
              <w:tc>
                <w:tcPr>
                  <w:tcW w:w="599" w:type="dxa"/>
                  <w:vMerge w:val="continue"/>
                  <w:tcBorders>
                    <w:top w:val="nil"/>
                    <w:bottom w:val="nil"/>
                  </w:tcBorders>
                  <w:vAlign w:val="center"/>
                </w:tcPr>
                <w:p w14:paraId="41F793DA">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continue"/>
                  <w:tcBorders>
                    <w:right w:val="single" w:color="auto" w:sz="4" w:space="0"/>
                  </w:tcBorders>
                  <w:vAlign w:val="center"/>
                </w:tcPr>
                <w:p w14:paraId="55BC5304">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509" w:type="dxa"/>
                  <w:vMerge w:val="restart"/>
                  <w:tcBorders>
                    <w:left w:val="single" w:color="auto" w:sz="4" w:space="0"/>
                  </w:tcBorders>
                  <w:vAlign w:val="center"/>
                </w:tcPr>
                <w:p w14:paraId="29B4BCF0">
                  <w:pPr>
                    <w:jc w:val="center"/>
                    <w:rPr>
                      <w:rFonts w:hint="default"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废水治理</w:t>
                  </w:r>
                </w:p>
                <w:p w14:paraId="3F801DD9">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4931" w:type="dxa"/>
                  <w:gridSpan w:val="2"/>
                  <w:tcBorders>
                    <w:bottom w:val="single" w:color="auto" w:sz="4" w:space="0"/>
                  </w:tcBorders>
                  <w:vAlign w:val="center"/>
                </w:tcPr>
                <w:p w14:paraId="703F4C24">
                  <w:pPr>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w:t>
                  </w:r>
                  <w:r>
                    <w:rPr>
                      <w:rFonts w:hint="default" w:ascii="Times New Roman" w:hAnsi="Times New Roman" w:eastAsia="宋体" w:cs="Times New Roman"/>
                      <w:color w:val="000000" w:themeColor="text1"/>
                      <w:lang w:eastAsia="zh-CN"/>
                      <w14:textFill>
                        <w14:solidFill>
                          <w14:schemeClr w14:val="tx1"/>
                        </w14:solidFill>
                      </w14:textFill>
                    </w:rPr>
                    <w:t>管线平均1年冲洗1次（冲洗时间约8h），冲洗废水循环使用，冲洗结束排入厂区已建回用水站；</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val="en-US" w:eastAsia="zh-CN"/>
                      <w14:textFill>
                        <w14:solidFill>
                          <w14:schemeClr w14:val="tx1"/>
                        </w14:solidFill>
                      </w14:textFill>
                    </w:rPr>
                    <w:t>②</w:t>
                  </w:r>
                  <w:r>
                    <w:rPr>
                      <w:rFonts w:hint="eastAsia" w:cs="Times New Roman"/>
                      <w:color w:val="000000" w:themeColor="text1"/>
                      <w:lang w:val="en-US" w:eastAsia="zh-CN"/>
                      <w14:textFill>
                        <w14:solidFill>
                          <w14:schemeClr w14:val="tx1"/>
                        </w14:solidFill>
                      </w14:textFill>
                    </w:rPr>
                    <w:t>原料气冷凝水通过装置区管道排入新建收集坑，从收集坑通过地下管线排放至初期雨水池，再抽至污水处理站处理</w:t>
                  </w:r>
                </w:p>
              </w:tc>
              <w:tc>
                <w:tcPr>
                  <w:tcW w:w="787" w:type="dxa"/>
                  <w:tcBorders>
                    <w:bottom w:val="single" w:color="auto" w:sz="4" w:space="0"/>
                  </w:tcBorders>
                  <w:vAlign w:val="center"/>
                </w:tcPr>
                <w:p w14:paraId="5EA3C840">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tcBorders>
                    <w:bottom w:val="single" w:color="auto" w:sz="4" w:space="0"/>
                  </w:tcBorders>
                  <w:vAlign w:val="center"/>
                </w:tcPr>
                <w:p w14:paraId="64B6CACB">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新增</w:t>
                  </w:r>
                  <w:r>
                    <w:rPr>
                      <w:rFonts w:hint="eastAsia" w:cs="Times New Roman"/>
                      <w:color w:val="000000" w:themeColor="text1"/>
                      <w:lang w:val="en-US" w:eastAsia="zh-CN"/>
                      <w14:textFill>
                        <w14:solidFill>
                          <w14:schemeClr w14:val="tx1"/>
                        </w14:solidFill>
                      </w14:textFill>
                    </w:rPr>
                    <w:t>措施</w:t>
                  </w:r>
                </w:p>
              </w:tc>
            </w:tr>
            <w:tr w14:paraId="077E657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99" w:type="dxa"/>
                  <w:vMerge w:val="continue"/>
                  <w:tcBorders>
                    <w:top w:val="nil"/>
                    <w:bottom w:val="nil"/>
                  </w:tcBorders>
                  <w:vAlign w:val="center"/>
                </w:tcPr>
                <w:p w14:paraId="30FC853F">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continue"/>
                  <w:tcBorders>
                    <w:right w:val="single" w:color="auto" w:sz="4" w:space="0"/>
                  </w:tcBorders>
                  <w:vAlign w:val="center"/>
                </w:tcPr>
                <w:p w14:paraId="6FD9D612">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509" w:type="dxa"/>
                  <w:vMerge w:val="continue"/>
                  <w:tcBorders>
                    <w:left w:val="single" w:color="auto" w:sz="4" w:space="0"/>
                    <w:bottom w:val="nil"/>
                  </w:tcBorders>
                  <w:vAlign w:val="center"/>
                </w:tcPr>
                <w:p w14:paraId="27663525">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4931" w:type="dxa"/>
                  <w:gridSpan w:val="2"/>
                  <w:tcBorders>
                    <w:top w:val="single" w:color="auto" w:sz="4" w:space="0"/>
                  </w:tcBorders>
                  <w:vAlign w:val="center"/>
                </w:tcPr>
                <w:p w14:paraId="2DC6692A">
                  <w:pPr>
                    <w:jc w:val="left"/>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③</w:t>
                  </w:r>
                  <w:r>
                    <w:rPr>
                      <w:rFonts w:hint="default" w:ascii="Times New Roman" w:hAnsi="Times New Roman" w:eastAsia="宋体" w:cs="Times New Roman"/>
                      <w:color w:val="000000" w:themeColor="text1"/>
                      <w:lang w:val="en-US" w:eastAsia="zh-CN"/>
                      <w14:textFill>
                        <w14:solidFill>
                          <w14:schemeClr w14:val="tx1"/>
                        </w14:solidFill>
                      </w14:textFill>
                    </w:rPr>
                    <w:t>员工生活污水排入厂区已建污水处理站</w:t>
                  </w:r>
                </w:p>
              </w:tc>
              <w:tc>
                <w:tcPr>
                  <w:tcW w:w="787" w:type="dxa"/>
                  <w:tcBorders>
                    <w:top w:val="single" w:color="auto" w:sz="4" w:space="0"/>
                    <w:bottom w:val="nil"/>
                  </w:tcBorders>
                  <w:vAlign w:val="center"/>
                </w:tcPr>
                <w:p w14:paraId="3353F634">
                  <w:pPr>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tcBorders>
                  <w:vAlign w:val="center"/>
                </w:tcPr>
                <w:p w14:paraId="0340614B">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依托设施</w:t>
                  </w:r>
                </w:p>
              </w:tc>
            </w:tr>
            <w:tr w14:paraId="2ED42D2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67" w:hRule="atLeast"/>
                <w:jc w:val="center"/>
              </w:trPr>
              <w:tc>
                <w:tcPr>
                  <w:tcW w:w="599" w:type="dxa"/>
                  <w:vMerge w:val="continue"/>
                  <w:tcBorders>
                    <w:top w:val="nil"/>
                    <w:bottom w:val="nil"/>
                  </w:tcBorders>
                  <w:vAlign w:val="center"/>
                </w:tcPr>
                <w:p w14:paraId="743D34BF">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continue"/>
                  <w:tcBorders>
                    <w:right w:val="single" w:color="auto" w:sz="4" w:space="0"/>
                  </w:tcBorders>
                  <w:vAlign w:val="center"/>
                </w:tcPr>
                <w:p w14:paraId="6ECD0482">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509" w:type="dxa"/>
                  <w:tcBorders>
                    <w:left w:val="single" w:color="auto" w:sz="4" w:space="0"/>
                  </w:tcBorders>
                  <w:vAlign w:val="center"/>
                </w:tcPr>
                <w:p w14:paraId="7911FC6D">
                  <w:pPr>
                    <w:jc w:val="center"/>
                    <w:rPr>
                      <w:rFonts w:hint="default"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噪声治理</w:t>
                  </w:r>
                </w:p>
              </w:tc>
              <w:tc>
                <w:tcPr>
                  <w:tcW w:w="4931" w:type="dxa"/>
                  <w:gridSpan w:val="2"/>
                  <w:vAlign w:val="center"/>
                </w:tcPr>
                <w:p w14:paraId="10B3CFB3">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合理布局、柔性连接、基础减振等</w:t>
                  </w:r>
                </w:p>
              </w:tc>
              <w:tc>
                <w:tcPr>
                  <w:tcW w:w="787" w:type="dxa"/>
                  <w:vAlign w:val="center"/>
                </w:tcPr>
                <w:p w14:paraId="225459BB">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c>
                <w:tcPr>
                  <w:tcW w:w="829" w:type="dxa"/>
                  <w:vAlign w:val="center"/>
                </w:tcPr>
                <w:p w14:paraId="10275857">
                  <w:pPr>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w:t>
                  </w:r>
                </w:p>
              </w:tc>
            </w:tr>
            <w:tr w14:paraId="29A5125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05" w:hRule="atLeast"/>
                <w:jc w:val="center"/>
              </w:trPr>
              <w:tc>
                <w:tcPr>
                  <w:tcW w:w="599" w:type="dxa"/>
                  <w:vMerge w:val="continue"/>
                  <w:tcBorders>
                    <w:top w:val="nil"/>
                    <w:bottom w:val="nil"/>
                  </w:tcBorders>
                  <w:vAlign w:val="center"/>
                </w:tcPr>
                <w:p w14:paraId="7D4878A9">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continue"/>
                  <w:tcBorders>
                    <w:right w:val="single" w:color="auto" w:sz="4" w:space="0"/>
                  </w:tcBorders>
                  <w:vAlign w:val="center"/>
                </w:tcPr>
                <w:p w14:paraId="4A467F95">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509" w:type="dxa"/>
                  <w:tcBorders>
                    <w:left w:val="single" w:color="auto" w:sz="4" w:space="0"/>
                    <w:bottom w:val="single" w:color="auto" w:sz="4" w:space="0"/>
                  </w:tcBorders>
                  <w:vAlign w:val="center"/>
                </w:tcPr>
                <w:p w14:paraId="32975126">
                  <w:pPr>
                    <w:jc w:val="center"/>
                    <w:rPr>
                      <w:rFonts w:hint="default" w:ascii="Times New Roman" w:hAnsi="Times New Roman" w:eastAsia="宋体" w:cs="Times New Roman"/>
                      <w:color w:val="000000" w:themeColor="text1"/>
                      <w:kern w:val="2"/>
                      <w:sz w:val="21"/>
                      <w:szCs w:val="24"/>
                      <w:lang w:val="en-US" w:eastAsia="en-US" w:bidi="ar-SA"/>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固废治理</w:t>
                  </w:r>
                </w:p>
              </w:tc>
              <w:tc>
                <w:tcPr>
                  <w:tcW w:w="4931" w:type="dxa"/>
                  <w:gridSpan w:val="2"/>
                  <w:tcBorders>
                    <w:bottom w:val="single" w:color="auto" w:sz="4" w:space="0"/>
                  </w:tcBorders>
                  <w:vAlign w:val="center"/>
                </w:tcPr>
                <w:p w14:paraId="0F64C2BE">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少量管线空气吹扫废渣</w:t>
                  </w:r>
                  <w:r>
                    <w:rPr>
                      <w:rFonts w:hint="eastAsia" w:cs="Times New Roman"/>
                      <w:color w:val="000000" w:themeColor="text1"/>
                      <w:lang w:val="en-US" w:eastAsia="zh-CN"/>
                      <w14:textFill>
                        <w14:solidFill>
                          <w14:schemeClr w14:val="tx1"/>
                        </w14:solidFill>
                      </w14:textFill>
                    </w:rPr>
                    <w:t>为</w:t>
                  </w:r>
                  <w:r>
                    <w:rPr>
                      <w:rFonts w:hint="eastAsia" w:cs="Times New Roman"/>
                      <w:color w:val="000000" w:themeColor="text1"/>
                      <w:kern w:val="0"/>
                      <w:szCs w:val="21"/>
                      <w:lang w:val="en-US" w:eastAsia="zh-CN"/>
                      <w14:textFill>
                        <w14:solidFill>
                          <w14:schemeClr w14:val="tx1"/>
                        </w14:solidFill>
                      </w14:textFill>
                    </w:rPr>
                    <w:t>金属渣，与全厂吹扫渣一并外售物资回收部门；员工生活垃圾交由环卫部门处理；设备检修过程中产生少量废机油、废含油抹布依托厂区已建危废暂存间暂存，交由有危废处理资质单位处理</w:t>
                  </w:r>
                </w:p>
              </w:tc>
              <w:tc>
                <w:tcPr>
                  <w:tcW w:w="787" w:type="dxa"/>
                  <w:tcBorders>
                    <w:bottom w:val="single" w:color="auto" w:sz="4" w:space="0"/>
                  </w:tcBorders>
                  <w:vAlign w:val="center"/>
                </w:tcPr>
                <w:p w14:paraId="6735639B">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829" w:type="dxa"/>
                  <w:tcBorders>
                    <w:bottom w:val="single" w:color="auto" w:sz="4" w:space="0"/>
                  </w:tcBorders>
                  <w:vAlign w:val="center"/>
                </w:tcPr>
                <w:p w14:paraId="5B8039A0">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依托设施</w:t>
                  </w:r>
                </w:p>
              </w:tc>
            </w:tr>
            <w:tr w14:paraId="7F0AD9A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264" w:hRule="atLeast"/>
                <w:jc w:val="center"/>
              </w:trPr>
              <w:tc>
                <w:tcPr>
                  <w:tcW w:w="599" w:type="dxa"/>
                  <w:vMerge w:val="continue"/>
                  <w:vAlign w:val="center"/>
                </w:tcPr>
                <w:p w14:paraId="259EA533">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603" w:type="dxa"/>
                  <w:vMerge w:val="continue"/>
                  <w:tcBorders>
                    <w:right w:val="single" w:color="auto" w:sz="4" w:space="0"/>
                  </w:tcBorders>
                  <w:vAlign w:val="center"/>
                </w:tcPr>
                <w:p w14:paraId="5F83DEB5">
                  <w:pPr>
                    <w:jc w:val="center"/>
                    <w:rPr>
                      <w:rFonts w:hint="default" w:ascii="Times New Roman" w:hAnsi="Times New Roman" w:eastAsia="宋体" w:cs="Times New Roman"/>
                      <w:color w:val="000000" w:themeColor="text1"/>
                      <w:lang w:eastAsia="en-US"/>
                      <w14:textFill>
                        <w14:solidFill>
                          <w14:schemeClr w14:val="tx1"/>
                        </w14:solidFill>
                      </w14:textFill>
                    </w:rPr>
                  </w:pPr>
                </w:p>
              </w:tc>
              <w:tc>
                <w:tcPr>
                  <w:tcW w:w="509" w:type="dxa"/>
                  <w:tcBorders>
                    <w:top w:val="single" w:color="auto" w:sz="4" w:space="0"/>
                    <w:left w:val="single" w:color="auto" w:sz="4" w:space="0"/>
                  </w:tcBorders>
                  <w:vAlign w:val="center"/>
                </w:tcPr>
                <w:p w14:paraId="22A4938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环境风险</w:t>
                  </w:r>
                </w:p>
              </w:tc>
              <w:tc>
                <w:tcPr>
                  <w:tcW w:w="4931" w:type="dxa"/>
                  <w:gridSpan w:val="2"/>
                  <w:tcBorders>
                    <w:top w:val="single" w:color="auto" w:sz="4" w:space="0"/>
                  </w:tcBorders>
                  <w:vAlign w:val="center"/>
                </w:tcPr>
                <w:p w14:paraId="570DB2D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纳入主体工程环境风险防控体系，设置液氨泄漏检测装置</w:t>
                  </w:r>
                </w:p>
              </w:tc>
              <w:tc>
                <w:tcPr>
                  <w:tcW w:w="787" w:type="dxa"/>
                  <w:tcBorders>
                    <w:top w:val="single" w:color="auto" w:sz="4" w:space="0"/>
                  </w:tcBorders>
                  <w:vAlign w:val="center"/>
                </w:tcPr>
                <w:p w14:paraId="314F72E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829" w:type="dxa"/>
                  <w:tcBorders>
                    <w:top w:val="single" w:color="auto" w:sz="4" w:space="0"/>
                  </w:tcBorders>
                  <w:vAlign w:val="center"/>
                </w:tcPr>
                <w:p w14:paraId="48F1585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依托/检测装置新增</w:t>
                  </w:r>
                </w:p>
              </w:tc>
            </w:tr>
          </w:tbl>
          <w:p w14:paraId="0EEB8ED5">
            <w:pPr>
              <w:pStyle w:val="468"/>
              <w:numPr>
                <w:ilvl w:val="0"/>
                <w:numId w:val="0"/>
              </w:numPr>
              <w:spacing w:before="120" w:after="120"/>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2.3原辅材料、能耗</w:t>
            </w:r>
          </w:p>
          <w:p w14:paraId="7AC25ADE">
            <w:pPr>
              <w:pStyle w:val="457"/>
              <w:ind w:firstLine="480"/>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本项目所涉及的主要原辅材料及能耗情况见下表。</w:t>
            </w:r>
            <w:bookmarkStart w:id="6" w:name="_Hlk82161758"/>
          </w:p>
          <w:p w14:paraId="7A9BAB1D">
            <w:pPr>
              <w:autoSpaceDE w:val="0"/>
              <w:autoSpaceDN w:val="0"/>
              <w:adjustRightInd w:val="0"/>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w:t>
            </w:r>
            <w:r>
              <w:rPr>
                <w:rFonts w:hint="default" w:ascii="Times New Roman" w:hAnsi="Times New Roman" w:eastAsia="宋体" w:cs="Times New Roman"/>
                <w:b/>
                <w:color w:val="000000" w:themeColor="text1"/>
                <w:szCs w:val="21"/>
                <w14:textFill>
                  <w14:solidFill>
                    <w14:schemeClr w14:val="tx1"/>
                  </w14:solidFill>
                </w14:textFill>
              </w:rPr>
              <w:fldChar w:fldCharType="begin"/>
            </w:r>
            <w:r>
              <w:rPr>
                <w:rFonts w:hint="default" w:ascii="Times New Roman" w:hAnsi="Times New Roman" w:eastAsia="宋体" w:cs="Times New Roman"/>
                <w:b/>
                <w:color w:val="000000" w:themeColor="text1"/>
                <w:szCs w:val="21"/>
                <w14:textFill>
                  <w14:solidFill>
                    <w14:schemeClr w14:val="tx1"/>
                  </w14:solidFill>
                </w14:textFill>
              </w:rPr>
              <w:instrText xml:space="preserve"> STYLEREF 1 \s </w:instrText>
            </w:r>
            <w:r>
              <w:rPr>
                <w:rFonts w:hint="default" w:ascii="Times New Roman" w:hAnsi="Times New Roman" w:eastAsia="宋体" w:cs="Times New Roman"/>
                <w:b/>
                <w:color w:val="000000" w:themeColor="text1"/>
                <w:szCs w:val="21"/>
                <w14:textFill>
                  <w14:solidFill>
                    <w14:schemeClr w14:val="tx1"/>
                  </w14:solidFill>
                </w14:textFill>
              </w:rPr>
              <w:fldChar w:fldCharType="separate"/>
            </w:r>
            <w:r>
              <w:rPr>
                <w:rFonts w:hint="default" w:ascii="Times New Roman" w:hAnsi="Times New Roman" w:eastAsia="宋体" w:cs="Times New Roman"/>
                <w:b/>
                <w:color w:val="000000" w:themeColor="text1"/>
                <w:szCs w:val="21"/>
                <w14:textFill>
                  <w14:solidFill>
                    <w14:schemeClr w14:val="tx1"/>
                  </w14:solidFill>
                </w14:textFill>
              </w:rPr>
              <w:t>2</w:t>
            </w:r>
            <w:r>
              <w:rPr>
                <w:rFonts w:hint="default" w:ascii="Times New Roman" w:hAnsi="Times New Roman" w:eastAsia="宋体" w:cs="Times New Roman"/>
                <w:b/>
                <w:color w:val="000000" w:themeColor="text1"/>
                <w:szCs w:val="21"/>
                <w14:textFill>
                  <w14:solidFill>
                    <w14:schemeClr w14:val="tx1"/>
                  </w14:solidFill>
                </w14:textFill>
              </w:rPr>
              <w:fldChar w:fldCharType="end"/>
            </w:r>
            <w:r>
              <w:rPr>
                <w:rFonts w:hint="default" w:ascii="Times New Roman" w:hAnsi="Times New Roman" w:eastAsia="宋体" w:cs="Times New Roman"/>
                <w:b/>
                <w:color w:val="000000" w:themeColor="text1"/>
                <w:szCs w:val="21"/>
                <w14:textFill>
                  <w14:solidFill>
                    <w14:schemeClr w14:val="tx1"/>
                  </w14:solidFill>
                </w14:textFill>
              </w:rPr>
              <w:t>-</w:t>
            </w:r>
            <w:bookmarkStart w:id="7" w:name="_Ref338411276"/>
            <w:r>
              <w:rPr>
                <w:rFonts w:hint="default" w:ascii="Times New Roman" w:hAnsi="Times New Roman" w:eastAsia="宋体" w:cs="Times New Roman"/>
                <w:b/>
                <w:color w:val="000000" w:themeColor="text1"/>
                <w:szCs w:val="21"/>
                <w14:textFill>
                  <w14:solidFill>
                    <w14:schemeClr w14:val="tx1"/>
                  </w14:solidFill>
                </w14:textFill>
              </w:rPr>
              <w:t>4 项目主要原辅材料及能耗情况一览表</w:t>
            </w:r>
            <w:bookmarkEnd w:id="7"/>
          </w:p>
          <w:bookmarkEnd w:id="6"/>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145"/>
              <w:gridCol w:w="1288"/>
              <w:gridCol w:w="716"/>
              <w:gridCol w:w="1555"/>
              <w:gridCol w:w="2962"/>
            </w:tblGrid>
            <w:tr w14:paraId="50D0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1" w:type="dxa"/>
                  <w:vAlign w:val="center"/>
                </w:tcPr>
                <w:p w14:paraId="63962D6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1145" w:type="dxa"/>
                  <w:vAlign w:val="center"/>
                </w:tcPr>
                <w:p w14:paraId="7B4E941A">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w:t>
                  </w:r>
                </w:p>
              </w:tc>
              <w:tc>
                <w:tcPr>
                  <w:tcW w:w="1288" w:type="dxa"/>
                  <w:vAlign w:val="center"/>
                </w:tcPr>
                <w:p w14:paraId="33FFB4F7">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规格</w:t>
                  </w:r>
                </w:p>
              </w:tc>
              <w:tc>
                <w:tcPr>
                  <w:tcW w:w="716" w:type="dxa"/>
                  <w:vAlign w:val="center"/>
                </w:tcPr>
                <w:p w14:paraId="61EF7802">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单位</w:t>
                  </w:r>
                </w:p>
              </w:tc>
              <w:tc>
                <w:tcPr>
                  <w:tcW w:w="1555" w:type="dxa"/>
                  <w:vAlign w:val="center"/>
                </w:tcPr>
                <w:p w14:paraId="315FDB1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消耗量（/年）</w:t>
                  </w:r>
                </w:p>
              </w:tc>
              <w:tc>
                <w:tcPr>
                  <w:tcW w:w="2962" w:type="dxa"/>
                  <w:vAlign w:val="center"/>
                </w:tcPr>
                <w:p w14:paraId="48766F9E">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备注</w:t>
                  </w:r>
                </w:p>
              </w:tc>
            </w:tr>
            <w:tr w14:paraId="3E07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11" w:type="dxa"/>
                  <w:vMerge w:val="restart"/>
                  <w:noWrap/>
                  <w:vAlign w:val="center"/>
                </w:tcPr>
                <w:p w14:paraId="7E2889D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回收工段</w:t>
                  </w:r>
                </w:p>
              </w:tc>
              <w:tc>
                <w:tcPr>
                  <w:tcW w:w="1145" w:type="dxa"/>
                  <w:noWrap/>
                  <w:vAlign w:val="center"/>
                </w:tcPr>
                <w:p w14:paraId="2B2446A2">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原料气</w:t>
                  </w:r>
                </w:p>
              </w:tc>
              <w:tc>
                <w:tcPr>
                  <w:tcW w:w="1288" w:type="dxa"/>
                  <w:tcBorders>
                    <w:top w:val="single" w:color="auto" w:sz="4" w:space="0"/>
                    <w:left w:val="single" w:color="auto" w:sz="4" w:space="0"/>
                    <w:bottom w:val="single" w:color="auto" w:sz="4" w:space="0"/>
                    <w:right w:val="single" w:color="auto" w:sz="4" w:space="0"/>
                  </w:tcBorders>
                  <w:vAlign w:val="center"/>
                </w:tcPr>
                <w:p w14:paraId="29C6F28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含量98.5%</w:t>
                  </w:r>
                </w:p>
              </w:tc>
              <w:tc>
                <w:tcPr>
                  <w:tcW w:w="716" w:type="dxa"/>
                  <w:noWrap/>
                  <w:vAlign w:val="center"/>
                </w:tcPr>
                <w:p w14:paraId="39F158C6">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55" w:type="dxa"/>
                  <w:vAlign w:val="center"/>
                </w:tcPr>
                <w:p w14:paraId="19D42504">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75594.56</w:t>
                  </w:r>
                </w:p>
              </w:tc>
              <w:tc>
                <w:tcPr>
                  <w:tcW w:w="2962" w:type="dxa"/>
                  <w:noWrap/>
                  <w:vAlign w:val="center"/>
                </w:tcPr>
                <w:p w14:paraId="3BD3CD66">
                  <w:pPr>
                    <w:pStyle w:val="252"/>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来自MDEA脱CO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放空气</w:t>
                  </w:r>
                  <w:r>
                    <w:rPr>
                      <w:rFonts w:hint="eastAsia" w:ascii="Times New Roman" w:cs="Times New Roman"/>
                      <w:color w:val="000000" w:themeColor="text1"/>
                      <w:sz w:val="21"/>
                      <w:szCs w:val="21"/>
                      <w:lang w:eastAsia="zh-CN"/>
                      <w14:textFill>
                        <w14:solidFill>
                          <w14:schemeClr w14:val="tx1"/>
                        </w14:solidFill>
                      </w14:textFill>
                    </w:rPr>
                    <w:t>（</w:t>
                  </w:r>
                  <w:r>
                    <w:rPr>
                      <w:rFonts w:hint="eastAsia" w:ascii="Times New Roman" w:cs="Times New Roman"/>
                      <w:color w:val="000000" w:themeColor="text1"/>
                      <w:sz w:val="21"/>
                      <w:szCs w:val="21"/>
                      <w:lang w:val="en-US" w:eastAsia="zh-CN"/>
                      <w14:textFill>
                        <w14:solidFill>
                          <w14:schemeClr w14:val="tx1"/>
                        </w14:solidFill>
                      </w14:textFill>
                    </w:rPr>
                    <w:t>脱碳废气</w:t>
                  </w:r>
                  <w:r>
                    <w:rPr>
                      <w:rFonts w:hint="eastAsia" w:ascii="Times New Roman" w:cs="Times New Roman"/>
                      <w:color w:val="000000" w:themeColor="text1"/>
                      <w:sz w:val="21"/>
                      <w:szCs w:val="21"/>
                      <w:lang w:eastAsia="zh-CN"/>
                      <w14:textFill>
                        <w14:solidFill>
                          <w14:schemeClr w14:val="tx1"/>
                        </w14:solidFill>
                      </w14:textFill>
                    </w:rPr>
                    <w:t>）</w:t>
                  </w:r>
                </w:p>
              </w:tc>
            </w:tr>
            <w:tr w14:paraId="482C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11" w:type="dxa"/>
                  <w:vMerge w:val="continue"/>
                  <w:noWrap/>
                  <w:vAlign w:val="center"/>
                </w:tcPr>
                <w:p w14:paraId="594F7697">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145" w:type="dxa"/>
                  <w:noWrap/>
                  <w:vAlign w:val="center"/>
                </w:tcPr>
                <w:p w14:paraId="3B1704B7">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空气</w:t>
                  </w:r>
                </w:p>
              </w:tc>
              <w:tc>
                <w:tcPr>
                  <w:tcW w:w="1288" w:type="dxa"/>
                  <w:tcBorders>
                    <w:top w:val="single" w:color="auto" w:sz="4" w:space="0"/>
                    <w:left w:val="single" w:color="auto" w:sz="4" w:space="0"/>
                    <w:bottom w:val="single" w:color="auto" w:sz="4" w:space="0"/>
                    <w:right w:val="single" w:color="auto" w:sz="4" w:space="0"/>
                  </w:tcBorders>
                  <w:vAlign w:val="center"/>
                </w:tcPr>
                <w:p w14:paraId="1F169FB6">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0.65MpaG</w:t>
                  </w:r>
                </w:p>
              </w:tc>
              <w:tc>
                <w:tcPr>
                  <w:tcW w:w="716" w:type="dxa"/>
                  <w:noWrap/>
                  <w:vAlign w:val="center"/>
                </w:tcPr>
                <w:p w14:paraId="2FDFB749">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55" w:type="dxa"/>
                  <w:vAlign w:val="center"/>
                </w:tcPr>
                <w:p w14:paraId="3F09ED4A">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4400</w:t>
                  </w:r>
                </w:p>
              </w:tc>
              <w:tc>
                <w:tcPr>
                  <w:tcW w:w="2962" w:type="dxa"/>
                  <w:noWrap/>
                  <w:vAlign w:val="center"/>
                </w:tcPr>
                <w:p w14:paraId="65BB6E3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管线吹扫用，每年开车前吹扫1次</w:t>
                  </w:r>
                </w:p>
              </w:tc>
            </w:tr>
            <w:tr w14:paraId="4B08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11" w:type="dxa"/>
                  <w:vMerge w:val="continue"/>
                  <w:noWrap/>
                  <w:vAlign w:val="center"/>
                </w:tcPr>
                <w:p w14:paraId="5B42E756">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145" w:type="dxa"/>
                  <w:noWrap/>
                  <w:vAlign w:val="center"/>
                </w:tcPr>
                <w:p w14:paraId="52BDFEC3">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液氨</w:t>
                  </w:r>
                </w:p>
              </w:tc>
              <w:tc>
                <w:tcPr>
                  <w:tcW w:w="1288" w:type="dxa"/>
                  <w:tcBorders>
                    <w:top w:val="single" w:color="auto" w:sz="4" w:space="0"/>
                    <w:left w:val="single" w:color="auto" w:sz="4" w:space="0"/>
                    <w:bottom w:val="single" w:color="auto" w:sz="4" w:space="0"/>
                    <w:right w:val="single" w:color="auto" w:sz="4" w:space="0"/>
                  </w:tcBorders>
                  <w:vAlign w:val="center"/>
                </w:tcPr>
                <w:p w14:paraId="7C873349">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16" w:type="dxa"/>
                  <w:noWrap/>
                  <w:vAlign w:val="center"/>
                </w:tcPr>
                <w:p w14:paraId="5328404E">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55" w:type="dxa"/>
                  <w:vAlign w:val="center"/>
                </w:tcPr>
                <w:p w14:paraId="66E4EC5C">
                  <w:pPr>
                    <w:pStyle w:val="25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575kg</w:t>
                  </w:r>
                </w:p>
              </w:tc>
              <w:tc>
                <w:tcPr>
                  <w:tcW w:w="2962" w:type="dxa"/>
                  <w:noWrap/>
                  <w:vAlign w:val="center"/>
                </w:tcPr>
                <w:p w14:paraId="6886472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冰机内循环使用，</w:t>
                  </w:r>
                  <w:r>
                    <w:rPr>
                      <w:rFonts w:hint="eastAsia" w:ascii="Times New Roman" w:cs="Times New Roman"/>
                      <w:color w:val="000000" w:themeColor="text1"/>
                      <w:sz w:val="21"/>
                      <w:szCs w:val="21"/>
                      <w:lang w:val="en-US" w:eastAsia="zh-CN"/>
                      <w14:textFill>
                        <w14:solidFill>
                          <w14:schemeClr w14:val="tx1"/>
                        </w14:solidFill>
                      </w14:textFill>
                    </w:rPr>
                    <w:t>储罐储存，</w:t>
                  </w:r>
                  <w:r>
                    <w:rPr>
                      <w:rFonts w:hint="default" w:ascii="Times New Roman" w:hAnsi="Times New Roman" w:eastAsia="宋体" w:cs="Times New Roman"/>
                      <w:color w:val="000000" w:themeColor="text1"/>
                      <w:sz w:val="21"/>
                      <w:szCs w:val="21"/>
                      <w14:textFill>
                        <w14:solidFill>
                          <w14:schemeClr w14:val="tx1"/>
                        </w14:solidFill>
                      </w14:textFill>
                    </w:rPr>
                    <w:t>制冷剂</w:t>
                  </w:r>
                </w:p>
              </w:tc>
            </w:tr>
            <w:tr w14:paraId="53A4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Merge w:val="restart"/>
                  <w:noWrap/>
                  <w:vAlign w:val="center"/>
                </w:tcPr>
                <w:p w14:paraId="6EC0A9A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罐区</w:t>
                  </w:r>
                </w:p>
              </w:tc>
              <w:tc>
                <w:tcPr>
                  <w:tcW w:w="1145" w:type="dxa"/>
                  <w:noWrap/>
                  <w:vAlign w:val="center"/>
                </w:tcPr>
                <w:p w14:paraId="7EE688A0">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低压氮气</w:t>
                  </w:r>
                </w:p>
              </w:tc>
              <w:tc>
                <w:tcPr>
                  <w:tcW w:w="1288" w:type="dxa"/>
                  <w:tcBorders>
                    <w:top w:val="single" w:color="auto" w:sz="4" w:space="0"/>
                    <w:left w:val="single" w:color="auto" w:sz="4" w:space="0"/>
                    <w:bottom w:val="single" w:color="auto" w:sz="4" w:space="0"/>
                    <w:right w:val="single" w:color="auto" w:sz="4" w:space="0"/>
                  </w:tcBorders>
                  <w:vAlign w:val="center"/>
                </w:tcPr>
                <w:p w14:paraId="28333DB4">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0.6MpaG</w:t>
                  </w:r>
                </w:p>
              </w:tc>
              <w:tc>
                <w:tcPr>
                  <w:tcW w:w="716" w:type="dxa"/>
                  <w:noWrap/>
                  <w:vAlign w:val="center"/>
                </w:tcPr>
                <w:p w14:paraId="59E2DE3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55" w:type="dxa"/>
                  <w:vAlign w:val="center"/>
                </w:tcPr>
                <w:p w14:paraId="1B4FD8A6">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c>
                <w:tcPr>
                  <w:tcW w:w="2962" w:type="dxa"/>
                  <w:noWrap/>
                  <w:vAlign w:val="center"/>
                </w:tcPr>
                <w:p w14:paraId="19780CD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间断，吹扫置换用</w:t>
                  </w:r>
                </w:p>
              </w:tc>
            </w:tr>
            <w:tr w14:paraId="236F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11" w:type="dxa"/>
                  <w:vMerge w:val="continue"/>
                  <w:noWrap/>
                  <w:vAlign w:val="center"/>
                </w:tcPr>
                <w:p w14:paraId="127D92BE">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145" w:type="dxa"/>
                  <w:noWrap/>
                  <w:vAlign w:val="center"/>
                </w:tcPr>
                <w:p w14:paraId="3900370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中压氮气</w:t>
                  </w:r>
                </w:p>
              </w:tc>
              <w:tc>
                <w:tcPr>
                  <w:tcW w:w="1288" w:type="dxa"/>
                  <w:tcBorders>
                    <w:top w:val="single" w:color="auto" w:sz="4" w:space="0"/>
                    <w:left w:val="single" w:color="auto" w:sz="4" w:space="0"/>
                    <w:bottom w:val="single" w:color="auto" w:sz="4" w:space="0"/>
                    <w:right w:val="single" w:color="auto" w:sz="4" w:space="0"/>
                  </w:tcBorders>
                  <w:vAlign w:val="center"/>
                </w:tcPr>
                <w:p w14:paraId="4B63CFF3">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2.3MPaG</w:t>
                  </w:r>
                </w:p>
              </w:tc>
              <w:tc>
                <w:tcPr>
                  <w:tcW w:w="716" w:type="dxa"/>
                  <w:noWrap/>
                  <w:vAlign w:val="center"/>
                </w:tcPr>
                <w:p w14:paraId="0D7D6E2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55" w:type="dxa"/>
                </w:tcPr>
                <w:p w14:paraId="10BF9B1C">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c>
                <w:tcPr>
                  <w:tcW w:w="2962" w:type="dxa"/>
                  <w:noWrap/>
                  <w:vAlign w:val="center"/>
                </w:tcPr>
                <w:p w14:paraId="3811796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产品球罐气密</w:t>
                  </w:r>
                </w:p>
              </w:tc>
            </w:tr>
            <w:tr w14:paraId="1E7C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11" w:type="dxa"/>
                  <w:vMerge w:val="restart"/>
                  <w:noWrap/>
                  <w:vAlign w:val="center"/>
                </w:tcPr>
                <w:p w14:paraId="794F26E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能源</w:t>
                  </w:r>
                </w:p>
              </w:tc>
              <w:tc>
                <w:tcPr>
                  <w:tcW w:w="1145" w:type="dxa"/>
                  <w:noWrap/>
                  <w:vAlign w:val="center"/>
                </w:tcPr>
                <w:p w14:paraId="58F4C2D9">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w:t>
                  </w:r>
                </w:p>
              </w:tc>
              <w:tc>
                <w:tcPr>
                  <w:tcW w:w="1288" w:type="dxa"/>
                  <w:tcBorders>
                    <w:top w:val="single" w:color="auto" w:sz="4" w:space="0"/>
                    <w:left w:val="single" w:color="auto" w:sz="4" w:space="0"/>
                    <w:bottom w:val="single" w:color="auto" w:sz="4" w:space="0"/>
                    <w:right w:val="single" w:color="auto" w:sz="4" w:space="0"/>
                  </w:tcBorders>
                  <w:vAlign w:val="center"/>
                </w:tcPr>
                <w:p w14:paraId="7CAA65AD">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16" w:type="dxa"/>
                  <w:noWrap/>
                  <w:vAlign w:val="center"/>
                </w:tcPr>
                <w:p w14:paraId="736B96BC">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kW·h</w:t>
                  </w:r>
                </w:p>
              </w:tc>
              <w:tc>
                <w:tcPr>
                  <w:tcW w:w="1555" w:type="dxa"/>
                  <w:vAlign w:val="center"/>
                </w:tcPr>
                <w:p w14:paraId="7EDF5B5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3176000</w:t>
                  </w:r>
                </w:p>
              </w:tc>
              <w:tc>
                <w:tcPr>
                  <w:tcW w:w="2962" w:type="dxa"/>
                  <w:noWrap/>
                  <w:vAlign w:val="center"/>
                </w:tcPr>
                <w:p w14:paraId="48CA7EF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A628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11" w:type="dxa"/>
                  <w:vMerge w:val="continue"/>
                  <w:noWrap/>
                  <w:vAlign w:val="center"/>
                </w:tcPr>
                <w:p w14:paraId="1C533269">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145" w:type="dxa"/>
                  <w:vMerge w:val="restart"/>
                  <w:noWrap/>
                  <w:vAlign w:val="center"/>
                </w:tcPr>
                <w:p w14:paraId="5A4E0006">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自来水</w:t>
                  </w:r>
                </w:p>
              </w:tc>
              <w:tc>
                <w:tcPr>
                  <w:tcW w:w="1288" w:type="dxa"/>
                  <w:vMerge w:val="restart"/>
                  <w:tcBorders>
                    <w:top w:val="single" w:color="auto" w:sz="4" w:space="0"/>
                    <w:left w:val="single" w:color="auto" w:sz="4" w:space="0"/>
                    <w:right w:val="single" w:color="auto" w:sz="4" w:space="0"/>
                  </w:tcBorders>
                  <w:vAlign w:val="center"/>
                </w:tcPr>
                <w:p w14:paraId="435C2DF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16" w:type="dxa"/>
                  <w:vMerge w:val="restart"/>
                  <w:noWrap/>
                  <w:vAlign w:val="center"/>
                </w:tcPr>
                <w:p w14:paraId="5CB7A5F9">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55" w:type="dxa"/>
                  <w:vAlign w:val="center"/>
                </w:tcPr>
                <w:p w14:paraId="54FACC57">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w:t>
                  </w:r>
                </w:p>
              </w:tc>
              <w:tc>
                <w:tcPr>
                  <w:tcW w:w="2962" w:type="dxa"/>
                  <w:noWrap/>
                  <w:vAlign w:val="center"/>
                </w:tcPr>
                <w:p w14:paraId="287C31D7">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管线清洗用，每年开车前清洗1次，清洗时间约8h</w:t>
                  </w:r>
                </w:p>
              </w:tc>
            </w:tr>
            <w:tr w14:paraId="5705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11" w:type="dxa"/>
                  <w:vMerge w:val="continue"/>
                  <w:noWrap/>
                  <w:vAlign w:val="center"/>
                </w:tcPr>
                <w:p w14:paraId="11FE71F0">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145" w:type="dxa"/>
                  <w:vMerge w:val="continue"/>
                  <w:noWrap/>
                  <w:vAlign w:val="center"/>
                </w:tcPr>
                <w:p w14:paraId="766003CD">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288" w:type="dxa"/>
                  <w:vMerge w:val="continue"/>
                  <w:tcBorders>
                    <w:left w:val="single" w:color="auto" w:sz="4" w:space="0"/>
                    <w:bottom w:val="single" w:color="auto" w:sz="4" w:space="0"/>
                    <w:right w:val="single" w:color="auto" w:sz="4" w:space="0"/>
                  </w:tcBorders>
                  <w:vAlign w:val="center"/>
                </w:tcPr>
                <w:p w14:paraId="09A72E44">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716" w:type="dxa"/>
                  <w:vMerge w:val="continue"/>
                  <w:noWrap/>
                  <w:vAlign w:val="center"/>
                </w:tcPr>
                <w:p w14:paraId="35607059">
                  <w:pPr>
                    <w:pStyle w:val="252"/>
                    <w:rPr>
                      <w:rFonts w:hint="default" w:ascii="Times New Roman" w:hAnsi="Times New Roman" w:eastAsia="宋体" w:cs="Times New Roman"/>
                      <w:color w:val="000000" w:themeColor="text1"/>
                      <w:sz w:val="21"/>
                      <w:szCs w:val="21"/>
                      <w14:textFill>
                        <w14:solidFill>
                          <w14:schemeClr w14:val="tx1"/>
                        </w14:solidFill>
                      </w14:textFill>
                    </w:rPr>
                  </w:pPr>
                </w:p>
              </w:tc>
              <w:tc>
                <w:tcPr>
                  <w:tcW w:w="1555" w:type="dxa"/>
                  <w:vAlign w:val="center"/>
                </w:tcPr>
                <w:p w14:paraId="705A629B">
                  <w:pPr>
                    <w:pStyle w:val="25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133.2</w:t>
                  </w:r>
                </w:p>
              </w:tc>
              <w:tc>
                <w:tcPr>
                  <w:tcW w:w="2962" w:type="dxa"/>
                  <w:noWrap/>
                  <w:vAlign w:val="center"/>
                </w:tcPr>
                <w:p w14:paraId="123D49EC">
                  <w:pPr>
                    <w:pStyle w:val="252"/>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员工生活用水</w:t>
                  </w:r>
                </w:p>
              </w:tc>
            </w:tr>
          </w:tbl>
          <w:p w14:paraId="55802E63">
            <w:pPr>
              <w:autoSpaceDE w:val="0"/>
              <w:spacing w:line="360" w:lineRule="auto"/>
              <w:ind w:firstLine="480" w:firstLineChars="200"/>
              <w:jc w:val="left"/>
              <w:rPr>
                <w:rFonts w:hint="default" w:ascii="Times New Roman" w:hAnsi="Times New Roman" w:eastAsia="宋体" w:cs="Times New Roman"/>
                <w:color w:val="000000" w:themeColor="text1"/>
                <w:sz w:val="24"/>
                <w:lang w:bidi="ar"/>
                <w14:textFill>
                  <w14:solidFill>
                    <w14:schemeClr w14:val="tx1"/>
                  </w14:solidFill>
                </w14:textFill>
              </w:rPr>
            </w:pPr>
          </w:p>
          <w:p w14:paraId="092BF158">
            <w:pPr>
              <w:autoSpaceDE w:val="0"/>
              <w:spacing w:line="360" w:lineRule="auto"/>
              <w:ind w:firstLine="480" w:firstLineChars="200"/>
              <w:jc w:val="left"/>
              <w:rPr>
                <w:rFonts w:hint="default" w:ascii="Times New Roman" w:hAnsi="Times New Roman" w:eastAsia="宋体" w:cs="Times New Roman"/>
                <w:color w:val="000000" w:themeColor="text1"/>
                <w:sz w:val="24"/>
                <w:lang w:bidi="ar"/>
                <w14:textFill>
                  <w14:solidFill>
                    <w14:schemeClr w14:val="tx1"/>
                  </w14:solidFill>
                </w14:textFill>
              </w:rPr>
            </w:pPr>
            <w:r>
              <w:rPr>
                <w:rFonts w:hint="eastAsia" w:cs="Times New Roman"/>
                <w:color w:val="000000" w:themeColor="text1"/>
                <w:sz w:val="24"/>
                <w:lang w:val="en-US" w:eastAsia="zh-CN" w:bidi="ar"/>
                <w14:textFill>
                  <w14:solidFill>
                    <w14:schemeClr w14:val="tx1"/>
                  </w14:solidFill>
                </w14:textFill>
              </w:rPr>
              <w:t>根据现有企业环评资料及设计方案，</w:t>
            </w:r>
            <w:r>
              <w:rPr>
                <w:rFonts w:hint="default" w:ascii="Times New Roman" w:hAnsi="Times New Roman" w:eastAsia="宋体" w:cs="Times New Roman"/>
                <w:color w:val="000000" w:themeColor="text1"/>
                <w:sz w:val="24"/>
                <w:lang w:bidi="ar"/>
                <w14:textFill>
                  <w14:solidFill>
                    <w14:schemeClr w14:val="tx1"/>
                  </w14:solidFill>
                </w14:textFill>
              </w:rPr>
              <w:t>原料气组分如下：</w:t>
            </w:r>
          </w:p>
          <w:p w14:paraId="7754E42B">
            <w:pPr>
              <w:autoSpaceDE w:val="0"/>
              <w:jc w:val="center"/>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w:t>
            </w:r>
            <w:r>
              <w:rPr>
                <w:rFonts w:hint="default" w:ascii="Times New Roman" w:hAnsi="Times New Roman" w:eastAsia="宋体" w:cs="Times New Roman"/>
                <w:b/>
                <w:color w:val="000000" w:themeColor="text1"/>
                <w:szCs w:val="21"/>
                <w14:textFill>
                  <w14:solidFill>
                    <w14:schemeClr w14:val="tx1"/>
                  </w14:solidFill>
                </w14:textFill>
              </w:rPr>
              <w:fldChar w:fldCharType="begin"/>
            </w:r>
            <w:r>
              <w:rPr>
                <w:rFonts w:hint="default" w:ascii="Times New Roman" w:hAnsi="Times New Roman" w:eastAsia="宋体" w:cs="Times New Roman"/>
                <w:b/>
                <w:color w:val="000000" w:themeColor="text1"/>
                <w:szCs w:val="21"/>
                <w14:textFill>
                  <w14:solidFill>
                    <w14:schemeClr w14:val="tx1"/>
                  </w14:solidFill>
                </w14:textFill>
              </w:rPr>
              <w:instrText xml:space="preserve"> STYLEREF 1 \s </w:instrText>
            </w:r>
            <w:r>
              <w:rPr>
                <w:rFonts w:hint="default" w:ascii="Times New Roman" w:hAnsi="Times New Roman" w:eastAsia="宋体" w:cs="Times New Roman"/>
                <w:b/>
                <w:color w:val="000000" w:themeColor="text1"/>
                <w:szCs w:val="21"/>
                <w14:textFill>
                  <w14:solidFill>
                    <w14:schemeClr w14:val="tx1"/>
                  </w14:solidFill>
                </w14:textFill>
              </w:rPr>
              <w:fldChar w:fldCharType="separate"/>
            </w:r>
            <w:r>
              <w:rPr>
                <w:rFonts w:hint="default" w:ascii="Times New Roman" w:hAnsi="Times New Roman" w:eastAsia="宋体" w:cs="Times New Roman"/>
                <w:b/>
                <w:color w:val="000000" w:themeColor="text1"/>
                <w:szCs w:val="21"/>
                <w14:textFill>
                  <w14:solidFill>
                    <w14:schemeClr w14:val="tx1"/>
                  </w14:solidFill>
                </w14:textFill>
              </w:rPr>
              <w:t>2</w:t>
            </w:r>
            <w:r>
              <w:rPr>
                <w:rFonts w:hint="default" w:ascii="Times New Roman" w:hAnsi="Times New Roman" w:eastAsia="宋体" w:cs="Times New Roman"/>
                <w:b/>
                <w:color w:val="000000" w:themeColor="text1"/>
                <w:szCs w:val="21"/>
                <w14:textFill>
                  <w14:solidFill>
                    <w14:schemeClr w14:val="tx1"/>
                  </w14:solidFill>
                </w14:textFill>
              </w:rPr>
              <w:fldChar w:fldCharType="end"/>
            </w:r>
            <w:r>
              <w:rPr>
                <w:rFonts w:hint="default" w:ascii="Times New Roman" w:hAnsi="Times New Roman" w:eastAsia="宋体" w:cs="Times New Roman"/>
                <w:b/>
                <w:color w:val="000000" w:themeColor="text1"/>
                <w:szCs w:val="21"/>
                <w14:textFill>
                  <w14:solidFill>
                    <w14:schemeClr w14:val="tx1"/>
                  </w14:solidFill>
                </w14:textFill>
              </w:rPr>
              <w:t>-5 项目原料气组分情况一览表</w:t>
            </w:r>
          </w:p>
          <w:tbl>
            <w:tblPr>
              <w:tblStyle w:val="49"/>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4818"/>
            </w:tblGrid>
            <w:tr w14:paraId="5F34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561" w:type="dxa"/>
                  <w:vAlign w:val="center"/>
                </w:tcPr>
                <w:p w14:paraId="653630CB">
                  <w:pPr>
                    <w:pStyle w:val="252"/>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4818" w:type="dxa"/>
                  <w:vAlign w:val="center"/>
                </w:tcPr>
                <w:p w14:paraId="3AF8BFB6">
                  <w:pPr>
                    <w:pStyle w:val="252"/>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气相进料</w:t>
                  </w:r>
                </w:p>
              </w:tc>
            </w:tr>
            <w:tr w14:paraId="2593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vAlign w:val="center"/>
                </w:tcPr>
                <w:p w14:paraId="4323E2D0">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来源</w:t>
                  </w:r>
                </w:p>
              </w:tc>
              <w:tc>
                <w:tcPr>
                  <w:tcW w:w="4818" w:type="dxa"/>
                  <w:vAlign w:val="center"/>
                </w:tcPr>
                <w:p w14:paraId="3053302D">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MDEA脱CO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放空气（一期）*</w:t>
                  </w:r>
                </w:p>
              </w:tc>
            </w:tr>
            <w:tr w14:paraId="1B79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561" w:type="dxa"/>
                  <w:vAlign w:val="center"/>
                </w:tcPr>
                <w:p w14:paraId="0EB864F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温度(℃)</w:t>
                  </w:r>
                </w:p>
              </w:tc>
              <w:tc>
                <w:tcPr>
                  <w:tcW w:w="4818" w:type="dxa"/>
                  <w:vAlign w:val="center"/>
                </w:tcPr>
                <w:p w14:paraId="05397C0C">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105.2</w:t>
                  </w:r>
                </w:p>
              </w:tc>
            </w:tr>
            <w:tr w14:paraId="1162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61" w:type="dxa"/>
                  <w:vAlign w:val="center"/>
                </w:tcPr>
                <w:p w14:paraId="68B0907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压力(barA)</w:t>
                  </w:r>
                </w:p>
              </w:tc>
              <w:tc>
                <w:tcPr>
                  <w:tcW w:w="4818" w:type="dxa"/>
                  <w:vAlign w:val="center"/>
                </w:tcPr>
                <w:p w14:paraId="77266C7E">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40.54</w:t>
                  </w:r>
                </w:p>
              </w:tc>
            </w:tr>
            <w:tr w14:paraId="12A2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561" w:type="dxa"/>
                  <w:vAlign w:val="center"/>
                </w:tcPr>
                <w:p w14:paraId="0134FE0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气量Nm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4818" w:type="dxa"/>
                  <w:vAlign w:val="center"/>
                </w:tcPr>
                <w:p w14:paraId="48E6FCCE">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4800</w:t>
                  </w:r>
                </w:p>
              </w:tc>
            </w:tr>
            <w:tr w14:paraId="5D35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61" w:type="dxa"/>
                  <w:vAlign w:val="center"/>
                </w:tcPr>
                <w:p w14:paraId="24945848">
                  <w:pPr>
                    <w:pStyle w:val="252"/>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组成</w:t>
                  </w:r>
                </w:p>
              </w:tc>
              <w:tc>
                <w:tcPr>
                  <w:tcW w:w="4818" w:type="dxa"/>
                  <w:vAlign w:val="center"/>
                </w:tcPr>
                <w:p w14:paraId="55E27EAA">
                  <w:pPr>
                    <w:pStyle w:val="252"/>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Mol%</w:t>
                  </w:r>
                </w:p>
              </w:tc>
            </w:tr>
            <w:tr w14:paraId="5590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561" w:type="dxa"/>
                  <w:vAlign w:val="center"/>
                </w:tcPr>
                <w:p w14:paraId="6648DEC1">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4818" w:type="dxa"/>
                  <w:vAlign w:val="center"/>
                </w:tcPr>
                <w:p w14:paraId="6E912D5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2820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61" w:type="dxa"/>
                  <w:vAlign w:val="center"/>
                </w:tcPr>
                <w:p w14:paraId="0355ADB5">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4818" w:type="dxa"/>
                  <w:vAlign w:val="center"/>
                </w:tcPr>
                <w:p w14:paraId="5E5BD95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0.532（最大1.0）</w:t>
                  </w:r>
                </w:p>
              </w:tc>
            </w:tr>
            <w:tr w14:paraId="27FB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561" w:type="dxa"/>
                  <w:vAlign w:val="center"/>
                </w:tcPr>
                <w:p w14:paraId="5AC2C940">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4818" w:type="dxa"/>
                  <w:vAlign w:val="center"/>
                </w:tcPr>
                <w:p w14:paraId="43C39B08">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0.038</w:t>
                  </w:r>
                </w:p>
              </w:tc>
            </w:tr>
            <w:tr w14:paraId="0BD2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561" w:type="dxa"/>
                  <w:vAlign w:val="center"/>
                </w:tcPr>
                <w:p w14:paraId="50F5621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w:t>
                  </w:r>
                </w:p>
              </w:tc>
              <w:tc>
                <w:tcPr>
                  <w:tcW w:w="4818" w:type="dxa"/>
                  <w:vAlign w:val="center"/>
                </w:tcPr>
                <w:p w14:paraId="3EB40D22">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0.532</w:t>
                  </w:r>
                </w:p>
              </w:tc>
            </w:tr>
            <w:tr w14:paraId="3BE8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561" w:type="dxa"/>
                  <w:vAlign w:val="center"/>
                </w:tcPr>
                <w:p w14:paraId="75AA6B53">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p>
              </w:tc>
              <w:tc>
                <w:tcPr>
                  <w:tcW w:w="4818" w:type="dxa"/>
                  <w:vAlign w:val="center"/>
                </w:tcPr>
                <w:p w14:paraId="338D298B">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0.038</w:t>
                  </w:r>
                </w:p>
              </w:tc>
            </w:tr>
            <w:tr w14:paraId="3C20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561" w:type="dxa"/>
                  <w:vAlign w:val="center"/>
                </w:tcPr>
                <w:p w14:paraId="7709A553">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p>
              </w:tc>
              <w:tc>
                <w:tcPr>
                  <w:tcW w:w="4818" w:type="dxa"/>
                  <w:vAlign w:val="center"/>
                </w:tcPr>
                <w:p w14:paraId="448EB74F">
                  <w:pPr>
                    <w:pStyle w:val="25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0.36</w:t>
                  </w:r>
                </w:p>
              </w:tc>
            </w:tr>
            <w:tr w14:paraId="5685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379" w:type="dxa"/>
                  <w:gridSpan w:val="2"/>
                  <w:vAlign w:val="center"/>
                </w:tcPr>
                <w:p w14:paraId="0F834ED9">
                  <w:pPr>
                    <w:pStyle w:val="252"/>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*：按照环评及批复相关要求，目前为直接排放。</w:t>
                  </w:r>
                </w:p>
              </w:tc>
            </w:tr>
          </w:tbl>
          <w:p w14:paraId="67217A21">
            <w:pPr>
              <w:autoSpaceDE w:val="0"/>
              <w:spacing w:line="360" w:lineRule="auto"/>
              <w:ind w:firstLine="480" w:firstLineChars="200"/>
              <w:jc w:val="left"/>
              <w:rPr>
                <w:rFonts w:hint="default" w:ascii="Times New Roman" w:hAnsi="Times New Roman" w:eastAsia="宋体" w:cs="Times New Roman"/>
                <w:color w:val="000000" w:themeColor="text1"/>
                <w:sz w:val="24"/>
                <w:lang w:bidi="ar"/>
                <w14:textFill>
                  <w14:solidFill>
                    <w14:schemeClr w14:val="tx1"/>
                  </w14:solidFill>
                </w14:textFill>
              </w:rPr>
            </w:pPr>
          </w:p>
          <w:p w14:paraId="4510EDE9">
            <w:pPr>
              <w:autoSpaceDE w:val="0"/>
              <w:spacing w:line="360" w:lineRule="auto"/>
              <w:ind w:firstLine="480" w:firstLineChars="200"/>
              <w:jc w:val="left"/>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项目使用原辅料理化性质见下表。</w:t>
            </w:r>
          </w:p>
          <w:p w14:paraId="513F67DC">
            <w:pPr>
              <w:autoSpaceDE w:val="0"/>
              <w:autoSpaceDN w:val="0"/>
              <w:adjustRightInd w:val="0"/>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表2-6 原辅材料理化性质一览表</w:t>
            </w:r>
          </w:p>
          <w:tbl>
            <w:tblPr>
              <w:tblStyle w:val="474"/>
              <w:tblW w:w="841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578"/>
              <w:gridCol w:w="1038"/>
              <w:gridCol w:w="6803"/>
            </w:tblGrid>
            <w:tr w14:paraId="5285B00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578" w:type="dxa"/>
                  <w:vAlign w:val="center"/>
                </w:tcPr>
                <w:p w14:paraId="61D23C1F">
                  <w:pPr>
                    <w:jc w:val="center"/>
                    <w:rPr>
                      <w:rFonts w:hint="default" w:ascii="Times New Roman" w:hAnsi="Times New Roman" w:eastAsia="宋体" w:cs="Times New Roman"/>
                      <w:b/>
                      <w:bCs/>
                      <w:color w:val="000000" w:themeColor="text1"/>
                      <w:szCs w:val="21"/>
                      <w:lang w:eastAsia="en-US"/>
                      <w14:textFill>
                        <w14:solidFill>
                          <w14:schemeClr w14:val="tx1"/>
                        </w14:solidFill>
                      </w14:textFill>
                    </w:rPr>
                  </w:pPr>
                  <w:r>
                    <w:rPr>
                      <w:rFonts w:hint="default" w:ascii="Times New Roman" w:hAnsi="Times New Roman" w:eastAsia="宋体" w:cs="Times New Roman"/>
                      <w:b/>
                      <w:bCs/>
                      <w:color w:val="000000" w:themeColor="text1"/>
                      <w:szCs w:val="21"/>
                      <w:lang w:eastAsia="en-US"/>
                      <w14:textFill>
                        <w14:solidFill>
                          <w14:schemeClr w14:val="tx1"/>
                        </w14:solidFill>
                      </w14:textFill>
                    </w:rPr>
                    <w:t>序号</w:t>
                  </w:r>
                </w:p>
              </w:tc>
              <w:tc>
                <w:tcPr>
                  <w:tcW w:w="1038" w:type="dxa"/>
                  <w:vAlign w:val="center"/>
                </w:tcPr>
                <w:p w14:paraId="71C51A84">
                  <w:pPr>
                    <w:jc w:val="center"/>
                    <w:rPr>
                      <w:rFonts w:hint="default" w:ascii="Times New Roman" w:hAnsi="Times New Roman" w:eastAsia="宋体" w:cs="Times New Roman"/>
                      <w:b/>
                      <w:bCs/>
                      <w:color w:val="000000" w:themeColor="text1"/>
                      <w:szCs w:val="21"/>
                      <w:lang w:eastAsia="en-US"/>
                      <w14:textFill>
                        <w14:solidFill>
                          <w14:schemeClr w14:val="tx1"/>
                        </w14:solidFill>
                      </w14:textFill>
                    </w:rPr>
                  </w:pPr>
                  <w:r>
                    <w:rPr>
                      <w:rFonts w:hint="default" w:ascii="Times New Roman" w:hAnsi="Times New Roman" w:eastAsia="宋体" w:cs="Times New Roman"/>
                      <w:b/>
                      <w:bCs/>
                      <w:color w:val="000000" w:themeColor="text1"/>
                      <w:szCs w:val="21"/>
                      <w:lang w:eastAsia="en-US"/>
                      <w14:textFill>
                        <w14:solidFill>
                          <w14:schemeClr w14:val="tx1"/>
                        </w14:solidFill>
                      </w14:textFill>
                    </w:rPr>
                    <w:t>原料名称</w:t>
                  </w:r>
                </w:p>
              </w:tc>
              <w:tc>
                <w:tcPr>
                  <w:tcW w:w="6803" w:type="dxa"/>
                  <w:vAlign w:val="center"/>
                </w:tcPr>
                <w:p w14:paraId="7720E003">
                  <w:pPr>
                    <w:jc w:val="center"/>
                    <w:rPr>
                      <w:rFonts w:hint="default" w:ascii="Times New Roman" w:hAnsi="Times New Roman" w:eastAsia="宋体" w:cs="Times New Roman"/>
                      <w:b/>
                      <w:bCs/>
                      <w:color w:val="000000" w:themeColor="text1"/>
                      <w:szCs w:val="21"/>
                      <w:lang w:eastAsia="en-US"/>
                      <w14:textFill>
                        <w14:solidFill>
                          <w14:schemeClr w14:val="tx1"/>
                        </w14:solidFill>
                      </w14:textFill>
                    </w:rPr>
                  </w:pPr>
                  <w:r>
                    <w:rPr>
                      <w:rFonts w:hint="default" w:ascii="Times New Roman" w:hAnsi="Times New Roman" w:eastAsia="宋体" w:cs="Times New Roman"/>
                      <w:b/>
                      <w:bCs/>
                      <w:color w:val="000000" w:themeColor="text1"/>
                      <w:szCs w:val="21"/>
                      <w:lang w:eastAsia="en-US"/>
                      <w14:textFill>
                        <w14:solidFill>
                          <w14:schemeClr w14:val="tx1"/>
                        </w14:solidFill>
                      </w14:textFill>
                    </w:rPr>
                    <w:t>理化性质</w:t>
                  </w:r>
                </w:p>
              </w:tc>
            </w:tr>
            <w:tr w14:paraId="4CF9105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78" w:type="dxa"/>
                  <w:vAlign w:val="center"/>
                </w:tcPr>
                <w:p w14:paraId="3957A648">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1</w:t>
                  </w:r>
                </w:p>
              </w:tc>
              <w:tc>
                <w:tcPr>
                  <w:tcW w:w="1038" w:type="dxa"/>
                  <w:vAlign w:val="center"/>
                </w:tcPr>
                <w:p w14:paraId="4BF6EEAF">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CO</w:t>
                  </w:r>
                  <w:r>
                    <w:rPr>
                      <w:rFonts w:hint="default" w:ascii="Times New Roman" w:hAnsi="Times New Roman" w:eastAsia="宋体" w:cs="Times New Roman"/>
                      <w:color w:val="000000" w:themeColor="text1"/>
                      <w:szCs w:val="21"/>
                      <w:vertAlign w:val="subscript"/>
                      <w:lang w:eastAsia="en-US"/>
                      <w14:textFill>
                        <w14:solidFill>
                          <w14:schemeClr w14:val="tx1"/>
                        </w14:solidFill>
                      </w14:textFill>
                    </w:rPr>
                    <w:t>2</w:t>
                  </w:r>
                </w:p>
              </w:tc>
              <w:tc>
                <w:tcPr>
                  <w:tcW w:w="6803" w:type="dxa"/>
                  <w:vAlign w:val="center"/>
                </w:tcPr>
                <w:p w14:paraId="679815A4">
                  <w:pPr>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shd w:val="clear" w:color="auto" w:fill="FFFFFF"/>
                      <w:lang w:eastAsia="zh-CN"/>
                      <w14:textFill>
                        <w14:solidFill>
                          <w14:schemeClr w14:val="tx1"/>
                        </w14:solidFill>
                      </w14:textFill>
                    </w:rPr>
                    <w:t>无色无味气体，密度比空气大，可溶于水，化学性质稳定，不支持燃烧；无色无味气体，熔点（℃）-56.6（527kpa），沸点（℃）-78.5（升华），相对密度（水=1）：1.56（-79℃），相对蒸气密度（空气=1）：1.53，饱和蒸汽压（kPa）：101.325(-39℃) 。</w:t>
                  </w:r>
                </w:p>
              </w:tc>
            </w:tr>
            <w:tr w14:paraId="0B22EEE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78" w:type="dxa"/>
                  <w:vAlign w:val="center"/>
                </w:tcPr>
                <w:p w14:paraId="147D6D01">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w:t>
                  </w:r>
                </w:p>
              </w:tc>
              <w:tc>
                <w:tcPr>
                  <w:tcW w:w="1038" w:type="dxa"/>
                  <w:vAlign w:val="center"/>
                </w:tcPr>
                <w:p w14:paraId="55206BF8">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液氨</w:t>
                  </w:r>
                </w:p>
              </w:tc>
              <w:tc>
                <w:tcPr>
                  <w:tcW w:w="6803" w:type="dxa"/>
                  <w:vAlign w:val="center"/>
                </w:tcPr>
                <w:p w14:paraId="56C28794">
                  <w:pPr>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shd w:val="clear" w:color="auto" w:fill="FFFFFF"/>
                      <w:lang w:eastAsia="zh-CN"/>
                      <w14:textFill>
                        <w14:solidFill>
                          <w14:schemeClr w14:val="tx1"/>
                        </w14:solidFill>
                      </w14:textFill>
                    </w:rPr>
                    <w:t>无色液体，有强烈刺激性气味，易挥发，溶于水生成氨水，具有腐蚀性和毒性；熔点（℃）：-77.7，沸点（℃）：-33.5，相对密度（水=1）：0.682（-33.5℃），相对蒸气密度（空气=1）：0.59，饱和蒸气压（kPa）：101.3（-33.5℃）。</w:t>
                  </w:r>
                </w:p>
              </w:tc>
            </w:tr>
          </w:tbl>
          <w:p w14:paraId="1E1A5398">
            <w:pPr>
              <w:pStyle w:val="468"/>
              <w:numPr>
                <w:ilvl w:val="0"/>
                <w:numId w:val="0"/>
              </w:numPr>
              <w:spacing w:before="120" w:after="120"/>
              <w:ind w:firstLine="482" w:firstLineChars="20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2.4主要生产设备</w:t>
            </w:r>
          </w:p>
          <w:p w14:paraId="1398BE97">
            <w:pPr>
              <w:autoSpaceDE w:val="0"/>
              <w:autoSpaceDN w:val="0"/>
              <w:adjustRightInd w:val="0"/>
              <w:snapToGrid w:val="0"/>
              <w:spacing w:line="0" w:lineRule="atLeas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w:t>
            </w:r>
            <w:r>
              <w:rPr>
                <w:rFonts w:hint="default" w:ascii="Times New Roman" w:hAnsi="Times New Roman" w:eastAsia="宋体" w:cs="Times New Roman"/>
                <w:b/>
                <w:color w:val="000000" w:themeColor="text1"/>
                <w:szCs w:val="21"/>
                <w14:textFill>
                  <w14:solidFill>
                    <w14:schemeClr w14:val="tx1"/>
                  </w14:solidFill>
                </w14:textFill>
              </w:rPr>
              <w:fldChar w:fldCharType="begin"/>
            </w:r>
            <w:r>
              <w:rPr>
                <w:rFonts w:hint="default" w:ascii="Times New Roman" w:hAnsi="Times New Roman" w:eastAsia="宋体" w:cs="Times New Roman"/>
                <w:b/>
                <w:color w:val="000000" w:themeColor="text1"/>
                <w:szCs w:val="21"/>
                <w14:textFill>
                  <w14:solidFill>
                    <w14:schemeClr w14:val="tx1"/>
                  </w14:solidFill>
                </w14:textFill>
              </w:rPr>
              <w:instrText xml:space="preserve"> STYLEREF 1 \s </w:instrText>
            </w:r>
            <w:r>
              <w:rPr>
                <w:rFonts w:hint="default" w:ascii="Times New Roman" w:hAnsi="Times New Roman" w:eastAsia="宋体" w:cs="Times New Roman"/>
                <w:b/>
                <w:color w:val="000000" w:themeColor="text1"/>
                <w:szCs w:val="21"/>
                <w14:textFill>
                  <w14:solidFill>
                    <w14:schemeClr w14:val="tx1"/>
                  </w14:solidFill>
                </w14:textFill>
              </w:rPr>
              <w:fldChar w:fldCharType="separate"/>
            </w:r>
            <w:r>
              <w:rPr>
                <w:rFonts w:hint="default" w:ascii="Times New Roman" w:hAnsi="Times New Roman" w:eastAsia="宋体" w:cs="Times New Roman"/>
                <w:b/>
                <w:color w:val="000000" w:themeColor="text1"/>
                <w:szCs w:val="21"/>
                <w14:textFill>
                  <w14:solidFill>
                    <w14:schemeClr w14:val="tx1"/>
                  </w14:solidFill>
                </w14:textFill>
              </w:rPr>
              <w:t>2</w:t>
            </w:r>
            <w:r>
              <w:rPr>
                <w:rFonts w:hint="default" w:ascii="Times New Roman" w:hAnsi="Times New Roman" w:eastAsia="宋体" w:cs="Times New Roman"/>
                <w:b/>
                <w:color w:val="000000" w:themeColor="text1"/>
                <w:szCs w:val="21"/>
                <w14:textFill>
                  <w14:solidFill>
                    <w14:schemeClr w14:val="tx1"/>
                  </w14:solidFill>
                </w14:textFill>
              </w:rPr>
              <w:fldChar w:fldCharType="end"/>
            </w:r>
            <w:r>
              <w:rPr>
                <w:rFonts w:hint="default" w:ascii="Times New Roman" w:hAnsi="Times New Roman" w:eastAsia="宋体" w:cs="Times New Roman"/>
                <w:b/>
                <w:color w:val="000000" w:themeColor="text1"/>
                <w:szCs w:val="21"/>
                <w14:textFill>
                  <w14:solidFill>
                    <w14:schemeClr w14:val="tx1"/>
                  </w14:solidFill>
                </w14:textFill>
              </w:rPr>
              <w:t>-7 主要生产设备一览表</w:t>
            </w:r>
          </w:p>
          <w:tbl>
            <w:tblPr>
              <w:tblStyle w:val="48"/>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635"/>
              <w:gridCol w:w="2645"/>
              <w:gridCol w:w="2048"/>
            </w:tblGrid>
            <w:tr w14:paraId="5302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29" w:type="dxa"/>
                  <w:noWrap/>
                  <w:vAlign w:val="center"/>
                </w:tcPr>
                <w:p w14:paraId="083BD323">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序号</w:t>
                  </w:r>
                </w:p>
              </w:tc>
              <w:tc>
                <w:tcPr>
                  <w:tcW w:w="2635" w:type="dxa"/>
                  <w:vAlign w:val="center"/>
                </w:tcPr>
                <w:p w14:paraId="4CF7B13B">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设备名称</w:t>
                  </w:r>
                </w:p>
              </w:tc>
              <w:tc>
                <w:tcPr>
                  <w:tcW w:w="2645" w:type="dxa"/>
                  <w:noWrap/>
                  <w:vAlign w:val="center"/>
                </w:tcPr>
                <w:p w14:paraId="00714CD3">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规格型号</w:t>
                  </w:r>
                </w:p>
              </w:tc>
              <w:tc>
                <w:tcPr>
                  <w:tcW w:w="2048" w:type="dxa"/>
                  <w:noWrap/>
                  <w:vAlign w:val="center"/>
                </w:tcPr>
                <w:p w14:paraId="56C9B81F">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数量</w:t>
                  </w:r>
                </w:p>
              </w:tc>
            </w:tr>
            <w:tr w14:paraId="5088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029" w:type="dxa"/>
                  <w:noWrap/>
                  <w:vAlign w:val="center"/>
                </w:tcPr>
                <w:p w14:paraId="4F514A6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635" w:type="dxa"/>
                  <w:vAlign w:val="center"/>
                </w:tcPr>
                <w:p w14:paraId="4E92300B">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二氧化碳冷箱</w:t>
                  </w:r>
                </w:p>
              </w:tc>
              <w:tc>
                <w:tcPr>
                  <w:tcW w:w="2645" w:type="dxa"/>
                  <w:noWrap/>
                  <w:vAlign w:val="center"/>
                </w:tcPr>
                <w:p w14:paraId="5E29512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2.8m×2.8m×42m</w:t>
                  </w:r>
                </w:p>
              </w:tc>
              <w:tc>
                <w:tcPr>
                  <w:tcW w:w="2048" w:type="dxa"/>
                  <w:noWrap/>
                  <w:vAlign w:val="center"/>
                </w:tcPr>
                <w:p w14:paraId="07348C1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1套</w:t>
                  </w:r>
                </w:p>
              </w:tc>
            </w:tr>
            <w:tr w14:paraId="020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9" w:type="dxa"/>
                  <w:vMerge w:val="restart"/>
                  <w:noWrap/>
                  <w:vAlign w:val="center"/>
                </w:tcPr>
                <w:p w14:paraId="29A24C07">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包含</w:t>
                  </w:r>
                </w:p>
              </w:tc>
              <w:tc>
                <w:tcPr>
                  <w:tcW w:w="2635" w:type="dxa"/>
                  <w:vAlign w:val="center"/>
                </w:tcPr>
                <w:p w14:paraId="5820310F">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预冷分离器</w:t>
                  </w:r>
                </w:p>
              </w:tc>
              <w:tc>
                <w:tcPr>
                  <w:tcW w:w="2645" w:type="dxa"/>
                  <w:noWrap/>
                  <w:vAlign w:val="center"/>
                </w:tcPr>
                <w:p w14:paraId="11614377">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立式分离器</w:t>
                  </w:r>
                </w:p>
              </w:tc>
              <w:tc>
                <w:tcPr>
                  <w:tcW w:w="2048" w:type="dxa"/>
                  <w:noWrap/>
                  <w:vAlign w:val="center"/>
                </w:tcPr>
                <w:p w14:paraId="3F359B92">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1套</w:t>
                  </w:r>
                </w:p>
              </w:tc>
            </w:tr>
            <w:tr w14:paraId="2FB4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29" w:type="dxa"/>
                  <w:vMerge w:val="continue"/>
                  <w:noWrap/>
                  <w:vAlign w:val="center"/>
                </w:tcPr>
                <w:p w14:paraId="1A3E9C48">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2635" w:type="dxa"/>
                  <w:vAlign w:val="center"/>
                </w:tcPr>
                <w:p w14:paraId="506B7AB4">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脱重塔</w:t>
                  </w:r>
                </w:p>
              </w:tc>
              <w:tc>
                <w:tcPr>
                  <w:tcW w:w="2645" w:type="dxa"/>
                  <w:noWrap/>
                  <w:vAlign w:val="center"/>
                </w:tcPr>
                <w:p w14:paraId="0A277362">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048" w:type="dxa"/>
                  <w:noWrap/>
                  <w:vAlign w:val="center"/>
                </w:tcPr>
                <w:p w14:paraId="537CBF3C">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1套</w:t>
                  </w:r>
                </w:p>
              </w:tc>
            </w:tr>
            <w:tr w14:paraId="2849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29" w:type="dxa"/>
                  <w:vMerge w:val="continue"/>
                  <w:noWrap/>
                  <w:vAlign w:val="center"/>
                </w:tcPr>
                <w:p w14:paraId="1742D26F">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2635" w:type="dxa"/>
                  <w:vAlign w:val="center"/>
                </w:tcPr>
                <w:p w14:paraId="50D34221">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主冷凝器</w:t>
                  </w:r>
                </w:p>
              </w:tc>
              <w:tc>
                <w:tcPr>
                  <w:tcW w:w="2645" w:type="dxa"/>
                  <w:noWrap/>
                  <w:vAlign w:val="center"/>
                </w:tcPr>
                <w:p w14:paraId="7AAD38D4">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048" w:type="dxa"/>
                  <w:noWrap/>
                  <w:vAlign w:val="center"/>
                </w:tcPr>
                <w:p w14:paraId="25711389">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1套</w:t>
                  </w:r>
                </w:p>
              </w:tc>
            </w:tr>
            <w:tr w14:paraId="62F2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29" w:type="dxa"/>
                  <w:vMerge w:val="continue"/>
                  <w:noWrap/>
                  <w:vAlign w:val="center"/>
                </w:tcPr>
                <w:p w14:paraId="3D430CBD">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2635" w:type="dxa"/>
                  <w:vAlign w:val="center"/>
                </w:tcPr>
                <w:p w14:paraId="38CF24DB">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脱轻塔</w:t>
                  </w:r>
                </w:p>
              </w:tc>
              <w:tc>
                <w:tcPr>
                  <w:tcW w:w="2645" w:type="dxa"/>
                  <w:noWrap/>
                  <w:vAlign w:val="center"/>
                </w:tcPr>
                <w:p w14:paraId="3A9ED478">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048" w:type="dxa"/>
                  <w:noWrap/>
                  <w:vAlign w:val="center"/>
                </w:tcPr>
                <w:p w14:paraId="54B535D5">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1套</w:t>
                  </w:r>
                </w:p>
              </w:tc>
            </w:tr>
            <w:tr w14:paraId="501F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29" w:type="dxa"/>
                  <w:vMerge w:val="continue"/>
                  <w:noWrap/>
                  <w:vAlign w:val="center"/>
                </w:tcPr>
                <w:p w14:paraId="25B00595">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c>
                <w:tcPr>
                  <w:tcW w:w="2635" w:type="dxa"/>
                  <w:vAlign w:val="center"/>
                </w:tcPr>
                <w:p w14:paraId="6BAEE38C">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过冷器</w:t>
                  </w:r>
                </w:p>
              </w:tc>
              <w:tc>
                <w:tcPr>
                  <w:tcW w:w="2645" w:type="dxa"/>
                  <w:noWrap/>
                  <w:vAlign w:val="center"/>
                </w:tcPr>
                <w:p w14:paraId="62B6D04B">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2048" w:type="dxa"/>
                  <w:noWrap/>
                  <w:vAlign w:val="center"/>
                </w:tcPr>
                <w:p w14:paraId="18B9B900">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1套</w:t>
                  </w:r>
                </w:p>
              </w:tc>
            </w:tr>
            <w:tr w14:paraId="3856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29" w:type="dxa"/>
                  <w:noWrap/>
                  <w:vAlign w:val="center"/>
                </w:tcPr>
                <w:p w14:paraId="1D402AA0">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635" w:type="dxa"/>
                  <w:vAlign w:val="center"/>
                </w:tcPr>
                <w:p w14:paraId="331AF0E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二氧化碳球罐</w:t>
                  </w:r>
                </w:p>
              </w:tc>
              <w:tc>
                <w:tcPr>
                  <w:tcW w:w="2645" w:type="dxa"/>
                  <w:noWrap/>
                  <w:vAlign w:val="center"/>
                </w:tcPr>
                <w:p w14:paraId="02046F1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3000m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2048" w:type="dxa"/>
                  <w:noWrap/>
                  <w:vAlign w:val="center"/>
                </w:tcPr>
                <w:p w14:paraId="46ADFFC0">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1个</w:t>
                  </w:r>
                </w:p>
              </w:tc>
            </w:tr>
            <w:tr w14:paraId="4B2F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29" w:type="dxa"/>
                  <w:noWrap/>
                  <w:vAlign w:val="center"/>
                </w:tcPr>
                <w:p w14:paraId="4041EC6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635" w:type="dxa"/>
                  <w:vAlign w:val="center"/>
                </w:tcPr>
                <w:p w14:paraId="09D59E58">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装车泵</w:t>
                  </w:r>
                </w:p>
              </w:tc>
              <w:tc>
                <w:tcPr>
                  <w:tcW w:w="2645" w:type="dxa"/>
                  <w:noWrap/>
                  <w:vAlign w:val="center"/>
                </w:tcPr>
                <w:p w14:paraId="10DA8F0D">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R0506T-416</w:t>
                  </w:r>
                </w:p>
              </w:tc>
              <w:tc>
                <w:tcPr>
                  <w:tcW w:w="2048" w:type="dxa"/>
                  <w:noWrap/>
                  <w:vAlign w:val="center"/>
                </w:tcPr>
                <w:p w14:paraId="7E0A268C">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2套</w:t>
                  </w:r>
                </w:p>
              </w:tc>
            </w:tr>
            <w:tr w14:paraId="550E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29" w:type="dxa"/>
                  <w:noWrap/>
                  <w:vAlign w:val="center"/>
                </w:tcPr>
                <w:p w14:paraId="7FEC3D9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635" w:type="dxa"/>
                  <w:vAlign w:val="center"/>
                </w:tcPr>
                <w:p w14:paraId="19F18E1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装车鹤管</w:t>
                  </w:r>
                </w:p>
              </w:tc>
              <w:tc>
                <w:tcPr>
                  <w:tcW w:w="2645" w:type="dxa"/>
                  <w:noWrap/>
                  <w:vAlign w:val="center"/>
                </w:tcPr>
                <w:p w14:paraId="5C53955E">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AL2543B DN50/50</w:t>
                  </w:r>
                </w:p>
              </w:tc>
              <w:tc>
                <w:tcPr>
                  <w:tcW w:w="2048" w:type="dxa"/>
                  <w:noWrap/>
                  <w:vAlign w:val="center"/>
                </w:tcPr>
                <w:p w14:paraId="135436C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2套</w:t>
                  </w:r>
                </w:p>
              </w:tc>
            </w:tr>
            <w:tr w14:paraId="0179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29" w:type="dxa"/>
                  <w:noWrap/>
                  <w:vAlign w:val="center"/>
                </w:tcPr>
                <w:p w14:paraId="1393F7C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2635" w:type="dxa"/>
                  <w:vAlign w:val="center"/>
                </w:tcPr>
                <w:p w14:paraId="5C38C45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冰机1</w:t>
                  </w:r>
                </w:p>
              </w:tc>
              <w:tc>
                <w:tcPr>
                  <w:tcW w:w="2645" w:type="dxa"/>
                  <w:noWrap/>
                  <w:vAlign w:val="center"/>
                </w:tcPr>
                <w:p w14:paraId="7D31E03B">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SNA20L-HD</w:t>
                  </w:r>
                </w:p>
                <w:p w14:paraId="264D2FB0">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HAW-E</w:t>
                  </w:r>
                </w:p>
              </w:tc>
              <w:tc>
                <w:tcPr>
                  <w:tcW w:w="2048" w:type="dxa"/>
                  <w:noWrap/>
                  <w:vAlign w:val="center"/>
                </w:tcPr>
                <w:p w14:paraId="17ED631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1套</w:t>
                  </w:r>
                </w:p>
              </w:tc>
            </w:tr>
            <w:tr w14:paraId="2968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29" w:type="dxa"/>
                  <w:noWrap/>
                  <w:vAlign w:val="center"/>
                </w:tcPr>
                <w:p w14:paraId="6972FB9B">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2635" w:type="dxa"/>
                  <w:vAlign w:val="center"/>
                </w:tcPr>
                <w:p w14:paraId="7E65ED41">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冰机2</w:t>
                  </w:r>
                </w:p>
              </w:tc>
              <w:tc>
                <w:tcPr>
                  <w:tcW w:w="2645" w:type="dxa"/>
                  <w:noWrap/>
                  <w:vAlign w:val="center"/>
                </w:tcPr>
                <w:p w14:paraId="3E5C258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SNA20M-H</w:t>
                  </w:r>
                </w:p>
                <w:p w14:paraId="2F378896">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DLAW-E</w:t>
                  </w:r>
                </w:p>
              </w:tc>
              <w:tc>
                <w:tcPr>
                  <w:tcW w:w="2048" w:type="dxa"/>
                  <w:noWrap/>
                  <w:vAlign w:val="center"/>
                </w:tcPr>
                <w:p w14:paraId="292E88D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1套</w:t>
                  </w:r>
                </w:p>
              </w:tc>
            </w:tr>
            <w:tr w14:paraId="69B9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29" w:type="dxa"/>
                  <w:noWrap/>
                  <w:vAlign w:val="center"/>
                </w:tcPr>
                <w:p w14:paraId="19E43F7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2635" w:type="dxa"/>
                  <w:vAlign w:val="center"/>
                </w:tcPr>
                <w:p w14:paraId="64F7B3D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原料预冷器</w:t>
                  </w:r>
                </w:p>
              </w:tc>
              <w:tc>
                <w:tcPr>
                  <w:tcW w:w="2645" w:type="dxa"/>
                  <w:noWrap/>
                  <w:vAlign w:val="center"/>
                </w:tcPr>
                <w:p w14:paraId="283AB8DC">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立式管壳式换热器</w:t>
                  </w:r>
                </w:p>
              </w:tc>
              <w:tc>
                <w:tcPr>
                  <w:tcW w:w="2048" w:type="dxa"/>
                  <w:noWrap/>
                  <w:vAlign w:val="center"/>
                </w:tcPr>
                <w:p w14:paraId="148A078A">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1套</w:t>
                  </w:r>
                </w:p>
              </w:tc>
            </w:tr>
            <w:tr w14:paraId="047D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29" w:type="dxa"/>
                  <w:noWrap/>
                  <w:vAlign w:val="center"/>
                </w:tcPr>
                <w:p w14:paraId="437B482F">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2635" w:type="dxa"/>
                  <w:vAlign w:val="center"/>
                </w:tcPr>
                <w:p w14:paraId="2513F405">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水冷分离器</w:t>
                  </w:r>
                </w:p>
              </w:tc>
              <w:tc>
                <w:tcPr>
                  <w:tcW w:w="2645" w:type="dxa"/>
                  <w:noWrap/>
                  <w:vAlign w:val="center"/>
                </w:tcPr>
                <w:p w14:paraId="5A2B663F">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气液分离罐</w:t>
                  </w:r>
                </w:p>
              </w:tc>
              <w:tc>
                <w:tcPr>
                  <w:tcW w:w="2048" w:type="dxa"/>
                  <w:noWrap/>
                  <w:vAlign w:val="center"/>
                </w:tcPr>
                <w:p w14:paraId="609828E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1个</w:t>
                  </w:r>
                </w:p>
              </w:tc>
            </w:tr>
          </w:tbl>
          <w:p w14:paraId="0A617770">
            <w:pPr>
              <w:widowControl/>
              <w:jc w:val="center"/>
              <w:rPr>
                <w:rFonts w:hint="default" w:ascii="Times New Roman" w:hAnsi="Times New Roman" w:eastAsia="宋体" w:cs="Times New Roman"/>
                <w:color w:val="000000" w:themeColor="text1"/>
                <w14:textFill>
                  <w14:solidFill>
                    <w14:schemeClr w14:val="tx1"/>
                  </w14:solidFill>
                </w14:textFill>
              </w:rPr>
            </w:pPr>
          </w:p>
          <w:p w14:paraId="506D3798">
            <w:pPr>
              <w:pStyle w:val="468"/>
              <w:numPr>
                <w:ilvl w:val="0"/>
                <w:numId w:val="0"/>
              </w:numPr>
              <w:spacing w:before="120" w:after="120"/>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2.5平面布置</w:t>
            </w:r>
          </w:p>
          <w:p w14:paraId="3EA0D13D">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本次技改在现有厂区内进行，</w:t>
            </w:r>
            <w:r>
              <w:rPr>
                <w:rFonts w:hint="default" w:ascii="Times New Roman" w:hAnsi="Times New Roman" w:eastAsia="宋体" w:cs="Times New Roman"/>
                <w:color w:val="000000" w:themeColor="text1"/>
                <w:kern w:val="0"/>
                <w:sz w:val="24"/>
                <w:lang w:bidi="ar"/>
                <w14:textFill>
                  <w14:solidFill>
                    <w14:schemeClr w14:val="tx1"/>
                  </w14:solidFill>
                </w14:textFill>
              </w:rPr>
              <w:t>西侧为合成气制备装置压缩厂房、北侧为工艺循环水站、东侧为合成气制备装置变电所、南侧为PSA装置，布局主要考虑接近原料气产生位置，缩短原料气传输管道</w:t>
            </w:r>
            <w:r>
              <w:rPr>
                <w:rFonts w:hint="default" w:ascii="Times New Roman" w:hAnsi="Times New Roman" w:eastAsia="宋体" w:cs="Times New Roman"/>
                <w:color w:val="000000" w:themeColor="text1"/>
                <w:sz w:val="24"/>
                <w:lang w:bidi="ar"/>
                <w14:textFill>
                  <w14:solidFill>
                    <w14:schemeClr w14:val="tx1"/>
                  </w14:solidFill>
                </w14:textFill>
              </w:rPr>
              <w:t>，使工艺流程顺畅。总体看，各装置物料传输组织合理，符合《工业企业总平面设计规范》（GB50187-2012）的相关要求，总平面布局合理。</w:t>
            </w:r>
          </w:p>
          <w:p w14:paraId="076C2054">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同时，本次项目实施不会改变其他生产设施布局。</w:t>
            </w:r>
          </w:p>
          <w:p w14:paraId="4F248990">
            <w:pPr>
              <w:autoSpaceDE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2.6公用工程</w:t>
            </w:r>
          </w:p>
          <w:p w14:paraId="04BAB033">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（1）给水</w:t>
            </w:r>
          </w:p>
          <w:p w14:paraId="01FBEEF0">
            <w:pPr>
              <w:autoSpaceDE w:val="0"/>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A、生产用水</w:t>
            </w:r>
          </w:p>
          <w:p w14:paraId="6E627C3C">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本项目用水由厂区内已建市政</w:t>
            </w:r>
            <w:r>
              <w:rPr>
                <w:rFonts w:hint="default" w:ascii="Times New Roman" w:hAnsi="Times New Roman" w:eastAsia="宋体" w:cs="Times New Roman"/>
                <w:color w:val="000000" w:themeColor="text1"/>
                <w:sz w:val="24"/>
                <w:lang w:val="en-US" w:eastAsia="zh-CN" w:bidi="ar"/>
                <w14:textFill>
                  <w14:solidFill>
                    <w14:schemeClr w14:val="tx1"/>
                  </w14:solidFill>
                </w14:textFill>
              </w:rPr>
              <w:t>自来水</w:t>
            </w:r>
            <w:r>
              <w:rPr>
                <w:rFonts w:hint="default" w:ascii="Times New Roman" w:hAnsi="Times New Roman" w:eastAsia="宋体" w:cs="Times New Roman"/>
                <w:color w:val="000000" w:themeColor="text1"/>
                <w:sz w:val="24"/>
                <w:lang w:bidi="ar"/>
                <w14:textFill>
                  <w14:solidFill>
                    <w14:schemeClr w14:val="tx1"/>
                  </w14:solidFill>
                </w14:textFill>
              </w:rPr>
              <w:t>管网供给，主要用于管线的冲洗，每年停车检修结束后开车时进行，平均每年冲洗1次，单次冲洗时间为8h，用水量为85m</w:t>
            </w:r>
            <w:r>
              <w:rPr>
                <w:rFonts w:hint="default" w:ascii="Times New Roman" w:hAnsi="Times New Roman" w:eastAsia="宋体" w:cs="Times New Roman"/>
                <w:color w:val="000000" w:themeColor="text1"/>
                <w:sz w:val="24"/>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4"/>
                <w:lang w:bidi="ar"/>
                <w14:textFill>
                  <w14:solidFill>
                    <w14:schemeClr w14:val="tx1"/>
                  </w14:solidFill>
                </w14:textFill>
              </w:rPr>
              <w:t xml:space="preserve">。 </w:t>
            </w:r>
          </w:p>
          <w:p w14:paraId="00B490AF">
            <w:pPr>
              <w:autoSpaceDE w:val="0"/>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B、生活用水</w:t>
            </w:r>
          </w:p>
          <w:p w14:paraId="426EF746">
            <w:pPr>
              <w:autoSpaceDE w:val="0"/>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本次技改新增8名工作人员，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《四川省用水定额》</w:t>
            </w:r>
            <w:r>
              <w:rPr>
                <w:rFonts w:hint="default" w:ascii="Times New Roman" w:hAnsi="Times New Roman" w:eastAsia="宋体" w:cs="Times New Roman"/>
                <w:color w:val="000000" w:themeColor="text1"/>
                <w:sz w:val="24"/>
                <w:szCs w:val="24"/>
                <w:lang w:eastAsia="zh-CN"/>
                <w14:textFill>
                  <w14:solidFill>
                    <w14:schemeClr w14:val="tx1"/>
                  </w14:solidFill>
                </w14:textFill>
              </w:rPr>
              <w:t>（川府函〔2021〕8号）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，职工每人每天用水按50L计，则新增员工生活用水量为0.4m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w:t>
            </w:r>
          </w:p>
          <w:p w14:paraId="5C677D71">
            <w:pPr>
              <w:autoSpaceDE w:val="0"/>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val="en-US" w:eastAsia="zh-CN" w:bidi="ar"/>
                <w14:textFill>
                  <w14:solidFill>
                    <w14:schemeClr w14:val="tx1"/>
                  </w14:solidFill>
                </w14:textFill>
              </w:rPr>
              <w:t>排水</w:t>
            </w:r>
          </w:p>
          <w:p w14:paraId="2FBC8199">
            <w:pPr>
              <w:autoSpaceDE w:val="0"/>
              <w:spacing w:line="360" w:lineRule="auto"/>
              <w:ind w:firstLine="480" w:firstLineChars="200"/>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管线的冲洗</w:t>
            </w:r>
            <w:r>
              <w:rPr>
                <w:rFonts w:hint="default" w:ascii="Times New Roman" w:hAnsi="Times New Roman" w:eastAsia="宋体" w:cs="Times New Roman"/>
                <w:color w:val="000000" w:themeColor="text1"/>
                <w:sz w:val="24"/>
                <w:lang w:val="en-US" w:eastAsia="zh-CN" w:bidi="ar"/>
                <w14:textFill>
                  <w14:solidFill>
                    <w14:schemeClr w14:val="tx1"/>
                  </w14:solidFill>
                </w14:textFill>
              </w:rPr>
              <w:t>废水排入厂区已建回用水站处理后回用于生产，不外排；</w:t>
            </w:r>
            <w:r>
              <w:rPr>
                <w:rFonts w:hint="eastAsia" w:cs="Times New Roman"/>
                <w:color w:val="000000" w:themeColor="text1"/>
                <w:sz w:val="24"/>
                <w:lang w:val="en-US" w:eastAsia="zh-CN" w:bidi="ar"/>
                <w14:textFill>
                  <w14:solidFill>
                    <w14:schemeClr w14:val="tx1"/>
                  </w14:solidFill>
                </w14:textFill>
              </w:rPr>
              <w:t>生产区地面无需进行冲洗。</w:t>
            </w:r>
          </w:p>
          <w:p w14:paraId="76F72BCE">
            <w:pPr>
              <w:autoSpaceDE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lang w:val="en-US" w:eastAsia="zh-CN" w:bidi="ar"/>
                <w14:textFill>
                  <w14:solidFill>
                    <w14:schemeClr w14:val="tx1"/>
                  </w14:solidFill>
                </w14:textFill>
              </w:rPr>
              <w:t>洗管废水排放量约68</w:t>
            </w:r>
            <w:r>
              <w:rPr>
                <w:rFonts w:hint="default" w:ascii="Times New Roman" w:hAnsi="Times New Roman" w:eastAsia="宋体" w:cs="Times New Roman"/>
                <w:color w:val="000000" w:themeColor="text1"/>
                <w:sz w:val="24"/>
                <w:lang w:val="en-US" w:eastAsia="zh-CN" w:bidi="ar"/>
                <w14:textFill>
                  <w14:solidFill>
                    <w14:schemeClr w14:val="tx1"/>
                  </w14:solidFill>
                </w14:textFill>
              </w:rPr>
              <w:t>m</w:t>
            </w:r>
            <w:r>
              <w:rPr>
                <w:rFonts w:hint="default" w:ascii="Times New Roman" w:hAnsi="Times New Roman" w:eastAsia="宋体" w:cs="Times New Roman"/>
                <w:color w:val="000000" w:themeColor="text1"/>
                <w:sz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lang w:val="en-US" w:eastAsia="zh-CN" w:bidi="ar"/>
                <w14:textFill>
                  <w14:solidFill>
                    <w14:schemeClr w14:val="tx1"/>
                  </w14:solidFill>
                </w14:textFill>
              </w:rPr>
              <w:t>/</w:t>
            </w:r>
            <w:r>
              <w:rPr>
                <w:rFonts w:hint="eastAsia" w:ascii="Times New Roman" w:hAnsi="Times New Roman" w:cs="Times New Roman"/>
                <w:color w:val="000000" w:themeColor="text1"/>
                <w:sz w:val="24"/>
                <w:lang w:val="en-US" w:eastAsia="zh-CN" w:bidi="ar"/>
                <w14:textFill>
                  <w14:solidFill>
                    <w14:schemeClr w14:val="tx1"/>
                  </w14:solidFill>
                </w14:textFill>
              </w:rPr>
              <w:t>次（8.5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h</w:t>
            </w:r>
            <w:r>
              <w:rPr>
                <w:rFonts w:hint="eastAsia" w:ascii="Times New Roman" w:hAnsi="Times New Roman" w:cs="Times New Roman"/>
                <w:color w:val="000000" w:themeColor="text1"/>
                <w:sz w:val="24"/>
                <w:lang w:val="en-US" w:eastAsia="zh-CN" w:bidi="ar"/>
                <w14:textFill>
                  <w14:solidFill>
                    <w14:schemeClr w14:val="tx1"/>
                  </w14:solidFill>
                </w14:textFill>
              </w:rPr>
              <w:t>），清洗后排放至回用水站；</w:t>
            </w:r>
            <w:r>
              <w:rPr>
                <w:rFonts w:hint="default" w:ascii="Times New Roman" w:hAnsi="Times New Roman" w:eastAsia="宋体" w:cs="Times New Roman"/>
                <w:color w:val="000000" w:themeColor="text1"/>
                <w:sz w:val="24"/>
                <w:lang w:val="en-US" w:eastAsia="zh-CN" w:bidi="ar"/>
                <w14:textFill>
                  <w14:solidFill>
                    <w14:schemeClr w14:val="tx1"/>
                  </w14:solidFill>
                </w14:textFill>
              </w:rPr>
              <w:t>原料气冷凝分离后产生的冷凝水通过</w:t>
            </w:r>
            <w:r>
              <w:rPr>
                <w:rFonts w:hint="eastAsia" w:cs="Times New Roman"/>
                <w:color w:val="000000" w:themeColor="text1"/>
                <w:sz w:val="24"/>
                <w:lang w:val="en-US" w:eastAsia="zh-CN" w:bidi="ar"/>
                <w14:textFill>
                  <w14:solidFill>
                    <w14:schemeClr w14:val="tx1"/>
                  </w14:solidFill>
                </w14:textFill>
              </w:rPr>
              <w:t>集水坑收集，通过</w:t>
            </w:r>
            <w:r>
              <w:rPr>
                <w:rFonts w:hint="default" w:ascii="Times New Roman" w:hAnsi="Times New Roman" w:eastAsia="宋体" w:cs="Times New Roman"/>
                <w:color w:val="000000" w:themeColor="text1"/>
                <w:sz w:val="24"/>
                <w:lang w:val="en-US" w:eastAsia="zh-CN" w:bidi="ar"/>
                <w14:textFill>
                  <w14:solidFill>
                    <w14:schemeClr w14:val="tx1"/>
                  </w14:solidFill>
                </w14:textFill>
              </w:rPr>
              <w:t>地下管线进入初期雨水池，抽至已建污水处理站进行处理，排放量0.0337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h</w:t>
            </w:r>
            <w:r>
              <w:rPr>
                <w:rFonts w:hint="default" w:ascii="Times New Roman" w:hAnsi="Times New Roman" w:eastAsia="宋体" w:cs="Times New Roman"/>
                <w:color w:val="000000" w:themeColor="text1"/>
                <w:sz w:val="24"/>
                <w:lang w:val="en-US" w:eastAsia="zh-CN" w:bidi="ar"/>
                <w14:textFill>
                  <w14:solidFill>
                    <w14:schemeClr w14:val="tx1"/>
                  </w14:solidFill>
                </w14:textFill>
              </w:rPr>
              <w:t>（269.41m</w:t>
            </w:r>
            <w:r>
              <w:rPr>
                <w:rFonts w:hint="default" w:ascii="Times New Roman" w:hAnsi="Times New Roman" w:eastAsia="宋体" w:cs="Times New Roman"/>
                <w:color w:val="000000" w:themeColor="text1"/>
                <w:sz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lang w:val="en-US" w:eastAsia="zh-CN" w:bidi="ar"/>
                <w14:textFill>
                  <w14:solidFill>
                    <w14:schemeClr w14:val="tx1"/>
                  </w14:solidFill>
                </w14:textFill>
              </w:rPr>
              <w:t>/a）；生活用水产污系数取0.8，则生活污水排放量0.32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/d（105.6m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/a），排入</w:t>
            </w:r>
            <w:r>
              <w:rPr>
                <w:rFonts w:hint="eastAsia" w:cs="Times New Roman"/>
                <w:color w:val="000000" w:themeColor="text1"/>
                <w:sz w:val="24"/>
                <w:szCs w:val="24"/>
                <w:lang w:val="en-US" w:eastAsia="zh-CN"/>
                <w14:textFill>
                  <w14:solidFill>
                    <w14:schemeClr w14:val="tx1"/>
                  </w14:solidFill>
                </w14:textFill>
              </w:rPr>
              <w:t>厂内主体工程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已建污水处理</w:t>
            </w:r>
            <w:r>
              <w:rPr>
                <w:rFonts w:hint="eastAsia" w:cs="Times New Roman"/>
                <w:color w:val="000000" w:themeColor="text1"/>
                <w:sz w:val="24"/>
                <w:szCs w:val="24"/>
                <w:lang w:val="en-US" w:eastAsia="zh-CN"/>
                <w14:textFill>
                  <w14:solidFill>
                    <w14:schemeClr w14:val="tx1"/>
                  </w14:solidFill>
                </w14:textFill>
              </w:rPr>
              <w:t>站</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p>
          <w:p w14:paraId="288453FC">
            <w:pPr>
              <w:autoSpaceDE w:val="0"/>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表2-8  本次项目实施后一期工程水量平衡一览表</w:t>
            </w:r>
          </w:p>
          <w:tbl>
            <w:tblPr>
              <w:tblStyle w:val="48"/>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2824"/>
              <w:gridCol w:w="855"/>
              <w:gridCol w:w="1892"/>
              <w:gridCol w:w="745"/>
              <w:gridCol w:w="982"/>
            </w:tblGrid>
            <w:tr w14:paraId="73CFD0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838" w:type="pct"/>
                  <w:gridSpan w:val="3"/>
                  <w:noWrap w:val="0"/>
                  <w:vAlign w:val="center"/>
                </w:tcPr>
                <w:p w14:paraId="3FFBFDBC">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投入</w:t>
                  </w:r>
                  <w:r>
                    <w:rPr>
                      <w:rFonts w:hint="default" w:ascii="Times New Roman" w:hAnsi="Times New Roman" w:cs="Times New Roman"/>
                      <w:color w:val="000000" w:themeColor="text1"/>
                      <w:kern w:val="0"/>
                      <w:sz w:val="21"/>
                      <w:szCs w:val="21"/>
                      <w:lang w:bidi="ar"/>
                      <w14:textFill>
                        <w14:solidFill>
                          <w14:schemeClr w14:val="tx1"/>
                        </w14:solidFill>
                      </w14:textFill>
                    </w:rPr>
                    <w:t>（单位：t/h）</w:t>
                  </w:r>
                </w:p>
              </w:tc>
              <w:tc>
                <w:tcPr>
                  <w:tcW w:w="2161" w:type="pct"/>
                  <w:gridSpan w:val="3"/>
                  <w:noWrap w:val="0"/>
                  <w:vAlign w:val="center"/>
                </w:tcPr>
                <w:p w14:paraId="72C6071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产出</w:t>
                  </w:r>
                  <w:r>
                    <w:rPr>
                      <w:rFonts w:hint="default" w:ascii="Times New Roman" w:hAnsi="Times New Roman" w:cs="Times New Roman"/>
                      <w:color w:val="000000" w:themeColor="text1"/>
                      <w:kern w:val="0"/>
                      <w:sz w:val="21"/>
                      <w:szCs w:val="21"/>
                      <w:lang w:bidi="ar"/>
                      <w14:textFill>
                        <w14:solidFill>
                          <w14:schemeClr w14:val="tx1"/>
                        </w14:solidFill>
                      </w14:textFill>
                    </w:rPr>
                    <w:t>（单位：t/h）</w:t>
                  </w:r>
                </w:p>
              </w:tc>
            </w:tr>
            <w:tr w14:paraId="713F73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2327" w:type="pct"/>
                  <w:gridSpan w:val="2"/>
                  <w:noWrap w:val="0"/>
                  <w:vAlign w:val="center"/>
                </w:tcPr>
                <w:p w14:paraId="53FE1910">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类别</w:t>
                  </w:r>
                </w:p>
              </w:tc>
              <w:tc>
                <w:tcPr>
                  <w:tcW w:w="510" w:type="pct"/>
                  <w:noWrap w:val="0"/>
                  <w:vAlign w:val="center"/>
                </w:tcPr>
                <w:p w14:paraId="75E3D02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水量</w:t>
                  </w:r>
                </w:p>
              </w:tc>
              <w:tc>
                <w:tcPr>
                  <w:tcW w:w="1130" w:type="pct"/>
                  <w:noWrap w:val="0"/>
                  <w:vAlign w:val="center"/>
                </w:tcPr>
                <w:p w14:paraId="459222C8">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类别</w:t>
                  </w:r>
                </w:p>
              </w:tc>
              <w:tc>
                <w:tcPr>
                  <w:tcW w:w="445" w:type="pct"/>
                  <w:noWrap w:val="0"/>
                  <w:vAlign w:val="center"/>
                </w:tcPr>
                <w:p w14:paraId="5C63FB75">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水量</w:t>
                  </w:r>
                </w:p>
              </w:tc>
              <w:tc>
                <w:tcPr>
                  <w:tcW w:w="586" w:type="pct"/>
                  <w:noWrap w:val="0"/>
                  <w:vAlign w:val="center"/>
                </w:tcPr>
                <w:p w14:paraId="126ACBA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去向</w:t>
                  </w:r>
                </w:p>
              </w:tc>
            </w:tr>
            <w:tr w14:paraId="6FEF203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restart"/>
                  <w:noWrap w:val="0"/>
                  <w:vAlign w:val="center"/>
                </w:tcPr>
                <w:p w14:paraId="1D9F92AA">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生产装置单元</w:t>
                  </w:r>
                </w:p>
              </w:tc>
              <w:tc>
                <w:tcPr>
                  <w:tcW w:w="1686" w:type="pct"/>
                  <w:noWrap w:val="0"/>
                  <w:vAlign w:val="center"/>
                </w:tcPr>
                <w:p w14:paraId="17FC006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反应加入水、合成产物洗水以及洗气水</w:t>
                  </w:r>
                </w:p>
              </w:tc>
              <w:tc>
                <w:tcPr>
                  <w:tcW w:w="510" w:type="pct"/>
                  <w:noWrap w:val="0"/>
                  <w:vAlign w:val="center"/>
                </w:tcPr>
                <w:p w14:paraId="1378A17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3.1 </w:t>
                  </w:r>
                </w:p>
              </w:tc>
              <w:tc>
                <w:tcPr>
                  <w:tcW w:w="1130" w:type="pct"/>
                  <w:noWrap w:val="0"/>
                  <w:vAlign w:val="center"/>
                </w:tcPr>
                <w:p w14:paraId="716AFD0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含盐、有机废水</w:t>
                  </w:r>
                </w:p>
              </w:tc>
              <w:tc>
                <w:tcPr>
                  <w:tcW w:w="445" w:type="pct"/>
                  <w:noWrap w:val="0"/>
                  <w:vAlign w:val="center"/>
                </w:tcPr>
                <w:p w14:paraId="2D1F440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39</w:t>
                  </w:r>
                </w:p>
              </w:tc>
              <w:tc>
                <w:tcPr>
                  <w:tcW w:w="586" w:type="pct"/>
                  <w:noWrap w:val="0"/>
                  <w:vAlign w:val="center"/>
                </w:tcPr>
                <w:p w14:paraId="5D84B712">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0425DF8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0"/>
                  <w:vAlign w:val="center"/>
                </w:tcPr>
                <w:p w14:paraId="03B57D3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1686" w:type="pct"/>
                  <w:noWrap w:val="0"/>
                  <w:vAlign w:val="center"/>
                </w:tcPr>
                <w:p w14:paraId="11034DF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蒸汽带入</w:t>
                  </w:r>
                </w:p>
              </w:tc>
              <w:tc>
                <w:tcPr>
                  <w:tcW w:w="510" w:type="pct"/>
                  <w:noWrap w:val="0"/>
                  <w:vAlign w:val="center"/>
                </w:tcPr>
                <w:p w14:paraId="7A982D2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54.8 </w:t>
                  </w:r>
                </w:p>
              </w:tc>
              <w:tc>
                <w:tcPr>
                  <w:tcW w:w="1130" w:type="pct"/>
                  <w:noWrap w:val="0"/>
                  <w:vAlign w:val="center"/>
                </w:tcPr>
                <w:p w14:paraId="00E89BDE">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445" w:type="pct"/>
                  <w:noWrap w:val="0"/>
                  <w:vAlign w:val="center"/>
                </w:tcPr>
                <w:p w14:paraId="54E631B6">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c>
                <w:tcPr>
                  <w:tcW w:w="586" w:type="pct"/>
                  <w:noWrap w:val="0"/>
                  <w:vAlign w:val="center"/>
                </w:tcPr>
                <w:p w14:paraId="1087C2FE">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4C8E56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0"/>
                  <w:vAlign w:val="center"/>
                </w:tcPr>
                <w:p w14:paraId="2371230B">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7FD5EDF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原辅料带入水</w:t>
                  </w:r>
                </w:p>
              </w:tc>
              <w:tc>
                <w:tcPr>
                  <w:tcW w:w="510" w:type="pct"/>
                  <w:noWrap w:val="0"/>
                  <w:vAlign w:val="center"/>
                </w:tcPr>
                <w:p w14:paraId="51D803A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0.7 </w:t>
                  </w:r>
                </w:p>
              </w:tc>
              <w:tc>
                <w:tcPr>
                  <w:tcW w:w="1130" w:type="pct"/>
                  <w:noWrap w:val="0"/>
                  <w:vAlign w:val="center"/>
                </w:tcPr>
                <w:p w14:paraId="3F25B9E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工艺冷凝液</w:t>
                  </w:r>
                </w:p>
              </w:tc>
              <w:tc>
                <w:tcPr>
                  <w:tcW w:w="445" w:type="pct"/>
                  <w:noWrap w:val="0"/>
                  <w:vAlign w:val="center"/>
                </w:tcPr>
                <w:p w14:paraId="3DAAEBA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50.0 </w:t>
                  </w:r>
                </w:p>
              </w:tc>
              <w:tc>
                <w:tcPr>
                  <w:tcW w:w="586" w:type="pct"/>
                  <w:noWrap w:val="0"/>
                  <w:vAlign w:val="center"/>
                </w:tcPr>
                <w:p w14:paraId="148E175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去脱盐水站</w:t>
                  </w:r>
                </w:p>
              </w:tc>
            </w:tr>
            <w:tr w14:paraId="47195F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0"/>
                  <w:vAlign w:val="center"/>
                </w:tcPr>
                <w:p w14:paraId="4E7E506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415892F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反应生成水</w:t>
                  </w:r>
                </w:p>
              </w:tc>
              <w:tc>
                <w:tcPr>
                  <w:tcW w:w="510" w:type="pct"/>
                  <w:noWrap w:val="0"/>
                  <w:vAlign w:val="center"/>
                </w:tcPr>
                <w:p w14:paraId="24C586A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30.7 </w:t>
                  </w:r>
                </w:p>
              </w:tc>
              <w:tc>
                <w:tcPr>
                  <w:tcW w:w="1130" w:type="pct"/>
                  <w:noWrap w:val="0"/>
                  <w:vAlign w:val="center"/>
                </w:tcPr>
                <w:p w14:paraId="58B9573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产品及副产品带走</w:t>
                  </w:r>
                </w:p>
              </w:tc>
              <w:tc>
                <w:tcPr>
                  <w:tcW w:w="445" w:type="pct"/>
                  <w:noWrap w:val="0"/>
                  <w:vAlign w:val="center"/>
                </w:tcPr>
                <w:p w14:paraId="649E59A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0.9 </w:t>
                  </w:r>
                </w:p>
              </w:tc>
              <w:tc>
                <w:tcPr>
                  <w:tcW w:w="586" w:type="pct"/>
                  <w:noWrap w:val="0"/>
                  <w:vAlign w:val="center"/>
                </w:tcPr>
                <w:p w14:paraId="20481B6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00D5B7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6" w:hRule="atLeast"/>
                <w:jc w:val="center"/>
              </w:trPr>
              <w:tc>
                <w:tcPr>
                  <w:tcW w:w="641" w:type="pct"/>
                  <w:vMerge w:val="continue"/>
                  <w:noWrap w:val="0"/>
                  <w:vAlign w:val="center"/>
                </w:tcPr>
                <w:p w14:paraId="1DFC512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tcBorders>
                    <w:bottom w:val="single" w:color="auto" w:sz="4" w:space="0"/>
                  </w:tcBorders>
                  <w:noWrap w:val="0"/>
                  <w:vAlign w:val="center"/>
                </w:tcPr>
                <w:p w14:paraId="6ABB588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工艺废水含杂质</w:t>
                  </w:r>
                </w:p>
              </w:tc>
              <w:tc>
                <w:tcPr>
                  <w:tcW w:w="510" w:type="pct"/>
                  <w:tcBorders>
                    <w:bottom w:val="single" w:color="auto" w:sz="4" w:space="0"/>
                  </w:tcBorders>
                  <w:noWrap w:val="0"/>
                  <w:vAlign w:val="center"/>
                </w:tcPr>
                <w:p w14:paraId="1A5250B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0.6</w:t>
                  </w:r>
                </w:p>
              </w:tc>
              <w:tc>
                <w:tcPr>
                  <w:tcW w:w="1130" w:type="pct"/>
                  <w:tcBorders>
                    <w:bottom w:val="single" w:color="auto" w:sz="4" w:space="0"/>
                  </w:tcBorders>
                  <w:noWrap w:val="0"/>
                  <w:vAlign w:val="center"/>
                </w:tcPr>
                <w:p w14:paraId="7653E88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进入废气</w:t>
                  </w:r>
                </w:p>
              </w:tc>
              <w:tc>
                <w:tcPr>
                  <w:tcW w:w="445" w:type="pct"/>
                  <w:tcBorders>
                    <w:bottom w:val="single" w:color="auto" w:sz="4" w:space="0"/>
                  </w:tcBorders>
                  <w:noWrap w:val="0"/>
                  <w:vAlign w:val="center"/>
                </w:tcPr>
                <w:p w14:paraId="58E958B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 </w:t>
                  </w:r>
                </w:p>
              </w:tc>
              <w:tc>
                <w:tcPr>
                  <w:tcW w:w="586" w:type="pct"/>
                  <w:tcBorders>
                    <w:bottom w:val="single" w:color="auto" w:sz="4" w:space="0"/>
                  </w:tcBorders>
                  <w:noWrap w:val="0"/>
                  <w:vAlign w:val="center"/>
                </w:tcPr>
                <w:p w14:paraId="2ACB6D9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进入大气</w:t>
                  </w:r>
                </w:p>
              </w:tc>
            </w:tr>
            <w:tr w14:paraId="0285ED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47" w:hRule="atLeast"/>
                <w:jc w:val="center"/>
              </w:trPr>
              <w:tc>
                <w:tcPr>
                  <w:tcW w:w="641" w:type="pct"/>
                  <w:vMerge w:val="continue"/>
                  <w:noWrap w:val="0"/>
                  <w:vAlign w:val="center"/>
                </w:tcPr>
                <w:p w14:paraId="1E633CC3">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vMerge w:val="restart"/>
                  <w:tcBorders>
                    <w:top w:val="single" w:color="auto" w:sz="4" w:space="0"/>
                  </w:tcBorders>
                  <w:noWrap w:val="0"/>
                  <w:vAlign w:val="center"/>
                </w:tcPr>
                <w:p w14:paraId="26F7794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洗管使用水</w:t>
                  </w:r>
                </w:p>
              </w:tc>
              <w:tc>
                <w:tcPr>
                  <w:tcW w:w="510" w:type="pct"/>
                  <w:vMerge w:val="restart"/>
                  <w:tcBorders>
                    <w:top w:val="single" w:color="auto" w:sz="4" w:space="0"/>
                  </w:tcBorders>
                  <w:noWrap w:val="0"/>
                  <w:vAlign w:val="center"/>
                </w:tcPr>
                <w:p w14:paraId="624FA27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10.625</w:t>
                  </w:r>
                </w:p>
              </w:tc>
              <w:tc>
                <w:tcPr>
                  <w:tcW w:w="1130" w:type="pct"/>
                  <w:tcBorders>
                    <w:top w:val="single" w:color="auto" w:sz="4" w:space="0"/>
                    <w:bottom w:val="single" w:color="auto" w:sz="4" w:space="0"/>
                  </w:tcBorders>
                  <w:noWrap w:val="0"/>
                  <w:vAlign w:val="center"/>
                </w:tcPr>
                <w:p w14:paraId="74957A8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洗管废水</w:t>
                  </w:r>
                </w:p>
              </w:tc>
              <w:tc>
                <w:tcPr>
                  <w:tcW w:w="445" w:type="pct"/>
                  <w:tcBorders>
                    <w:top w:val="single" w:color="auto" w:sz="4" w:space="0"/>
                    <w:bottom w:val="single" w:color="auto" w:sz="4" w:space="0"/>
                  </w:tcBorders>
                  <w:noWrap w:val="0"/>
                  <w:vAlign w:val="center"/>
                </w:tcPr>
                <w:p w14:paraId="1286A5D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8.5</w:t>
                  </w:r>
                  <w:r>
                    <w:rPr>
                      <w:rFonts w:hint="eastAsia" w:cs="Times New Roman"/>
                      <w:b/>
                      <w:bCs/>
                      <w:i w:val="0"/>
                      <w:iCs w:val="0"/>
                      <w:color w:val="000000" w:themeColor="text1"/>
                      <w:kern w:val="0"/>
                      <w:sz w:val="21"/>
                      <w:szCs w:val="21"/>
                      <w:u w:val="none"/>
                      <w:lang w:val="en-US" w:eastAsia="zh-CN" w:bidi="ar"/>
                      <w14:textFill>
                        <w14:solidFill>
                          <w14:schemeClr w14:val="tx1"/>
                        </w14:solidFill>
                      </w14:textFill>
                    </w:rPr>
                    <w:t>（1次/年）</w:t>
                  </w:r>
                </w:p>
              </w:tc>
              <w:tc>
                <w:tcPr>
                  <w:tcW w:w="586" w:type="pct"/>
                  <w:tcBorders>
                    <w:top w:val="single" w:color="auto" w:sz="4" w:space="0"/>
                    <w:bottom w:val="single" w:color="auto" w:sz="4" w:space="0"/>
                  </w:tcBorders>
                  <w:noWrap w:val="0"/>
                  <w:vAlign w:val="center"/>
                </w:tcPr>
                <w:p w14:paraId="4DDC264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p>
              </w:tc>
            </w:tr>
            <w:tr w14:paraId="511E92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6" w:hRule="atLeast"/>
                <w:jc w:val="center"/>
              </w:trPr>
              <w:tc>
                <w:tcPr>
                  <w:tcW w:w="641" w:type="pct"/>
                  <w:vMerge w:val="continue"/>
                  <w:noWrap w:val="0"/>
                  <w:vAlign w:val="center"/>
                </w:tcPr>
                <w:p w14:paraId="7704DDC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vMerge w:val="continue"/>
                  <w:noWrap w:val="0"/>
                  <w:vAlign w:val="center"/>
                </w:tcPr>
                <w:p w14:paraId="798D2F9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p>
              </w:tc>
              <w:tc>
                <w:tcPr>
                  <w:tcW w:w="510" w:type="pct"/>
                  <w:vMerge w:val="continue"/>
                  <w:noWrap w:val="0"/>
                  <w:vAlign w:val="center"/>
                </w:tcPr>
                <w:p w14:paraId="5DE10A4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p>
              </w:tc>
              <w:tc>
                <w:tcPr>
                  <w:tcW w:w="1130" w:type="pct"/>
                  <w:tcBorders>
                    <w:top w:val="single" w:color="auto" w:sz="4" w:space="0"/>
                  </w:tcBorders>
                  <w:noWrap w:val="0"/>
                  <w:vAlign w:val="center"/>
                </w:tcPr>
                <w:p w14:paraId="00553A4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蒸发</w:t>
                  </w:r>
                </w:p>
              </w:tc>
              <w:tc>
                <w:tcPr>
                  <w:tcW w:w="445" w:type="pct"/>
                  <w:tcBorders>
                    <w:top w:val="single" w:color="auto" w:sz="4" w:space="0"/>
                  </w:tcBorders>
                  <w:noWrap w:val="0"/>
                  <w:vAlign w:val="center"/>
                </w:tcPr>
                <w:p w14:paraId="672EECD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2.125</w:t>
                  </w:r>
                </w:p>
              </w:tc>
              <w:tc>
                <w:tcPr>
                  <w:tcW w:w="586" w:type="pct"/>
                  <w:tcBorders>
                    <w:top w:val="single" w:color="auto" w:sz="4" w:space="0"/>
                  </w:tcBorders>
                  <w:noWrap w:val="0"/>
                  <w:vAlign w:val="center"/>
                </w:tcPr>
                <w:p w14:paraId="6DC556D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进入大气</w:t>
                  </w:r>
                </w:p>
              </w:tc>
            </w:tr>
            <w:tr w14:paraId="242751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0"/>
                  <w:vAlign w:val="center"/>
                </w:tcPr>
                <w:p w14:paraId="181E436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5E8CB5A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小计</w:t>
                  </w:r>
                </w:p>
              </w:tc>
              <w:tc>
                <w:tcPr>
                  <w:tcW w:w="510" w:type="pct"/>
                  <w:noWrap w:val="0"/>
                  <w:vAlign w:val="center"/>
                </w:tcPr>
                <w:p w14:paraId="097C0C3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100.525</w:t>
                  </w:r>
                </w:p>
              </w:tc>
              <w:tc>
                <w:tcPr>
                  <w:tcW w:w="1130" w:type="pct"/>
                  <w:noWrap w:val="0"/>
                  <w:vAlign w:val="center"/>
                </w:tcPr>
                <w:p w14:paraId="4C8A2F1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小计</w:t>
                  </w:r>
                </w:p>
              </w:tc>
              <w:tc>
                <w:tcPr>
                  <w:tcW w:w="445" w:type="pct"/>
                  <w:noWrap w:val="0"/>
                  <w:vAlign w:val="center"/>
                </w:tcPr>
                <w:p w14:paraId="7854A6F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100.525</w:t>
                  </w:r>
                </w:p>
              </w:tc>
              <w:tc>
                <w:tcPr>
                  <w:tcW w:w="586" w:type="pct"/>
                  <w:noWrap w:val="0"/>
                  <w:vAlign w:val="center"/>
                </w:tcPr>
                <w:p w14:paraId="687D3DB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131E1E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641" w:type="pct"/>
                  <w:vMerge w:val="restart"/>
                  <w:noWrap/>
                  <w:vAlign w:val="center"/>
                </w:tcPr>
                <w:p w14:paraId="53E61150">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公辅单元</w:t>
                  </w:r>
                </w:p>
              </w:tc>
              <w:tc>
                <w:tcPr>
                  <w:tcW w:w="1686" w:type="pct"/>
                  <w:noWrap w:val="0"/>
                  <w:vAlign w:val="center"/>
                </w:tcPr>
                <w:p w14:paraId="489BD96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废水站臭气碱洗及再生废水</w:t>
                  </w:r>
                </w:p>
              </w:tc>
              <w:tc>
                <w:tcPr>
                  <w:tcW w:w="510" w:type="pct"/>
                  <w:noWrap w:val="0"/>
                  <w:vAlign w:val="center"/>
                </w:tcPr>
                <w:p w14:paraId="391EECA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30" w:type="pct"/>
                  <w:noWrap w:val="0"/>
                  <w:vAlign w:val="center"/>
                </w:tcPr>
                <w:p w14:paraId="6CD2DEE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废水站臭气碱洗及再生废水</w:t>
                  </w:r>
                </w:p>
              </w:tc>
              <w:tc>
                <w:tcPr>
                  <w:tcW w:w="445" w:type="pct"/>
                  <w:noWrap w:val="0"/>
                  <w:vAlign w:val="center"/>
                </w:tcPr>
                <w:p w14:paraId="25C8D07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86" w:type="pct"/>
                  <w:noWrap w:val="0"/>
                  <w:vAlign w:val="center"/>
                </w:tcPr>
                <w:p w14:paraId="3C9660F6">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764C7B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0421C76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1427A0E5">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N</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O</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罐补充水</w:t>
                  </w:r>
                </w:p>
              </w:tc>
              <w:tc>
                <w:tcPr>
                  <w:tcW w:w="510" w:type="pct"/>
                  <w:noWrap w:val="0"/>
                  <w:vAlign w:val="center"/>
                </w:tcPr>
                <w:p w14:paraId="188011A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130" w:type="pct"/>
                  <w:noWrap w:val="0"/>
                  <w:vAlign w:val="center"/>
                </w:tcPr>
                <w:p w14:paraId="0A7696F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N</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2</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O</w:t>
                  </w:r>
                  <w:r>
                    <w:rPr>
                      <w:rFonts w:hint="eastAsia" w:ascii="宋体" w:hAnsi="宋体" w:eastAsia="宋体" w:cs="宋体"/>
                      <w:i w:val="0"/>
                      <w:iCs w:val="0"/>
                      <w:color w:val="000000" w:themeColor="text1"/>
                      <w:kern w:val="0"/>
                      <w:sz w:val="21"/>
                      <w:szCs w:val="21"/>
                      <w:u w:val="none"/>
                      <w:vertAlign w:val="subscript"/>
                      <w:lang w:val="en-US" w:eastAsia="zh-CN" w:bidi="ar"/>
                      <w14:textFill>
                        <w14:solidFill>
                          <w14:schemeClr w14:val="tx1"/>
                        </w14:solidFill>
                      </w14:textFill>
                    </w:rPr>
                    <w:t>4</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罐洗涤废水</w:t>
                  </w:r>
                </w:p>
              </w:tc>
              <w:tc>
                <w:tcPr>
                  <w:tcW w:w="445" w:type="pct"/>
                  <w:noWrap w:val="0"/>
                  <w:vAlign w:val="center"/>
                </w:tcPr>
                <w:p w14:paraId="1757067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586" w:type="pct"/>
                  <w:noWrap w:val="0"/>
                  <w:vAlign w:val="center"/>
                </w:tcPr>
                <w:p w14:paraId="1988CE1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16DEDF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0A0CF59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413D2EA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化验用水</w:t>
                  </w:r>
                </w:p>
              </w:tc>
              <w:tc>
                <w:tcPr>
                  <w:tcW w:w="510" w:type="pct"/>
                  <w:noWrap w:val="0"/>
                  <w:vAlign w:val="center"/>
                </w:tcPr>
                <w:p w14:paraId="61683C9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130" w:type="pct"/>
                  <w:noWrap w:val="0"/>
                  <w:vAlign w:val="center"/>
                </w:tcPr>
                <w:p w14:paraId="5D13BC7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化验废水</w:t>
                  </w:r>
                </w:p>
              </w:tc>
              <w:tc>
                <w:tcPr>
                  <w:tcW w:w="445" w:type="pct"/>
                  <w:noWrap w:val="0"/>
                  <w:vAlign w:val="center"/>
                </w:tcPr>
                <w:p w14:paraId="241822F9">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586" w:type="pct"/>
                  <w:noWrap w:val="0"/>
                  <w:vAlign w:val="center"/>
                </w:tcPr>
                <w:p w14:paraId="481D9B9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181294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63737953">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699B136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设备、地坪洗水</w:t>
                  </w:r>
                </w:p>
              </w:tc>
              <w:tc>
                <w:tcPr>
                  <w:tcW w:w="510" w:type="pct"/>
                  <w:noWrap w:val="0"/>
                  <w:vAlign w:val="center"/>
                </w:tcPr>
                <w:p w14:paraId="632A0F1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w:t>
                  </w:r>
                </w:p>
              </w:tc>
              <w:tc>
                <w:tcPr>
                  <w:tcW w:w="1130" w:type="pct"/>
                  <w:noWrap w:val="0"/>
                  <w:vAlign w:val="center"/>
                </w:tcPr>
                <w:p w14:paraId="538DF0B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设备、地坪洗水</w:t>
                  </w:r>
                </w:p>
              </w:tc>
              <w:tc>
                <w:tcPr>
                  <w:tcW w:w="445" w:type="pct"/>
                  <w:noWrap w:val="0"/>
                  <w:vAlign w:val="center"/>
                </w:tcPr>
                <w:p w14:paraId="2AA1C5F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w:t>
                  </w:r>
                </w:p>
              </w:tc>
              <w:tc>
                <w:tcPr>
                  <w:tcW w:w="586" w:type="pct"/>
                  <w:noWrap w:val="0"/>
                  <w:vAlign w:val="center"/>
                </w:tcPr>
                <w:p w14:paraId="4313877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0DCF05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7287AD94">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0C2EF3D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循环水站补充水</w:t>
                  </w:r>
                </w:p>
              </w:tc>
              <w:tc>
                <w:tcPr>
                  <w:tcW w:w="510" w:type="pct"/>
                  <w:noWrap w:val="0"/>
                  <w:vAlign w:val="center"/>
                </w:tcPr>
                <w:p w14:paraId="60F0380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1044</w:t>
                  </w:r>
                </w:p>
              </w:tc>
              <w:tc>
                <w:tcPr>
                  <w:tcW w:w="1130" w:type="pct"/>
                  <w:noWrap w:val="0"/>
                  <w:vAlign w:val="center"/>
                </w:tcPr>
                <w:p w14:paraId="440BEBA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挥发损失水</w:t>
                  </w:r>
                </w:p>
              </w:tc>
              <w:tc>
                <w:tcPr>
                  <w:tcW w:w="445" w:type="pct"/>
                  <w:noWrap w:val="0"/>
                  <w:vAlign w:val="center"/>
                </w:tcPr>
                <w:p w14:paraId="46969CF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1074.6</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034</w:t>
                  </w:r>
                </w:p>
              </w:tc>
              <w:tc>
                <w:tcPr>
                  <w:tcW w:w="586" w:type="pct"/>
                  <w:noWrap w:val="0"/>
                  <w:vAlign w:val="center"/>
                </w:tcPr>
                <w:p w14:paraId="27C6AAF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进入大气</w:t>
                  </w:r>
                </w:p>
              </w:tc>
            </w:tr>
            <w:tr w14:paraId="0C5E20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55FB17A6">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4C04753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生活用水</w:t>
                  </w:r>
                </w:p>
              </w:tc>
              <w:tc>
                <w:tcPr>
                  <w:tcW w:w="510" w:type="pct"/>
                  <w:noWrap w:val="0"/>
                  <w:vAlign w:val="center"/>
                </w:tcPr>
                <w:p w14:paraId="42FEC48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5.5167</w:t>
                  </w:r>
                </w:p>
              </w:tc>
              <w:tc>
                <w:tcPr>
                  <w:tcW w:w="1130" w:type="pct"/>
                  <w:noWrap w:val="0"/>
                  <w:vAlign w:val="center"/>
                </w:tcPr>
                <w:p w14:paraId="3D307E4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生活污水</w:t>
                  </w:r>
                </w:p>
              </w:tc>
              <w:tc>
                <w:tcPr>
                  <w:tcW w:w="445" w:type="pct"/>
                  <w:noWrap w:val="0"/>
                  <w:vAlign w:val="center"/>
                </w:tcPr>
                <w:p w14:paraId="2871742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4.3</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133</w:t>
                  </w:r>
                </w:p>
              </w:tc>
              <w:tc>
                <w:tcPr>
                  <w:tcW w:w="586" w:type="pct"/>
                  <w:noWrap w:val="0"/>
                  <w:vAlign w:val="center"/>
                </w:tcPr>
                <w:p w14:paraId="5A4FE36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59FE83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0998B6D8">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14FA0E9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焚烧炉锅炉补水</w:t>
                  </w:r>
                </w:p>
              </w:tc>
              <w:tc>
                <w:tcPr>
                  <w:tcW w:w="510" w:type="pct"/>
                  <w:noWrap w:val="0"/>
                  <w:vAlign w:val="center"/>
                </w:tcPr>
                <w:p w14:paraId="2EAD299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30" w:type="pct"/>
                  <w:noWrap w:val="0"/>
                  <w:vAlign w:val="center"/>
                </w:tcPr>
                <w:p w14:paraId="69D5AF3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焚烧炉锅炉排污水</w:t>
                  </w:r>
                </w:p>
              </w:tc>
              <w:tc>
                <w:tcPr>
                  <w:tcW w:w="445" w:type="pct"/>
                  <w:noWrap w:val="0"/>
                  <w:vAlign w:val="center"/>
                </w:tcPr>
                <w:p w14:paraId="5F0A964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86" w:type="pct"/>
                  <w:noWrap w:val="0"/>
                  <w:vAlign w:val="center"/>
                </w:tcPr>
                <w:p w14:paraId="61765629">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47D1B3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51BB9B2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6840A3C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真空泵补水</w:t>
                  </w:r>
                </w:p>
              </w:tc>
              <w:tc>
                <w:tcPr>
                  <w:tcW w:w="510" w:type="pct"/>
                  <w:noWrap w:val="0"/>
                  <w:vAlign w:val="center"/>
                </w:tcPr>
                <w:p w14:paraId="78D4DF1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30" w:type="pct"/>
                  <w:noWrap w:val="0"/>
                  <w:vAlign w:val="center"/>
                </w:tcPr>
                <w:p w14:paraId="074FBC3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真空泵废水</w:t>
                  </w:r>
                </w:p>
              </w:tc>
              <w:tc>
                <w:tcPr>
                  <w:tcW w:w="445" w:type="pct"/>
                  <w:noWrap w:val="0"/>
                  <w:vAlign w:val="center"/>
                </w:tcPr>
                <w:p w14:paraId="1282C188">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586" w:type="pct"/>
                  <w:noWrap w:val="0"/>
                  <w:vAlign w:val="center"/>
                </w:tcPr>
                <w:p w14:paraId="0C02E25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6B8771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56B46FF6">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10C0348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火炬分液罐补水</w:t>
                  </w:r>
                </w:p>
              </w:tc>
              <w:tc>
                <w:tcPr>
                  <w:tcW w:w="510" w:type="pct"/>
                  <w:noWrap w:val="0"/>
                  <w:vAlign w:val="center"/>
                </w:tcPr>
                <w:p w14:paraId="74A861D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130" w:type="pct"/>
                  <w:noWrap w:val="0"/>
                  <w:vAlign w:val="center"/>
                </w:tcPr>
                <w:p w14:paraId="47B9AF6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火炬分液罐排污水</w:t>
                  </w:r>
                </w:p>
              </w:tc>
              <w:tc>
                <w:tcPr>
                  <w:tcW w:w="445" w:type="pct"/>
                  <w:noWrap w:val="0"/>
                  <w:vAlign w:val="center"/>
                </w:tcPr>
                <w:p w14:paraId="5E81A59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586" w:type="pct"/>
                  <w:noWrap w:val="0"/>
                  <w:vAlign w:val="center"/>
                </w:tcPr>
                <w:p w14:paraId="620D4B0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4F1045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33932BE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53D8F3B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初期雨水</w:t>
                  </w:r>
                </w:p>
              </w:tc>
              <w:tc>
                <w:tcPr>
                  <w:tcW w:w="510" w:type="pct"/>
                  <w:noWrap w:val="0"/>
                  <w:vAlign w:val="center"/>
                </w:tcPr>
                <w:p w14:paraId="5D2840B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w:t>
                  </w:r>
                </w:p>
              </w:tc>
              <w:tc>
                <w:tcPr>
                  <w:tcW w:w="1130" w:type="pct"/>
                  <w:noWrap w:val="0"/>
                  <w:vAlign w:val="center"/>
                </w:tcPr>
                <w:p w14:paraId="2EF08DD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初期雨水</w:t>
                  </w:r>
                </w:p>
              </w:tc>
              <w:tc>
                <w:tcPr>
                  <w:tcW w:w="445" w:type="pct"/>
                  <w:noWrap w:val="0"/>
                  <w:vAlign w:val="center"/>
                </w:tcPr>
                <w:p w14:paraId="1C702CC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12.9</w:t>
                  </w:r>
                </w:p>
              </w:tc>
              <w:tc>
                <w:tcPr>
                  <w:tcW w:w="586" w:type="pct"/>
                  <w:noWrap w:val="0"/>
                  <w:vAlign w:val="center"/>
                </w:tcPr>
                <w:p w14:paraId="0F32C40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496FAA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6B4F549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2387C3A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废气分布式能源项目废水</w:t>
                  </w:r>
                </w:p>
              </w:tc>
              <w:tc>
                <w:tcPr>
                  <w:tcW w:w="510" w:type="pct"/>
                  <w:noWrap w:val="0"/>
                  <w:vAlign w:val="center"/>
                </w:tcPr>
                <w:p w14:paraId="21DE07E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12.12</w:t>
                  </w:r>
                </w:p>
              </w:tc>
              <w:tc>
                <w:tcPr>
                  <w:tcW w:w="1130" w:type="pct"/>
                  <w:noWrap w:val="0"/>
                  <w:vAlign w:val="center"/>
                </w:tcPr>
                <w:p w14:paraId="5909358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废气分布式能源废水</w:t>
                  </w:r>
                </w:p>
              </w:tc>
              <w:tc>
                <w:tcPr>
                  <w:tcW w:w="445" w:type="pct"/>
                  <w:noWrap w:val="0"/>
                  <w:vAlign w:val="center"/>
                </w:tcPr>
                <w:p w14:paraId="7AA2C11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0.12</w:t>
                  </w:r>
                </w:p>
              </w:tc>
              <w:tc>
                <w:tcPr>
                  <w:tcW w:w="586" w:type="pct"/>
                  <w:noWrap w:val="0"/>
                  <w:vAlign w:val="center"/>
                </w:tcPr>
                <w:p w14:paraId="696A116C">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13BEAF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7BB3449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5C2966E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脱盐水站补充水</w:t>
                  </w:r>
                </w:p>
              </w:tc>
              <w:tc>
                <w:tcPr>
                  <w:tcW w:w="510" w:type="pct"/>
                  <w:noWrap w:val="0"/>
                  <w:vAlign w:val="center"/>
                </w:tcPr>
                <w:p w14:paraId="7D02B58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343</w:t>
                  </w:r>
                </w:p>
              </w:tc>
              <w:tc>
                <w:tcPr>
                  <w:tcW w:w="1130" w:type="pct"/>
                  <w:noWrap w:val="0"/>
                  <w:vAlign w:val="center"/>
                </w:tcPr>
                <w:p w14:paraId="753E52E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脱盐水站再生废水</w:t>
                  </w:r>
                </w:p>
              </w:tc>
              <w:tc>
                <w:tcPr>
                  <w:tcW w:w="445" w:type="pct"/>
                  <w:noWrap w:val="0"/>
                  <w:vAlign w:val="center"/>
                </w:tcPr>
                <w:p w14:paraId="6A4A2D90">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586" w:type="pct"/>
                  <w:noWrap w:val="0"/>
                  <w:vAlign w:val="center"/>
                </w:tcPr>
                <w:p w14:paraId="0D9BB23F">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631EAC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2E14F16C">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0F33575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蒸汽冷凝水</w:t>
                  </w:r>
                </w:p>
              </w:tc>
              <w:tc>
                <w:tcPr>
                  <w:tcW w:w="510" w:type="pct"/>
                  <w:noWrap w:val="0"/>
                  <w:vAlign w:val="center"/>
                </w:tcPr>
                <w:p w14:paraId="4BC1A92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326</w:t>
                  </w:r>
                </w:p>
              </w:tc>
              <w:tc>
                <w:tcPr>
                  <w:tcW w:w="1130" w:type="pct"/>
                  <w:noWrap w:val="0"/>
                  <w:vAlign w:val="center"/>
                </w:tcPr>
                <w:p w14:paraId="600C83C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脱盐水站反冲洗废水</w:t>
                  </w:r>
                </w:p>
              </w:tc>
              <w:tc>
                <w:tcPr>
                  <w:tcW w:w="445" w:type="pct"/>
                  <w:noWrap w:val="0"/>
                  <w:vAlign w:val="center"/>
                </w:tcPr>
                <w:p w14:paraId="66AE0E2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586" w:type="pct"/>
                  <w:noWrap w:val="0"/>
                  <w:vAlign w:val="center"/>
                </w:tcPr>
                <w:p w14:paraId="60A61A7B">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54B17E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1" w:type="pct"/>
                  <w:vMerge w:val="continue"/>
                  <w:noWrap/>
                  <w:vAlign w:val="center"/>
                </w:tcPr>
                <w:p w14:paraId="4CDF73C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6B66022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回用水站回用水</w:t>
                  </w:r>
                </w:p>
              </w:tc>
              <w:tc>
                <w:tcPr>
                  <w:tcW w:w="510" w:type="pct"/>
                  <w:noWrap w:val="0"/>
                  <w:vAlign w:val="center"/>
                </w:tcPr>
                <w:p w14:paraId="725B41AE">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207.3</w:t>
                  </w:r>
                </w:p>
              </w:tc>
              <w:tc>
                <w:tcPr>
                  <w:tcW w:w="1130" w:type="pct"/>
                  <w:noWrap w:val="0"/>
                  <w:vAlign w:val="center"/>
                </w:tcPr>
                <w:p w14:paraId="0E91F2F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用水单元</w:t>
                  </w:r>
                </w:p>
              </w:tc>
              <w:tc>
                <w:tcPr>
                  <w:tcW w:w="445" w:type="pct"/>
                  <w:noWrap w:val="0"/>
                  <w:vAlign w:val="center"/>
                </w:tcPr>
                <w:p w14:paraId="5C3C3AA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576</w:t>
                  </w:r>
                </w:p>
              </w:tc>
              <w:tc>
                <w:tcPr>
                  <w:tcW w:w="586" w:type="pct"/>
                  <w:noWrap w:val="0"/>
                  <w:vAlign w:val="center"/>
                </w:tcPr>
                <w:p w14:paraId="13F2723C">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5FBFC2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4B7C389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7016701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生产装置单元工业冷凝液</w:t>
                  </w:r>
                </w:p>
              </w:tc>
              <w:tc>
                <w:tcPr>
                  <w:tcW w:w="510" w:type="pct"/>
                  <w:noWrap w:val="0"/>
                  <w:vAlign w:val="center"/>
                </w:tcPr>
                <w:p w14:paraId="4C7A621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1130" w:type="pct"/>
                  <w:noWrap w:val="0"/>
                  <w:vAlign w:val="center"/>
                </w:tcPr>
                <w:p w14:paraId="7F7A866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循环水站排污水</w:t>
                  </w:r>
                </w:p>
              </w:tc>
              <w:tc>
                <w:tcPr>
                  <w:tcW w:w="445" w:type="pct"/>
                  <w:noWrap w:val="0"/>
                  <w:vAlign w:val="center"/>
                </w:tcPr>
                <w:p w14:paraId="4559159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178.8</w:t>
                  </w:r>
                </w:p>
              </w:tc>
              <w:tc>
                <w:tcPr>
                  <w:tcW w:w="586" w:type="pct"/>
                  <w:noWrap w:val="0"/>
                  <w:vAlign w:val="center"/>
                </w:tcPr>
                <w:p w14:paraId="7287E569">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6241A8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641" w:type="pct"/>
                  <w:vMerge w:val="continue"/>
                  <w:noWrap/>
                  <w:vAlign w:val="center"/>
                </w:tcPr>
                <w:p w14:paraId="5519B81B">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0"/>
                  <w:vAlign w:val="center"/>
                </w:tcPr>
                <w:p w14:paraId="2DF20DE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小计</w:t>
                  </w:r>
                </w:p>
              </w:tc>
              <w:tc>
                <w:tcPr>
                  <w:tcW w:w="510" w:type="pct"/>
                  <w:noWrap w:val="0"/>
                  <w:vAlign w:val="center"/>
                </w:tcPr>
                <w:p w14:paraId="2E36190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2013.4</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367</w:t>
                  </w:r>
                </w:p>
              </w:tc>
              <w:tc>
                <w:tcPr>
                  <w:tcW w:w="1130" w:type="pct"/>
                  <w:noWrap w:val="0"/>
                  <w:vAlign w:val="center"/>
                </w:tcPr>
                <w:p w14:paraId="5BC7B13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小计</w:t>
                  </w:r>
                </w:p>
              </w:tc>
              <w:tc>
                <w:tcPr>
                  <w:tcW w:w="445" w:type="pct"/>
                  <w:noWrap w:val="0"/>
                  <w:vAlign w:val="center"/>
                </w:tcPr>
                <w:p w14:paraId="2433059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2013.4</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367</w:t>
                  </w:r>
                </w:p>
              </w:tc>
              <w:tc>
                <w:tcPr>
                  <w:tcW w:w="586" w:type="pct"/>
                  <w:noWrap w:val="0"/>
                  <w:vAlign w:val="center"/>
                </w:tcPr>
                <w:p w14:paraId="7640759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w:t>
                  </w:r>
                </w:p>
              </w:tc>
            </w:tr>
            <w:tr w14:paraId="65ACE55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05" w:hRule="atLeast"/>
                <w:jc w:val="center"/>
              </w:trPr>
              <w:tc>
                <w:tcPr>
                  <w:tcW w:w="641" w:type="pct"/>
                  <w:vMerge w:val="restart"/>
                  <w:noWrap/>
                  <w:vAlign w:val="center"/>
                </w:tcPr>
                <w:p w14:paraId="437D661C">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废水站、回用水站单元</w:t>
                  </w:r>
                </w:p>
              </w:tc>
              <w:tc>
                <w:tcPr>
                  <w:tcW w:w="1686" w:type="pct"/>
                  <w:noWrap/>
                  <w:vAlign w:val="center"/>
                </w:tcPr>
                <w:p w14:paraId="398B4C7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进入</w:t>
                  </w:r>
                  <w:r>
                    <w:rPr>
                      <w:rFonts w:hint="eastAsia" w:ascii="宋体" w:hAnsi="宋体" w:cs="宋体"/>
                      <w:b/>
                      <w:bCs/>
                      <w:i w:val="0"/>
                      <w:iCs w:val="0"/>
                      <w:color w:val="000000" w:themeColor="text1"/>
                      <w:kern w:val="0"/>
                      <w:sz w:val="21"/>
                      <w:szCs w:val="21"/>
                      <w:u w:val="none"/>
                      <w:lang w:val="en-US" w:eastAsia="zh-CN" w:bidi="ar"/>
                      <w14:textFill>
                        <w14:solidFill>
                          <w14:schemeClr w14:val="tx1"/>
                        </w14:solidFill>
                      </w14:textFill>
                    </w:rPr>
                    <w:t>厂内</w:t>
                  </w: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废水站</w:t>
                  </w:r>
                </w:p>
              </w:tc>
              <w:tc>
                <w:tcPr>
                  <w:tcW w:w="510" w:type="pct"/>
                  <w:noWrap/>
                  <w:vAlign w:val="center"/>
                </w:tcPr>
                <w:p w14:paraId="1E43922B">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kern w:val="0"/>
                      <w:sz w:val="21"/>
                      <w:szCs w:val="21"/>
                      <w:lang w:val="en-US"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70.</w:t>
                  </w: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34</w:t>
                  </w:r>
                </w:p>
              </w:tc>
              <w:tc>
                <w:tcPr>
                  <w:tcW w:w="1130" w:type="pct"/>
                  <w:noWrap/>
                  <w:vAlign w:val="center"/>
                </w:tcPr>
                <w:p w14:paraId="16C4BBB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kern w:val="0"/>
                      <w:sz w:val="21"/>
                      <w:szCs w:val="21"/>
                      <w:lang w:bidi="ar"/>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废水站外排废水</w:t>
                  </w:r>
                </w:p>
              </w:tc>
              <w:tc>
                <w:tcPr>
                  <w:tcW w:w="445" w:type="pct"/>
                  <w:noWrap/>
                  <w:vAlign w:val="center"/>
                </w:tcPr>
                <w:p w14:paraId="2BFFEEC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kern w:val="0"/>
                      <w:sz w:val="21"/>
                      <w:szCs w:val="21"/>
                      <w:lang w:val="en-US"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70.22</w:t>
                  </w:r>
                </w:p>
              </w:tc>
              <w:tc>
                <w:tcPr>
                  <w:tcW w:w="586" w:type="pct"/>
                  <w:noWrap/>
                  <w:vAlign w:val="center"/>
                </w:tcPr>
                <w:p w14:paraId="28F039D7">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22411D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635FE3FA">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ign w:val="center"/>
                </w:tcPr>
                <w:p w14:paraId="29EF95A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进入</w:t>
                  </w:r>
                  <w:r>
                    <w:rPr>
                      <w:rFonts w:hint="eastAsia" w:ascii="宋体" w:hAnsi="宋体" w:cs="宋体"/>
                      <w:b/>
                      <w:bCs/>
                      <w:i w:val="0"/>
                      <w:iCs w:val="0"/>
                      <w:color w:val="000000" w:themeColor="text1"/>
                      <w:kern w:val="0"/>
                      <w:sz w:val="21"/>
                      <w:szCs w:val="21"/>
                      <w:u w:val="none"/>
                      <w:lang w:val="en-US" w:eastAsia="zh-CN" w:bidi="ar"/>
                      <w14:textFill>
                        <w14:solidFill>
                          <w14:schemeClr w14:val="tx1"/>
                        </w14:solidFill>
                      </w14:textFill>
                    </w:rPr>
                    <w:t>厂内</w:t>
                  </w: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回用水站</w:t>
                  </w:r>
                </w:p>
              </w:tc>
              <w:tc>
                <w:tcPr>
                  <w:tcW w:w="510" w:type="pct"/>
                  <w:noWrap/>
                  <w:vAlign w:val="center"/>
                </w:tcPr>
                <w:p w14:paraId="1E8851E3">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337.3</w:t>
                  </w:r>
                </w:p>
              </w:tc>
              <w:tc>
                <w:tcPr>
                  <w:tcW w:w="1130" w:type="pct"/>
                  <w:noWrap/>
                  <w:vAlign w:val="center"/>
                </w:tcPr>
                <w:p w14:paraId="761F0212">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回用水站循环回用水</w:t>
                  </w:r>
                </w:p>
              </w:tc>
              <w:tc>
                <w:tcPr>
                  <w:tcW w:w="445" w:type="pct"/>
                  <w:noWrap/>
                  <w:vAlign w:val="center"/>
                </w:tcPr>
                <w:p w14:paraId="6032E247">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215.82</w:t>
                  </w:r>
                </w:p>
              </w:tc>
              <w:tc>
                <w:tcPr>
                  <w:tcW w:w="586" w:type="pct"/>
                  <w:noWrap/>
                  <w:vAlign w:val="center"/>
                </w:tcPr>
                <w:p w14:paraId="7F7CEE82">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6C3F74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1" w:type="pct"/>
                  <w:vMerge w:val="continue"/>
                  <w:noWrap/>
                  <w:vAlign w:val="center"/>
                </w:tcPr>
                <w:p w14:paraId="18298725">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ign w:val="center"/>
                </w:tcPr>
                <w:p w14:paraId="1468B3E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进入高盐废水处理系统</w:t>
                  </w:r>
                </w:p>
              </w:tc>
              <w:tc>
                <w:tcPr>
                  <w:tcW w:w="510" w:type="pct"/>
                  <w:noWrap/>
                  <w:vAlign w:val="center"/>
                </w:tcPr>
                <w:p w14:paraId="6661EAC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130" w:type="pct"/>
                  <w:noWrap/>
                  <w:vAlign w:val="center"/>
                </w:tcPr>
                <w:p w14:paraId="5921576F">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污泥带走</w:t>
                  </w:r>
                </w:p>
              </w:tc>
              <w:tc>
                <w:tcPr>
                  <w:tcW w:w="445" w:type="pct"/>
                  <w:noWrap/>
                  <w:vAlign w:val="center"/>
                </w:tcPr>
                <w:p w14:paraId="0B2ADA8D">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586" w:type="pct"/>
                  <w:noWrap/>
                  <w:vAlign w:val="center"/>
                </w:tcPr>
                <w:p w14:paraId="28A8505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441AB5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1" w:type="pct"/>
                  <w:vMerge w:val="continue"/>
                  <w:noWrap/>
                  <w:vAlign w:val="center"/>
                </w:tcPr>
                <w:p w14:paraId="0652D4F4">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ign w:val="center"/>
                </w:tcPr>
                <w:p w14:paraId="30F34F43">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510" w:type="pct"/>
                  <w:noWrap/>
                  <w:vAlign w:val="center"/>
                </w:tcPr>
                <w:p w14:paraId="6CE368D7">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130" w:type="pct"/>
                  <w:noWrap/>
                  <w:vAlign w:val="center"/>
                </w:tcPr>
                <w:p w14:paraId="4F96C0F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回用水站外排废水</w:t>
                  </w:r>
                </w:p>
              </w:tc>
              <w:tc>
                <w:tcPr>
                  <w:tcW w:w="445" w:type="pct"/>
                  <w:noWrap/>
                  <w:vAlign w:val="center"/>
                </w:tcPr>
                <w:p w14:paraId="3301F3D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121.1</w:t>
                  </w:r>
                </w:p>
              </w:tc>
              <w:tc>
                <w:tcPr>
                  <w:tcW w:w="586" w:type="pct"/>
                  <w:noWrap/>
                  <w:vAlign w:val="center"/>
                </w:tcPr>
                <w:p w14:paraId="2C1FA206">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282623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1" w:type="pct"/>
                  <w:vMerge w:val="continue"/>
                  <w:noWrap/>
                  <w:vAlign w:val="center"/>
                </w:tcPr>
                <w:p w14:paraId="2C685815">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ign w:val="center"/>
                </w:tcPr>
                <w:p w14:paraId="498E1748">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510" w:type="pct"/>
                  <w:noWrap/>
                  <w:vAlign w:val="center"/>
                </w:tcPr>
                <w:p w14:paraId="70E65702">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c>
                <w:tcPr>
                  <w:tcW w:w="1130" w:type="pct"/>
                  <w:noWrap/>
                  <w:vAlign w:val="center"/>
                </w:tcPr>
                <w:p w14:paraId="7E0EE1B4">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高盐废水处理系统带走</w:t>
                  </w:r>
                </w:p>
              </w:tc>
              <w:tc>
                <w:tcPr>
                  <w:tcW w:w="445" w:type="pct"/>
                  <w:noWrap/>
                  <w:vAlign w:val="center"/>
                </w:tcPr>
                <w:p w14:paraId="45CC4DB1">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586" w:type="pct"/>
                  <w:noWrap/>
                  <w:vAlign w:val="center"/>
                </w:tcPr>
                <w:p w14:paraId="7FB2852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r w14:paraId="2495F7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1" w:type="pct"/>
                  <w:vMerge w:val="continue"/>
                  <w:noWrap/>
                  <w:vAlign w:val="center"/>
                </w:tcPr>
                <w:p w14:paraId="28D28345">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textAlignment w:val="center"/>
                    <w:rPr>
                      <w:rFonts w:hint="default" w:ascii="Times New Roman" w:hAnsi="Times New Roman" w:cs="Times New Roman"/>
                      <w:color w:val="000000" w:themeColor="text1"/>
                      <w:sz w:val="21"/>
                      <w:szCs w:val="21"/>
                      <w14:textFill>
                        <w14:solidFill>
                          <w14:schemeClr w14:val="tx1"/>
                        </w14:solidFill>
                      </w14:textFill>
                    </w:rPr>
                  </w:pPr>
                </w:p>
              </w:tc>
              <w:tc>
                <w:tcPr>
                  <w:tcW w:w="1686" w:type="pct"/>
                  <w:noWrap/>
                  <w:vAlign w:val="center"/>
                </w:tcPr>
                <w:p w14:paraId="74312E66">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小计</w:t>
                  </w:r>
                </w:p>
              </w:tc>
              <w:tc>
                <w:tcPr>
                  <w:tcW w:w="510" w:type="pct"/>
                  <w:noWrap/>
                  <w:vAlign w:val="center"/>
                </w:tcPr>
                <w:p w14:paraId="48DD965C">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412.64</w:t>
                  </w:r>
                </w:p>
              </w:tc>
              <w:tc>
                <w:tcPr>
                  <w:tcW w:w="1130" w:type="pct"/>
                  <w:noWrap/>
                  <w:vAlign w:val="center"/>
                </w:tcPr>
                <w:p w14:paraId="01D0DC4D">
                  <w:pPr>
                    <w:keepNext w:val="0"/>
                    <w:keepLines w:val="0"/>
                    <w:pageBreakBefore w:val="0"/>
                    <w:kinsoku/>
                    <w:wordWrap/>
                    <w:overflowPunct/>
                    <w:topLinePunct w:val="0"/>
                    <w:autoSpaceDE/>
                    <w:autoSpaceDN/>
                    <w:bidi w:val="0"/>
                    <w:adjustRightInd/>
                    <w:snapToGrid/>
                    <w:ind w:left="-63" w:leftChars="-30" w:right="-63" w:rightChars="-3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45" w:type="pct"/>
                  <w:noWrap/>
                  <w:vAlign w:val="center"/>
                </w:tcPr>
                <w:p w14:paraId="5F5ACB7A">
                  <w:pPr>
                    <w:keepNext w:val="0"/>
                    <w:keepLines w:val="0"/>
                    <w:pageBreakBefore w:val="0"/>
                    <w:widowControl/>
                    <w:suppressLineNumbers w:val="0"/>
                    <w:kinsoku/>
                    <w:wordWrap/>
                    <w:overflowPunct/>
                    <w:topLinePunct w:val="0"/>
                    <w:autoSpaceDE/>
                    <w:autoSpaceDN/>
                    <w:bidi w:val="0"/>
                    <w:adjustRightInd/>
                    <w:snapToGrid/>
                    <w:ind w:left="-63" w:leftChars="-30" w:right="-63" w:rightChars="-30"/>
                    <w:jc w:val="center"/>
                    <w:textAlignment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412.64</w:t>
                  </w:r>
                </w:p>
              </w:tc>
              <w:tc>
                <w:tcPr>
                  <w:tcW w:w="586" w:type="pct"/>
                  <w:noWrap/>
                  <w:vAlign w:val="center"/>
                </w:tcPr>
                <w:p w14:paraId="20AF3061">
                  <w:pPr>
                    <w:keepNext w:val="0"/>
                    <w:keepLines w:val="0"/>
                    <w:pageBreakBefore w:val="0"/>
                    <w:widowControl/>
                    <w:kinsoku/>
                    <w:wordWrap/>
                    <w:overflowPunct/>
                    <w:topLinePunct w:val="0"/>
                    <w:autoSpaceDE/>
                    <w:autoSpaceDN/>
                    <w:bidi w:val="0"/>
                    <w:adjustRightInd/>
                    <w:snapToGrid/>
                    <w:spacing w:line="260" w:lineRule="exact"/>
                    <w:ind w:left="-63" w:leftChars="-30" w:right="-63" w:rightChars="-30"/>
                    <w:jc w:val="center"/>
                    <w:rPr>
                      <w:rFonts w:hint="default" w:ascii="Times New Roman" w:hAnsi="Times New Roman" w:cs="Times New Roman"/>
                      <w:color w:val="000000" w:themeColor="text1"/>
                      <w:sz w:val="21"/>
                      <w:szCs w:val="21"/>
                      <w14:textFill>
                        <w14:solidFill>
                          <w14:schemeClr w14:val="tx1"/>
                        </w14:solidFill>
                      </w14:textFill>
                    </w:rPr>
                  </w:pPr>
                </w:p>
              </w:tc>
            </w:tr>
          </w:tbl>
          <w:p w14:paraId="2A23D87F">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p>
          <w:p w14:paraId="4455B06C">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w:t>
            </w:r>
            <w:r>
              <w:rPr>
                <w:rFonts w:hint="eastAsia" w:cs="Times New Roman"/>
                <w:color w:val="000000" w:themeColor="text1"/>
                <w:sz w:val="24"/>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lang w:bidi="ar"/>
                <w14:textFill>
                  <w14:solidFill>
                    <w14:schemeClr w14:val="tx1"/>
                  </w14:solidFill>
                </w14:textFill>
              </w:rPr>
              <w:t xml:space="preserve">）供电 </w:t>
            </w:r>
          </w:p>
          <w:p w14:paraId="600E381C">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本项目用电由厂区内已建电网及变压器供给。</w:t>
            </w:r>
          </w:p>
          <w:p w14:paraId="37D72C5A">
            <w:pPr>
              <w:autoSpaceDE w:val="0"/>
              <w:spacing w:line="360" w:lineRule="auto"/>
              <w:ind w:firstLine="482" w:firstLineChars="200"/>
              <w:rPr>
                <w:rFonts w:hint="default" w:ascii="Times New Roman" w:hAnsi="Times New Roman" w:eastAsia="宋体" w:cs="Times New Roman"/>
                <w:b/>
                <w:bCs/>
                <w:color w:val="000000" w:themeColor="text1"/>
                <w:sz w:val="24"/>
                <w:lang w:bidi="ar"/>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2.7项目依托情况及可行性分析</w:t>
            </w:r>
          </w:p>
          <w:p w14:paraId="2268903B">
            <w:pPr>
              <w:autoSpaceDE w:val="0"/>
              <w:spacing w:line="360" w:lineRule="auto"/>
              <w:ind w:firstLine="480" w:firstLineChars="200"/>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本项目废水、废气的处理依托厂区现有工程进行，具体依托情况见下表。</w:t>
            </w:r>
          </w:p>
          <w:p w14:paraId="17EC1807">
            <w:pPr>
              <w:autoSpaceDE w:val="0"/>
              <w:jc w:val="center"/>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w:t>
            </w:r>
            <w:r>
              <w:rPr>
                <w:rFonts w:hint="default" w:ascii="Times New Roman" w:hAnsi="Times New Roman" w:eastAsia="宋体" w:cs="Times New Roman"/>
                <w:b/>
                <w:color w:val="000000" w:themeColor="text1"/>
                <w:szCs w:val="21"/>
                <w14:textFill>
                  <w14:solidFill>
                    <w14:schemeClr w14:val="tx1"/>
                  </w14:solidFill>
                </w14:textFill>
              </w:rPr>
              <w:fldChar w:fldCharType="begin"/>
            </w:r>
            <w:r>
              <w:rPr>
                <w:rFonts w:hint="default" w:ascii="Times New Roman" w:hAnsi="Times New Roman" w:eastAsia="宋体" w:cs="Times New Roman"/>
                <w:b/>
                <w:color w:val="000000" w:themeColor="text1"/>
                <w:szCs w:val="21"/>
                <w14:textFill>
                  <w14:solidFill>
                    <w14:schemeClr w14:val="tx1"/>
                  </w14:solidFill>
                </w14:textFill>
              </w:rPr>
              <w:instrText xml:space="preserve"> STYLEREF 1 \s </w:instrText>
            </w:r>
            <w:r>
              <w:rPr>
                <w:rFonts w:hint="default" w:ascii="Times New Roman" w:hAnsi="Times New Roman" w:eastAsia="宋体" w:cs="Times New Roman"/>
                <w:b/>
                <w:color w:val="000000" w:themeColor="text1"/>
                <w:szCs w:val="21"/>
                <w14:textFill>
                  <w14:solidFill>
                    <w14:schemeClr w14:val="tx1"/>
                  </w14:solidFill>
                </w14:textFill>
              </w:rPr>
              <w:fldChar w:fldCharType="separate"/>
            </w:r>
            <w:r>
              <w:rPr>
                <w:rFonts w:hint="default" w:ascii="Times New Roman" w:hAnsi="Times New Roman" w:eastAsia="宋体" w:cs="Times New Roman"/>
                <w:b/>
                <w:color w:val="000000" w:themeColor="text1"/>
                <w:szCs w:val="21"/>
                <w14:textFill>
                  <w14:solidFill>
                    <w14:schemeClr w14:val="tx1"/>
                  </w14:solidFill>
                </w14:textFill>
              </w:rPr>
              <w:t>2</w:t>
            </w:r>
            <w:r>
              <w:rPr>
                <w:rFonts w:hint="default" w:ascii="Times New Roman" w:hAnsi="Times New Roman" w:eastAsia="宋体" w:cs="Times New Roman"/>
                <w:b/>
                <w:color w:val="000000" w:themeColor="text1"/>
                <w:szCs w:val="21"/>
                <w14:textFill>
                  <w14:solidFill>
                    <w14:schemeClr w14:val="tx1"/>
                  </w14:solidFill>
                </w14:textFill>
              </w:rPr>
              <w:fldChar w:fldCharType="end"/>
            </w:r>
            <w:r>
              <w:rPr>
                <w:rFonts w:hint="default" w:ascii="Times New Roman" w:hAnsi="Times New Roman" w:eastAsia="宋体" w:cs="Times New Roman"/>
                <w:b/>
                <w:color w:val="000000" w:themeColor="text1"/>
                <w:szCs w:val="21"/>
                <w14:textFill>
                  <w14:solidFill>
                    <w14:schemeClr w14:val="tx1"/>
                  </w14:solidFill>
                </w14:textFill>
              </w:rPr>
              <w:t>-</w:t>
            </w:r>
            <w:r>
              <w:rPr>
                <w:rFonts w:hint="eastAsia" w:cs="Times New Roman"/>
                <w:b/>
                <w:color w:val="000000" w:themeColor="text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Cs w:val="21"/>
                <w14:textFill>
                  <w14:solidFill>
                    <w14:schemeClr w14:val="tx1"/>
                  </w14:solidFill>
                </w14:textFill>
              </w:rPr>
              <w:t xml:space="preserve"> 项目依托情况一览表</w:t>
            </w:r>
          </w:p>
          <w:tbl>
            <w:tblPr>
              <w:tblStyle w:val="49"/>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46"/>
              <w:gridCol w:w="2986"/>
              <w:gridCol w:w="2492"/>
              <w:gridCol w:w="995"/>
            </w:tblGrid>
            <w:tr w14:paraId="5261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vAlign w:val="center"/>
                </w:tcPr>
                <w:p w14:paraId="16164212">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w:t>
                  </w:r>
                </w:p>
              </w:tc>
              <w:tc>
                <w:tcPr>
                  <w:tcW w:w="3832" w:type="dxa"/>
                  <w:gridSpan w:val="2"/>
                  <w:vAlign w:val="center"/>
                </w:tcPr>
                <w:p w14:paraId="54092885">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依托内容</w:t>
                  </w:r>
                </w:p>
              </w:tc>
              <w:tc>
                <w:tcPr>
                  <w:tcW w:w="2492" w:type="dxa"/>
                  <w:vAlign w:val="center"/>
                </w:tcPr>
                <w:p w14:paraId="03D83DD2">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本项目情况</w:t>
                  </w:r>
                </w:p>
              </w:tc>
              <w:tc>
                <w:tcPr>
                  <w:tcW w:w="995" w:type="dxa"/>
                  <w:vAlign w:val="center"/>
                </w:tcPr>
                <w:p w14:paraId="485C1A84">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依托可行性</w:t>
                  </w:r>
                </w:p>
              </w:tc>
            </w:tr>
            <w:tr w14:paraId="65C2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068" w:type="dxa"/>
                  <w:vAlign w:val="center"/>
                </w:tcPr>
                <w:p w14:paraId="331323D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供水供电设施</w:t>
                  </w:r>
                </w:p>
              </w:tc>
              <w:tc>
                <w:tcPr>
                  <w:tcW w:w="3832" w:type="dxa"/>
                  <w:gridSpan w:val="2"/>
                  <w:vAlign w:val="center"/>
                </w:tcPr>
                <w:p w14:paraId="0EB883B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供水来自厂区供水管网；供电来自厂区已建电网</w:t>
                  </w:r>
                </w:p>
              </w:tc>
              <w:tc>
                <w:tcPr>
                  <w:tcW w:w="2492" w:type="dxa"/>
                  <w:vAlign w:val="center"/>
                </w:tcPr>
                <w:p w14:paraId="6A2638A3">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本项目运营期用水量小且频次低，无重大能耗生产设备，依托现有供水供电设施可行</w:t>
                  </w:r>
                </w:p>
              </w:tc>
              <w:tc>
                <w:tcPr>
                  <w:tcW w:w="995" w:type="dxa"/>
                  <w:vAlign w:val="center"/>
                </w:tcPr>
                <w:p w14:paraId="4FF0289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449E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068" w:type="dxa"/>
                  <w:vAlign w:val="center"/>
                </w:tcPr>
                <w:p w14:paraId="46481CC0">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产品检测</w:t>
                  </w:r>
                </w:p>
              </w:tc>
              <w:tc>
                <w:tcPr>
                  <w:tcW w:w="3832" w:type="dxa"/>
                  <w:gridSpan w:val="2"/>
                  <w:vAlign w:val="center"/>
                </w:tcPr>
                <w:p w14:paraId="78F8C220">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厂区已建实验室</w:t>
                  </w:r>
                </w:p>
              </w:tc>
              <w:tc>
                <w:tcPr>
                  <w:tcW w:w="2492" w:type="dxa"/>
                  <w:vAlign w:val="center"/>
                </w:tcPr>
                <w:p w14:paraId="5162E094">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厂区现有实验室已经建成，各类分析仪器可以对CO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成分进行分析</w:t>
                  </w:r>
                </w:p>
              </w:tc>
              <w:tc>
                <w:tcPr>
                  <w:tcW w:w="995" w:type="dxa"/>
                  <w:vAlign w:val="center"/>
                </w:tcPr>
                <w:p w14:paraId="645071F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5C7E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068" w:type="dxa"/>
                  <w:vAlign w:val="center"/>
                </w:tcPr>
                <w:p w14:paraId="712B90D8">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增压器</w:t>
                  </w:r>
                </w:p>
              </w:tc>
              <w:tc>
                <w:tcPr>
                  <w:tcW w:w="3832" w:type="dxa"/>
                  <w:gridSpan w:val="2"/>
                  <w:vAlign w:val="center"/>
                </w:tcPr>
                <w:p w14:paraId="5287419D">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现有MEDA吸附CO</w:t>
                  </w:r>
                  <w:r>
                    <w:rPr>
                      <w:rFonts w:hint="eastAsia" w:cs="Times New Roman"/>
                      <w:color w:val="000000" w:themeColor="text1"/>
                      <w:kern w:val="2"/>
                      <w:sz w:val="21"/>
                      <w:szCs w:val="24"/>
                      <w:vertAlign w:val="subscript"/>
                      <w:lang w:val="en-US" w:eastAsia="zh-CN" w:bidi="ar-SA"/>
                      <w14:textFill>
                        <w14:solidFill>
                          <w14:schemeClr w14:val="tx1"/>
                        </w14:solidFill>
                      </w14:textFill>
                    </w:rPr>
                    <w:t>2</w:t>
                  </w:r>
                  <w:r>
                    <w:rPr>
                      <w:rFonts w:hint="eastAsia" w:cs="Times New Roman"/>
                      <w:color w:val="000000" w:themeColor="text1"/>
                      <w:kern w:val="2"/>
                      <w:sz w:val="21"/>
                      <w:szCs w:val="24"/>
                      <w:lang w:val="en-US" w:eastAsia="zh-CN" w:bidi="ar-SA"/>
                      <w14:textFill>
                        <w14:solidFill>
                          <w14:schemeClr w14:val="tx1"/>
                        </w14:solidFill>
                      </w14:textFill>
                    </w:rPr>
                    <w:t>后进行增压，增压后再降压，解析出CO</w:t>
                  </w:r>
                  <w:r>
                    <w:rPr>
                      <w:rFonts w:hint="eastAsia" w:cs="Times New Roman"/>
                      <w:color w:val="000000" w:themeColor="text1"/>
                      <w:kern w:val="2"/>
                      <w:sz w:val="21"/>
                      <w:szCs w:val="24"/>
                      <w:vertAlign w:val="subscript"/>
                      <w:lang w:val="en-US" w:eastAsia="zh-CN" w:bidi="ar-SA"/>
                      <w14:textFill>
                        <w14:solidFill>
                          <w14:schemeClr w14:val="tx1"/>
                        </w14:solidFill>
                      </w14:textFill>
                    </w:rPr>
                    <w:t>2</w:t>
                  </w:r>
                  <w:r>
                    <w:rPr>
                      <w:rFonts w:hint="eastAsia" w:cs="Times New Roman"/>
                      <w:color w:val="000000" w:themeColor="text1"/>
                      <w:kern w:val="2"/>
                      <w:sz w:val="21"/>
                      <w:szCs w:val="24"/>
                      <w:lang w:val="en-US" w:eastAsia="zh-CN" w:bidi="ar-SA"/>
                      <w14:textFill>
                        <w14:solidFill>
                          <w14:schemeClr w14:val="tx1"/>
                        </w14:solidFill>
                      </w14:textFill>
                    </w:rPr>
                    <w:t>，MEDA如此循环</w:t>
                  </w:r>
                </w:p>
              </w:tc>
              <w:tc>
                <w:tcPr>
                  <w:tcW w:w="2492" w:type="dxa"/>
                  <w:vAlign w:val="center"/>
                </w:tcPr>
                <w:p w14:paraId="3B27F551">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依托已建CO</w:t>
                  </w:r>
                  <w:r>
                    <w:rPr>
                      <w:rFonts w:hint="eastAsia" w:cs="Times New Roman"/>
                      <w:color w:val="000000" w:themeColor="text1"/>
                      <w:vertAlign w:val="sub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增压器对MDEA原料气进行增压</w:t>
                  </w:r>
                </w:p>
              </w:tc>
              <w:tc>
                <w:tcPr>
                  <w:tcW w:w="995" w:type="dxa"/>
                  <w:vAlign w:val="center"/>
                </w:tcPr>
                <w:p w14:paraId="2A302EA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5B99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068" w:type="dxa"/>
                  <w:vAlign w:val="center"/>
                </w:tcPr>
                <w:p w14:paraId="7334BC0D">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设备维护及修理</w:t>
                  </w:r>
                </w:p>
              </w:tc>
              <w:tc>
                <w:tcPr>
                  <w:tcW w:w="3832" w:type="dxa"/>
                  <w:gridSpan w:val="2"/>
                  <w:vAlign w:val="center"/>
                </w:tcPr>
                <w:p w14:paraId="3DB8EB97">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厂区已建机修站</w:t>
                  </w:r>
                </w:p>
              </w:tc>
              <w:tc>
                <w:tcPr>
                  <w:tcW w:w="2492" w:type="dxa"/>
                  <w:vAlign w:val="center"/>
                </w:tcPr>
                <w:p w14:paraId="240500AD">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本项目设备较少，依托厂区已建机修站完全可行</w:t>
                  </w:r>
                </w:p>
              </w:tc>
              <w:tc>
                <w:tcPr>
                  <w:tcW w:w="995" w:type="dxa"/>
                  <w:vAlign w:val="center"/>
                </w:tcPr>
                <w:p w14:paraId="2101A5E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23DC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068" w:type="dxa"/>
                  <w:vAlign w:val="center"/>
                </w:tcPr>
                <w:p w14:paraId="5EB54531">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氮气供应</w:t>
                  </w:r>
                </w:p>
              </w:tc>
              <w:tc>
                <w:tcPr>
                  <w:tcW w:w="3832" w:type="dxa"/>
                  <w:gridSpan w:val="2"/>
                  <w:vAlign w:val="center"/>
                </w:tcPr>
                <w:p w14:paraId="76807B1F">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厂区已建氮气制备系统</w:t>
                  </w:r>
                </w:p>
              </w:tc>
              <w:tc>
                <w:tcPr>
                  <w:tcW w:w="2492" w:type="dxa"/>
                  <w:vAlign w:val="center"/>
                </w:tcPr>
                <w:p w14:paraId="1F39465B">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氮气制备系统产生的氮气可部分用于本项目吹扫和氮封</w:t>
                  </w:r>
                </w:p>
              </w:tc>
              <w:tc>
                <w:tcPr>
                  <w:tcW w:w="995" w:type="dxa"/>
                  <w:vAlign w:val="center"/>
                </w:tcPr>
                <w:p w14:paraId="0408778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7C32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068" w:type="dxa"/>
                  <w:vAlign w:val="center"/>
                </w:tcPr>
                <w:p w14:paraId="0B3F7416">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管线吹扫</w:t>
                  </w:r>
                </w:p>
              </w:tc>
              <w:tc>
                <w:tcPr>
                  <w:tcW w:w="3832" w:type="dxa"/>
                  <w:gridSpan w:val="2"/>
                  <w:vAlign w:val="center"/>
                </w:tcPr>
                <w:p w14:paraId="246DA8F1">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厂区现有空气压缩机</w:t>
                  </w:r>
                </w:p>
              </w:tc>
              <w:tc>
                <w:tcPr>
                  <w:tcW w:w="2492" w:type="dxa"/>
                  <w:vAlign w:val="center"/>
                </w:tcPr>
                <w:p w14:paraId="211BC56B">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厂区管线较多，空气压缩机为常备设备，可用于本项目管线吹扫</w:t>
                  </w:r>
                </w:p>
              </w:tc>
              <w:tc>
                <w:tcPr>
                  <w:tcW w:w="995" w:type="dxa"/>
                  <w:vAlign w:val="center"/>
                </w:tcPr>
                <w:p w14:paraId="631C157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依托可行</w:t>
                  </w:r>
                </w:p>
              </w:tc>
            </w:tr>
            <w:tr w14:paraId="486C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068" w:type="dxa"/>
                  <w:vMerge w:val="restart"/>
                  <w:vAlign w:val="center"/>
                </w:tcPr>
                <w:p w14:paraId="27BAF08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污水处理设施</w:t>
                  </w:r>
                </w:p>
              </w:tc>
              <w:tc>
                <w:tcPr>
                  <w:tcW w:w="846" w:type="dxa"/>
                  <w:vAlign w:val="center"/>
                </w:tcPr>
                <w:p w14:paraId="42DEFC32">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洗管废水依托</w:t>
                  </w:r>
                </w:p>
              </w:tc>
              <w:tc>
                <w:tcPr>
                  <w:tcW w:w="2986" w:type="dxa"/>
                  <w:vAlign w:val="center"/>
                </w:tcPr>
                <w:p w14:paraId="3A8C7158">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回用水站1座，400m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/h，用于回收循环排污水、脱盐水站废水，回用水质满足《循环冷却水用再生水水质标准》（HG/T3923-2007）回用于循环水站，浓水送园区污水处理厂</w:t>
                  </w:r>
                </w:p>
              </w:tc>
              <w:tc>
                <w:tcPr>
                  <w:tcW w:w="2492" w:type="dxa"/>
                  <w:vAlign w:val="center"/>
                </w:tcPr>
                <w:p w14:paraId="1D29FE87">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本次技改新增回用水</w:t>
                  </w:r>
                  <w:r>
                    <w:rPr>
                      <w:rFonts w:hint="eastAsia" w:cs="Times New Roman"/>
                      <w:color w:val="000000" w:themeColor="text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Cs w:val="21"/>
                      <w14:textFill>
                        <w14:solidFill>
                          <w14:schemeClr w14:val="tx1"/>
                        </w14:solidFill>
                      </w14:textFill>
                    </w:rPr>
                    <w:t>量</w:t>
                  </w:r>
                  <w:r>
                    <w:rPr>
                      <w:rFonts w:hint="eastAsia" w:cs="Times New Roman"/>
                      <w:color w:val="000000" w:themeColor="text1"/>
                      <w:szCs w:val="21"/>
                      <w:lang w:val="en-US" w:eastAsia="zh-CN"/>
                      <w14:textFill>
                        <w14:solidFill>
                          <w14:schemeClr w14:val="tx1"/>
                        </w14:solidFill>
                      </w14:textFill>
                    </w:rPr>
                    <w:t>68m</w:t>
                  </w:r>
                  <w:r>
                    <w:rPr>
                      <w:rFonts w:hint="eastAsia" w:cs="Times New Roman"/>
                      <w:color w:val="000000" w:themeColor="text1"/>
                      <w:szCs w:val="21"/>
                      <w:vertAlign w:val="super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/次</w:t>
                  </w:r>
                  <w:r>
                    <w:rPr>
                      <w:rFonts w:hint="default" w:ascii="Times New Roman" w:hAnsi="Times New Roman" w:eastAsia="宋体" w:cs="Times New Roman"/>
                      <w:color w:val="000000" w:themeColor="text1"/>
                      <w:szCs w:val="21"/>
                      <w14:textFill>
                        <w14:solidFill>
                          <w14:schemeClr w14:val="tx1"/>
                        </w14:solidFill>
                      </w14:textFill>
                    </w:rPr>
                    <w:t>，水质简单（含少量SS），可满足依托处理需求</w:t>
                  </w:r>
                </w:p>
              </w:tc>
              <w:tc>
                <w:tcPr>
                  <w:tcW w:w="995" w:type="dxa"/>
                  <w:vAlign w:val="center"/>
                </w:tcPr>
                <w:p w14:paraId="08EA9430">
                  <w:pPr>
                    <w:pStyle w:val="471"/>
                    <w:numPr>
                      <w:ilvl w:val="0"/>
                      <w:numId w:val="0"/>
                    </w:numPr>
                    <w:spacing w:before="120"/>
                    <w:jc w:val="center"/>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依托可行</w:t>
                  </w:r>
                </w:p>
              </w:tc>
            </w:tr>
            <w:tr w14:paraId="34DF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 w:type="dxa"/>
                  <w:vMerge w:val="continue"/>
                  <w:vAlign w:val="center"/>
                </w:tcPr>
                <w:p w14:paraId="3BD4A8C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846" w:type="dxa"/>
                  <w:vAlign w:val="center"/>
                </w:tcPr>
                <w:p w14:paraId="1614ED44">
                  <w:pPr>
                    <w:adjustRightInd w:val="0"/>
                    <w:snapToGrid w:val="0"/>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冷凝水、</w:t>
                  </w:r>
                  <w:r>
                    <w:rPr>
                      <w:rFonts w:hint="default" w:ascii="Times New Roman" w:hAnsi="Times New Roman" w:eastAsia="宋体" w:cs="Times New Roman"/>
                      <w:color w:val="000000" w:themeColor="text1"/>
                      <w:szCs w:val="21"/>
                      <w:lang w:val="en-US" w:eastAsia="zh-CN"/>
                      <w14:textFill>
                        <w14:solidFill>
                          <w14:schemeClr w14:val="tx1"/>
                        </w14:solidFill>
                      </w14:textFill>
                    </w:rPr>
                    <w:t>生活污水依托</w:t>
                  </w:r>
                </w:p>
              </w:tc>
              <w:tc>
                <w:tcPr>
                  <w:tcW w:w="2986" w:type="dxa"/>
                  <w:vAlign w:val="center"/>
                </w:tcPr>
                <w:p w14:paraId="6B7A94CE">
                  <w:pPr>
                    <w:adjustRightInd w:val="0"/>
                    <w:snapToGrid w:val="0"/>
                    <w:jc w:val="both"/>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综合废水处理站1座，</w:t>
                  </w:r>
                  <w:r>
                    <w:rPr>
                      <w:rFonts w:hint="eastAsia" w:cs="Times New Roman"/>
                      <w:color w:val="000000" w:themeColor="text1"/>
                      <w:szCs w:val="21"/>
                      <w:lang w:val="en-US" w:eastAsia="zh-CN"/>
                      <w14:textFill>
                        <w14:solidFill>
                          <w14:schemeClr w14:val="tx1"/>
                        </w14:solidFill>
                      </w14:textFill>
                    </w:rPr>
                    <w:t>2×20</w:t>
                  </w:r>
                  <w:r>
                    <w:rPr>
                      <w:rFonts w:hint="default" w:ascii="Times New Roman" w:hAnsi="Times New Roman" w:eastAsia="宋体" w:cs="Times New Roman"/>
                      <w:color w:val="000000" w:themeColor="text1"/>
                      <w:szCs w:val="21"/>
                      <w:lang w:val="en-US" w:eastAsia="zh-CN"/>
                      <w14:textFill>
                        <w14:solidFill>
                          <w14:schemeClr w14:val="tx1"/>
                        </w14:solidFill>
                      </w14:textFill>
                    </w:rPr>
                    <w:t>0m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/h），出水到达到《石油化学工业污染物排放标准》（GB31571-2015）标准、《污水综合排放标准》（GB8978-1996）三级标准</w:t>
                  </w:r>
                </w:p>
              </w:tc>
              <w:tc>
                <w:tcPr>
                  <w:tcW w:w="2492" w:type="dxa"/>
                  <w:vAlign w:val="center"/>
                </w:tcPr>
                <w:p w14:paraId="45D3E45B">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本次技改新增生活污水</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冷凝水</w:t>
                  </w:r>
                  <w:r>
                    <w:rPr>
                      <w:rFonts w:hint="default" w:ascii="Times New Roman" w:hAnsi="Times New Roman" w:eastAsia="宋体" w:cs="Times New Roman"/>
                      <w:color w:val="000000" w:themeColor="text1"/>
                      <w:szCs w:val="21"/>
                      <w14:textFill>
                        <w14:solidFill>
                          <w14:schemeClr w14:val="tx1"/>
                        </w14:solidFill>
                      </w14:textFill>
                    </w:rPr>
                    <w:t>排放量0.0469m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/h，可满足依托处理需求</w:t>
                  </w:r>
                </w:p>
              </w:tc>
              <w:tc>
                <w:tcPr>
                  <w:tcW w:w="995" w:type="dxa"/>
                  <w:vAlign w:val="center"/>
                </w:tcPr>
                <w:p w14:paraId="7359A43D">
                  <w:pPr>
                    <w:pStyle w:val="471"/>
                    <w:numPr>
                      <w:ilvl w:val="0"/>
                      <w:numId w:val="0"/>
                    </w:numPr>
                    <w:spacing w:before="120"/>
                    <w:jc w:val="center"/>
                    <w:rPr>
                      <w:rFonts w:hint="default" w:ascii="Times New Roman" w:hAnsi="Times New Roman" w:eastAsia="宋体" w:cs="Times New Roman"/>
                      <w:b w:val="0"/>
                      <w:bCs/>
                      <w:color w:val="000000" w:themeColor="text1"/>
                      <w:sz w:val="21"/>
                      <w14:textFill>
                        <w14:solidFill>
                          <w14:schemeClr w14:val="tx1"/>
                        </w14:solidFill>
                      </w14:textFill>
                    </w:rPr>
                  </w:pPr>
                  <w:r>
                    <w:rPr>
                      <w:rFonts w:hint="default" w:ascii="Times New Roman" w:hAnsi="Times New Roman" w:eastAsia="宋体" w:cs="Times New Roman"/>
                      <w:b w:val="0"/>
                      <w:bCs/>
                      <w:color w:val="000000" w:themeColor="text1"/>
                      <w:sz w:val="21"/>
                      <w14:textFill>
                        <w14:solidFill>
                          <w14:schemeClr w14:val="tx1"/>
                        </w14:solidFill>
                      </w14:textFill>
                    </w:rPr>
                    <w:t>依托可行</w:t>
                  </w:r>
                </w:p>
              </w:tc>
            </w:tr>
            <w:tr w14:paraId="0F28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068" w:type="dxa"/>
                  <w:vAlign w:val="center"/>
                </w:tcPr>
                <w:p w14:paraId="3354828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天然气加热</w:t>
                  </w:r>
                  <w:r>
                    <w:rPr>
                      <w:rFonts w:hint="default" w:ascii="Times New Roman" w:hAnsi="Times New Roman" w:eastAsia="宋体" w:cs="Times New Roman"/>
                      <w:color w:val="000000" w:themeColor="text1"/>
                      <w:szCs w:val="21"/>
                      <w14:textFill>
                        <w14:solidFill>
                          <w14:schemeClr w14:val="tx1"/>
                        </w14:solidFill>
                      </w14:textFill>
                    </w:rPr>
                    <w:t>炉</w:t>
                  </w:r>
                </w:p>
              </w:tc>
              <w:tc>
                <w:tcPr>
                  <w:tcW w:w="3832" w:type="dxa"/>
                  <w:gridSpan w:val="2"/>
                  <w:vAlign w:val="center"/>
                </w:tcPr>
                <w:p w14:paraId="203CA5A3">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1座，型式： 圆筒形、卧式；材质：CS/耐火材料；尺寸：φ3624/17000mm；炉膛温度：1</w:t>
                  </w:r>
                  <w:r>
                    <w:rPr>
                      <w:rFonts w:hint="eastAsia" w:cs="Times New Roman"/>
                      <w:color w:val="000000" w:themeColor="text1"/>
                      <w:szCs w:val="21"/>
                      <w:lang w:val="en-US" w:eastAsia="zh-CN"/>
                      <w14:textFill>
                        <w14:solidFill>
                          <w14:schemeClr w14:val="tx1"/>
                        </w14:solidFill>
                      </w14:textFill>
                    </w:rPr>
                    <w:t>03</w:t>
                  </w:r>
                  <w:r>
                    <w:rPr>
                      <w:rFonts w:hint="default" w:ascii="Times New Roman" w:hAnsi="Times New Roman" w:eastAsia="宋体" w:cs="Times New Roman"/>
                      <w:color w:val="000000" w:themeColor="text1"/>
                      <w:szCs w:val="21"/>
                      <w14:textFill>
                        <w14:solidFill>
                          <w14:schemeClr w14:val="tx1"/>
                        </w14:solidFill>
                      </w14:textFill>
                    </w:rPr>
                    <w:t>0℃、停留时间：2.0S，</w:t>
                  </w:r>
                  <w:r>
                    <w:rPr>
                      <w:rFonts w:hint="eastAsia" w:cs="Times New Roman"/>
                      <w:color w:val="000000" w:themeColor="text1"/>
                      <w:szCs w:val="21"/>
                      <w:lang w:val="en-US" w:eastAsia="zh-CN"/>
                      <w14:textFill>
                        <w14:solidFill>
                          <w14:schemeClr w14:val="tx1"/>
                        </w14:solidFill>
                      </w14:textFill>
                    </w:rPr>
                    <w:t>60</w:t>
                  </w:r>
                  <w:r>
                    <w:rPr>
                      <w:rFonts w:hint="default" w:ascii="Times New Roman" w:hAnsi="Times New Roman" w:eastAsia="宋体" w:cs="Times New Roman"/>
                      <w:color w:val="000000" w:themeColor="text1"/>
                      <w:szCs w:val="21"/>
                      <w14:textFill>
                        <w14:solidFill>
                          <w14:schemeClr w14:val="tx1"/>
                        </w14:solidFill>
                      </w14:textFill>
                    </w:rPr>
                    <w:t>m排气筒1根，目前处于正常运行状态</w:t>
                  </w:r>
                </w:p>
              </w:tc>
              <w:tc>
                <w:tcPr>
                  <w:tcW w:w="2492" w:type="dxa"/>
                  <w:vAlign w:val="center"/>
                </w:tcPr>
                <w:p w14:paraId="55239ACB">
                  <w:pPr>
                    <w:adjustRightInd w:val="0"/>
                    <w:snapToGrid w:val="0"/>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本项目脱除CO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工艺尾气主要成分为H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、CO、CH</w:t>
                  </w:r>
                  <w:r>
                    <w:rPr>
                      <w:rFonts w:hint="default" w:ascii="Times New Roman" w:hAnsi="Times New Roman" w:eastAsia="宋体" w:cs="Times New Roman"/>
                      <w:color w:val="000000" w:themeColor="text1"/>
                      <w:szCs w:val="21"/>
                      <w:vertAlign w:val="subscript"/>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，经</w:t>
                  </w:r>
                  <w:r>
                    <w:rPr>
                      <w:rFonts w:hint="eastAsia" w:cs="Times New Roman"/>
                      <w:color w:val="000000" w:themeColor="text1"/>
                      <w:szCs w:val="21"/>
                      <w:lang w:val="en-US" w:eastAsia="zh-CN"/>
                      <w14:textFill>
                        <w14:solidFill>
                          <w14:schemeClr w14:val="tx1"/>
                        </w14:solidFill>
                      </w14:textFill>
                    </w:rPr>
                    <w:t>加热炉</w:t>
                  </w:r>
                  <w:r>
                    <w:rPr>
                      <w:rFonts w:hint="default" w:ascii="Times New Roman" w:hAnsi="Times New Roman" w:eastAsia="宋体"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030</w:t>
                  </w:r>
                  <w:r>
                    <w:rPr>
                      <w:rFonts w:hint="default" w:ascii="Times New Roman" w:hAnsi="Times New Roman" w:eastAsia="宋体" w:cs="Times New Roman"/>
                      <w:color w:val="000000" w:themeColor="text1"/>
                      <w:szCs w:val="21"/>
                      <w14:textFill>
                        <w14:solidFill>
                          <w14:schemeClr w14:val="tx1"/>
                        </w14:solidFill>
                      </w14:textFill>
                    </w:rPr>
                    <w:t>℃处理后</w:t>
                  </w:r>
                  <w:r>
                    <w:rPr>
                      <w:rFonts w:hint="eastAsia" w:cs="Times New Roman"/>
                      <w:color w:val="000000" w:themeColor="text1"/>
                      <w:szCs w:val="21"/>
                      <w:lang w:val="en-US" w:eastAsia="zh-CN"/>
                      <w14:textFill>
                        <w14:solidFill>
                          <w14:schemeClr w14:val="tx1"/>
                        </w14:solidFill>
                      </w14:textFill>
                    </w:rPr>
                    <w:t>60</w:t>
                  </w:r>
                  <w:r>
                    <w:rPr>
                      <w:rFonts w:hint="default" w:ascii="Times New Roman" w:hAnsi="Times New Roman" w:eastAsia="宋体" w:cs="Times New Roman"/>
                      <w:color w:val="000000" w:themeColor="text1"/>
                      <w:szCs w:val="21"/>
                      <w14:textFill>
                        <w14:solidFill>
                          <w14:schemeClr w14:val="tx1"/>
                        </w14:solidFill>
                      </w14:textFill>
                    </w:rPr>
                    <w:t>m排气筒排放</w:t>
                  </w:r>
                </w:p>
              </w:tc>
              <w:tc>
                <w:tcPr>
                  <w:tcW w:w="995" w:type="dxa"/>
                  <w:vAlign w:val="center"/>
                </w:tcPr>
                <w:p w14:paraId="61A6051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依托可行</w:t>
                  </w:r>
                </w:p>
              </w:tc>
            </w:tr>
          </w:tbl>
          <w:p w14:paraId="600AAA02">
            <w:pPr>
              <w:rPr>
                <w:rFonts w:hint="default" w:ascii="Times New Roman" w:hAnsi="Times New Roman" w:eastAsia="宋体" w:cs="Times New Roman"/>
                <w:color w:val="000000" w:themeColor="text1"/>
                <w14:textFill>
                  <w14:solidFill>
                    <w14:schemeClr w14:val="tx1"/>
                  </w14:solidFill>
                </w14:textFill>
              </w:rPr>
            </w:pPr>
          </w:p>
        </w:tc>
      </w:tr>
      <w:tr w14:paraId="79968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51" w:type="dxa"/>
            <w:vAlign w:val="center"/>
          </w:tcPr>
          <w:p w14:paraId="7670DFA0">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工艺流程和产排污环节</w:t>
            </w:r>
          </w:p>
        </w:tc>
        <w:tc>
          <w:tcPr>
            <w:tcW w:w="8603" w:type="dxa"/>
          </w:tcPr>
          <w:p w14:paraId="65DDC220">
            <w:pPr>
              <w:pStyle w:val="471"/>
              <w:numPr>
                <w:ilvl w:val="0"/>
                <w:numId w:val="0"/>
              </w:numPr>
              <w:spacing w:before="12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一、施工期工艺流程及产排污环节</w:t>
            </w:r>
          </w:p>
          <w:p w14:paraId="78C1A7C2">
            <w:pPr>
              <w:wordWrap w:val="0"/>
              <w:spacing w:line="324"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项目施工期主要为设备安装、不涉及土建施工，施工工期较短，工程量小，施工期主要污染物为钻孔粉尘、施工噪声、施工人员生活垃圾、生活污水等。</w:t>
            </w:r>
          </w:p>
          <w:p w14:paraId="048E426E">
            <w:pPr>
              <w:pStyle w:val="457"/>
              <w:spacing w:line="360" w:lineRule="auto"/>
              <w:ind w:firstLine="0" w:firstLineChars="0"/>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二、营运期工艺流程及产排污环节</w:t>
            </w:r>
          </w:p>
          <w:p w14:paraId="27F1A174">
            <w:pPr>
              <w:wordWrap w:val="0"/>
              <w:spacing w:line="324"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本套回收系统设计CO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回收效率≥94%，项目工艺流程如下：</w:t>
            </w:r>
          </w:p>
          <w:p w14:paraId="178D9473">
            <w:pPr>
              <w:wordWrap w:val="0"/>
              <w:spacing w:line="324" w:lineRule="auto"/>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2652395</wp:posOffset>
                      </wp:positionH>
                      <wp:positionV relativeFrom="paragraph">
                        <wp:posOffset>2746375</wp:posOffset>
                      </wp:positionV>
                      <wp:extent cx="325120" cy="207010"/>
                      <wp:effectExtent l="6350" t="6350" r="11430" b="15240"/>
                      <wp:wrapNone/>
                      <wp:docPr id="16" name="矩形 16"/>
                      <wp:cNvGraphicFramePr/>
                      <a:graphic xmlns:a="http://schemas.openxmlformats.org/drawingml/2006/main">
                        <a:graphicData uri="http://schemas.microsoft.com/office/word/2010/wordprocessingShape">
                          <wps:wsp>
                            <wps:cNvSpPr/>
                            <wps:spPr>
                              <a:xfrm>
                                <a:off x="4429760" y="6010275"/>
                                <a:ext cx="325120" cy="207010"/>
                              </a:xfrm>
                              <a:prstGeom prst="rect">
                                <a:avLst/>
                              </a:prstGeom>
                              <a:noFill/>
                              <a:ln w="12700">
                                <a:solidFill>
                                  <a:srgbClr val="FFC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85pt;margin-top:216.25pt;height:16.3pt;width:25.6pt;z-index:251673600;v-text-anchor:middle;mso-width-relative:page;mso-height-relative:page;" filled="f" stroked="t" coordsize="21600,21600" o:gfxdata="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X/Ni02QAAAAsBAAAPAAAAAAAAAAEAIAAAACIAAABkcnMvZG93bnJldi54bWxQ&#10;SwECFAAUAAAACACHTuJANBotQ2gCAADABAAADgAAAAAAAAABACAAAAAoAQAAZHJzL2Uyb0RvYy54&#10;bWxQSwUGAAAAAAYABgBZAQAAAgYAAAAA&#10;">
                      <v:fill on="f" focussize="0,0"/>
                      <v:stroke weight="1pt" color="#FFC000 [2404]" joinstyle="round" dashstyle="dash"/>
                      <v:imagedata o:title=""/>
                      <o:lock v:ext="edit" aspectratio="f"/>
                    </v:rect>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4818380</wp:posOffset>
                      </wp:positionH>
                      <wp:positionV relativeFrom="paragraph">
                        <wp:posOffset>127000</wp:posOffset>
                      </wp:positionV>
                      <wp:extent cx="5715" cy="2345690"/>
                      <wp:effectExtent l="4445" t="0" r="8890" b="16510"/>
                      <wp:wrapNone/>
                      <wp:docPr id="6" name="直接连接符 6"/>
                      <wp:cNvGraphicFramePr/>
                      <a:graphic xmlns:a="http://schemas.openxmlformats.org/drawingml/2006/main">
                        <a:graphicData uri="http://schemas.microsoft.com/office/word/2010/wordprocessingShape">
                          <wps:wsp>
                            <wps:cNvCnPr/>
                            <wps:spPr>
                              <a:xfrm flipH="1" flipV="1">
                                <a:off x="0" y="0"/>
                                <a:ext cx="5715" cy="2345690"/>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379.4pt;margin-top:10pt;height:184.7pt;width:0.45pt;z-index:251668480;mso-width-relative:page;mso-height-relative:page;" filled="f" stroked="t" coordsize="21600,21600" o:gfxdata="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0CUaTaAAAACgEAAA8AAAAAAAAAAQAgAAAAIgAAAGRycy9kb3ducmV2LnhtbFBLAQIUABQA&#10;AAAIAIdO4kDitFY+7gEAALADAAAOAAAAAAAAAAEAIAAAACkBAABkcnMvZTJvRG9jLnhtbFBLBQYA&#10;AAAABgAGAFkBAACJBQAAA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1093470</wp:posOffset>
                      </wp:positionH>
                      <wp:positionV relativeFrom="paragraph">
                        <wp:posOffset>2467610</wp:posOffset>
                      </wp:positionV>
                      <wp:extent cx="3728085" cy="3175"/>
                      <wp:effectExtent l="0" t="0" r="0" b="0"/>
                      <wp:wrapNone/>
                      <wp:docPr id="7" name="直接连接符 7"/>
                      <wp:cNvGraphicFramePr/>
                      <a:graphic xmlns:a="http://schemas.openxmlformats.org/drawingml/2006/main">
                        <a:graphicData uri="http://schemas.microsoft.com/office/word/2010/wordprocessingShape">
                          <wps:wsp>
                            <wps:cNvCnPr/>
                            <wps:spPr>
                              <a:xfrm flipV="1">
                                <a:off x="0" y="0"/>
                                <a:ext cx="3728085" cy="3175"/>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6.1pt;margin-top:194.3pt;height:0.25pt;width:293.55pt;z-index:251669504;mso-width-relative:page;mso-height-relative:page;" filled="f" stroked="t" coordsize="21600,21600" o:gfxdata="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4cOn2QAA&#10;AAsBAAAPAAAAAAAAAAEAIAAAACIAAABkcnMvZG93bnJldi54bWxQSwECFAAUAAAACACHTuJATWbo&#10;luQBAACmAwAADgAAAAAAAAABACAAAAAoAQAAZHJzL2Uyb0RvYy54bWxQSwUGAAAAAAYABgBZAQAA&#10;fgUAAA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1090930</wp:posOffset>
                      </wp:positionH>
                      <wp:positionV relativeFrom="paragraph">
                        <wp:posOffset>1752600</wp:posOffset>
                      </wp:positionV>
                      <wp:extent cx="2540" cy="715010"/>
                      <wp:effectExtent l="4445" t="0" r="12065" b="8890"/>
                      <wp:wrapNone/>
                      <wp:docPr id="8" name="直接连接符 8"/>
                      <wp:cNvGraphicFramePr/>
                      <a:graphic xmlns:a="http://schemas.openxmlformats.org/drawingml/2006/main">
                        <a:graphicData uri="http://schemas.microsoft.com/office/word/2010/wordprocessingShape">
                          <wps:wsp>
                            <wps:cNvCnPr/>
                            <wps:spPr>
                              <a:xfrm flipV="1">
                                <a:off x="0" y="0"/>
                                <a:ext cx="2540" cy="715010"/>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85.9pt;margin-top:138pt;height:56.3pt;width:0.2pt;z-index:251670528;mso-width-relative:page;mso-height-relative:page;" filled="f" stroked="t" coordsize="21600,21600" o:gfxdata="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A5/szYAAAA&#10;CwEAAA8AAAAAAAAAAQAgAAAAIgAAAGRycy9kb3ducmV2LnhtbFBLAQIUABQAAAAIAIdO4kC+xKQ9&#10;5AEAAKUDAAAOAAAAAAAAAAEAIAAAACcBAABkcnMvZTJvRG9jLnhtbFBLBQYAAAAABgAGAFkBAAB9&#10;BQAAA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1095375</wp:posOffset>
                      </wp:positionH>
                      <wp:positionV relativeFrom="paragraph">
                        <wp:posOffset>1754505</wp:posOffset>
                      </wp:positionV>
                      <wp:extent cx="2573655" cy="1905"/>
                      <wp:effectExtent l="0" t="0" r="0" b="0"/>
                      <wp:wrapNone/>
                      <wp:docPr id="12" name="直接连接符 12"/>
                      <wp:cNvGraphicFramePr/>
                      <a:graphic xmlns:a="http://schemas.openxmlformats.org/drawingml/2006/main">
                        <a:graphicData uri="http://schemas.microsoft.com/office/word/2010/wordprocessingShape">
                          <wps:wsp>
                            <wps:cNvCnPr/>
                            <wps:spPr>
                              <a:xfrm>
                                <a:off x="0" y="0"/>
                                <a:ext cx="2573655" cy="1905"/>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6.25pt;margin-top:138.15pt;height:0.15pt;width:202.65pt;z-index:251671552;mso-width-relative:page;mso-height-relative:page;" filled="f" stroked="t" coordsize="21600,21600" o:gfxdata="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g6d9kAAAALAQAA&#10;DwAAAAAAAAABACAAAAAiAAAAZHJzL2Rvd25yZXYueG1sUEsBAhQAFAAAAAgAh07iQGfvDS7fAQAA&#10;ngMAAA4AAAAAAAAAAQAgAAAAKAEAAGRycy9lMm9Eb2MueG1sUEsFBgAAAAAGAAYAWQEAAHkFAAAA&#10;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3663315</wp:posOffset>
                      </wp:positionH>
                      <wp:positionV relativeFrom="paragraph">
                        <wp:posOffset>132715</wp:posOffset>
                      </wp:positionV>
                      <wp:extent cx="2540" cy="1620520"/>
                      <wp:effectExtent l="4445" t="0" r="12065" b="17780"/>
                      <wp:wrapNone/>
                      <wp:docPr id="15" name="直接连接符 15"/>
                      <wp:cNvGraphicFramePr/>
                      <a:graphic xmlns:a="http://schemas.openxmlformats.org/drawingml/2006/main">
                        <a:graphicData uri="http://schemas.microsoft.com/office/word/2010/wordprocessingShape">
                          <wps:wsp>
                            <wps:cNvCnPr/>
                            <wps:spPr>
                              <a:xfrm flipH="1" flipV="1">
                                <a:off x="0" y="0"/>
                                <a:ext cx="2540" cy="1620520"/>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 y;margin-left:288.45pt;margin-top:10.45pt;height:127.6pt;width:0.2pt;z-index:251672576;mso-width-relative:page;mso-height-relative:page;" filled="f" stroked="t" coordsize="21600,21600" o:gfxdata="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MCYk2QAAAAoBAAAPAAAAAAAAAAEAIAAAACIAAABkcnMvZG93bnJldi54bWxQSwECFAAUAAAA&#10;CACHTuJAzNr8Gu0BAACyAwAADgAAAAAAAAABACAAAAAoAQAAZHJzL2Uyb0RvYy54bWxQSwUGAAAA&#10;AAYABgBZAQAAhwUAAA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3663950</wp:posOffset>
                      </wp:positionH>
                      <wp:positionV relativeFrom="paragraph">
                        <wp:posOffset>121920</wp:posOffset>
                      </wp:positionV>
                      <wp:extent cx="1160780" cy="8890"/>
                      <wp:effectExtent l="0" t="0" r="0" b="0"/>
                      <wp:wrapNone/>
                      <wp:docPr id="5" name="直接连接符 5"/>
                      <wp:cNvGraphicFramePr/>
                      <a:graphic xmlns:a="http://schemas.openxmlformats.org/drawingml/2006/main">
                        <a:graphicData uri="http://schemas.microsoft.com/office/word/2010/wordprocessingShape">
                          <wps:wsp>
                            <wps:cNvCnPr/>
                            <wps:spPr>
                              <a:xfrm flipV="1">
                                <a:off x="4920615" y="3345815"/>
                                <a:ext cx="1160780" cy="8890"/>
                              </a:xfrm>
                              <a:prstGeom prst="line">
                                <a:avLst/>
                              </a:prstGeom>
                              <a:ln w="3175">
                                <a:solidFill>
                                  <a:schemeClr val="accent6"/>
                                </a:solidFill>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88.5pt;margin-top:9.6pt;height:0.7pt;width:91.4pt;z-index:251667456;mso-width-relative:page;mso-height-relative:page;" filled="f" stroked="t" coordsize="21600,21600" o:gfxdata="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pq9BjYAAAACQEAAA8AAAAAAAAAAQAgAAAAIgAAAGRycy9kb3ducmV2LnhtbFBLAQIU&#10;ABQAAAAIAIdO4kAmZ+QH8wEAALIDAAAOAAAAAAAAAAEAIAAAACcBAABkcnMvZTJvRG9jLnhtbFBL&#10;BQYAAAAABgAGAFkBAACMBQAAAAA=&#10;">
                      <v:fill on="f" focussize="0,0"/>
                      <v:stroke weight="0.25pt" color="#F79646 [3209]" joinstyle="round" dashstyle="dash"/>
                      <v:imagedata o:title=""/>
                      <o:lock v:ext="edit" aspectratio="f"/>
                    </v:line>
                  </w:pict>
                </mc:Fallback>
              </mc:AlternateContent>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324475" cy="2705100"/>
                  <wp:effectExtent l="0" t="0" r="0" b="0"/>
                  <wp:docPr id="21"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1"/>
                          <pic:cNvPicPr>
                            <a:picLocks noChangeAspect="1"/>
                          </pic:cNvPicPr>
                        </pic:nvPicPr>
                        <pic:blipFill>
                          <a:blip r:embed="rId17"/>
                          <a:stretch>
                            <a:fillRect/>
                          </a:stretch>
                        </pic:blipFill>
                        <pic:spPr>
                          <a:xfrm>
                            <a:off x="0" y="0"/>
                            <a:ext cx="5324475" cy="2705100"/>
                          </a:xfrm>
                          <a:prstGeom prst="rect">
                            <a:avLst/>
                          </a:prstGeom>
                        </pic:spPr>
                      </pic:pic>
                    </a:graphicData>
                  </a:graphic>
                </wp:inline>
              </w:drawing>
            </w:r>
            <w:r>
              <w:rPr>
                <w:rFonts w:hint="default" w:ascii="Times New Roman" w:hAnsi="Times New Roman" w:eastAsia="宋体" w:cs="Times New Roman"/>
                <w:color w:val="000000" w:themeColor="text1"/>
                <w14:textFill>
                  <w14:solidFill>
                    <w14:schemeClr w14:val="tx1"/>
                  </w14:solidFill>
                </w14:textFill>
              </w:rPr>
              <w:br w:type="textWrapping"/>
            </w:r>
            <w:r>
              <w:rPr>
                <w:rFonts w:hint="default" w:ascii="Times New Roman" w:hAnsi="Times New Roman" w:eastAsia="宋体" w:cs="Times New Roman"/>
                <w:b/>
                <w:bCs/>
                <w:color w:val="000000" w:themeColor="text1"/>
                <w14:textFill>
                  <w14:solidFill>
                    <w14:schemeClr w14:val="tx1"/>
                  </w14:solidFill>
                </w14:textFill>
              </w:rPr>
              <w:t>图2-1  项目工艺流程图</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：冷箱内成套设备</w:t>
            </w:r>
            <w:r>
              <w:rPr>
                <w:rFonts w:hint="default" w:ascii="Times New Roman" w:hAnsi="Times New Roman" w:eastAsia="宋体" w:cs="Times New Roman"/>
                <w:b/>
                <w:bCs/>
                <w:color w:val="000000" w:themeColor="text1"/>
                <w:lang w:eastAsia="zh-CN"/>
                <w14:textFill>
                  <w14:solidFill>
                    <w14:schemeClr w14:val="tx1"/>
                  </w14:solidFill>
                </w14:textFill>
              </w:rPr>
              <w:t>）</w:t>
            </w:r>
          </w:p>
          <w:p w14:paraId="2579E9C1">
            <w:pPr>
              <w:pStyle w:val="457"/>
              <w:spacing w:line="360" w:lineRule="auto"/>
              <w:ind w:firstLine="48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（1）原料预冷</w:t>
            </w:r>
            <w:r>
              <w:rPr>
                <w:rFonts w:hint="default" w:ascii="Times New Roman" w:hAnsi="Times New Roman" w:eastAsia="宋体" w:cs="Times New Roman"/>
                <w:color w:val="000000" w:themeColor="text1"/>
                <w:szCs w:val="24"/>
                <w:lang w:val="en-US" w:eastAsia="zh-CN"/>
                <w14:textFill>
                  <w14:solidFill>
                    <w14:schemeClr w14:val="tx1"/>
                  </w14:solidFill>
                </w14:textFill>
              </w:rPr>
              <w:t>及分离</w:t>
            </w:r>
          </w:p>
          <w:p w14:paraId="108D125F">
            <w:pPr>
              <w:pStyle w:val="457"/>
              <w:spacing w:line="360" w:lineRule="auto"/>
              <w:ind w:firstLine="48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lang w:eastAsia="zh-CN"/>
                <w14:textFill>
                  <w14:solidFill>
                    <w14:schemeClr w14:val="tx1"/>
                  </w14:solidFill>
                </w14:textFill>
              </w:rPr>
              <w:t>原料气来气温度为105℃，故设置原料预冷器（01E0701），将原料气冷却至40℃</w:t>
            </w:r>
            <w:r>
              <w:rPr>
                <w:rFonts w:hint="eastAsia"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液氨冷却</w:t>
            </w:r>
            <w:r>
              <w:rPr>
                <w:rFonts w:hint="eastAsia"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lang w:eastAsia="zh-CN"/>
                <w14:textFill>
                  <w14:solidFill>
                    <w14:schemeClr w14:val="tx1"/>
                  </w14:solidFill>
                </w14:textFill>
              </w:rPr>
              <w:t>，经</w:t>
            </w:r>
            <w:r>
              <w:rPr>
                <w:rFonts w:hint="eastAsia" w:cs="Times New Roman"/>
                <w:color w:val="000000" w:themeColor="text1"/>
                <w:szCs w:val="24"/>
                <w:lang w:val="en-US" w:eastAsia="zh-CN"/>
                <w14:textFill>
                  <w14:solidFill>
                    <w14:schemeClr w14:val="tx1"/>
                  </w14:solidFill>
                </w14:textFill>
              </w:rPr>
              <w:t>水冷分离器</w:t>
            </w:r>
            <w:r>
              <w:rPr>
                <w:rFonts w:hint="default" w:ascii="Times New Roman" w:hAnsi="Times New Roman" w:eastAsia="宋体" w:cs="Times New Roman"/>
                <w:color w:val="000000" w:themeColor="text1"/>
                <w:szCs w:val="24"/>
                <w:lang w:eastAsia="zh-CN"/>
                <w14:textFill>
                  <w14:solidFill>
                    <w14:schemeClr w14:val="tx1"/>
                  </w14:solidFill>
                </w14:textFill>
              </w:rPr>
              <w:t>（01V0701）</w:t>
            </w:r>
            <w:r>
              <w:rPr>
                <w:rFonts w:hint="eastAsia" w:cs="Times New Roman"/>
                <w:color w:val="000000" w:themeColor="text1"/>
                <w:szCs w:val="24"/>
                <w:lang w:val="en-US" w:eastAsia="zh-CN"/>
                <w14:textFill>
                  <w14:solidFill>
                    <w14:schemeClr w14:val="tx1"/>
                  </w14:solidFill>
                </w14:textFill>
              </w:rPr>
              <w:t>分离</w:t>
            </w:r>
            <w:r>
              <w:rPr>
                <w:rFonts w:hint="default" w:ascii="Times New Roman" w:hAnsi="Times New Roman" w:eastAsia="宋体" w:cs="Times New Roman"/>
                <w:color w:val="000000" w:themeColor="text1"/>
                <w:szCs w:val="24"/>
                <w:lang w:eastAsia="zh-CN"/>
                <w14:textFill>
                  <w14:solidFill>
                    <w14:schemeClr w14:val="tx1"/>
                  </w14:solidFill>
                </w14:textFill>
              </w:rPr>
              <w:t>后气相进入冷箱，</w:t>
            </w:r>
            <w:r>
              <w:rPr>
                <w:rFonts w:hint="default" w:ascii="Times New Roman" w:hAnsi="Times New Roman" w:eastAsia="宋体" w:cs="Times New Roman"/>
                <w:color w:val="000000" w:themeColor="text1"/>
                <w:szCs w:val="24"/>
                <w:u w:val="single"/>
                <w:lang w:val="en-US" w:eastAsia="zh-CN"/>
                <w14:textFill>
                  <w14:solidFill>
                    <w14:schemeClr w14:val="tx1"/>
                  </w14:solidFill>
                </w14:textFill>
              </w:rPr>
              <w:t>液相</w:t>
            </w:r>
            <w:r>
              <w:rPr>
                <w:rFonts w:hint="default" w:ascii="Times New Roman" w:hAnsi="Times New Roman" w:eastAsia="宋体" w:cs="Times New Roman"/>
                <w:color w:val="000000" w:themeColor="text1"/>
                <w:szCs w:val="24"/>
                <w:lang w:val="en-US" w:eastAsia="zh-CN"/>
                <w14:textFill>
                  <w14:solidFill>
                    <w14:schemeClr w14:val="tx1"/>
                  </w14:solidFill>
                </w14:textFill>
              </w:rPr>
              <w:t>（可视为清净下水）排入初期雨水池，</w:t>
            </w:r>
            <w:r>
              <w:rPr>
                <w:rFonts w:hint="eastAsia" w:cs="Times New Roman"/>
                <w:color w:val="000000" w:themeColor="text1"/>
                <w:szCs w:val="24"/>
                <w:lang w:val="en-US" w:eastAsia="zh-CN"/>
                <w14:textFill>
                  <w14:solidFill>
                    <w14:schemeClr w14:val="tx1"/>
                  </w14:solidFill>
                </w14:textFill>
              </w:rPr>
              <w:t>泵</w:t>
            </w:r>
            <w:r>
              <w:rPr>
                <w:rFonts w:hint="default" w:ascii="Times New Roman" w:hAnsi="Times New Roman" w:eastAsia="宋体" w:cs="Times New Roman"/>
                <w:color w:val="000000" w:themeColor="text1"/>
                <w:szCs w:val="24"/>
                <w:lang w:val="en-US" w:eastAsia="zh-CN"/>
                <w14:textFill>
                  <w14:solidFill>
                    <w14:schemeClr w14:val="tx1"/>
                  </w14:solidFill>
                </w14:textFill>
              </w:rPr>
              <w:t>入污水处理站处理。</w:t>
            </w:r>
          </w:p>
          <w:p w14:paraId="6249D6E4">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（2）低温精馏（物理过程）</w:t>
            </w:r>
          </w:p>
          <w:p w14:paraId="26FB36BA">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预冷后的原料气直接进入预冷分离器（01V0702）再次冷却至10℃左右后，进入脱重塔（01C0701），在脱重塔中与顶部回流的液体二氧化碳进行逆流传质传热，从脱重塔顶部得到水含量符合指标的气体（-5℃，3.9MPa），原料气中的水等重物质（沸点高于二氧化碳的物质）富集在脱重塔底部，液体再经过氨预冷器（01E0708）过热（30℃以上）后排出冷箱并在安全位置就地排放；</w:t>
            </w:r>
          </w:p>
          <w:p w14:paraId="5D95A9DA">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脱重塔顶部气体一部分进入脱重冷凝器（01E0703）被冷落作为脱重塔的回流液回到脱重塔，大部分去主冷凝器（01E0704）被冷凝，从顶部进入脱轻塔（01C0702），脱轻塔顶部液体和底部再沸的气体在脱轻塔中进行逆流传质传热，从底部得到符合指标的液体二氧化碳，脱轻塔低液体经过过冷器（01E0707）过冷至-25℃左右后送去液体二氧化碳储罐（01V0731）储存，原料气中的轻物质（沸点低于二氧化碳的物质）从脱轻塔（01C0702）顶部排</w:t>
            </w:r>
            <w:r>
              <w:rPr>
                <w:rFonts w:hint="eastAsia" w:cs="Times New Roman"/>
                <w:color w:val="000000" w:themeColor="text1"/>
                <w:szCs w:val="24"/>
                <w:lang w:val="en-US" w:eastAsia="zh-CN"/>
                <w14:textFill>
                  <w14:solidFill>
                    <w14:schemeClr w14:val="tx1"/>
                  </w14:solidFill>
                </w14:textFill>
              </w:rPr>
              <w:t>出</w:t>
            </w:r>
            <w:r>
              <w:rPr>
                <w:rFonts w:hint="default" w:ascii="Times New Roman" w:hAnsi="Times New Roman" w:eastAsia="宋体" w:cs="Times New Roman"/>
                <w:color w:val="000000" w:themeColor="text1"/>
                <w:szCs w:val="24"/>
                <w14:textFill>
                  <w14:solidFill>
                    <w14:schemeClr w14:val="tx1"/>
                  </w14:solidFill>
                </w14:textFill>
              </w:rPr>
              <w:t>，经过节流后进入氨预冷器（01E0708）过热（30℃以上）后排</w:t>
            </w:r>
            <w:r>
              <w:rPr>
                <w:rFonts w:hint="eastAsia" w:cs="Times New Roman"/>
                <w:color w:val="000000" w:themeColor="text1"/>
                <w:szCs w:val="24"/>
                <w:lang w:val="en-US" w:eastAsia="zh-CN"/>
                <w14:textFill>
                  <w14:solidFill>
                    <w14:schemeClr w14:val="tx1"/>
                  </w14:solidFill>
                </w14:textFill>
              </w:rPr>
              <w:t>出</w:t>
            </w:r>
            <w:r>
              <w:rPr>
                <w:rFonts w:hint="default" w:ascii="Times New Roman" w:hAnsi="Times New Roman" w:eastAsia="宋体" w:cs="Times New Roman"/>
                <w:color w:val="000000" w:themeColor="text1"/>
                <w:szCs w:val="24"/>
                <w14:textFill>
                  <w14:solidFill>
                    <w14:schemeClr w14:val="tx1"/>
                  </w14:solidFill>
                </w14:textFill>
              </w:rPr>
              <w:t>冷箱，进入加热炉作为燃料气燃烧。</w:t>
            </w:r>
          </w:p>
          <w:p w14:paraId="3DBA18E0">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（3）制冷系统</w:t>
            </w:r>
          </w:p>
          <w:p w14:paraId="2F07C5A7">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冰机1（01V0721）附带的储液罐中的液氨（20℃以上、饱和蒸气压）进入冷箱后先在氨预冷器（01E0708）中回收两股排放气冷量，再进入脱重再沸器（01E0702）提供脱重再沸器热量，经过节流减压（0.28MPa，-3℃）进入标况氨分（01V0721），标况氨分（01V0721）底部液体分别去脱重冷凝器（01V0703）和主冷凝器（01V0704）提供冷量，标况氨分（01V0721）顶部气体进入冰机1（01V0721）被压缩至1.56MPa后去冰机1（01V0721）附带的冷凝器中冷凝，被冷凝的液氨回到冰机1（01V0721）附带的储液罐中，形成密闭循环。</w:t>
            </w:r>
          </w:p>
          <w:p w14:paraId="4C4FBF2A">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冰机2（01V0722）出口氨气（0.5MPa）在氨冷却器（01E0721）中冷却至40℃后进入冷箱，氨气进入脱轻再沸器（01E0705）提供脱轻再沸器热量，同时氨气被冷凝为液氨（0.5MPa，9℃）进入低压循环桶（01V0723），低压循环桶（01V0723）中的液氨经过节流减压（0.03MPa，-28℃）进入低压氨分（01V0722），低压氨分（01V0722）底部液体分别去脱轻冷凝器（01E0706）和过冷器（01E0707）提供冷量，低压氨分（01V0722）顶部气体进入冰机2（01V0722）被压缩至0.5MPa形成密闭循环。</w:t>
            </w:r>
          </w:p>
          <w:p w14:paraId="5BB6EC48">
            <w:pPr>
              <w:pStyle w:val="457"/>
              <w:spacing w:line="360" w:lineRule="auto"/>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（4）罐区及装卸</w:t>
            </w:r>
          </w:p>
          <w:p w14:paraId="13DA39B7">
            <w:pPr>
              <w:pStyle w:val="457"/>
              <w:spacing w:line="360" w:lineRule="auto"/>
              <w:ind w:firstLine="48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来自过冷器的液体二氧化碳进入CO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储罐（06V0213）。储罐的液体CO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经CO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装车泵（06P0213A/B）送至装卸车站，通过装车鹤管（06L0311A/B）装车后外售。气相CO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经收集后通过气相平衡管返回CO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储罐。</w:t>
            </w:r>
          </w:p>
          <w:p w14:paraId="18276552">
            <w:pPr>
              <w:pStyle w:val="457"/>
              <w:spacing w:line="360" w:lineRule="auto"/>
              <w:ind w:firstLine="0" w:firstLine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三、主要污染工序</w:t>
            </w:r>
          </w:p>
          <w:p w14:paraId="447E249D">
            <w:pPr>
              <w:pStyle w:val="457"/>
              <w:spacing w:line="360" w:lineRule="auto"/>
              <w:ind w:firstLine="48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经前文工艺流程分析，本项目污染物产生情况见下表。</w:t>
            </w:r>
          </w:p>
          <w:p w14:paraId="5209066C">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表2-</w:t>
            </w:r>
            <w:r>
              <w:rPr>
                <w:rFonts w:hint="eastAsia" w:cs="Times New Roman"/>
                <w:b/>
                <w:bCs/>
                <w:color w:val="000000" w:themeColor="text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Cs w:val="21"/>
                <w14:textFill>
                  <w14:solidFill>
                    <w14:schemeClr w14:val="tx1"/>
                  </w14:solidFill>
                </w14:textFill>
              </w:rPr>
              <w:t xml:space="preserve">  项目主要污染工序一览表</w:t>
            </w:r>
          </w:p>
          <w:tbl>
            <w:tblPr>
              <w:tblStyle w:val="48"/>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233"/>
              <w:gridCol w:w="3380"/>
              <w:gridCol w:w="1653"/>
            </w:tblGrid>
            <w:tr w14:paraId="4618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53" w:type="dxa"/>
                  <w:vAlign w:val="center"/>
                </w:tcPr>
                <w:p w14:paraId="16D8F024">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项目</w:t>
                  </w:r>
                </w:p>
              </w:tc>
              <w:tc>
                <w:tcPr>
                  <w:tcW w:w="2233" w:type="dxa"/>
                  <w:vAlign w:val="center"/>
                </w:tcPr>
                <w:p w14:paraId="758929AC">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排放源</w:t>
                  </w:r>
                </w:p>
              </w:tc>
              <w:tc>
                <w:tcPr>
                  <w:tcW w:w="3380" w:type="dxa"/>
                  <w:vAlign w:val="center"/>
                </w:tcPr>
                <w:p w14:paraId="45948F20">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主要污染因子或废物名称</w:t>
                  </w:r>
                </w:p>
              </w:tc>
              <w:tc>
                <w:tcPr>
                  <w:tcW w:w="1653" w:type="dxa"/>
                  <w:vAlign w:val="center"/>
                </w:tcPr>
                <w:p w14:paraId="0FA54E65">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备注</w:t>
                  </w:r>
                </w:p>
              </w:tc>
            </w:tr>
            <w:tr w14:paraId="50E8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853" w:type="dxa"/>
                  <w:vAlign w:val="center"/>
                </w:tcPr>
                <w:p w14:paraId="6710B4D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2233" w:type="dxa"/>
                  <w:vAlign w:val="center"/>
                </w:tcPr>
                <w:p w14:paraId="30D2D4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脱轻塔</w:t>
                  </w:r>
                </w:p>
              </w:tc>
              <w:tc>
                <w:tcPr>
                  <w:tcW w:w="3380" w:type="dxa"/>
                  <w:vAlign w:val="center"/>
                </w:tcPr>
                <w:p w14:paraId="722F340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含H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、CO、CO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eastAsia" w:cs="Times New Roman"/>
                      <w:color w:val="000000" w:themeColor="text1"/>
                      <w:szCs w:val="21"/>
                      <w:vertAlign w:val="baseline"/>
                      <w:lang w:eastAsia="zh-CN"/>
                      <w14:textFill>
                        <w14:solidFill>
                          <w14:schemeClr w14:val="tx1"/>
                        </w14:solidFill>
                      </w14:textFill>
                    </w:rPr>
                    <w:t>、</w:t>
                  </w:r>
                  <w:r>
                    <w:rPr>
                      <w:rFonts w:hint="eastAsia" w:cs="Times New Roman"/>
                      <w:color w:val="000000" w:themeColor="text1"/>
                      <w:szCs w:val="21"/>
                      <w:vertAlign w:val="baseline"/>
                      <w:lang w:val="en-US" w:eastAsia="zh-CN"/>
                      <w14:textFill>
                        <w14:solidFill>
                          <w14:schemeClr w14:val="tx1"/>
                        </w14:solidFill>
                      </w14:textFill>
                    </w:rPr>
                    <w:t>CH</w:t>
                  </w:r>
                  <w:r>
                    <w:rPr>
                      <w:rFonts w:hint="eastAsia" w:cs="Times New Roman"/>
                      <w:color w:val="000000" w:themeColor="text1"/>
                      <w:szCs w:val="21"/>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废气</w:t>
                  </w:r>
                </w:p>
              </w:tc>
              <w:tc>
                <w:tcPr>
                  <w:tcW w:w="1653" w:type="dxa"/>
                  <w:vAlign w:val="center"/>
                </w:tcPr>
                <w:p w14:paraId="5563CCF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沸点低于CO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的废气，含CO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r>
            <w:tr w14:paraId="48CD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853" w:type="dxa"/>
                  <w:vMerge w:val="restart"/>
                  <w:vAlign w:val="center"/>
                </w:tcPr>
                <w:p w14:paraId="1B1D8068">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2233" w:type="dxa"/>
                  <w:vAlign w:val="center"/>
                </w:tcPr>
                <w:p w14:paraId="686EDB5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水冷分离器、</w:t>
                  </w:r>
                  <w:r>
                    <w:rPr>
                      <w:rFonts w:hint="eastAsia" w:cs="Times New Roman"/>
                      <w:color w:val="000000" w:themeColor="text1"/>
                      <w:szCs w:val="21"/>
                      <w:lang w:val="en-US" w:eastAsia="zh-CN"/>
                      <w14:textFill>
                        <w14:solidFill>
                          <w14:schemeClr w14:val="tx1"/>
                        </w14:solidFill>
                      </w14:textFill>
                    </w:rPr>
                    <w:t>脱重塔</w:t>
                  </w:r>
                </w:p>
              </w:tc>
              <w:tc>
                <w:tcPr>
                  <w:tcW w:w="3380" w:type="dxa"/>
                  <w:vAlign w:val="center"/>
                </w:tcPr>
                <w:p w14:paraId="4446A2F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废水（可视为清净下水）</w:t>
                  </w:r>
                </w:p>
              </w:tc>
              <w:tc>
                <w:tcPr>
                  <w:tcW w:w="1653" w:type="dxa"/>
                  <w:vAlign w:val="center"/>
                </w:tcPr>
                <w:p w14:paraId="56735E04">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含CO</w:t>
                  </w:r>
                  <w:r>
                    <w:rPr>
                      <w:rFonts w:hint="default" w:ascii="Times New Roman" w:hAnsi="Times New Roman" w:eastAsia="宋体" w:cs="Times New Roman"/>
                      <w:color w:val="000000" w:themeColor="text1"/>
                      <w:szCs w:val="21"/>
                      <w:vertAlign w:val="subscript"/>
                      <w:lang w:val="en-US" w:eastAsia="zh-CN"/>
                      <w14:textFill>
                        <w14:solidFill>
                          <w14:schemeClr w14:val="tx1"/>
                        </w14:solidFill>
                      </w14:textFill>
                    </w:rPr>
                    <w:t>2</w:t>
                  </w:r>
                </w:p>
              </w:tc>
            </w:tr>
            <w:tr w14:paraId="5476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853" w:type="dxa"/>
                  <w:vMerge w:val="continue"/>
                  <w:vAlign w:val="center"/>
                </w:tcPr>
                <w:p w14:paraId="7B6EA9A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33" w:type="dxa"/>
                  <w:vAlign w:val="center"/>
                </w:tcPr>
                <w:p w14:paraId="2DE509D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管线清洗废水</w:t>
                  </w:r>
                </w:p>
              </w:tc>
              <w:tc>
                <w:tcPr>
                  <w:tcW w:w="3380" w:type="dxa"/>
                  <w:vAlign w:val="center"/>
                </w:tcPr>
                <w:p w14:paraId="204F24A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含尘废水</w:t>
                  </w:r>
                </w:p>
              </w:tc>
              <w:tc>
                <w:tcPr>
                  <w:tcW w:w="1653" w:type="dxa"/>
                  <w:vAlign w:val="center"/>
                </w:tcPr>
                <w:p w14:paraId="264ACA1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252A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 w:hRule="atLeast"/>
                <w:jc w:val="center"/>
              </w:trPr>
              <w:tc>
                <w:tcPr>
                  <w:tcW w:w="853" w:type="dxa"/>
                  <w:vMerge w:val="continue"/>
                  <w:vAlign w:val="center"/>
                </w:tcPr>
                <w:p w14:paraId="34EC501A">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33" w:type="dxa"/>
                  <w:vAlign w:val="center"/>
                </w:tcPr>
                <w:p w14:paraId="15F28782">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生活污水</w:t>
                  </w:r>
                </w:p>
              </w:tc>
              <w:tc>
                <w:tcPr>
                  <w:tcW w:w="3380" w:type="dxa"/>
                  <w:vAlign w:val="center"/>
                </w:tcPr>
                <w:p w14:paraId="60947FC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COD、BOD</w:t>
                  </w:r>
                  <w:r>
                    <w:rPr>
                      <w:rFonts w:hint="eastAsia" w:cs="Times New Roman"/>
                      <w:color w:val="000000" w:themeColor="text1"/>
                      <w:szCs w:val="21"/>
                      <w:vertAlign w:val="subscript"/>
                      <w:lang w:val="en-US" w:eastAsia="zh-CN"/>
                      <w14:textFill>
                        <w14:solidFill>
                          <w14:schemeClr w14:val="tx1"/>
                        </w14:solidFill>
                      </w14:textFill>
                    </w:rPr>
                    <w:t>5</w:t>
                  </w:r>
                  <w:r>
                    <w:rPr>
                      <w:rFonts w:hint="eastAsia" w:cs="Times New Roman"/>
                      <w:color w:val="000000" w:themeColor="text1"/>
                      <w:szCs w:val="21"/>
                      <w:lang w:val="en-US" w:eastAsia="zh-CN"/>
                      <w14:textFill>
                        <w14:solidFill>
                          <w14:schemeClr w14:val="tx1"/>
                        </w14:solidFill>
                      </w14:textFill>
                    </w:rPr>
                    <w:t>、SS、NH</w:t>
                  </w:r>
                  <w:r>
                    <w:rPr>
                      <w:rFonts w:hint="eastAsia" w:cs="Times New Roman"/>
                      <w:color w:val="000000" w:themeColor="text1"/>
                      <w:szCs w:val="21"/>
                      <w:vertAlign w:val="subscript"/>
                      <w:lang w:val="en-US" w:eastAsia="zh-CN"/>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、TP、TN</w:t>
                  </w:r>
                </w:p>
              </w:tc>
              <w:tc>
                <w:tcPr>
                  <w:tcW w:w="1653" w:type="dxa"/>
                  <w:vAlign w:val="center"/>
                </w:tcPr>
                <w:p w14:paraId="0E0E49B3">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r>
            <w:tr w14:paraId="1E68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53" w:type="dxa"/>
                  <w:vAlign w:val="center"/>
                </w:tcPr>
                <w:p w14:paraId="16E3CB1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2233" w:type="dxa"/>
                  <w:vAlign w:val="center"/>
                </w:tcPr>
                <w:p w14:paraId="4C260E1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生产设备</w:t>
                  </w:r>
                </w:p>
              </w:tc>
              <w:tc>
                <w:tcPr>
                  <w:tcW w:w="3380" w:type="dxa"/>
                  <w:vAlign w:val="center"/>
                </w:tcPr>
                <w:p w14:paraId="45B3D581">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1653" w:type="dxa"/>
                  <w:vAlign w:val="center"/>
                </w:tcPr>
                <w:p w14:paraId="778C3C9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3A31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853" w:type="dxa"/>
                  <w:vMerge w:val="restart"/>
                  <w:vAlign w:val="center"/>
                </w:tcPr>
                <w:p w14:paraId="6EE83674">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固体废物</w:t>
                  </w:r>
                </w:p>
              </w:tc>
              <w:tc>
                <w:tcPr>
                  <w:tcW w:w="2233" w:type="dxa"/>
                  <w:vAlign w:val="center"/>
                </w:tcPr>
                <w:p w14:paraId="4A029C3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工作人员</w:t>
                  </w:r>
                </w:p>
              </w:tc>
              <w:tc>
                <w:tcPr>
                  <w:tcW w:w="3380" w:type="dxa"/>
                  <w:vAlign w:val="center"/>
                </w:tcPr>
                <w:p w14:paraId="502BAC8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生活垃圾</w:t>
                  </w:r>
                </w:p>
              </w:tc>
              <w:tc>
                <w:tcPr>
                  <w:tcW w:w="1653" w:type="dxa"/>
                  <w:vAlign w:val="center"/>
                </w:tcPr>
                <w:p w14:paraId="2700450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一般固废</w:t>
                  </w:r>
                </w:p>
              </w:tc>
            </w:tr>
            <w:tr w14:paraId="1D36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853" w:type="dxa"/>
                  <w:vMerge w:val="continue"/>
                  <w:vAlign w:val="center"/>
                </w:tcPr>
                <w:p w14:paraId="42B58B2B">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33" w:type="dxa"/>
                  <w:vAlign w:val="center"/>
                </w:tcPr>
                <w:p w14:paraId="4A8816C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管线空气吹扫</w:t>
                  </w:r>
                </w:p>
              </w:tc>
              <w:tc>
                <w:tcPr>
                  <w:tcW w:w="3380" w:type="dxa"/>
                  <w:vAlign w:val="center"/>
                </w:tcPr>
                <w:p w14:paraId="4A82361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吹扫废渣</w:t>
                  </w:r>
                </w:p>
              </w:tc>
              <w:tc>
                <w:tcPr>
                  <w:tcW w:w="1653" w:type="dxa"/>
                  <w:vAlign w:val="center"/>
                </w:tcPr>
                <w:p w14:paraId="131A59C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一般固废</w:t>
                  </w:r>
                </w:p>
              </w:tc>
            </w:tr>
            <w:tr w14:paraId="10D8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 w:hRule="atLeast"/>
                <w:jc w:val="center"/>
              </w:trPr>
              <w:tc>
                <w:tcPr>
                  <w:tcW w:w="853" w:type="dxa"/>
                  <w:vMerge w:val="continue"/>
                  <w:vAlign w:val="center"/>
                </w:tcPr>
                <w:p w14:paraId="1A24BB10">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33" w:type="dxa"/>
                  <w:vAlign w:val="center"/>
                </w:tcPr>
                <w:p w14:paraId="4A9BCBE1">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设备检修</w:t>
                  </w:r>
                </w:p>
              </w:tc>
              <w:tc>
                <w:tcPr>
                  <w:tcW w:w="3380" w:type="dxa"/>
                  <w:vAlign w:val="center"/>
                </w:tcPr>
                <w:p w14:paraId="2A3A55E4">
                  <w:pPr>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废机油、废含油抹布</w:t>
                  </w:r>
                </w:p>
              </w:tc>
              <w:tc>
                <w:tcPr>
                  <w:tcW w:w="1653" w:type="dxa"/>
                  <w:vAlign w:val="center"/>
                </w:tcPr>
                <w:p w14:paraId="4332A29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危险废物</w:t>
                  </w:r>
                </w:p>
              </w:tc>
            </w:tr>
          </w:tbl>
          <w:p w14:paraId="12FD48D9">
            <w:pPr>
              <w:autoSpaceDE w:val="0"/>
              <w:spacing w:line="360" w:lineRule="auto"/>
              <w:jc w:val="left"/>
              <w:rPr>
                <w:rFonts w:hint="default" w:ascii="Times New Roman" w:hAnsi="Times New Roman" w:eastAsia="宋体" w:cs="Times New Roman"/>
                <w:b/>
                <w:bCs/>
                <w:color w:val="000000" w:themeColor="text1"/>
                <w:sz w:val="24"/>
                <w:lang w:bidi="ar"/>
                <w14:textFill>
                  <w14:solidFill>
                    <w14:schemeClr w14:val="tx1"/>
                  </w14:solidFill>
                </w14:textFill>
              </w:rPr>
            </w:pPr>
          </w:p>
          <w:p w14:paraId="37C79B3F">
            <w:pPr>
              <w:autoSpaceDE w:val="0"/>
              <w:spacing w:line="360" w:lineRule="auto"/>
              <w:jc w:val="left"/>
              <w:rPr>
                <w:rFonts w:hint="default" w:ascii="Times New Roman" w:hAnsi="Times New Roman" w:eastAsia="宋体" w:cs="Times New Roman"/>
                <w:b/>
                <w:bCs/>
                <w:color w:val="000000" w:themeColor="text1"/>
                <w:sz w:val="24"/>
                <w:lang w:bidi="ar"/>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四、物料平衡</w:t>
            </w:r>
          </w:p>
          <w:p w14:paraId="1D626A9B">
            <w:pPr>
              <w:autoSpaceDE w:val="0"/>
              <w:spacing w:line="360" w:lineRule="auto"/>
              <w:ind w:firstLine="480" w:firstLineChars="200"/>
              <w:jc w:val="left"/>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结合项目工程分析，本项目物料平衡见下表。</w:t>
            </w:r>
          </w:p>
          <w:p w14:paraId="705C2AF0">
            <w:pPr>
              <w:autoSpaceDE w:val="0"/>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表2-1</w:t>
            </w:r>
            <w:r>
              <w:rPr>
                <w:rFonts w:hint="eastAsia" w:cs="Times New Roman"/>
                <w:b/>
                <w:bCs/>
                <w:color w:val="000000" w:themeColor="text1"/>
                <w:szCs w:val="21"/>
                <w:lang w:val="en-US" w:eastAsia="zh-CN" w:bidi="ar"/>
                <w14:textFill>
                  <w14:solidFill>
                    <w14:schemeClr w14:val="tx1"/>
                  </w14:solidFill>
                </w14:textFill>
              </w:rPr>
              <w:t>1</w:t>
            </w:r>
            <w:r>
              <w:rPr>
                <w:rFonts w:hint="default" w:ascii="Times New Roman" w:hAnsi="Times New Roman" w:eastAsia="宋体" w:cs="Times New Roman"/>
                <w:b/>
                <w:bCs/>
                <w:color w:val="000000" w:themeColor="text1"/>
                <w:szCs w:val="21"/>
                <w:lang w:bidi="ar"/>
                <w14:textFill>
                  <w14:solidFill>
                    <w14:schemeClr w14:val="tx1"/>
                  </w14:solidFill>
                </w14:textFill>
              </w:rPr>
              <w:t xml:space="preserve">  项目物料平衡一览表</w:t>
            </w:r>
          </w:p>
          <w:tbl>
            <w:tblPr>
              <w:tblStyle w:val="474"/>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0"/>
              <w:gridCol w:w="1747"/>
              <w:gridCol w:w="770"/>
              <w:gridCol w:w="1322"/>
              <w:gridCol w:w="2100"/>
            </w:tblGrid>
            <w:tr w14:paraId="39FC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187" w:type="dxa"/>
                  <w:gridSpan w:val="2"/>
                  <w:vAlign w:val="center"/>
                </w:tcPr>
                <w:p w14:paraId="56D91386">
                  <w:pPr>
                    <w:jc w:val="center"/>
                    <w:rPr>
                      <w:rFonts w:hint="default" w:ascii="Times New Roman" w:hAnsi="Times New Roman" w:eastAsia="宋体" w:cs="Times New Roman"/>
                      <w:b/>
                      <w:bCs/>
                      <w:color w:val="000000" w:themeColor="text1"/>
                      <w:szCs w:val="21"/>
                      <w:lang w:eastAsia="en-US"/>
                      <w14:textFill>
                        <w14:solidFill>
                          <w14:schemeClr w14:val="tx1"/>
                        </w14:solidFill>
                      </w14:textFill>
                    </w:rPr>
                  </w:pPr>
                  <w:r>
                    <w:rPr>
                      <w:rFonts w:hint="default" w:ascii="Times New Roman" w:hAnsi="Times New Roman" w:eastAsia="宋体" w:cs="Times New Roman"/>
                      <w:b/>
                      <w:bCs/>
                      <w:color w:val="000000" w:themeColor="text1"/>
                      <w:szCs w:val="21"/>
                      <w:lang w:eastAsia="en-US"/>
                      <w14:textFill>
                        <w14:solidFill>
                          <w14:schemeClr w14:val="tx1"/>
                        </w14:solidFill>
                      </w14:textFill>
                    </w:rPr>
                    <w:t>输入</w:t>
                  </w:r>
                </w:p>
              </w:tc>
              <w:tc>
                <w:tcPr>
                  <w:tcW w:w="4192" w:type="dxa"/>
                  <w:gridSpan w:val="3"/>
                  <w:vAlign w:val="center"/>
                </w:tcPr>
                <w:p w14:paraId="1209146F">
                  <w:pPr>
                    <w:jc w:val="center"/>
                    <w:rPr>
                      <w:rFonts w:hint="default" w:ascii="Times New Roman" w:hAnsi="Times New Roman" w:eastAsia="宋体" w:cs="Times New Roman"/>
                      <w:b/>
                      <w:bCs/>
                      <w:color w:val="000000" w:themeColor="text1"/>
                      <w:szCs w:val="21"/>
                      <w:lang w:eastAsia="en-US"/>
                      <w14:textFill>
                        <w14:solidFill>
                          <w14:schemeClr w14:val="tx1"/>
                        </w14:solidFill>
                      </w14:textFill>
                    </w:rPr>
                  </w:pPr>
                  <w:r>
                    <w:rPr>
                      <w:rFonts w:hint="default" w:ascii="Times New Roman" w:hAnsi="Times New Roman" w:eastAsia="宋体" w:cs="Times New Roman"/>
                      <w:b/>
                      <w:bCs/>
                      <w:color w:val="000000" w:themeColor="text1"/>
                      <w:szCs w:val="21"/>
                      <w:lang w:eastAsia="en-US"/>
                      <w14:textFill>
                        <w14:solidFill>
                          <w14:schemeClr w14:val="tx1"/>
                        </w14:solidFill>
                      </w14:textFill>
                    </w:rPr>
                    <w:t>输出</w:t>
                  </w:r>
                </w:p>
              </w:tc>
            </w:tr>
            <w:tr w14:paraId="4A40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440" w:type="dxa"/>
                  <w:vAlign w:val="center"/>
                </w:tcPr>
                <w:p w14:paraId="4DAF4F6E">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原料</w:t>
                  </w:r>
                </w:p>
              </w:tc>
              <w:tc>
                <w:tcPr>
                  <w:tcW w:w="1747" w:type="dxa"/>
                  <w:vAlign w:val="center"/>
                </w:tcPr>
                <w:p w14:paraId="15BF56BD">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用料（t/a）</w:t>
                  </w:r>
                </w:p>
              </w:tc>
              <w:tc>
                <w:tcPr>
                  <w:tcW w:w="2092" w:type="dxa"/>
                  <w:gridSpan w:val="2"/>
                  <w:vAlign w:val="center"/>
                </w:tcPr>
                <w:p w14:paraId="3DE30E37">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产物</w:t>
                  </w:r>
                </w:p>
              </w:tc>
              <w:tc>
                <w:tcPr>
                  <w:tcW w:w="2100" w:type="dxa"/>
                  <w:vAlign w:val="center"/>
                </w:tcPr>
                <w:p w14:paraId="48C0AC82">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产生量（t/a）</w:t>
                  </w:r>
                </w:p>
              </w:tc>
            </w:tr>
            <w:tr w14:paraId="4A62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440" w:type="dxa"/>
                  <w:vAlign w:val="center"/>
                </w:tcPr>
                <w:p w14:paraId="6C5716C1">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lang w:eastAsia="en-US"/>
                      <w14:textFill>
                        <w14:solidFill>
                          <w14:schemeClr w14:val="tx1"/>
                        </w14:solidFill>
                      </w14:textFill>
                    </w:rPr>
                    <w:t>2</w:t>
                  </w:r>
                </w:p>
              </w:tc>
              <w:tc>
                <w:tcPr>
                  <w:tcW w:w="1747" w:type="dxa"/>
                  <w:vAlign w:val="center"/>
                </w:tcPr>
                <w:p w14:paraId="10989608">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74460.64</w:t>
                  </w:r>
                </w:p>
              </w:tc>
              <w:tc>
                <w:tcPr>
                  <w:tcW w:w="770" w:type="dxa"/>
                  <w:vMerge w:val="restart"/>
                  <w:vAlign w:val="center"/>
                </w:tcPr>
                <w:p w14:paraId="7D9EC2DD">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产品</w:t>
                  </w:r>
                </w:p>
              </w:tc>
              <w:tc>
                <w:tcPr>
                  <w:tcW w:w="1322" w:type="dxa"/>
                  <w:vMerge w:val="restart"/>
                  <w:vAlign w:val="center"/>
                </w:tcPr>
                <w:p w14:paraId="38BC715C">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高纯液态CO</w:t>
                  </w:r>
                  <w:r>
                    <w:rPr>
                      <w:rFonts w:hint="default" w:ascii="Times New Roman" w:hAnsi="Times New Roman" w:eastAsia="宋体" w:cs="Times New Roman"/>
                      <w:color w:val="000000" w:themeColor="text1"/>
                      <w:szCs w:val="21"/>
                      <w:vertAlign w:val="subscript"/>
                      <w:lang w:eastAsia="en-US"/>
                      <w14:textFill>
                        <w14:solidFill>
                          <w14:schemeClr w14:val="tx1"/>
                        </w14:solidFill>
                      </w14:textFill>
                    </w:rPr>
                    <w:t>2</w:t>
                  </w:r>
                </w:p>
              </w:tc>
              <w:tc>
                <w:tcPr>
                  <w:tcW w:w="2100" w:type="dxa"/>
                  <w:vMerge w:val="restart"/>
                  <w:vAlign w:val="center"/>
                </w:tcPr>
                <w:p w14:paraId="29F79E1D">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70000</w:t>
                  </w:r>
                </w:p>
              </w:tc>
            </w:tr>
            <w:tr w14:paraId="4D46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40" w:type="dxa"/>
                  <w:vAlign w:val="center"/>
                </w:tcPr>
                <w:p w14:paraId="6F50AB6C">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eastAsia="en-US"/>
                      <w14:textFill>
                        <w14:solidFill>
                          <w14:schemeClr w14:val="tx1"/>
                        </w14:solidFill>
                      </w14:textFill>
                    </w:rPr>
                    <w:t>2</w:t>
                  </w:r>
                </w:p>
              </w:tc>
              <w:tc>
                <w:tcPr>
                  <w:tcW w:w="1747" w:type="dxa"/>
                  <w:vAlign w:val="center"/>
                </w:tcPr>
                <w:p w14:paraId="78BAC269">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402.16</w:t>
                  </w:r>
                </w:p>
              </w:tc>
              <w:tc>
                <w:tcPr>
                  <w:tcW w:w="770" w:type="dxa"/>
                  <w:vMerge w:val="continue"/>
                  <w:vAlign w:val="center"/>
                </w:tcPr>
                <w:p w14:paraId="0578F6F8">
                  <w:pPr>
                    <w:jc w:val="center"/>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1322" w:type="dxa"/>
                  <w:vMerge w:val="continue"/>
                  <w:vAlign w:val="center"/>
                </w:tcPr>
                <w:p w14:paraId="26E86D38">
                  <w:pPr>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c>
                <w:tcPr>
                  <w:tcW w:w="2100" w:type="dxa"/>
                  <w:vMerge w:val="continue"/>
                  <w:vAlign w:val="center"/>
                </w:tcPr>
                <w:p w14:paraId="1E078AC4">
                  <w:pPr>
                    <w:jc w:val="center"/>
                    <w:rPr>
                      <w:rFonts w:hint="default" w:ascii="Times New Roman" w:hAnsi="Times New Roman" w:eastAsia="宋体" w:cs="Times New Roman"/>
                      <w:color w:val="000000" w:themeColor="text1"/>
                      <w:szCs w:val="21"/>
                      <w:lang w:eastAsia="en-US"/>
                      <w14:textFill>
                        <w14:solidFill>
                          <w14:schemeClr w14:val="tx1"/>
                        </w14:solidFill>
                      </w14:textFill>
                    </w:rPr>
                  </w:pPr>
                </w:p>
              </w:tc>
            </w:tr>
            <w:tr w14:paraId="23EA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2440" w:type="dxa"/>
                  <w:vAlign w:val="center"/>
                </w:tcPr>
                <w:p w14:paraId="12367522">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lang w:eastAsia="en-US"/>
                      <w14:textFill>
                        <w14:solidFill>
                          <w14:schemeClr w14:val="tx1"/>
                        </w14:solidFill>
                      </w14:textFill>
                    </w:rPr>
                    <w:t>2</w:t>
                  </w:r>
                </w:p>
              </w:tc>
              <w:tc>
                <w:tcPr>
                  <w:tcW w:w="1747" w:type="dxa"/>
                  <w:vAlign w:val="center"/>
                </w:tcPr>
                <w:p w14:paraId="78240D21">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28.73</w:t>
                  </w:r>
                </w:p>
              </w:tc>
              <w:tc>
                <w:tcPr>
                  <w:tcW w:w="2092" w:type="dxa"/>
                  <w:gridSpan w:val="2"/>
                  <w:vAlign w:val="center"/>
                </w:tcPr>
                <w:p w14:paraId="53004B4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分离的冷凝水</w:t>
                  </w:r>
                </w:p>
              </w:tc>
              <w:tc>
                <w:tcPr>
                  <w:tcW w:w="2100" w:type="dxa"/>
                  <w:vAlign w:val="center"/>
                </w:tcPr>
                <w:p w14:paraId="5430AF2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269.41</w:t>
                  </w:r>
                </w:p>
              </w:tc>
            </w:tr>
            <w:tr w14:paraId="7CB7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440" w:type="dxa"/>
                  <w:vAlign w:val="center"/>
                </w:tcPr>
                <w:p w14:paraId="4385DDCF">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CO</w:t>
                  </w:r>
                </w:p>
              </w:tc>
              <w:tc>
                <w:tcPr>
                  <w:tcW w:w="1747" w:type="dxa"/>
                  <w:vAlign w:val="center"/>
                </w:tcPr>
                <w:p w14:paraId="77A01313">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402.16</w:t>
                  </w:r>
                </w:p>
              </w:tc>
              <w:tc>
                <w:tcPr>
                  <w:tcW w:w="2092" w:type="dxa"/>
                  <w:gridSpan w:val="2"/>
                  <w:vAlign w:val="center"/>
                </w:tcPr>
                <w:p w14:paraId="03081512">
                  <w:pPr>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分离的杂质气体*</w:t>
                  </w:r>
                </w:p>
              </w:tc>
              <w:tc>
                <w:tcPr>
                  <w:tcW w:w="2100" w:type="dxa"/>
                  <w:vAlign w:val="center"/>
                </w:tcPr>
                <w:p w14:paraId="3290F28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5325.15</w:t>
                  </w:r>
                </w:p>
              </w:tc>
            </w:tr>
            <w:tr w14:paraId="534D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2440" w:type="dxa"/>
                  <w:vAlign w:val="center"/>
                </w:tcPr>
                <w:p w14:paraId="48CB1DFF">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lang w:eastAsia="en-US"/>
                      <w14:textFill>
                        <w14:solidFill>
                          <w14:schemeClr w14:val="tx1"/>
                        </w14:solidFill>
                      </w14:textFill>
                    </w:rPr>
                    <w:t>4</w:t>
                  </w:r>
                </w:p>
              </w:tc>
              <w:tc>
                <w:tcPr>
                  <w:tcW w:w="1747" w:type="dxa"/>
                  <w:vAlign w:val="center"/>
                </w:tcPr>
                <w:p w14:paraId="5AA07231">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28.73</w:t>
                  </w:r>
                </w:p>
              </w:tc>
              <w:tc>
                <w:tcPr>
                  <w:tcW w:w="2092" w:type="dxa"/>
                  <w:gridSpan w:val="2"/>
                  <w:vAlign w:val="center"/>
                </w:tcPr>
                <w:p w14:paraId="308F5833">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w:t>
                  </w:r>
                </w:p>
              </w:tc>
              <w:tc>
                <w:tcPr>
                  <w:tcW w:w="2100" w:type="dxa"/>
                  <w:vAlign w:val="center"/>
                </w:tcPr>
                <w:p w14:paraId="7C729B4A">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w:t>
                  </w:r>
                </w:p>
              </w:tc>
            </w:tr>
            <w:tr w14:paraId="0C33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440" w:type="dxa"/>
                  <w:vAlign w:val="center"/>
                </w:tcPr>
                <w:p w14:paraId="0B9F5AD9">
                  <w:pPr>
                    <w:pStyle w:val="252"/>
                    <w:rPr>
                      <w:rFonts w:hint="default" w:ascii="Times New Roman" w:hAnsi="Times New Roman" w:eastAsia="宋体" w:cs="Times New Roman"/>
                      <w:color w:val="000000" w:themeColor="text1"/>
                      <w:sz w:val="21"/>
                      <w:szCs w:val="21"/>
                      <w:lang w:eastAsia="en-US"/>
                      <w14:textFill>
                        <w14:solidFill>
                          <w14:schemeClr w14:val="tx1"/>
                        </w14:solidFill>
                      </w14:textFill>
                    </w:rPr>
                  </w:pPr>
                  <w:r>
                    <w:rPr>
                      <w:rFonts w:hint="default" w:ascii="Times New Roman" w:hAnsi="Times New Roman" w:eastAsia="宋体" w:cs="Times New Roman"/>
                      <w:color w:val="000000" w:themeColor="text1"/>
                      <w:sz w:val="21"/>
                      <w:szCs w:val="21"/>
                      <w:lang w:eastAsia="en-US"/>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eastAsia="en-US"/>
                      <w14:textFill>
                        <w14:solidFill>
                          <w14:schemeClr w14:val="tx1"/>
                        </w14:solidFill>
                      </w14:textFill>
                    </w:rPr>
                    <w:t>2</w:t>
                  </w:r>
                  <w:r>
                    <w:rPr>
                      <w:rFonts w:hint="default" w:ascii="Times New Roman" w:hAnsi="Times New Roman" w:eastAsia="宋体" w:cs="Times New Roman"/>
                      <w:color w:val="000000" w:themeColor="text1"/>
                      <w:sz w:val="21"/>
                      <w:szCs w:val="21"/>
                      <w:lang w:eastAsia="en-US"/>
                      <w14:textFill>
                        <w14:solidFill>
                          <w14:schemeClr w14:val="tx1"/>
                        </w14:solidFill>
                      </w14:textFill>
                    </w:rPr>
                    <w:t>O</w:t>
                  </w:r>
                </w:p>
              </w:tc>
              <w:tc>
                <w:tcPr>
                  <w:tcW w:w="1747" w:type="dxa"/>
                  <w:vAlign w:val="center"/>
                </w:tcPr>
                <w:p w14:paraId="5C7B3CC9">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272.14</w:t>
                  </w:r>
                </w:p>
              </w:tc>
              <w:tc>
                <w:tcPr>
                  <w:tcW w:w="2092" w:type="dxa"/>
                  <w:gridSpan w:val="2"/>
                  <w:vAlign w:val="center"/>
                </w:tcPr>
                <w:p w14:paraId="13FD62F8">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w:t>
                  </w:r>
                </w:p>
              </w:tc>
              <w:tc>
                <w:tcPr>
                  <w:tcW w:w="2100" w:type="dxa"/>
                  <w:vAlign w:val="center"/>
                </w:tcPr>
                <w:p w14:paraId="4FDC834F">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w:t>
                  </w:r>
                </w:p>
              </w:tc>
            </w:tr>
            <w:tr w14:paraId="20A1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40" w:type="dxa"/>
                  <w:vAlign w:val="center"/>
                </w:tcPr>
                <w:p w14:paraId="07699A2C">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合计</w:t>
                  </w:r>
                </w:p>
              </w:tc>
              <w:tc>
                <w:tcPr>
                  <w:tcW w:w="1747" w:type="dxa"/>
                  <w:vAlign w:val="center"/>
                </w:tcPr>
                <w:p w14:paraId="529F1C44">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75594.56</w:t>
                  </w:r>
                </w:p>
              </w:tc>
              <w:tc>
                <w:tcPr>
                  <w:tcW w:w="2092" w:type="dxa"/>
                  <w:gridSpan w:val="2"/>
                  <w:vAlign w:val="center"/>
                </w:tcPr>
                <w:p w14:paraId="06984785">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w:t>
                  </w:r>
                </w:p>
              </w:tc>
              <w:tc>
                <w:tcPr>
                  <w:tcW w:w="2100" w:type="dxa"/>
                  <w:vAlign w:val="center"/>
                </w:tcPr>
                <w:p w14:paraId="03E04C03">
                  <w:pPr>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75594.56</w:t>
                  </w:r>
                </w:p>
              </w:tc>
            </w:tr>
            <w:tr w14:paraId="05BD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379" w:type="dxa"/>
                  <w:gridSpan w:val="5"/>
                  <w:vAlign w:val="center"/>
                </w:tcPr>
                <w:p w14:paraId="6B0E61C9">
                  <w:pPr>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*进入</w:t>
                  </w:r>
                  <w:r>
                    <w:rPr>
                      <w:rFonts w:hint="eastAsia" w:cs="Times New Roman"/>
                      <w:color w:val="000000" w:themeColor="text1"/>
                      <w:szCs w:val="21"/>
                      <w:lang w:val="en-US" w:eastAsia="zh-CN"/>
                      <w14:textFill>
                        <w14:solidFill>
                          <w14:schemeClr w14:val="tx1"/>
                        </w14:solidFill>
                      </w14:textFill>
                    </w:rPr>
                    <w:t>加热炉</w:t>
                  </w:r>
                  <w:r>
                    <w:rPr>
                      <w:rFonts w:hint="default" w:ascii="Times New Roman" w:hAnsi="Times New Roman" w:eastAsia="宋体" w:cs="Times New Roman"/>
                      <w:color w:val="000000" w:themeColor="text1"/>
                      <w:szCs w:val="21"/>
                      <w:lang w:eastAsia="zh-CN"/>
                      <w14:textFill>
                        <w14:solidFill>
                          <w14:schemeClr w14:val="tx1"/>
                        </w14:solidFill>
                      </w14:textFill>
                    </w:rPr>
                    <w:t>最终以H</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O、CO</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、N</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形式排放。</w:t>
                  </w:r>
                  <w:r>
                    <w:rPr>
                      <w:rFonts w:hint="default" w:ascii="Times New Roman" w:hAnsi="Times New Roman" w:eastAsia="宋体" w:cs="Times New Roman"/>
                      <w:color w:val="000000" w:themeColor="text1"/>
                      <w:szCs w:val="21"/>
                      <w:lang w:eastAsia="zh-CN"/>
                      <w14:textFill>
                        <w14:solidFill>
                          <w14:schemeClr w14:val="tx1"/>
                        </w14:solidFill>
                      </w14:textFill>
                    </w:rPr>
                    <w:br w:type="textWrapping"/>
                  </w:r>
                  <w:r>
                    <w:rPr>
                      <w:rFonts w:hint="default" w:ascii="Times New Roman" w:hAnsi="Times New Roman" w:eastAsia="宋体" w:cs="Times New Roman"/>
                      <w:color w:val="000000" w:themeColor="text1"/>
                      <w:szCs w:val="21"/>
                      <w:lang w:eastAsia="zh-CN"/>
                      <w14:textFill>
                        <w14:solidFill>
                          <w14:schemeClr w14:val="tx1"/>
                        </w14:solidFill>
                      </w14:textFill>
                    </w:rPr>
                    <w:t>需要说明的是：热力型NOx在燃烧温度&gt;1300℃时显著生成（数据来源：美国环保署（EPA）《AP-42排放因子手册》）；根据相关文献，燃气轮机、内燃机等设备中，火焰温度通常需控制在1500℃以下以减少NOₓ排放。本项目N</w:t>
                  </w:r>
                  <w:r>
                    <w:rPr>
                      <w:rFonts w:hint="default" w:ascii="Times New Roman" w:hAnsi="Times New Roman" w:eastAsia="宋体" w:cs="Times New Roman"/>
                      <w:color w:val="000000" w:themeColor="text1"/>
                      <w:szCs w:val="21"/>
                      <w:vertAlign w:val="subscript"/>
                      <w:lang w:eastAsia="zh-CN"/>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在进入</w:t>
                  </w:r>
                  <w:r>
                    <w:rPr>
                      <w:rFonts w:hint="eastAsia" w:cs="Times New Roman"/>
                      <w:color w:val="000000" w:themeColor="text1"/>
                      <w:szCs w:val="21"/>
                      <w:lang w:val="en-US" w:eastAsia="zh-CN"/>
                      <w14:textFill>
                        <w14:solidFill>
                          <w14:schemeClr w14:val="tx1"/>
                        </w14:solidFill>
                      </w14:textFill>
                    </w:rPr>
                    <w:t>加热炉</w:t>
                  </w:r>
                  <w:r>
                    <w:rPr>
                      <w:rFonts w:hint="default" w:ascii="Times New Roman" w:hAnsi="Times New Roman" w:eastAsia="宋体" w:cs="Times New Roman"/>
                      <w:color w:val="000000" w:themeColor="text1"/>
                      <w:szCs w:val="21"/>
                      <w:lang w:eastAsia="zh-CN"/>
                      <w14:textFill>
                        <w14:solidFill>
                          <w14:schemeClr w14:val="tx1"/>
                        </w14:solidFill>
                      </w14:textFill>
                    </w:rPr>
                    <w:t>后，</w:t>
                  </w:r>
                  <w:r>
                    <w:rPr>
                      <w:rFonts w:hint="eastAsia" w:cs="Times New Roman"/>
                      <w:color w:val="000000" w:themeColor="text1"/>
                      <w:szCs w:val="21"/>
                      <w:lang w:val="en-US" w:eastAsia="zh-CN"/>
                      <w14:textFill>
                        <w14:solidFill>
                          <w14:schemeClr w14:val="tx1"/>
                        </w14:solidFill>
                      </w14:textFill>
                    </w:rPr>
                    <w:t>加热炉</w:t>
                  </w:r>
                  <w:r>
                    <w:rPr>
                      <w:rFonts w:hint="default" w:ascii="Times New Roman" w:hAnsi="Times New Roman" w:eastAsia="宋体" w:cs="Times New Roman"/>
                      <w:color w:val="000000" w:themeColor="text1"/>
                      <w:szCs w:val="21"/>
                      <w:lang w:eastAsia="zh-CN"/>
                      <w14:textFill>
                        <w14:solidFill>
                          <w14:schemeClr w14:val="tx1"/>
                        </w14:solidFill>
                      </w14:textFill>
                    </w:rPr>
                    <w:t>的温度为</w:t>
                  </w:r>
                  <w:r>
                    <w:rPr>
                      <w:rFonts w:hint="eastAsia" w:cs="Times New Roman"/>
                      <w:color w:val="000000" w:themeColor="text1"/>
                      <w:szCs w:val="21"/>
                      <w:lang w:val="en-US" w:eastAsia="zh-CN"/>
                      <w14:textFill>
                        <w14:solidFill>
                          <w14:schemeClr w14:val="tx1"/>
                        </w14:solidFill>
                      </w14:textFill>
                    </w:rPr>
                    <w:t>1030</w:t>
                  </w:r>
                  <w:r>
                    <w:rPr>
                      <w:rFonts w:hint="default" w:ascii="Times New Roman" w:hAnsi="Times New Roman" w:eastAsia="宋体" w:cs="Times New Roman"/>
                      <w:color w:val="000000" w:themeColor="text1"/>
                      <w:szCs w:val="21"/>
                      <w:lang w:eastAsia="zh-CN"/>
                      <w14:textFill>
                        <w14:solidFill>
                          <w14:schemeClr w14:val="tx1"/>
                        </w14:solidFill>
                      </w14:textFill>
                    </w:rPr>
                    <w:t>℃，停留时间为2.0S，未达到大量产生NOx的温度及停留时间，故基本不考虑热力型NOx的产生。厂区主体工程环评也未考虑</w:t>
                  </w:r>
                  <w:r>
                    <w:rPr>
                      <w:rFonts w:hint="eastAsia" w:cs="Times New Roman"/>
                      <w:color w:val="000000" w:themeColor="text1"/>
                      <w:szCs w:val="21"/>
                      <w:lang w:val="en-US" w:eastAsia="zh-CN"/>
                      <w14:textFill>
                        <w14:solidFill>
                          <w14:schemeClr w14:val="tx1"/>
                        </w14:solidFill>
                      </w14:textFill>
                    </w:rPr>
                    <w:t>加热炉</w:t>
                  </w:r>
                  <w:r>
                    <w:rPr>
                      <w:rFonts w:hint="default" w:ascii="Times New Roman" w:hAnsi="Times New Roman" w:eastAsia="宋体" w:cs="Times New Roman"/>
                      <w:color w:val="000000" w:themeColor="text1"/>
                      <w:szCs w:val="21"/>
                      <w:lang w:eastAsia="zh-CN"/>
                      <w14:textFill>
                        <w14:solidFill>
                          <w14:schemeClr w14:val="tx1"/>
                        </w14:solidFill>
                      </w14:textFill>
                    </w:rPr>
                    <w:t>内热力型NOx的产生。</w:t>
                  </w:r>
                </w:p>
              </w:tc>
            </w:tr>
          </w:tbl>
          <w:p w14:paraId="3FEB9BD2">
            <w:pPr>
              <w:autoSpaceDE w:val="0"/>
              <w:spacing w:line="360" w:lineRule="auto"/>
              <w:rPr>
                <w:rFonts w:hint="default" w:ascii="Times New Roman" w:hAnsi="Times New Roman" w:eastAsia="宋体" w:cs="Times New Roman"/>
                <w:color w:val="000000" w:themeColor="text1"/>
                <w:kern w:val="0"/>
                <w:sz w:val="18"/>
                <w:szCs w:val="20"/>
                <w14:textFill>
                  <w14:solidFill>
                    <w14:schemeClr w14:val="tx1"/>
                  </w14:solidFill>
                </w14:textFill>
              </w:rPr>
            </w:pPr>
          </w:p>
        </w:tc>
      </w:tr>
      <w:tr w14:paraId="2D70F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5" w:hRule="atLeast"/>
          <w:jc w:val="center"/>
        </w:trPr>
        <w:tc>
          <w:tcPr>
            <w:tcW w:w="451" w:type="dxa"/>
            <w:vAlign w:val="center"/>
          </w:tcPr>
          <w:p w14:paraId="361804D3">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与项目有关的原有环境污染问题</w:t>
            </w:r>
          </w:p>
        </w:tc>
        <w:tc>
          <w:tcPr>
            <w:tcW w:w="8603" w:type="dxa"/>
          </w:tcPr>
          <w:p w14:paraId="29B38FB2">
            <w:pPr>
              <w:keepNext/>
              <w:keepLines/>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2022年，四川正达凯新材料有限公司在达州普光化工园区内（即普光经济开发区普光功能组团）新征用地1114亩，其中约880亩建设“宣汉县先进智造产业园项目（年产120万吨MEG联产10万吨电子级DMC新材料项目）”和“四川正达凯年产120万吨乙二醇工程配套用能源供应及余热利用项目”，剩余约234亩作为公司预留用地使用</w:t>
            </w:r>
            <w:r>
              <w:rPr>
                <w:rFonts w:hint="eastAsia" w:cs="Times New Roman"/>
                <w:color w:val="000000" w:themeColor="text1"/>
                <w:sz w:val="24"/>
                <w:lang w:eastAsia="zh-CN"/>
                <w14:textFill>
                  <w14:solidFill>
                    <w14:schemeClr w14:val="tx1"/>
                  </w14:solidFill>
                </w14:textFill>
              </w:rPr>
              <w:t>。</w:t>
            </w:r>
          </w:p>
          <w:p w14:paraId="597B66F8">
            <w:pPr>
              <w:keepNext/>
              <w:keepLines/>
              <w:spacing w:line="360" w:lineRule="auto"/>
              <w:ind w:firstLine="480" w:firstLineChars="200"/>
              <w:rPr>
                <w:rFonts w:hint="eastAsia"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2025年，《年产120万吨MEG联产10万吨电子级DMC新材料项目》中的储罐</w:t>
            </w:r>
            <w:r>
              <w:rPr>
                <w:rFonts w:hint="eastAsia" w:cs="Times New Roman"/>
                <w:color w:val="000000" w:themeColor="text1"/>
                <w:sz w:val="24"/>
                <w:u w:val="single"/>
                <w:lang w:eastAsia="zh-CN"/>
                <w14:textFill>
                  <w14:solidFill>
                    <w14:schemeClr w14:val="tx1"/>
                  </w14:solidFill>
                </w14:textFill>
              </w:rPr>
              <w:t>（储罐总数量新增9.4%，总容积新增31.7%）</w:t>
            </w:r>
            <w:r>
              <w:rPr>
                <w:rFonts w:hint="default" w:ascii="Times New Roman" w:hAnsi="Times New Roman" w:eastAsia="宋体" w:cs="Times New Roman"/>
                <w:color w:val="000000" w:themeColor="text1"/>
                <w:sz w:val="24"/>
                <w:u w:val="single"/>
                <w14:textFill>
                  <w14:solidFill>
                    <w14:schemeClr w14:val="tx1"/>
                  </w14:solidFill>
                </w14:textFill>
              </w:rPr>
              <w:t>、废气</w:t>
            </w:r>
            <w:r>
              <w:rPr>
                <w:rFonts w:hint="eastAsia" w:cs="Times New Roman"/>
                <w:color w:val="000000" w:themeColor="text1"/>
                <w:sz w:val="24"/>
                <w:u w:val="single"/>
                <w:lang w:val="en-US" w:eastAsia="zh-CN"/>
                <w14:textFill>
                  <w14:solidFill>
                    <w14:schemeClr w14:val="tx1"/>
                  </w14:solidFill>
                </w14:textFill>
              </w:rPr>
              <w:t>排放类型（废水站臭气污染防治措施调整，导致新增污染物排放量）等</w:t>
            </w:r>
            <w:r>
              <w:rPr>
                <w:rFonts w:hint="default" w:ascii="Times New Roman" w:hAnsi="Times New Roman" w:eastAsia="宋体" w:cs="Times New Roman"/>
                <w:color w:val="000000" w:themeColor="text1"/>
                <w:sz w:val="24"/>
                <w:u w:val="single"/>
                <w14:textFill>
                  <w14:solidFill>
                    <w14:schemeClr w14:val="tx1"/>
                  </w14:solidFill>
                </w14:textFill>
              </w:rPr>
              <w:t>发生变化，涉及</w:t>
            </w:r>
            <w:r>
              <w:rPr>
                <w:rFonts w:hint="eastAsia" w:cs="Times New Roman"/>
                <w:color w:val="000000" w:themeColor="text1"/>
                <w:sz w:val="24"/>
                <w:u w:val="single"/>
                <w:lang w:eastAsia="zh-CN"/>
                <w14:textFill>
                  <w14:solidFill>
                    <w14:schemeClr w14:val="tx1"/>
                  </w14:solidFill>
                </w14:textFill>
              </w:rPr>
              <w:t>“石油炼制与石油化工建设项目重大变动清单（试行）”</w:t>
            </w:r>
            <w:r>
              <w:rPr>
                <w:rFonts w:hint="eastAsia" w:cs="Times New Roman"/>
                <w:color w:val="000000" w:themeColor="text1"/>
                <w:sz w:val="24"/>
                <w:u w:val="single"/>
                <w:lang w:val="en-US" w:eastAsia="zh-CN"/>
                <w14:textFill>
                  <w14:solidFill>
                    <w14:schemeClr w14:val="tx1"/>
                  </w14:solidFill>
                </w14:textFill>
              </w:rPr>
              <w:t>中的</w:t>
            </w:r>
            <w:r>
              <w:rPr>
                <w:rFonts w:hint="default" w:ascii="Times New Roman" w:hAnsi="Times New Roman" w:eastAsia="宋体" w:cs="Times New Roman"/>
                <w:color w:val="000000" w:themeColor="text1"/>
                <w:sz w:val="24"/>
                <w:u w:val="single"/>
                <w14:textFill>
                  <w14:solidFill>
                    <w14:schemeClr w14:val="tx1"/>
                  </w14:solidFill>
                </w14:textFill>
              </w:rPr>
              <w:t>重大变动</w:t>
            </w:r>
            <w:r>
              <w:rPr>
                <w:rFonts w:hint="eastAsia" w:cs="Times New Roman"/>
                <w:color w:val="000000" w:themeColor="text1"/>
                <w:sz w:val="24"/>
                <w:u w:val="single"/>
                <w:lang w:val="en-US" w:eastAsia="zh-CN"/>
                <w14:textFill>
                  <w14:solidFill>
                    <w14:schemeClr w14:val="tx1"/>
                  </w14:solidFill>
                </w14:textFill>
              </w:rPr>
              <w:t>内容</w:t>
            </w:r>
            <w:r>
              <w:rPr>
                <w:rFonts w:hint="default" w:ascii="Times New Roman" w:hAnsi="Times New Roman" w:eastAsia="宋体" w:cs="Times New Roman"/>
                <w:color w:val="000000" w:themeColor="text1"/>
                <w:sz w:val="24"/>
                <w:u w:val="single"/>
                <w14:textFill>
                  <w14:solidFill>
                    <w14:schemeClr w14:val="tx1"/>
                  </w14:solidFill>
                </w14:textFill>
              </w:rPr>
              <w:t>，</w:t>
            </w:r>
            <w:r>
              <w:rPr>
                <w:rFonts w:hint="eastAsia" w:cs="Times New Roman"/>
                <w:color w:val="000000" w:themeColor="text1"/>
                <w:sz w:val="24"/>
                <w:u w:val="single"/>
                <w:lang w:val="en-US" w:eastAsia="zh-CN"/>
                <w14:textFill>
                  <w14:solidFill>
                    <w14:schemeClr w14:val="tx1"/>
                  </w14:solidFill>
                </w14:textFill>
              </w:rPr>
              <w:t>已经完成</w:t>
            </w:r>
            <w:r>
              <w:rPr>
                <w:rFonts w:hint="default" w:ascii="Times New Roman" w:hAnsi="Times New Roman" w:eastAsia="宋体" w:cs="Times New Roman"/>
                <w:color w:val="000000" w:themeColor="text1"/>
                <w:sz w:val="24"/>
                <w:u w:val="single"/>
                <w14:textFill>
                  <w14:solidFill>
                    <w14:schemeClr w14:val="tx1"/>
                  </w14:solidFill>
                </w14:textFill>
              </w:rPr>
              <w:t>重新报批手续，</w:t>
            </w:r>
            <w:r>
              <w:rPr>
                <w:rFonts w:hint="eastAsia" w:cs="Times New Roman"/>
                <w:color w:val="000000" w:themeColor="text1"/>
                <w:sz w:val="24"/>
                <w:u w:val="single"/>
                <w:lang w:val="en-US" w:eastAsia="zh-CN"/>
                <w14:textFill>
                  <w14:solidFill>
                    <w14:schemeClr w14:val="tx1"/>
                  </w14:solidFill>
                </w14:textFill>
              </w:rPr>
              <w:t>取得重新报批的批复文件（达市环审[2025]25号）。</w:t>
            </w:r>
          </w:p>
          <w:p w14:paraId="4F84A2CE">
            <w:pPr>
              <w:autoSpaceDE w:val="0"/>
              <w:spacing w:line="360" w:lineRule="auto"/>
              <w:ind w:firstLine="480" w:firstLineChars="200"/>
              <w:rPr>
                <w:rFonts w:hint="default" w:ascii="Times New Roman" w:hAnsi="Times New Roman" w:eastAsia="宋体" w:cs="Times New Roman"/>
                <w:color w:val="000000" w:themeColor="text1"/>
                <w:sz w:val="24"/>
                <w:u w:val="single"/>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该重大</w:t>
            </w:r>
            <w:r>
              <w:rPr>
                <w:rFonts w:hint="eastAsia" w:cs="Times New Roman"/>
                <w:color w:val="000000" w:themeColor="text1"/>
                <w:sz w:val="24"/>
                <w:u w:val="single"/>
                <w:lang w:val="en-US" w:eastAsia="zh-CN"/>
                <w14:textFill>
                  <w14:solidFill>
                    <w14:schemeClr w14:val="tx1"/>
                  </w14:solidFill>
                </w14:textFill>
              </w:rPr>
              <w:t>变动</w:t>
            </w:r>
            <w:r>
              <w:rPr>
                <w:rFonts w:hint="default" w:ascii="Times New Roman" w:hAnsi="Times New Roman" w:eastAsia="宋体" w:cs="Times New Roman"/>
                <w:color w:val="000000" w:themeColor="text1"/>
                <w:sz w:val="24"/>
                <w:u w:val="single"/>
                <w14:textFill>
                  <w14:solidFill>
                    <w14:schemeClr w14:val="tx1"/>
                  </w14:solidFill>
                </w14:textFill>
              </w:rPr>
              <w:t>不涉及本次项目的源强</w:t>
            </w:r>
            <w:r>
              <w:rPr>
                <w:rFonts w:hint="eastAsia" w:cs="Times New Roman"/>
                <w:color w:val="000000" w:themeColor="text1"/>
                <w:sz w:val="24"/>
                <w:u w:val="single"/>
                <w:lang w:val="en-US" w:eastAsia="zh-CN"/>
                <w14:textFill>
                  <w14:solidFill>
                    <w14:schemeClr w14:val="tx1"/>
                  </w14:solidFill>
                </w14:textFill>
              </w:rPr>
              <w:t>变化，但</w:t>
            </w:r>
            <w:r>
              <w:rPr>
                <w:rFonts w:hint="default" w:ascii="Times New Roman" w:hAnsi="Times New Roman" w:eastAsia="宋体" w:cs="Times New Roman"/>
                <w:color w:val="000000" w:themeColor="text1"/>
                <w:sz w:val="24"/>
                <w:u w:val="single"/>
                <w14:textFill>
                  <w14:solidFill>
                    <w14:schemeClr w14:val="tx1"/>
                  </w14:solidFill>
                </w14:textFill>
              </w:rPr>
              <w:t>治理措施</w:t>
            </w:r>
            <w:r>
              <w:rPr>
                <w:rFonts w:hint="eastAsia" w:cs="Times New Roman"/>
                <w:color w:val="000000" w:themeColor="text1"/>
                <w:sz w:val="24"/>
                <w:u w:val="single"/>
                <w:lang w:val="en-US" w:eastAsia="zh-CN"/>
                <w14:textFill>
                  <w14:solidFill>
                    <w14:schemeClr w14:val="tx1"/>
                  </w14:solidFill>
                </w14:textFill>
              </w:rPr>
              <w:t>中天然气加热炉烟气排气筒由50m调整为60m，即本项目分离废气最终经天然气加热炉燃烧后60m排气筒排放</w:t>
            </w:r>
            <w:r>
              <w:rPr>
                <w:rFonts w:hint="default" w:ascii="Times New Roman" w:hAnsi="Times New Roman" w:eastAsia="宋体" w:cs="Times New Roman"/>
                <w:color w:val="000000" w:themeColor="text1"/>
                <w:sz w:val="24"/>
                <w:u w:val="single"/>
                <w14:textFill>
                  <w14:solidFill>
                    <w14:schemeClr w14:val="tx1"/>
                  </w14:solidFill>
                </w14:textFill>
              </w:rPr>
              <w:t>。</w:t>
            </w:r>
          </w:p>
          <w:p w14:paraId="0A0478AF">
            <w:pPr>
              <w:autoSpaceDE w:val="0"/>
              <w:spacing w:line="360" w:lineRule="auto"/>
              <w:ind w:firstLine="480" w:firstLineChars="200"/>
              <w:rPr>
                <w:rFonts w:hint="eastAsia" w:cs="Times New Roman"/>
                <w:color w:val="000000" w:themeColor="text1"/>
                <w:sz w:val="24"/>
                <w:u w:val="single"/>
                <w:lang w:val="en-US" w:eastAsia="zh-CN"/>
                <w14:textFill>
                  <w14:solidFill>
                    <w14:schemeClr w14:val="tx1"/>
                  </w14:solidFill>
                </w14:textFill>
              </w:rPr>
            </w:pPr>
            <w:r>
              <w:rPr>
                <w:rFonts w:hint="eastAsia" w:cs="Times New Roman"/>
                <w:color w:val="000000" w:themeColor="text1"/>
                <w:sz w:val="24"/>
                <w:u w:val="single"/>
                <w:lang w:val="en-US" w:eastAsia="zh-CN"/>
                <w14:textFill>
                  <w14:solidFill>
                    <w14:schemeClr w14:val="tx1"/>
                  </w14:solidFill>
                </w14:textFill>
              </w:rPr>
              <w:t>主体工程建设情况如下：</w:t>
            </w:r>
          </w:p>
          <w:p w14:paraId="7B6DB335">
            <w:pPr>
              <w:keepNext/>
              <w:keepLines/>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（一）工程调查</w:t>
            </w:r>
          </w:p>
          <w:p w14:paraId="573737EF">
            <w:pPr>
              <w:keepNext/>
              <w:keepLines/>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1、工程组成及主要环境问题一览表</w:t>
            </w:r>
          </w:p>
          <w:p w14:paraId="0F57EDAC">
            <w:pPr>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表2-</w:t>
            </w:r>
            <w:r>
              <w:rPr>
                <w:rFonts w:hint="eastAsia" w:cs="Times New Roman"/>
                <w:b/>
                <w:bCs/>
                <w:color w:val="000000" w:themeColor="text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Cs w:val="21"/>
                <w14:textFill>
                  <w14:solidFill>
                    <w14:schemeClr w14:val="tx1"/>
                  </w14:solidFill>
                </w14:textFill>
              </w:rPr>
              <w:t xml:space="preserve">  工程组成</w:t>
            </w:r>
            <w:r>
              <w:rPr>
                <w:rFonts w:hint="eastAsia" w:cs="Times New Roman"/>
                <w:b/>
                <w:bCs/>
                <w:color w:val="000000" w:themeColor="text1"/>
                <w:szCs w:val="21"/>
                <w:lang w:eastAsia="zh-CN"/>
                <w14:textFill>
                  <w14:solidFill>
                    <w14:schemeClr w14:val="tx1"/>
                  </w14:solidFill>
                </w14:textFill>
              </w:rPr>
              <w:t>（</w:t>
            </w:r>
            <w:r>
              <w:rPr>
                <w:rFonts w:hint="eastAsia" w:cs="Times New Roman"/>
                <w:b/>
                <w:bCs/>
                <w:color w:val="000000" w:themeColor="text1"/>
                <w:szCs w:val="21"/>
                <w:lang w:val="en-US" w:eastAsia="zh-CN"/>
                <w14:textFill>
                  <w14:solidFill>
                    <w14:schemeClr w14:val="tx1"/>
                  </w14:solidFill>
                </w14:textFill>
              </w:rPr>
              <w:t>一期、二期</w:t>
            </w:r>
            <w:r>
              <w:rPr>
                <w:rFonts w:hint="eastAsia" w:cs="Times New Roman"/>
                <w:b/>
                <w:bCs/>
                <w:color w:val="000000" w:themeColor="text1"/>
                <w:szCs w:val="21"/>
                <w:lang w:eastAsia="zh-CN"/>
                <w14:textFill>
                  <w14:solidFill>
                    <w14:schemeClr w14:val="tx1"/>
                  </w14:solidFill>
                </w14:textFill>
              </w:rPr>
              <w:t>）</w:t>
            </w:r>
            <w:r>
              <w:rPr>
                <w:rFonts w:hint="default" w:ascii="Times New Roman" w:hAnsi="Times New Roman" w:eastAsia="宋体" w:cs="Times New Roman"/>
                <w:b/>
                <w:bCs/>
                <w:color w:val="000000" w:themeColor="text1"/>
                <w:szCs w:val="21"/>
                <w14:textFill>
                  <w14:solidFill>
                    <w14:schemeClr w14:val="tx1"/>
                  </w14:solidFill>
                </w14:textFill>
              </w:rPr>
              <w:t>及主要环境问题一览表</w:t>
            </w:r>
          </w:p>
          <w:tbl>
            <w:tblPr>
              <w:tblStyle w:val="48"/>
              <w:tblW w:w="508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71"/>
              <w:gridCol w:w="268"/>
              <w:gridCol w:w="807"/>
              <w:gridCol w:w="6443"/>
              <w:gridCol w:w="524"/>
            </w:tblGrid>
            <w:tr w14:paraId="25A348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60" w:hRule="atLeast"/>
                <w:tblHeader/>
                <w:jc w:val="center"/>
              </w:trPr>
              <w:tc>
                <w:tcPr>
                  <w:tcW w:w="277" w:type="pct"/>
                  <w:noWrap w:val="0"/>
                  <w:vAlign w:val="center"/>
                </w:tcPr>
                <w:p w14:paraId="2B50A86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项目组成</w:t>
                  </w:r>
                </w:p>
              </w:tc>
              <w:tc>
                <w:tcPr>
                  <w:tcW w:w="631" w:type="pct"/>
                  <w:gridSpan w:val="2"/>
                  <w:noWrap w:val="0"/>
                  <w:vAlign w:val="center"/>
                </w:tcPr>
                <w:p w14:paraId="5054970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子项工程</w:t>
                  </w:r>
                </w:p>
              </w:tc>
              <w:tc>
                <w:tcPr>
                  <w:tcW w:w="3784" w:type="pct"/>
                  <w:noWrap w:val="0"/>
                  <w:vAlign w:val="center"/>
                </w:tcPr>
                <w:p w14:paraId="35EB81B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主要建设内容</w:t>
                  </w:r>
                </w:p>
              </w:tc>
              <w:tc>
                <w:tcPr>
                  <w:tcW w:w="308" w:type="pct"/>
                  <w:noWrap w:val="0"/>
                  <w:vAlign w:val="center"/>
                </w:tcPr>
                <w:p w14:paraId="69BE830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备注</w:t>
                  </w:r>
                </w:p>
              </w:tc>
            </w:tr>
            <w:tr w14:paraId="0326A0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restart"/>
                  <w:noWrap w:val="0"/>
                  <w:vAlign w:val="center"/>
                </w:tcPr>
                <w:p w14:paraId="0E3A073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主体 工程</w:t>
                  </w:r>
                </w:p>
              </w:tc>
              <w:tc>
                <w:tcPr>
                  <w:tcW w:w="631" w:type="pct"/>
                  <w:gridSpan w:val="2"/>
                  <w:noWrap w:val="0"/>
                  <w:vAlign w:val="center"/>
                </w:tcPr>
                <w:p w14:paraId="440B8D6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天然气净化及转化装置</w:t>
                  </w:r>
                </w:p>
              </w:tc>
              <w:tc>
                <w:tcPr>
                  <w:tcW w:w="3784" w:type="pct"/>
                  <w:noWrap w:val="0"/>
                  <w:vAlign w:val="center"/>
                </w:tcPr>
                <w:p w14:paraId="0E89472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共</w:t>
                  </w:r>
                  <w:r>
                    <w:rPr>
                      <w:rFonts w:hint="eastAsia"/>
                      <w:color w:val="000000" w:themeColor="text1"/>
                      <w:sz w:val="18"/>
                      <w:szCs w:val="18"/>
                      <w14:textFill>
                        <w14:solidFill>
                          <w14:schemeClr w14:val="tx1"/>
                        </w14:solidFill>
                      </w14:textFill>
                    </w:rPr>
                    <w:t>2条生产线</w:t>
                  </w:r>
                  <w:r>
                    <w:rPr>
                      <w:color w:val="000000" w:themeColor="text1"/>
                      <w:sz w:val="18"/>
                      <w:szCs w:val="18"/>
                      <w14:textFill>
                        <w14:solidFill>
                          <w14:schemeClr w14:val="tx1"/>
                        </w14:solidFill>
                      </w14:textFill>
                    </w:rPr>
                    <w:t>，包括天然气脱硫、天然气转化及热回收、</w:t>
                  </w:r>
                  <w:r>
                    <w:rPr>
                      <w:rFonts w:hint="eastAsia"/>
                      <w:color w:val="000000" w:themeColor="text1"/>
                      <w:sz w:val="18"/>
                      <w:szCs w:val="18"/>
                      <w14:textFill>
                        <w14:solidFill>
                          <w14:schemeClr w14:val="tx1"/>
                        </w14:solidFill>
                      </w14:textFill>
                    </w:rPr>
                    <w:t>MEDA</w:t>
                  </w:r>
                  <w:r>
                    <w:rPr>
                      <w:color w:val="000000" w:themeColor="text1"/>
                      <w:sz w:val="18"/>
                      <w:szCs w:val="18"/>
                      <w14:textFill>
                        <w14:solidFill>
                          <w14:schemeClr w14:val="tx1"/>
                        </w14:solidFill>
                      </w14:textFill>
                    </w:rPr>
                    <w:t>脱碳等工序，主要设备包括</w:t>
                  </w:r>
                  <w:r>
                    <w:rPr>
                      <w:rFonts w:hint="eastAsia"/>
                      <w:color w:val="000000" w:themeColor="text1"/>
                      <w:sz w:val="18"/>
                      <w:szCs w:val="18"/>
                      <w14:textFill>
                        <w14:solidFill>
                          <w14:schemeClr w14:val="tx1"/>
                        </w14:solidFill>
                      </w14:textFill>
                    </w:rPr>
                    <w:t>铁锰脱硫槽</w:t>
                  </w:r>
                  <w:r>
                    <w:rPr>
                      <w:color w:val="000000" w:themeColor="text1"/>
                      <w:sz w:val="18"/>
                      <w:szCs w:val="18"/>
                      <w14:textFill>
                        <w14:solidFill>
                          <w14:schemeClr w14:val="tx1"/>
                        </w14:solidFill>
                      </w14:textFill>
                    </w:rPr>
                    <w:t>、氧化锌脱硫槽、</w:t>
                  </w:r>
                  <w:r>
                    <w:rPr>
                      <w:rFonts w:hint="eastAsia"/>
                      <w:color w:val="000000" w:themeColor="text1"/>
                      <w:sz w:val="18"/>
                      <w:szCs w:val="18"/>
                      <w14:textFill>
                        <w14:solidFill>
                          <w14:schemeClr w14:val="tx1"/>
                        </w14:solidFill>
                      </w14:textFill>
                    </w:rPr>
                    <w:t>天然气加热炉、纯氧转化炉</w:t>
                  </w:r>
                  <w:r>
                    <w:rPr>
                      <w:color w:val="000000" w:themeColor="text1"/>
                      <w:sz w:val="18"/>
                      <w:szCs w:val="18"/>
                      <w14:textFill>
                        <w14:solidFill>
                          <w14:schemeClr w14:val="tx1"/>
                        </w14:solidFill>
                      </w14:textFill>
                    </w:rPr>
                    <w:t>、转化废锅</w:t>
                  </w:r>
                  <w:r>
                    <w:rPr>
                      <w:rFonts w:hint="eastAsia"/>
                      <w:color w:val="000000" w:themeColor="text1"/>
                      <w:sz w:val="18"/>
                      <w:szCs w:val="18"/>
                      <w14:textFill>
                        <w14:solidFill>
                          <w14:schemeClr w14:val="tx1"/>
                        </w14:solidFill>
                      </w14:textFill>
                    </w:rPr>
                    <w:t>、MEDA</w:t>
                  </w:r>
                  <w:r>
                    <w:rPr>
                      <w:color w:val="000000" w:themeColor="text1"/>
                      <w:sz w:val="18"/>
                      <w:szCs w:val="18"/>
                      <w14:textFill>
                        <w14:solidFill>
                          <w14:schemeClr w14:val="tx1"/>
                        </w14:solidFill>
                      </w14:textFill>
                    </w:rPr>
                    <w:t>吸收塔、</w:t>
                  </w:r>
                  <w:r>
                    <w:rPr>
                      <w:rFonts w:hint="eastAsia"/>
                      <w:color w:val="000000" w:themeColor="text1"/>
                      <w:sz w:val="18"/>
                      <w:szCs w:val="18"/>
                      <w14:textFill>
                        <w14:solidFill>
                          <w14:schemeClr w14:val="tx1"/>
                        </w14:solidFill>
                      </w14:textFill>
                    </w:rPr>
                    <w:t>CO</w:t>
                  </w:r>
                  <w:r>
                    <w:rPr>
                      <w:rFonts w:hint="eastAsia"/>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再生塔</w:t>
                  </w:r>
                  <w:r>
                    <w:rPr>
                      <w:rFonts w:hint="eastAsia"/>
                      <w:color w:val="000000" w:themeColor="text1"/>
                      <w:sz w:val="18"/>
                      <w:szCs w:val="18"/>
                      <w14:textFill>
                        <w14:solidFill>
                          <w14:schemeClr w14:val="tx1"/>
                        </w14:solidFill>
                      </w14:textFill>
                    </w:rPr>
                    <w:t>、天然气膨胀机</w:t>
                  </w:r>
                  <w:r>
                    <w:rPr>
                      <w:color w:val="000000" w:themeColor="text1"/>
                      <w:sz w:val="18"/>
                      <w:szCs w:val="18"/>
                      <w14:textFill>
                        <w14:solidFill>
                          <w14:schemeClr w14:val="tx1"/>
                        </w14:solidFill>
                      </w14:textFill>
                    </w:rPr>
                    <w:t>等</w:t>
                  </w:r>
                </w:p>
              </w:tc>
              <w:tc>
                <w:tcPr>
                  <w:tcW w:w="308" w:type="pct"/>
                  <w:noWrap w:val="0"/>
                  <w:vAlign w:val="center"/>
                </w:tcPr>
                <w:p w14:paraId="7B50D3A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BEF97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068DE93C">
                  <w:pPr>
                    <w:jc w:val="center"/>
                    <w:rPr>
                      <w:color w:val="000000" w:themeColor="text1"/>
                      <w:sz w:val="18"/>
                      <w:szCs w:val="18"/>
                      <w14:textFill>
                        <w14:solidFill>
                          <w14:schemeClr w14:val="tx1"/>
                        </w14:solidFill>
                      </w14:textFill>
                    </w:rPr>
                  </w:pPr>
                </w:p>
              </w:tc>
              <w:tc>
                <w:tcPr>
                  <w:tcW w:w="631" w:type="pct"/>
                  <w:gridSpan w:val="2"/>
                  <w:noWrap w:val="0"/>
                  <w:vAlign w:val="center"/>
                </w:tcPr>
                <w:p w14:paraId="331F678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/CO分离装置</w:t>
                  </w:r>
                </w:p>
              </w:tc>
              <w:tc>
                <w:tcPr>
                  <w:tcW w:w="3784" w:type="pct"/>
                  <w:noWrap w:val="0"/>
                  <w:vAlign w:val="center"/>
                </w:tcPr>
                <w:p w14:paraId="78ED18F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共2</w:t>
                  </w:r>
                  <w:r>
                    <w:rPr>
                      <w:rFonts w:hint="eastAsia"/>
                      <w:color w:val="000000" w:themeColor="text1"/>
                      <w:sz w:val="18"/>
                      <w:szCs w:val="18"/>
                      <w14:textFill>
                        <w14:solidFill>
                          <w14:schemeClr w14:val="tx1"/>
                        </w14:solidFill>
                      </w14:textFill>
                    </w:rPr>
                    <w:t>条生产线</w:t>
                  </w:r>
                  <w:r>
                    <w:rPr>
                      <w:color w:val="000000" w:themeColor="text1"/>
                      <w:sz w:val="18"/>
                      <w:szCs w:val="18"/>
                      <w14:textFill>
                        <w14:solidFill>
                          <w14:schemeClr w14:val="tx1"/>
                        </w14:solidFill>
                      </w14:textFill>
                    </w:rPr>
                    <w:t>，包括深冷和PSA提氢</w:t>
                  </w:r>
                  <w:r>
                    <w:rPr>
                      <w:rFonts w:hint="eastAsia"/>
                      <w:color w:val="000000" w:themeColor="text1"/>
                      <w:sz w:val="18"/>
                      <w:szCs w:val="18"/>
                      <w14:textFill>
                        <w14:solidFill>
                          <w14:schemeClr w14:val="tx1"/>
                        </w14:solidFill>
                      </w14:textFill>
                    </w:rPr>
                    <w:t>等</w:t>
                  </w:r>
                  <w:r>
                    <w:rPr>
                      <w:color w:val="000000" w:themeColor="text1"/>
                      <w:sz w:val="18"/>
                      <w:szCs w:val="18"/>
                      <w14:textFill>
                        <w14:solidFill>
                          <w14:schemeClr w14:val="tx1"/>
                        </w14:solidFill>
                      </w14:textFill>
                    </w:rPr>
                    <w:t>工序，主要设备冷箱</w:t>
                  </w:r>
                  <w:r>
                    <w:rPr>
                      <w:rFonts w:hint="eastAsia"/>
                      <w:color w:val="000000" w:themeColor="text1"/>
                      <w:sz w:val="18"/>
                      <w:szCs w:val="18"/>
                      <w14:textFill>
                        <w14:solidFill>
                          <w14:schemeClr w14:val="tx1"/>
                        </w14:solidFill>
                      </w14:textFill>
                    </w:rPr>
                    <w:t>、气提塔、脱氮塔、脱甲烷塔、</w:t>
                  </w:r>
                  <w:r>
                    <w:rPr>
                      <w:color w:val="000000" w:themeColor="text1"/>
                      <w:sz w:val="18"/>
                      <w:szCs w:val="18"/>
                      <w14:textFill>
                        <w14:solidFill>
                          <w14:schemeClr w14:val="tx1"/>
                        </w14:solidFill>
                      </w14:textFill>
                    </w:rPr>
                    <w:t>PSA-H</w:t>
                  </w:r>
                  <w:r>
                    <w:rPr>
                      <w:color w:val="000000" w:themeColor="text1"/>
                      <w:sz w:val="18"/>
                      <w:szCs w:val="18"/>
                      <w:vertAlign w:val="subscript"/>
                      <w14:textFill>
                        <w14:solidFill>
                          <w14:schemeClr w14:val="tx1"/>
                        </w14:solidFill>
                      </w14:textFill>
                    </w:rPr>
                    <w:t>2</w:t>
                  </w:r>
                  <w:r>
                    <w:rPr>
                      <w:color w:val="000000" w:themeColor="text1"/>
                      <w:sz w:val="18"/>
                      <w:szCs w:val="18"/>
                      <w14:textFill>
                        <w14:solidFill>
                          <w14:schemeClr w14:val="tx1"/>
                        </w14:solidFill>
                      </w14:textFill>
                    </w:rPr>
                    <w:t>装置等</w:t>
                  </w:r>
                </w:p>
              </w:tc>
              <w:tc>
                <w:tcPr>
                  <w:tcW w:w="308" w:type="pct"/>
                  <w:noWrap w:val="0"/>
                  <w:vAlign w:val="center"/>
                </w:tcPr>
                <w:p w14:paraId="251AFF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F82D61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277" w:type="pct"/>
                  <w:vMerge w:val="continue"/>
                  <w:noWrap w:val="0"/>
                  <w:vAlign w:val="center"/>
                </w:tcPr>
                <w:p w14:paraId="29808904">
                  <w:pPr>
                    <w:jc w:val="center"/>
                    <w:rPr>
                      <w:color w:val="000000" w:themeColor="text1"/>
                      <w:sz w:val="18"/>
                      <w:szCs w:val="18"/>
                      <w14:textFill>
                        <w14:solidFill>
                          <w14:schemeClr w14:val="tx1"/>
                        </w14:solidFill>
                      </w14:textFill>
                    </w:rPr>
                  </w:pPr>
                </w:p>
              </w:tc>
              <w:tc>
                <w:tcPr>
                  <w:tcW w:w="631" w:type="pct"/>
                  <w:gridSpan w:val="2"/>
                  <w:noWrap w:val="0"/>
                  <w:vAlign w:val="center"/>
                </w:tcPr>
                <w:p w14:paraId="7BDA1D2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草酸二甲酯装置</w:t>
                  </w:r>
                </w:p>
              </w:tc>
              <w:tc>
                <w:tcPr>
                  <w:tcW w:w="3784" w:type="pct"/>
                  <w:noWrap w:val="0"/>
                  <w:vAlign w:val="center"/>
                </w:tcPr>
                <w:p w14:paraId="341BB6A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共</w:t>
                  </w:r>
                  <w:r>
                    <w:rPr>
                      <w:rFonts w:hint="eastAsia"/>
                      <w:color w:val="000000" w:themeColor="text1"/>
                      <w:sz w:val="18"/>
                      <w:szCs w:val="18"/>
                      <w14:textFill>
                        <w14:solidFill>
                          <w14:schemeClr w14:val="tx1"/>
                        </w14:solidFill>
                      </w14:textFill>
                    </w:rPr>
                    <w:t>6条生产线，</w:t>
                  </w:r>
                  <w:r>
                    <w:rPr>
                      <w:color w:val="000000" w:themeColor="text1"/>
                      <w:sz w:val="18"/>
                      <w:szCs w:val="18"/>
                      <w14:textFill>
                        <w14:solidFill>
                          <w14:schemeClr w14:val="tx1"/>
                        </w14:solidFill>
                      </w14:textFill>
                    </w:rPr>
                    <w:t>包括DMO合成、</w:t>
                  </w:r>
                  <w:r>
                    <w:rPr>
                      <w:rFonts w:hint="eastAsia"/>
                      <w:color w:val="000000" w:themeColor="text1"/>
                      <w:sz w:val="18"/>
                      <w:szCs w:val="18"/>
                      <w14:textFill>
                        <w14:solidFill>
                          <w14:schemeClr w14:val="tx1"/>
                        </w14:solidFill>
                      </w14:textFill>
                    </w:rPr>
                    <w:t>DMO</w:t>
                  </w:r>
                  <w:r>
                    <w:rPr>
                      <w:color w:val="000000" w:themeColor="text1"/>
                      <w:sz w:val="18"/>
                      <w:szCs w:val="18"/>
                      <w14:textFill>
                        <w14:solidFill>
                          <w14:schemeClr w14:val="tx1"/>
                        </w14:solidFill>
                      </w14:textFill>
                    </w:rPr>
                    <w:t>精馏、</w:t>
                  </w:r>
                  <w:r>
                    <w:rPr>
                      <w:rFonts w:hint="eastAsia"/>
                      <w:color w:val="000000" w:themeColor="text1"/>
                      <w:sz w:val="18"/>
                      <w:szCs w:val="18"/>
                      <w14:textFill>
                        <w14:solidFill>
                          <w14:schemeClr w14:val="tx1"/>
                        </w14:solidFill>
                      </w14:textFill>
                    </w:rPr>
                    <w:t>循环酯化</w:t>
                  </w:r>
                  <w:r>
                    <w:rPr>
                      <w:color w:val="000000" w:themeColor="text1"/>
                      <w:sz w:val="18"/>
                      <w:szCs w:val="18"/>
                      <w14:textFill>
                        <w14:solidFill>
                          <w14:schemeClr w14:val="tx1"/>
                        </w14:solidFill>
                      </w14:textFill>
                    </w:rPr>
                    <w:t>等工序，主要</w:t>
                  </w:r>
                  <w:r>
                    <w:rPr>
                      <w:rFonts w:hint="eastAsia"/>
                      <w:color w:val="000000" w:themeColor="text1"/>
                      <w:sz w:val="18"/>
                      <w:szCs w:val="18"/>
                      <w14:textFill>
                        <w14:solidFill>
                          <w14:schemeClr w14:val="tx1"/>
                        </w14:solidFill>
                      </w14:textFill>
                    </w:rPr>
                    <w:t>设备包括</w:t>
                  </w:r>
                  <w:r>
                    <w:rPr>
                      <w:color w:val="000000" w:themeColor="text1"/>
                      <w:sz w:val="18"/>
                      <w:szCs w:val="18"/>
                      <w14:textFill>
                        <w14:solidFill>
                          <w14:schemeClr w14:val="tx1"/>
                        </w14:solidFill>
                      </w14:textFill>
                    </w:rPr>
                    <w:t>DMO反应器、</w:t>
                  </w:r>
                  <w:r>
                    <w:rPr>
                      <w:rFonts w:hint="eastAsia"/>
                      <w:color w:val="000000" w:themeColor="text1"/>
                      <w:sz w:val="18"/>
                      <w:szCs w:val="18"/>
                      <w14:textFill>
                        <w14:solidFill>
                          <w14:schemeClr w14:val="tx1"/>
                        </w14:solidFill>
                      </w14:textFill>
                    </w:rPr>
                    <w:t>循环酯化塔</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尾气吸收塔、甲醇常压塔、甲醇加压塔、DMC预处理塔</w:t>
                  </w:r>
                  <w:r>
                    <w:rPr>
                      <w:color w:val="000000" w:themeColor="text1"/>
                      <w:sz w:val="18"/>
                      <w:szCs w:val="18"/>
                      <w14:textFill>
                        <w14:solidFill>
                          <w14:schemeClr w14:val="tx1"/>
                        </w14:solidFill>
                      </w14:textFill>
                    </w:rPr>
                    <w:t>等</w:t>
                  </w:r>
                </w:p>
              </w:tc>
              <w:tc>
                <w:tcPr>
                  <w:tcW w:w="308" w:type="pct"/>
                  <w:noWrap w:val="0"/>
                  <w:vAlign w:val="center"/>
                </w:tcPr>
                <w:p w14:paraId="0F40CA5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7156F5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5362E949">
                  <w:pPr>
                    <w:jc w:val="center"/>
                    <w:rPr>
                      <w:color w:val="000000" w:themeColor="text1"/>
                      <w:sz w:val="18"/>
                      <w:szCs w:val="18"/>
                      <w14:textFill>
                        <w14:solidFill>
                          <w14:schemeClr w14:val="tx1"/>
                        </w14:solidFill>
                      </w14:textFill>
                    </w:rPr>
                  </w:pPr>
                </w:p>
              </w:tc>
              <w:tc>
                <w:tcPr>
                  <w:tcW w:w="631" w:type="pct"/>
                  <w:gridSpan w:val="2"/>
                  <w:noWrap w:val="0"/>
                  <w:vAlign w:val="center"/>
                </w:tcPr>
                <w:p w14:paraId="7895273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乙二醇装置</w:t>
                  </w:r>
                </w:p>
              </w:tc>
              <w:tc>
                <w:tcPr>
                  <w:tcW w:w="3784" w:type="pct"/>
                  <w:noWrap w:val="0"/>
                  <w:vAlign w:val="center"/>
                </w:tcPr>
                <w:p w14:paraId="0AA2135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共</w:t>
                  </w:r>
                  <w:r>
                    <w:rPr>
                      <w:rFonts w:hint="eastAsia"/>
                      <w:color w:val="000000" w:themeColor="text1"/>
                      <w:sz w:val="18"/>
                      <w:szCs w:val="18"/>
                      <w14:textFill>
                        <w14:solidFill>
                          <w14:schemeClr w14:val="tx1"/>
                        </w14:solidFill>
                      </w14:textFill>
                    </w:rPr>
                    <w:t>4条生产线</w:t>
                  </w:r>
                  <w:r>
                    <w:rPr>
                      <w:color w:val="000000" w:themeColor="text1"/>
                      <w:sz w:val="18"/>
                      <w:szCs w:val="18"/>
                      <w14:textFill>
                        <w14:solidFill>
                          <w14:schemeClr w14:val="tx1"/>
                        </w14:solidFill>
                      </w14:textFill>
                    </w:rPr>
                    <w:t>，包括</w:t>
                  </w:r>
                  <w:r>
                    <w:rPr>
                      <w:rFonts w:hint="eastAsia"/>
                      <w:color w:val="000000" w:themeColor="text1"/>
                      <w:sz w:val="18"/>
                      <w:szCs w:val="18"/>
                      <w14:textFill>
                        <w14:solidFill>
                          <w14:schemeClr w14:val="tx1"/>
                        </w14:solidFill>
                      </w14:textFill>
                    </w:rPr>
                    <w:t>加氢单元、加氢精馏</w:t>
                  </w:r>
                  <w:r>
                    <w:rPr>
                      <w:color w:val="000000" w:themeColor="text1"/>
                      <w:sz w:val="18"/>
                      <w:szCs w:val="18"/>
                      <w14:textFill>
                        <w14:solidFill>
                          <w14:schemeClr w14:val="tx1"/>
                        </w14:solidFill>
                      </w14:textFill>
                    </w:rPr>
                    <w:t>等工序，主要设备</w:t>
                  </w:r>
                  <w:r>
                    <w:rPr>
                      <w:rFonts w:hint="eastAsia"/>
                      <w:color w:val="000000" w:themeColor="text1"/>
                      <w:sz w:val="18"/>
                      <w:szCs w:val="18"/>
                      <w14:textFill>
                        <w14:solidFill>
                          <w14:schemeClr w14:val="tx1"/>
                        </w14:solidFill>
                      </w14:textFill>
                    </w:rPr>
                    <w:t>加氢反应器、第一脱醇塔、第二脱醇塔、脱乙醇塔、脱丁二醇塔AB、精制塔AB、乙醇脱轻塔、乙醇精制塔及乙二醇回收塔</w:t>
                  </w:r>
                  <w:r>
                    <w:rPr>
                      <w:color w:val="000000" w:themeColor="text1"/>
                      <w:sz w:val="18"/>
                      <w:szCs w:val="18"/>
                      <w14:textFill>
                        <w14:solidFill>
                          <w14:schemeClr w14:val="tx1"/>
                        </w14:solidFill>
                      </w14:textFill>
                    </w:rPr>
                    <w:t>等</w:t>
                  </w:r>
                </w:p>
              </w:tc>
              <w:tc>
                <w:tcPr>
                  <w:tcW w:w="308" w:type="pct"/>
                  <w:noWrap w:val="0"/>
                  <w:vAlign w:val="center"/>
                </w:tcPr>
                <w:p w14:paraId="327BCFC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CDA24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346A7D87">
                  <w:pPr>
                    <w:jc w:val="center"/>
                    <w:rPr>
                      <w:color w:val="000000" w:themeColor="text1"/>
                      <w:sz w:val="18"/>
                      <w:szCs w:val="18"/>
                      <w14:textFill>
                        <w14:solidFill>
                          <w14:schemeClr w14:val="tx1"/>
                        </w14:solidFill>
                      </w14:textFill>
                    </w:rPr>
                  </w:pPr>
                </w:p>
              </w:tc>
              <w:tc>
                <w:tcPr>
                  <w:tcW w:w="631" w:type="pct"/>
                  <w:gridSpan w:val="2"/>
                  <w:noWrap w:val="0"/>
                  <w:vAlign w:val="center"/>
                </w:tcPr>
                <w:p w14:paraId="2DA7DFE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电子级DMC装置</w:t>
                  </w:r>
                </w:p>
              </w:tc>
              <w:tc>
                <w:tcPr>
                  <w:tcW w:w="3784" w:type="pct"/>
                  <w:noWrap w:val="0"/>
                  <w:vAlign w:val="center"/>
                </w:tcPr>
                <w:p w14:paraId="2112758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共</w:t>
                  </w:r>
                  <w:r>
                    <w:rPr>
                      <w:rFonts w:hint="eastAsia"/>
                      <w:color w:val="000000" w:themeColor="text1"/>
                      <w:sz w:val="18"/>
                      <w:szCs w:val="18"/>
                      <w14:textFill>
                        <w14:solidFill>
                          <w14:schemeClr w14:val="tx1"/>
                        </w14:solidFill>
                      </w14:textFill>
                    </w:rPr>
                    <w:t>1条生产线</w:t>
                  </w:r>
                  <w:r>
                    <w:rPr>
                      <w:color w:val="000000" w:themeColor="text1"/>
                      <w:sz w:val="18"/>
                      <w:szCs w:val="18"/>
                      <w14:textFill>
                        <w14:solidFill>
                          <w14:schemeClr w14:val="tx1"/>
                        </w14:solidFill>
                      </w14:textFill>
                    </w:rPr>
                    <w:t>，包括</w:t>
                  </w:r>
                  <w:r>
                    <w:rPr>
                      <w:rFonts w:hint="eastAsia"/>
                      <w:color w:val="000000" w:themeColor="text1"/>
                      <w:sz w:val="18"/>
                      <w:szCs w:val="18"/>
                      <w14:textFill>
                        <w14:solidFill>
                          <w14:schemeClr w14:val="tx1"/>
                        </w14:solidFill>
                      </w14:textFill>
                    </w:rPr>
                    <w:t>反应、</w:t>
                  </w:r>
                  <w:r>
                    <w:rPr>
                      <w:color w:val="000000" w:themeColor="text1"/>
                      <w:sz w:val="18"/>
                      <w:szCs w:val="18"/>
                      <w14:textFill>
                        <w14:solidFill>
                          <w14:schemeClr w14:val="tx1"/>
                        </w14:solidFill>
                      </w14:textFill>
                    </w:rPr>
                    <w:t>精馏等工序</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主要</w:t>
                  </w:r>
                  <w:r>
                    <w:rPr>
                      <w:rFonts w:hint="eastAsia"/>
                      <w:color w:val="000000" w:themeColor="text1"/>
                      <w:sz w:val="18"/>
                      <w:szCs w:val="18"/>
                      <w14:textFill>
                        <w14:solidFill>
                          <w14:schemeClr w14:val="tx1"/>
                        </w14:solidFill>
                      </w14:textFill>
                    </w:rPr>
                    <w:t>设备包括反应器、碳酯吸收塔、解析塔、DMC脱轻塔、DMC脱重塔</w:t>
                  </w:r>
                  <w:r>
                    <w:rPr>
                      <w:color w:val="000000" w:themeColor="text1"/>
                      <w:sz w:val="18"/>
                      <w:szCs w:val="18"/>
                      <w14:textFill>
                        <w14:solidFill>
                          <w14:schemeClr w14:val="tx1"/>
                        </w14:solidFill>
                      </w14:textFill>
                    </w:rPr>
                    <w:t>等</w:t>
                  </w:r>
                </w:p>
              </w:tc>
              <w:tc>
                <w:tcPr>
                  <w:tcW w:w="308" w:type="pct"/>
                  <w:noWrap w:val="0"/>
                  <w:vAlign w:val="center"/>
                </w:tcPr>
                <w:p w14:paraId="698FE44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10696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restart"/>
                  <w:noWrap w:val="0"/>
                  <w:vAlign w:val="center"/>
                </w:tcPr>
                <w:p w14:paraId="0929F73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辅助 工程</w:t>
                  </w:r>
                </w:p>
              </w:tc>
              <w:tc>
                <w:tcPr>
                  <w:tcW w:w="631" w:type="pct"/>
                  <w:gridSpan w:val="2"/>
                  <w:noWrap w:val="0"/>
                  <w:vAlign w:val="center"/>
                </w:tcPr>
                <w:p w14:paraId="694864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空分装置</w:t>
                  </w:r>
                </w:p>
              </w:tc>
              <w:tc>
                <w:tcPr>
                  <w:tcW w:w="3784" w:type="pct"/>
                  <w:noWrap w:val="0"/>
                  <w:vAlign w:val="center"/>
                </w:tcPr>
                <w:p w14:paraId="729CEC1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建设2套空分装置，规模为2×</w:t>
                  </w:r>
                  <w:r>
                    <w:rPr>
                      <w:rFonts w:hint="eastAsia"/>
                      <w:color w:val="000000" w:themeColor="text1"/>
                      <w:sz w:val="18"/>
                      <w:szCs w:val="18"/>
                      <w14:textFill>
                        <w14:solidFill>
                          <w14:schemeClr w14:val="tx1"/>
                        </w14:solidFill>
                      </w14:textFill>
                    </w:rPr>
                    <w:t>6</w:t>
                  </w:r>
                  <w:r>
                    <w:rPr>
                      <w:color w:val="000000" w:themeColor="text1"/>
                      <w:sz w:val="18"/>
                      <w:szCs w:val="18"/>
                      <w14:textFill>
                        <w14:solidFill>
                          <w14:schemeClr w14:val="tx1"/>
                        </w14:solidFill>
                      </w14:textFill>
                    </w:rPr>
                    <w:t>0000 Nm</w:t>
                  </w:r>
                  <w:r>
                    <w:rPr>
                      <w:rFonts w:hint="eastAsia"/>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/h。采用全低压分子筛净化吸附、空气增压、增压制动中压透平膨胀机制冷、液氧内压缩流程</w:t>
                  </w:r>
                </w:p>
              </w:tc>
              <w:tc>
                <w:tcPr>
                  <w:tcW w:w="308" w:type="pct"/>
                  <w:noWrap w:val="0"/>
                  <w:vAlign w:val="center"/>
                </w:tcPr>
                <w:p w14:paraId="550A50B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6635715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2937FC27">
                  <w:pPr>
                    <w:jc w:val="center"/>
                    <w:rPr>
                      <w:color w:val="000000" w:themeColor="text1"/>
                      <w:sz w:val="18"/>
                      <w:szCs w:val="18"/>
                      <w14:textFill>
                        <w14:solidFill>
                          <w14:schemeClr w14:val="tx1"/>
                        </w14:solidFill>
                      </w14:textFill>
                    </w:rPr>
                  </w:pPr>
                </w:p>
              </w:tc>
              <w:tc>
                <w:tcPr>
                  <w:tcW w:w="631" w:type="pct"/>
                  <w:gridSpan w:val="2"/>
                  <w:noWrap w:val="0"/>
                  <w:vAlign w:val="center"/>
                </w:tcPr>
                <w:p w14:paraId="5FFA00D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火炬</w:t>
                  </w:r>
                </w:p>
              </w:tc>
              <w:tc>
                <w:tcPr>
                  <w:tcW w:w="3784" w:type="pct"/>
                  <w:noWrap w:val="0"/>
                  <w:vAlign w:val="center"/>
                </w:tcPr>
                <w:p w14:paraId="31B19F9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建设1套火炬系统，火炬总高</w:t>
                  </w:r>
                  <w:r>
                    <w:rPr>
                      <w:rFonts w:hint="eastAsia"/>
                      <w:color w:val="000000" w:themeColor="text1"/>
                      <w:sz w:val="18"/>
                      <w:szCs w:val="18"/>
                      <w14:textFill>
                        <w14:solidFill>
                          <w14:schemeClr w14:val="tx1"/>
                        </w14:solidFill>
                      </w14:textFill>
                    </w:rPr>
                    <w:t>70</w:t>
                  </w:r>
                  <w:r>
                    <w:rPr>
                      <w:color w:val="000000" w:themeColor="text1"/>
                      <w:sz w:val="18"/>
                      <w:szCs w:val="18"/>
                      <w14:textFill>
                        <w14:solidFill>
                          <w14:schemeClr w14:val="tx1"/>
                        </w14:solidFill>
                      </w14:textFill>
                    </w:rPr>
                    <w:t>m，采用塔架支撑</w:t>
                  </w:r>
                </w:p>
              </w:tc>
              <w:tc>
                <w:tcPr>
                  <w:tcW w:w="308" w:type="pct"/>
                  <w:noWrap w:val="0"/>
                  <w:vAlign w:val="center"/>
                </w:tcPr>
                <w:p w14:paraId="52DE1A0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54158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068D2826">
                  <w:pPr>
                    <w:jc w:val="center"/>
                    <w:rPr>
                      <w:color w:val="000000" w:themeColor="text1"/>
                      <w:sz w:val="18"/>
                      <w:szCs w:val="18"/>
                      <w14:textFill>
                        <w14:solidFill>
                          <w14:schemeClr w14:val="tx1"/>
                        </w14:solidFill>
                      </w14:textFill>
                    </w:rPr>
                  </w:pPr>
                </w:p>
              </w:tc>
              <w:tc>
                <w:tcPr>
                  <w:tcW w:w="631" w:type="pct"/>
                  <w:gridSpan w:val="2"/>
                  <w:noWrap w:val="0"/>
                  <w:vAlign w:val="center"/>
                </w:tcPr>
                <w:p w14:paraId="045946E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冷冻</w:t>
                  </w:r>
                </w:p>
              </w:tc>
              <w:tc>
                <w:tcPr>
                  <w:tcW w:w="3784" w:type="pct"/>
                  <w:noWrap w:val="0"/>
                  <w:vAlign w:val="center"/>
                </w:tcPr>
                <w:p w14:paraId="215E151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部分靠自建1套溴化锂制冷机组，少部分依托四川正达凯年产120万吨乙二醇工程配套用能源供应及余热利用项目（设置2台溴化锂机组）</w:t>
                  </w:r>
                </w:p>
              </w:tc>
              <w:tc>
                <w:tcPr>
                  <w:tcW w:w="308" w:type="pct"/>
                  <w:noWrap w:val="0"/>
                  <w:vAlign w:val="center"/>
                </w:tcPr>
                <w:p w14:paraId="7EDF5751">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依托</w:t>
                  </w:r>
                </w:p>
              </w:tc>
            </w:tr>
            <w:tr w14:paraId="301630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7" w:type="pct"/>
                  <w:vMerge w:val="restart"/>
                  <w:noWrap w:val="0"/>
                  <w:vAlign w:val="center"/>
                </w:tcPr>
                <w:p w14:paraId="27CA0C9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公用 工程</w:t>
                  </w:r>
                </w:p>
              </w:tc>
              <w:tc>
                <w:tcPr>
                  <w:tcW w:w="631" w:type="pct"/>
                  <w:gridSpan w:val="2"/>
                  <w:noWrap w:val="0"/>
                  <w:vAlign w:val="center"/>
                </w:tcPr>
                <w:p w14:paraId="155C545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给水</w:t>
                  </w:r>
                </w:p>
              </w:tc>
              <w:tc>
                <w:tcPr>
                  <w:tcW w:w="3784" w:type="pct"/>
                  <w:noWrap w:val="0"/>
                  <w:vAlign w:val="center"/>
                </w:tcPr>
                <w:p w14:paraId="2A4F60CD">
                  <w:pP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生产给水、生活给水依托园区现有供水设施，新建生产给水系统、生活给水系统、稳高压消防给水系统、循环水系统</w:t>
                  </w:r>
                  <w:r>
                    <w:rPr>
                      <w:rFonts w:hint="eastAsia"/>
                      <w:color w:val="000000" w:themeColor="text1"/>
                      <w:sz w:val="18"/>
                      <w:szCs w:val="18"/>
                      <w14:textFill>
                        <w14:solidFill>
                          <w14:schemeClr w14:val="tx1"/>
                        </w14:solidFill>
                      </w14:textFill>
                    </w:rPr>
                    <w:t>。其中循环水站设计4座，工艺循环水站、空分装置循环水站设计规模为2×66000m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/h、2×5500m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/h。</w:t>
                  </w:r>
                </w:p>
              </w:tc>
              <w:tc>
                <w:tcPr>
                  <w:tcW w:w="308" w:type="pct"/>
                  <w:noWrap w:val="0"/>
                  <w:vAlign w:val="center"/>
                </w:tcPr>
                <w:p w14:paraId="07E2237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园区供水</w:t>
                  </w:r>
                </w:p>
              </w:tc>
            </w:tr>
            <w:tr w14:paraId="3B1C5D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77" w:type="pct"/>
                  <w:vMerge w:val="continue"/>
                  <w:noWrap w:val="0"/>
                  <w:vAlign w:val="center"/>
                </w:tcPr>
                <w:p w14:paraId="618A43F4">
                  <w:pPr>
                    <w:jc w:val="center"/>
                    <w:rPr>
                      <w:color w:val="000000" w:themeColor="text1"/>
                      <w:sz w:val="18"/>
                      <w:szCs w:val="18"/>
                      <w14:textFill>
                        <w14:solidFill>
                          <w14:schemeClr w14:val="tx1"/>
                        </w14:solidFill>
                      </w14:textFill>
                    </w:rPr>
                  </w:pPr>
                </w:p>
              </w:tc>
              <w:tc>
                <w:tcPr>
                  <w:tcW w:w="631" w:type="pct"/>
                  <w:gridSpan w:val="2"/>
                  <w:noWrap w:val="0"/>
                  <w:vAlign w:val="center"/>
                </w:tcPr>
                <w:p w14:paraId="5D7B275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脱盐水系统</w:t>
                  </w:r>
                </w:p>
              </w:tc>
              <w:tc>
                <w:tcPr>
                  <w:tcW w:w="3784" w:type="pct"/>
                  <w:noWrap w:val="0"/>
                  <w:vAlign w:val="center"/>
                </w:tcPr>
                <w:p w14:paraId="504CBFD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600（一期300）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w:t>
                  </w:r>
                  <w:r>
                    <w:rPr>
                      <w:rFonts w:hint="eastAsia"/>
                      <w:color w:val="000000" w:themeColor="text1"/>
                      <w:sz w:val="18"/>
                      <w:szCs w:val="18"/>
                      <w14:textFill>
                        <w14:solidFill>
                          <w14:schemeClr w14:val="tx1"/>
                        </w14:solidFill>
                      </w14:textFill>
                    </w:rPr>
                    <w:t>原水</w:t>
                  </w:r>
                  <w:r>
                    <w:rPr>
                      <w:color w:val="000000" w:themeColor="text1"/>
                      <w:sz w:val="18"/>
                      <w:szCs w:val="18"/>
                      <w14:textFill>
                        <w14:solidFill>
                          <w14:schemeClr w14:val="tx1"/>
                        </w14:solidFill>
                      </w14:textFill>
                    </w:rPr>
                    <w:t>脱盐系统及</w:t>
                  </w:r>
                  <w:r>
                    <w:rPr>
                      <w:rFonts w:hint="eastAsia"/>
                      <w:color w:val="000000" w:themeColor="text1"/>
                      <w:sz w:val="18"/>
                      <w:szCs w:val="18"/>
                      <w14:textFill>
                        <w14:solidFill>
                          <w14:schemeClr w14:val="tx1"/>
                        </w14:solidFill>
                      </w14:textFill>
                    </w:rPr>
                    <w:t>600（一期300）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/h冷凝液精制系统。</w:t>
                  </w:r>
                </w:p>
              </w:tc>
              <w:tc>
                <w:tcPr>
                  <w:tcW w:w="308" w:type="pct"/>
                  <w:noWrap w:val="0"/>
                  <w:vAlign w:val="center"/>
                </w:tcPr>
                <w:p w14:paraId="0BD2FC8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338AC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347F5A4C">
                  <w:pPr>
                    <w:jc w:val="center"/>
                    <w:rPr>
                      <w:color w:val="000000" w:themeColor="text1"/>
                      <w:sz w:val="18"/>
                      <w:szCs w:val="18"/>
                      <w14:textFill>
                        <w14:solidFill>
                          <w14:schemeClr w14:val="tx1"/>
                        </w14:solidFill>
                      </w14:textFill>
                    </w:rPr>
                  </w:pPr>
                </w:p>
              </w:tc>
              <w:tc>
                <w:tcPr>
                  <w:tcW w:w="631" w:type="pct"/>
                  <w:gridSpan w:val="2"/>
                  <w:noWrap w:val="0"/>
                  <w:vAlign w:val="center"/>
                </w:tcPr>
                <w:p w14:paraId="0C5F021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回用水系统</w:t>
                  </w:r>
                </w:p>
              </w:tc>
              <w:tc>
                <w:tcPr>
                  <w:tcW w:w="3784" w:type="pct"/>
                  <w:noWrap w:val="0"/>
                  <w:vAlign w:val="center"/>
                </w:tcPr>
                <w:p w14:paraId="36F795A7">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40</w:t>
                  </w:r>
                  <w:r>
                    <w:rPr>
                      <w:color w:val="000000" w:themeColor="text1"/>
                      <w:sz w:val="18"/>
                      <w:szCs w:val="18"/>
                      <w14:textFill>
                        <w14:solidFill>
                          <w14:schemeClr w14:val="tx1"/>
                        </w14:solidFill>
                      </w14:textFill>
                    </w:rPr>
                    <w:t>0m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/h回用装置</w:t>
                  </w:r>
                  <w:r>
                    <w:rPr>
                      <w:rFonts w:hint="eastAsia"/>
                      <w:color w:val="000000" w:themeColor="text1"/>
                      <w:sz w:val="18"/>
                      <w:szCs w:val="18"/>
                      <w14:textFill>
                        <w14:solidFill>
                          <w14:schemeClr w14:val="tx1"/>
                        </w14:solidFill>
                      </w14:textFill>
                    </w:rPr>
                    <w:t>，回用</w:t>
                  </w:r>
                  <w:r>
                    <w:rPr>
                      <w:color w:val="000000" w:themeColor="text1"/>
                      <w:sz w:val="18"/>
                      <w:szCs w:val="18"/>
                      <w14:textFill>
                        <w14:solidFill>
                          <w14:schemeClr w14:val="tx1"/>
                        </w14:solidFill>
                      </w14:textFill>
                    </w:rPr>
                    <w:t>水满足</w:t>
                  </w:r>
                  <w:r>
                    <w:rPr>
                      <w:rFonts w:hint="eastAsia"/>
                      <w:color w:val="000000" w:themeColor="text1"/>
                      <w:sz w:val="18"/>
                      <w:szCs w:val="18"/>
                      <w14:textFill>
                        <w14:solidFill>
                          <w14:schemeClr w14:val="tx1"/>
                        </w14:solidFill>
                      </w14:textFill>
                    </w:rPr>
                    <w:t>《循环冷却水用再生水水质标准》（HG/T3923</w:t>
                  </w:r>
                  <w:r>
                    <w:rPr>
                      <w:color w:val="000000" w:themeColor="text1"/>
                      <w:sz w:val="18"/>
                      <w:szCs w:val="18"/>
                      <w14:textFill>
                        <w14:solidFill>
                          <w14:schemeClr w14:val="tx1"/>
                        </w14:solidFill>
                      </w14:textFill>
                    </w:rPr>
                    <w:t>-20</w:t>
                  </w:r>
                  <w:r>
                    <w:rPr>
                      <w:rFonts w:hint="eastAsia"/>
                      <w:color w:val="000000" w:themeColor="text1"/>
                      <w:sz w:val="18"/>
                      <w:szCs w:val="18"/>
                      <w14:textFill>
                        <w14:solidFill>
                          <w14:schemeClr w14:val="tx1"/>
                        </w14:solidFill>
                      </w14:textFill>
                    </w:rPr>
                    <w:t>07）回用于循环水站，浓水排入园区污水处理厂。</w:t>
                  </w:r>
                </w:p>
              </w:tc>
              <w:tc>
                <w:tcPr>
                  <w:tcW w:w="308" w:type="pct"/>
                  <w:noWrap w:val="0"/>
                  <w:vAlign w:val="center"/>
                </w:tcPr>
                <w:p w14:paraId="4E7732E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C8D247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2576DD1A">
                  <w:pPr>
                    <w:jc w:val="center"/>
                    <w:rPr>
                      <w:color w:val="000000" w:themeColor="text1"/>
                      <w:sz w:val="18"/>
                      <w:szCs w:val="18"/>
                      <w14:textFill>
                        <w14:solidFill>
                          <w14:schemeClr w14:val="tx1"/>
                        </w14:solidFill>
                      </w14:textFill>
                    </w:rPr>
                  </w:pPr>
                </w:p>
              </w:tc>
              <w:tc>
                <w:tcPr>
                  <w:tcW w:w="631" w:type="pct"/>
                  <w:gridSpan w:val="2"/>
                  <w:noWrap w:val="0"/>
                  <w:vAlign w:val="center"/>
                </w:tcPr>
                <w:p w14:paraId="3FA6822E">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雨水一体化回收设置</w:t>
                  </w:r>
                </w:p>
              </w:tc>
              <w:tc>
                <w:tcPr>
                  <w:tcW w:w="3784" w:type="pct"/>
                  <w:noWrap w:val="0"/>
                  <w:vAlign w:val="center"/>
                </w:tcPr>
                <w:p w14:paraId="5214494D">
                  <w:pPr>
                    <w:spacing w:line="240" w:lineRule="exact"/>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建设</w:t>
                  </w: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150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w:t>
                  </w:r>
                  <w:r>
                    <w:rPr>
                      <w:rFonts w:hint="eastAsia"/>
                      <w:color w:val="000000" w:themeColor="text1"/>
                      <w:sz w:val="18"/>
                      <w:szCs w:val="18"/>
                      <w14:textFill>
                        <w14:solidFill>
                          <w14:schemeClr w14:val="tx1"/>
                        </w14:solidFill>
                      </w14:textFill>
                    </w:rPr>
                    <w:t>雨水</w:t>
                  </w:r>
                  <w:r>
                    <w:rPr>
                      <w:color w:val="000000" w:themeColor="text1"/>
                      <w:sz w:val="18"/>
                      <w:szCs w:val="18"/>
                      <w14:textFill>
                        <w14:solidFill>
                          <w14:schemeClr w14:val="tx1"/>
                        </w14:solidFill>
                      </w14:textFill>
                    </w:rPr>
                    <w:t>回用</w:t>
                  </w:r>
                  <w:r>
                    <w:rPr>
                      <w:rFonts w:hint="eastAsia"/>
                      <w:color w:val="000000" w:themeColor="text1"/>
                      <w:sz w:val="18"/>
                      <w:szCs w:val="18"/>
                      <w14:textFill>
                        <w14:solidFill>
                          <w14:schemeClr w14:val="tx1"/>
                        </w14:solidFill>
                      </w14:textFill>
                    </w:rPr>
                    <w:t>一体化处理</w:t>
                  </w:r>
                  <w:r>
                    <w:rPr>
                      <w:color w:val="000000" w:themeColor="text1"/>
                      <w:sz w:val="18"/>
                      <w:szCs w:val="18"/>
                      <w14:textFill>
                        <w14:solidFill>
                          <w14:schemeClr w14:val="tx1"/>
                        </w14:solidFill>
                      </w14:textFill>
                    </w:rPr>
                    <w:t>装置</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满足</w:t>
                  </w:r>
                  <w:r>
                    <w:rPr>
                      <w:rFonts w:hint="eastAsia"/>
                      <w:color w:val="000000" w:themeColor="text1"/>
                      <w:sz w:val="18"/>
                      <w:szCs w:val="18"/>
                      <w14:textFill>
                        <w14:solidFill>
                          <w14:schemeClr w14:val="tx1"/>
                        </w14:solidFill>
                      </w14:textFill>
                    </w:rPr>
                    <w:t>《循环冷却水用再生水水质标准》（HG/T3923</w:t>
                  </w:r>
                  <w:r>
                    <w:rPr>
                      <w:color w:val="000000" w:themeColor="text1"/>
                      <w:sz w:val="18"/>
                      <w:szCs w:val="18"/>
                      <w14:textFill>
                        <w14:solidFill>
                          <w14:schemeClr w14:val="tx1"/>
                        </w14:solidFill>
                      </w14:textFill>
                    </w:rPr>
                    <w:t>-20</w:t>
                  </w:r>
                  <w:r>
                    <w:rPr>
                      <w:rFonts w:hint="eastAsia"/>
                      <w:color w:val="000000" w:themeColor="text1"/>
                      <w:sz w:val="18"/>
                      <w:szCs w:val="18"/>
                      <w14:textFill>
                        <w14:solidFill>
                          <w14:schemeClr w14:val="tx1"/>
                        </w14:solidFill>
                      </w14:textFill>
                    </w:rPr>
                    <w:t>07）回用于循环水站。</w:t>
                  </w:r>
                </w:p>
              </w:tc>
              <w:tc>
                <w:tcPr>
                  <w:tcW w:w="308" w:type="pct"/>
                  <w:noWrap w:val="0"/>
                  <w:vAlign w:val="center"/>
                </w:tcPr>
                <w:p w14:paraId="3BE7F235">
                  <w:pPr>
                    <w:spacing w:line="26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4FCE06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6B87D27F">
                  <w:pPr>
                    <w:jc w:val="center"/>
                    <w:rPr>
                      <w:color w:val="000000" w:themeColor="text1"/>
                      <w:sz w:val="18"/>
                      <w:szCs w:val="18"/>
                      <w14:textFill>
                        <w14:solidFill>
                          <w14:schemeClr w14:val="tx1"/>
                        </w14:solidFill>
                      </w14:textFill>
                    </w:rPr>
                  </w:pPr>
                </w:p>
              </w:tc>
              <w:tc>
                <w:tcPr>
                  <w:tcW w:w="631" w:type="pct"/>
                  <w:gridSpan w:val="2"/>
                  <w:noWrap w:val="0"/>
                  <w:vAlign w:val="center"/>
                </w:tcPr>
                <w:p w14:paraId="76E2456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消防</w:t>
                  </w:r>
                </w:p>
              </w:tc>
              <w:tc>
                <w:tcPr>
                  <w:tcW w:w="3784" w:type="pct"/>
                  <w:noWrap w:val="0"/>
                  <w:vAlign w:val="center"/>
                </w:tcPr>
                <w:p w14:paraId="367F3A8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新建泡沫消防系统、水消防系统和消防站</w:t>
                  </w:r>
                </w:p>
              </w:tc>
              <w:tc>
                <w:tcPr>
                  <w:tcW w:w="308" w:type="pct"/>
                  <w:noWrap w:val="0"/>
                  <w:vAlign w:val="center"/>
                </w:tcPr>
                <w:p w14:paraId="2BC57E5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33229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304A824F">
                  <w:pPr>
                    <w:jc w:val="center"/>
                    <w:rPr>
                      <w:color w:val="000000" w:themeColor="text1"/>
                      <w:sz w:val="18"/>
                      <w:szCs w:val="18"/>
                      <w14:textFill>
                        <w14:solidFill>
                          <w14:schemeClr w14:val="tx1"/>
                        </w14:solidFill>
                      </w14:textFill>
                    </w:rPr>
                  </w:pPr>
                </w:p>
              </w:tc>
              <w:tc>
                <w:tcPr>
                  <w:tcW w:w="631" w:type="pct"/>
                  <w:gridSpan w:val="2"/>
                  <w:noWrap w:val="0"/>
                  <w:vAlign w:val="center"/>
                </w:tcPr>
                <w:p w14:paraId="4A8B2D0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排水</w:t>
                  </w:r>
                </w:p>
              </w:tc>
              <w:tc>
                <w:tcPr>
                  <w:tcW w:w="3784" w:type="pct"/>
                  <w:noWrap w:val="0"/>
                  <w:vAlign w:val="center"/>
                </w:tcPr>
                <w:p w14:paraId="2718091D">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分</w:t>
                  </w:r>
                  <w:r>
                    <w:rPr>
                      <w:rFonts w:hint="eastAsia"/>
                      <w:color w:val="000000" w:themeColor="text1"/>
                      <w:sz w:val="18"/>
                      <w:szCs w:val="18"/>
                      <w14:textFill>
                        <w14:solidFill>
                          <w14:schemeClr w14:val="tx1"/>
                        </w14:solidFill>
                      </w14:textFill>
                    </w:rPr>
                    <w:t>生产</w:t>
                  </w:r>
                  <w:r>
                    <w:rPr>
                      <w:color w:val="000000" w:themeColor="text1"/>
                      <w:sz w:val="18"/>
                      <w:szCs w:val="18"/>
                      <w14:textFill>
                        <w14:solidFill>
                          <w14:schemeClr w14:val="tx1"/>
                        </w14:solidFill>
                      </w14:textFill>
                    </w:rPr>
                    <w:t>污水系统、生活污水系统、清净废水系统、</w:t>
                  </w:r>
                  <w:r>
                    <w:rPr>
                      <w:rFonts w:hint="eastAsia"/>
                      <w:color w:val="000000" w:themeColor="text1"/>
                      <w:sz w:val="18"/>
                      <w:szCs w:val="18"/>
                      <w14:textFill>
                        <w14:solidFill>
                          <w14:schemeClr w14:val="tx1"/>
                        </w14:solidFill>
                      </w14:textFill>
                    </w:rPr>
                    <w:t>全厂</w:t>
                  </w:r>
                  <w:r>
                    <w:rPr>
                      <w:color w:val="000000" w:themeColor="text1"/>
                      <w:sz w:val="18"/>
                      <w:szCs w:val="18"/>
                      <w14:textFill>
                        <w14:solidFill>
                          <w14:schemeClr w14:val="tx1"/>
                        </w14:solidFill>
                      </w14:textFill>
                    </w:rPr>
                    <w:t>事故水池及污水处理站</w:t>
                  </w:r>
                  <w:r>
                    <w:rPr>
                      <w:rFonts w:hint="eastAsia"/>
                      <w:color w:val="000000" w:themeColor="text1"/>
                      <w:sz w:val="18"/>
                      <w:szCs w:val="18"/>
                      <w14:textFill>
                        <w14:solidFill>
                          <w14:schemeClr w14:val="tx1"/>
                        </w14:solidFill>
                      </w14:textFill>
                    </w:rPr>
                    <w:t>。</w:t>
                  </w:r>
                </w:p>
              </w:tc>
              <w:tc>
                <w:tcPr>
                  <w:tcW w:w="308" w:type="pct"/>
                  <w:noWrap w:val="0"/>
                  <w:vAlign w:val="center"/>
                </w:tcPr>
                <w:p w14:paraId="6DC2A34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FB1F9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277" w:type="pct"/>
                  <w:vMerge w:val="continue"/>
                  <w:noWrap w:val="0"/>
                  <w:vAlign w:val="center"/>
                </w:tcPr>
                <w:p w14:paraId="578BDEF7">
                  <w:pPr>
                    <w:jc w:val="center"/>
                    <w:rPr>
                      <w:color w:val="000000" w:themeColor="text1"/>
                      <w:sz w:val="18"/>
                      <w:szCs w:val="18"/>
                      <w14:textFill>
                        <w14:solidFill>
                          <w14:schemeClr w14:val="tx1"/>
                        </w14:solidFill>
                      </w14:textFill>
                    </w:rPr>
                  </w:pPr>
                </w:p>
              </w:tc>
              <w:tc>
                <w:tcPr>
                  <w:tcW w:w="631" w:type="pct"/>
                  <w:gridSpan w:val="2"/>
                  <w:noWrap w:val="0"/>
                  <w:vAlign w:val="center"/>
                </w:tcPr>
                <w:p w14:paraId="580730B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全厂事故池</w:t>
                  </w:r>
                </w:p>
              </w:tc>
              <w:tc>
                <w:tcPr>
                  <w:tcW w:w="3784" w:type="pct"/>
                  <w:noWrap w:val="0"/>
                  <w:vAlign w:val="center"/>
                </w:tcPr>
                <w:p w14:paraId="3F07973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设事故池一座，有效容积为</w:t>
                  </w:r>
                  <w:r>
                    <w:rPr>
                      <w:rFonts w:hint="eastAsia"/>
                      <w:color w:val="000000" w:themeColor="text1"/>
                      <w:sz w:val="18"/>
                      <w:szCs w:val="18"/>
                      <w14:textFill>
                        <w14:solidFill>
                          <w14:schemeClr w14:val="tx1"/>
                        </w14:solidFill>
                      </w14:textFill>
                    </w:rPr>
                    <w:t>18</w:t>
                  </w:r>
                  <w:r>
                    <w:rPr>
                      <w:color w:val="000000" w:themeColor="text1"/>
                      <w:sz w:val="18"/>
                      <w:szCs w:val="18"/>
                      <w14:textFill>
                        <w14:solidFill>
                          <w14:schemeClr w14:val="tx1"/>
                        </w14:solidFill>
                      </w14:textFill>
                    </w:rPr>
                    <w:t>000m</w:t>
                  </w:r>
                  <w:r>
                    <w:rPr>
                      <w:color w:val="000000" w:themeColor="text1"/>
                      <w:sz w:val="18"/>
                      <w:szCs w:val="18"/>
                      <w:vertAlign w:val="superscript"/>
                      <w14:textFill>
                        <w14:solidFill>
                          <w14:schemeClr w14:val="tx1"/>
                        </w14:solidFill>
                      </w14:textFill>
                    </w:rPr>
                    <w:t>3</w:t>
                  </w:r>
                </w:p>
              </w:tc>
              <w:tc>
                <w:tcPr>
                  <w:tcW w:w="308" w:type="pct"/>
                  <w:noWrap w:val="0"/>
                  <w:vAlign w:val="center"/>
                </w:tcPr>
                <w:p w14:paraId="4AB062E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E123FE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74497513">
                  <w:pPr>
                    <w:jc w:val="center"/>
                    <w:rPr>
                      <w:color w:val="000000" w:themeColor="text1"/>
                      <w:sz w:val="18"/>
                      <w:szCs w:val="18"/>
                      <w14:textFill>
                        <w14:solidFill>
                          <w14:schemeClr w14:val="tx1"/>
                        </w14:solidFill>
                      </w14:textFill>
                    </w:rPr>
                  </w:pPr>
                </w:p>
              </w:tc>
              <w:tc>
                <w:tcPr>
                  <w:tcW w:w="631" w:type="pct"/>
                  <w:gridSpan w:val="2"/>
                  <w:noWrap w:val="0"/>
                  <w:vAlign w:val="center"/>
                </w:tcPr>
                <w:p w14:paraId="2891E8B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供电</w:t>
                  </w:r>
                </w:p>
              </w:tc>
              <w:tc>
                <w:tcPr>
                  <w:tcW w:w="3784" w:type="pct"/>
                  <w:noWrap w:val="0"/>
                  <w:vAlign w:val="center"/>
                </w:tcPr>
                <w:p w14:paraId="5EE1A83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本项目电源引自</w:t>
                  </w:r>
                  <w:r>
                    <w:rPr>
                      <w:rFonts w:hint="eastAsia"/>
                      <w:color w:val="000000" w:themeColor="text1"/>
                      <w:sz w:val="18"/>
                      <w:szCs w:val="18"/>
                      <w14:textFill>
                        <w14:solidFill>
                          <w14:schemeClr w14:val="tx1"/>
                        </w14:solidFill>
                      </w14:textFill>
                    </w:rPr>
                    <w:t>四川正达凯年产120万吨乙二醇工程配套用能源供应及余热利用项目</w:t>
                  </w:r>
                  <w:r>
                    <w:rPr>
                      <w:color w:val="000000" w:themeColor="text1"/>
                      <w:sz w:val="18"/>
                      <w:szCs w:val="18"/>
                      <w14:textFill>
                        <w14:solidFill>
                          <w14:schemeClr w14:val="tx1"/>
                        </w14:solidFill>
                      </w14:textFill>
                    </w:rPr>
                    <w:t>，用电负荷</w:t>
                  </w:r>
                  <w:r>
                    <w:rPr>
                      <w:rFonts w:hint="eastAsia"/>
                      <w:color w:val="000000" w:themeColor="text1"/>
                      <w:sz w:val="18"/>
                      <w:szCs w:val="18"/>
                      <w14:textFill>
                        <w14:solidFill>
                          <w14:schemeClr w14:val="tx1"/>
                        </w14:solidFill>
                      </w14:textFill>
                    </w:rPr>
                    <w:t>221280</w:t>
                  </w:r>
                  <w:r>
                    <w:rPr>
                      <w:color w:val="000000" w:themeColor="text1"/>
                      <w:sz w:val="18"/>
                      <w:szCs w:val="18"/>
                      <w14:textFill>
                        <w14:solidFill>
                          <w14:schemeClr w14:val="tx1"/>
                        </w14:solidFill>
                      </w14:textFill>
                    </w:rPr>
                    <w:t>kW，新建1座220/35</w:t>
                  </w:r>
                  <w:r>
                    <w:rPr>
                      <w:rFonts w:hint="eastAsia"/>
                      <w:color w:val="000000" w:themeColor="text1"/>
                      <w:sz w:val="18"/>
                      <w:szCs w:val="18"/>
                      <w14:textFill>
                        <w14:solidFill>
                          <w14:schemeClr w14:val="tx1"/>
                        </w14:solidFill>
                      </w14:textFill>
                    </w:rPr>
                    <w:t>KV</w:t>
                  </w:r>
                  <w:r>
                    <w:rPr>
                      <w:color w:val="000000" w:themeColor="text1"/>
                      <w:sz w:val="18"/>
                      <w:szCs w:val="18"/>
                      <w14:textFill>
                        <w14:solidFill>
                          <w14:schemeClr w14:val="tx1"/>
                        </w14:solidFill>
                      </w14:textFill>
                    </w:rPr>
                    <w:t>总变电站</w:t>
                  </w:r>
                  <w:r>
                    <w:rPr>
                      <w:rFonts w:hint="eastAsia"/>
                      <w:color w:val="000000" w:themeColor="text1"/>
                      <w:sz w:val="18"/>
                      <w:szCs w:val="18"/>
                      <w14:textFill>
                        <w14:solidFill>
                          <w14:schemeClr w14:val="tx1"/>
                        </w14:solidFill>
                      </w14:textFill>
                    </w:rPr>
                    <w:t>（另行环评）。</w:t>
                  </w:r>
                </w:p>
              </w:tc>
              <w:tc>
                <w:tcPr>
                  <w:tcW w:w="308" w:type="pct"/>
                  <w:noWrap w:val="0"/>
                  <w:vAlign w:val="center"/>
                </w:tcPr>
                <w:p w14:paraId="79EBF66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依托</w:t>
                  </w:r>
                </w:p>
              </w:tc>
            </w:tr>
            <w:tr w14:paraId="3411FD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4117DD47">
                  <w:pPr>
                    <w:jc w:val="center"/>
                    <w:rPr>
                      <w:color w:val="000000" w:themeColor="text1"/>
                      <w:sz w:val="18"/>
                      <w:szCs w:val="18"/>
                      <w14:textFill>
                        <w14:solidFill>
                          <w14:schemeClr w14:val="tx1"/>
                        </w14:solidFill>
                      </w14:textFill>
                    </w:rPr>
                  </w:pPr>
                </w:p>
              </w:tc>
              <w:tc>
                <w:tcPr>
                  <w:tcW w:w="631" w:type="pct"/>
                  <w:gridSpan w:val="2"/>
                  <w:noWrap w:val="0"/>
                  <w:vAlign w:val="center"/>
                </w:tcPr>
                <w:p w14:paraId="771FBEA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供热</w:t>
                  </w:r>
                </w:p>
              </w:tc>
              <w:tc>
                <w:tcPr>
                  <w:tcW w:w="3784" w:type="pct"/>
                  <w:noWrap w:val="0"/>
                  <w:vAlign w:val="center"/>
                </w:tcPr>
                <w:p w14:paraId="362447A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本项目热源主要依托“四川正达凯年产120万吨乙二醇工程配套用能源供应及余热利用项目”，少量来自天然气转化装置、乙二醇合成装置、废气废液焚烧炉余热锅炉提供。</w:t>
                  </w:r>
                </w:p>
              </w:tc>
              <w:tc>
                <w:tcPr>
                  <w:tcW w:w="308" w:type="pct"/>
                  <w:noWrap w:val="0"/>
                  <w:vAlign w:val="center"/>
                </w:tcPr>
                <w:p w14:paraId="71C912C4">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依托</w:t>
                  </w:r>
                </w:p>
              </w:tc>
            </w:tr>
            <w:tr w14:paraId="0597CF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176872A5">
                  <w:pPr>
                    <w:jc w:val="center"/>
                    <w:rPr>
                      <w:color w:val="000000" w:themeColor="text1"/>
                      <w:sz w:val="18"/>
                      <w:szCs w:val="18"/>
                      <w14:textFill>
                        <w14:solidFill>
                          <w14:schemeClr w14:val="tx1"/>
                        </w14:solidFill>
                      </w14:textFill>
                    </w:rPr>
                  </w:pPr>
                </w:p>
              </w:tc>
              <w:tc>
                <w:tcPr>
                  <w:tcW w:w="631" w:type="pct"/>
                  <w:gridSpan w:val="2"/>
                  <w:noWrap w:val="0"/>
                  <w:vAlign w:val="center"/>
                </w:tcPr>
                <w:p w14:paraId="39E9C64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自动化控制</w:t>
                  </w:r>
                </w:p>
              </w:tc>
              <w:tc>
                <w:tcPr>
                  <w:tcW w:w="3784" w:type="pct"/>
                  <w:noWrap w:val="0"/>
                  <w:vAlign w:val="center"/>
                </w:tcPr>
                <w:p w14:paraId="6A67A78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采用分散型控制系统（DCS）</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安全联锁采用安全仪表系统（SIS），压缩机控制系统（CCS），可燃气体和有毒气体检测报警系统（GDS）采用安全PLC</w:t>
                  </w:r>
                </w:p>
              </w:tc>
              <w:tc>
                <w:tcPr>
                  <w:tcW w:w="308" w:type="pct"/>
                  <w:noWrap w:val="0"/>
                  <w:vAlign w:val="center"/>
                </w:tcPr>
                <w:p w14:paraId="019BC9D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B9858E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6923A202">
                  <w:pPr>
                    <w:jc w:val="center"/>
                    <w:rPr>
                      <w:color w:val="000000" w:themeColor="text1"/>
                      <w:sz w:val="18"/>
                      <w:szCs w:val="18"/>
                      <w14:textFill>
                        <w14:solidFill>
                          <w14:schemeClr w14:val="tx1"/>
                        </w14:solidFill>
                      </w14:textFill>
                    </w:rPr>
                  </w:pPr>
                </w:p>
              </w:tc>
              <w:tc>
                <w:tcPr>
                  <w:tcW w:w="631" w:type="pct"/>
                  <w:gridSpan w:val="2"/>
                  <w:noWrap w:val="0"/>
                  <w:vAlign w:val="center"/>
                </w:tcPr>
                <w:p w14:paraId="289ACA7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电信</w:t>
                  </w:r>
                </w:p>
              </w:tc>
              <w:tc>
                <w:tcPr>
                  <w:tcW w:w="3784" w:type="pct"/>
                  <w:noWrap w:val="0"/>
                  <w:vAlign w:val="center"/>
                </w:tcPr>
                <w:p w14:paraId="59A8EC9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电信设施由数字程控调度、扩音对讲、综合布线、火灾自动报警、可燃、有毒气体报警、工业电视、无线对讲电话、电信综合网路等</w:t>
                  </w:r>
                  <w:r>
                    <w:rPr>
                      <w:rFonts w:hint="eastAsia"/>
                      <w:color w:val="000000" w:themeColor="text1"/>
                      <w:sz w:val="18"/>
                      <w:szCs w:val="18"/>
                      <w14:textFill>
                        <w14:solidFill>
                          <w14:schemeClr w14:val="tx1"/>
                        </w14:solidFill>
                      </w14:textFill>
                    </w:rPr>
                    <w:t>锡系统</w:t>
                  </w:r>
                  <w:r>
                    <w:rPr>
                      <w:color w:val="000000" w:themeColor="text1"/>
                      <w:sz w:val="18"/>
                      <w:szCs w:val="18"/>
                      <w14:textFill>
                        <w14:solidFill>
                          <w14:schemeClr w14:val="tx1"/>
                        </w14:solidFill>
                      </w14:textFill>
                    </w:rPr>
                    <w:t>组成</w:t>
                  </w:r>
                </w:p>
              </w:tc>
              <w:tc>
                <w:tcPr>
                  <w:tcW w:w="308" w:type="pct"/>
                  <w:noWrap w:val="0"/>
                  <w:vAlign w:val="center"/>
                </w:tcPr>
                <w:p w14:paraId="5B2862C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19EC9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restart"/>
                  <w:noWrap w:val="0"/>
                  <w:vAlign w:val="center"/>
                </w:tcPr>
                <w:p w14:paraId="6D8F79C5">
                  <w:pPr>
                    <w:jc w:val="center"/>
                    <w:rPr>
                      <w:color w:val="000000" w:themeColor="text1"/>
                      <w:sz w:val="18"/>
                      <w:szCs w:val="18"/>
                      <w14:textFill>
                        <w14:solidFill>
                          <w14:schemeClr w14:val="tx1"/>
                        </w14:solidFill>
                      </w14:textFill>
                    </w:rPr>
                  </w:pPr>
                </w:p>
                <w:p w14:paraId="38E53C4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环保 工程</w:t>
                  </w:r>
                </w:p>
              </w:tc>
              <w:tc>
                <w:tcPr>
                  <w:tcW w:w="631" w:type="pct"/>
                  <w:gridSpan w:val="2"/>
                  <w:vMerge w:val="restart"/>
                  <w:noWrap w:val="0"/>
                  <w:vAlign w:val="center"/>
                </w:tcPr>
                <w:p w14:paraId="27968A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w:t>
                  </w:r>
                </w:p>
              </w:tc>
              <w:tc>
                <w:tcPr>
                  <w:tcW w:w="3784" w:type="pct"/>
                  <w:noWrap w:val="0"/>
                  <w:vAlign w:val="center"/>
                </w:tcPr>
                <w:p w14:paraId="5103B319">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天然气加热炉烟道气，经“低氮燃烧+SCR脱硝”处理后，经60m排气筒排放。</w:t>
                  </w:r>
                </w:p>
              </w:tc>
              <w:tc>
                <w:tcPr>
                  <w:tcW w:w="308" w:type="pct"/>
                  <w:noWrap w:val="0"/>
                  <w:vAlign w:val="center"/>
                </w:tcPr>
                <w:p w14:paraId="516D6CF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0EB2A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5436D403">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2BDEB6D8">
                  <w:pPr>
                    <w:jc w:val="center"/>
                    <w:rPr>
                      <w:color w:val="000000" w:themeColor="text1"/>
                      <w:sz w:val="18"/>
                      <w:szCs w:val="18"/>
                      <w14:textFill>
                        <w14:solidFill>
                          <w14:schemeClr w14:val="tx1"/>
                        </w14:solidFill>
                      </w14:textFill>
                    </w:rPr>
                  </w:pPr>
                </w:p>
              </w:tc>
              <w:tc>
                <w:tcPr>
                  <w:tcW w:w="3784" w:type="pct"/>
                  <w:noWrap w:val="0"/>
                  <w:vAlign w:val="center"/>
                </w:tcPr>
                <w:p w14:paraId="15B70DEC">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天然气净化及转化装置CO</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再生塔多余废气，高空</w:t>
                  </w:r>
                  <w:r>
                    <w:rPr>
                      <w:color w:val="000000" w:themeColor="text1"/>
                      <w:sz w:val="18"/>
                      <w:szCs w:val="18"/>
                      <w14:textFill>
                        <w14:solidFill>
                          <w14:schemeClr w14:val="tx1"/>
                        </w14:solidFill>
                      </w14:textFill>
                    </w:rPr>
                    <w:t>排放</w:t>
                  </w:r>
                  <w:r>
                    <w:rPr>
                      <w:rFonts w:hint="eastAsia"/>
                      <w:color w:val="000000" w:themeColor="text1"/>
                      <w:sz w:val="18"/>
                      <w:szCs w:val="18"/>
                      <w14:textFill>
                        <w14:solidFill>
                          <w14:schemeClr w14:val="tx1"/>
                        </w14:solidFill>
                      </w14:textFill>
                    </w:rPr>
                    <w:t>（67m）。</w:t>
                  </w:r>
                </w:p>
              </w:tc>
              <w:tc>
                <w:tcPr>
                  <w:tcW w:w="308" w:type="pct"/>
                  <w:noWrap w:val="0"/>
                  <w:vAlign w:val="center"/>
                </w:tcPr>
                <w:p w14:paraId="7A18522D">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95FFB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215557C8">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4B3A05B9">
                  <w:pPr>
                    <w:jc w:val="center"/>
                    <w:rPr>
                      <w:color w:val="000000" w:themeColor="text1"/>
                      <w:sz w:val="18"/>
                      <w:szCs w:val="18"/>
                      <w14:textFill>
                        <w14:solidFill>
                          <w14:schemeClr w14:val="tx1"/>
                        </w14:solidFill>
                      </w14:textFill>
                    </w:rPr>
                  </w:pPr>
                </w:p>
              </w:tc>
              <w:tc>
                <w:tcPr>
                  <w:tcW w:w="3784" w:type="pct"/>
                  <w:noWrap w:val="0"/>
                  <w:vAlign w:val="center"/>
                </w:tcPr>
                <w:p w14:paraId="2D29051B">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/CO深冷分离含氮/粗甲烷废气，送天然气加热炉处理。</w:t>
                  </w:r>
                </w:p>
              </w:tc>
              <w:tc>
                <w:tcPr>
                  <w:tcW w:w="308" w:type="pct"/>
                  <w:noWrap w:val="0"/>
                  <w:vAlign w:val="center"/>
                </w:tcPr>
                <w:p w14:paraId="7813FD9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6072991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6E2CC2AB">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08F57A9C">
                  <w:pPr>
                    <w:jc w:val="center"/>
                    <w:rPr>
                      <w:color w:val="000000" w:themeColor="text1"/>
                      <w:sz w:val="18"/>
                      <w:szCs w:val="18"/>
                      <w14:textFill>
                        <w14:solidFill>
                          <w14:schemeClr w14:val="tx1"/>
                        </w14:solidFill>
                      </w14:textFill>
                    </w:rPr>
                  </w:pPr>
                </w:p>
              </w:tc>
              <w:tc>
                <w:tcPr>
                  <w:tcW w:w="3784" w:type="pct"/>
                  <w:noWrap w:val="0"/>
                  <w:vAlign w:val="center"/>
                </w:tcPr>
                <w:p w14:paraId="2C8E59EE">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乙二醇装置酯化单元尾气吸收塔尾气，送废气废液焚烧炉处理。</w:t>
                  </w:r>
                </w:p>
              </w:tc>
              <w:tc>
                <w:tcPr>
                  <w:tcW w:w="308" w:type="pct"/>
                  <w:noWrap w:val="0"/>
                  <w:vAlign w:val="center"/>
                </w:tcPr>
                <w:p w14:paraId="2896368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64B8F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0363C31F">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6D58CA03">
                  <w:pPr>
                    <w:jc w:val="center"/>
                    <w:rPr>
                      <w:color w:val="000000" w:themeColor="text1"/>
                      <w:sz w:val="18"/>
                      <w:szCs w:val="18"/>
                      <w14:textFill>
                        <w14:solidFill>
                          <w14:schemeClr w14:val="tx1"/>
                        </w14:solidFill>
                      </w14:textFill>
                    </w:rPr>
                  </w:pPr>
                </w:p>
              </w:tc>
              <w:tc>
                <w:tcPr>
                  <w:tcW w:w="3784" w:type="pct"/>
                  <w:noWrap w:val="0"/>
                  <w:vAlign w:val="center"/>
                </w:tcPr>
                <w:p w14:paraId="2F99687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乙二醇装置加氢单元PSA装置解析气，送废气废液焚烧炉处理。</w:t>
                  </w:r>
                </w:p>
              </w:tc>
              <w:tc>
                <w:tcPr>
                  <w:tcW w:w="308" w:type="pct"/>
                  <w:noWrap w:val="0"/>
                  <w:vAlign w:val="center"/>
                </w:tcPr>
                <w:p w14:paraId="70E763F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B3B74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57A83241">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4CAACB81">
                  <w:pPr>
                    <w:jc w:val="center"/>
                    <w:rPr>
                      <w:color w:val="000000" w:themeColor="text1"/>
                      <w:sz w:val="18"/>
                      <w:szCs w:val="18"/>
                      <w14:textFill>
                        <w14:solidFill>
                          <w14:schemeClr w14:val="tx1"/>
                        </w14:solidFill>
                      </w14:textFill>
                    </w:rPr>
                  </w:pPr>
                </w:p>
              </w:tc>
              <w:tc>
                <w:tcPr>
                  <w:tcW w:w="3784" w:type="pct"/>
                  <w:noWrap w:val="0"/>
                  <w:vAlign w:val="center"/>
                </w:tcPr>
                <w:p w14:paraId="27D6406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乙二醇</w:t>
                  </w:r>
                  <w:r>
                    <w:rPr>
                      <w:rFonts w:hint="eastAsia"/>
                      <w:color w:val="000000" w:themeColor="text1"/>
                      <w:sz w:val="18"/>
                      <w:szCs w:val="18"/>
                      <w14:textFill>
                        <w14:solidFill>
                          <w14:schemeClr w14:val="tx1"/>
                        </w14:solidFill>
                      </w14:textFill>
                    </w:rPr>
                    <w:t>装置精馏单元</w:t>
                  </w:r>
                  <w:r>
                    <w:rPr>
                      <w:color w:val="000000" w:themeColor="text1"/>
                      <w:sz w:val="18"/>
                      <w:szCs w:val="18"/>
                      <w14:textFill>
                        <w14:solidFill>
                          <w14:schemeClr w14:val="tx1"/>
                        </w14:solidFill>
                      </w14:textFill>
                    </w:rPr>
                    <w:t>不凝</w:t>
                  </w:r>
                  <w:r>
                    <w:rPr>
                      <w:rFonts w:hint="eastAsia"/>
                      <w:color w:val="000000" w:themeColor="text1"/>
                      <w:sz w:val="18"/>
                      <w:szCs w:val="18"/>
                      <w14:textFill>
                        <w14:solidFill>
                          <w14:schemeClr w14:val="tx1"/>
                        </w14:solidFill>
                      </w14:textFill>
                    </w:rPr>
                    <w:t>气，送废气废液焚烧炉处理。</w:t>
                  </w:r>
                </w:p>
              </w:tc>
              <w:tc>
                <w:tcPr>
                  <w:tcW w:w="308" w:type="pct"/>
                  <w:noWrap w:val="0"/>
                  <w:vAlign w:val="center"/>
                </w:tcPr>
                <w:p w14:paraId="5D65758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74C74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277" w:type="pct"/>
                  <w:vMerge w:val="continue"/>
                  <w:noWrap w:val="0"/>
                  <w:vAlign w:val="center"/>
                </w:tcPr>
                <w:p w14:paraId="6D4EC817">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11BBBE4B">
                  <w:pPr>
                    <w:jc w:val="center"/>
                    <w:rPr>
                      <w:color w:val="000000" w:themeColor="text1"/>
                      <w:sz w:val="18"/>
                      <w:szCs w:val="18"/>
                      <w14:textFill>
                        <w14:solidFill>
                          <w14:schemeClr w14:val="tx1"/>
                        </w14:solidFill>
                      </w14:textFill>
                    </w:rPr>
                  </w:pPr>
                </w:p>
              </w:tc>
              <w:tc>
                <w:tcPr>
                  <w:tcW w:w="3784" w:type="pct"/>
                  <w:noWrap w:val="0"/>
                  <w:vAlign w:val="center"/>
                </w:tcPr>
                <w:p w14:paraId="61B6D04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乙二醇装置加氢产物中间罐不凝气，送废气废液焚烧炉处理。</w:t>
                  </w:r>
                </w:p>
              </w:tc>
              <w:tc>
                <w:tcPr>
                  <w:tcW w:w="308" w:type="pct"/>
                  <w:noWrap w:val="0"/>
                  <w:vAlign w:val="center"/>
                </w:tcPr>
                <w:p w14:paraId="63DE818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079A1E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B663057">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72063593">
                  <w:pPr>
                    <w:jc w:val="center"/>
                    <w:rPr>
                      <w:color w:val="000000" w:themeColor="text1"/>
                      <w:sz w:val="18"/>
                      <w:szCs w:val="18"/>
                      <w14:textFill>
                        <w14:solidFill>
                          <w14:schemeClr w14:val="tx1"/>
                        </w14:solidFill>
                      </w14:textFill>
                    </w:rPr>
                  </w:pPr>
                </w:p>
              </w:tc>
              <w:tc>
                <w:tcPr>
                  <w:tcW w:w="3784" w:type="pct"/>
                  <w:noWrap w:val="0"/>
                  <w:vAlign w:val="center"/>
                </w:tcPr>
                <w:p w14:paraId="3239E1F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乙二醇装置第一脱醇塔不凝气，送废气废液焚烧炉处理。</w:t>
                  </w:r>
                </w:p>
              </w:tc>
              <w:tc>
                <w:tcPr>
                  <w:tcW w:w="308" w:type="pct"/>
                  <w:noWrap w:val="0"/>
                  <w:vAlign w:val="center"/>
                </w:tcPr>
                <w:p w14:paraId="6A09C3D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8F27A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31A1F517">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07C1B99A">
                  <w:pPr>
                    <w:jc w:val="center"/>
                    <w:rPr>
                      <w:color w:val="000000" w:themeColor="text1"/>
                      <w:sz w:val="18"/>
                      <w:szCs w:val="18"/>
                      <w14:textFill>
                        <w14:solidFill>
                          <w14:schemeClr w14:val="tx1"/>
                        </w14:solidFill>
                      </w14:textFill>
                    </w:rPr>
                  </w:pPr>
                </w:p>
              </w:tc>
              <w:tc>
                <w:tcPr>
                  <w:tcW w:w="3784" w:type="pct"/>
                  <w:noWrap w:val="0"/>
                  <w:vAlign w:val="center"/>
                </w:tcPr>
                <w:p w14:paraId="07982604">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电子级DMC装置</w:t>
                  </w:r>
                  <w:r>
                    <w:rPr>
                      <w:rFonts w:hint="eastAsia"/>
                      <w:color w:val="000000" w:themeColor="text1"/>
                      <w:kern w:val="0"/>
                      <w:sz w:val="18"/>
                      <w:szCs w:val="18"/>
                      <w14:textFill>
                        <w14:solidFill>
                          <w14:schemeClr w14:val="tx1"/>
                        </w14:solidFill>
                      </w14:textFill>
                    </w:rPr>
                    <w:t>回收物料不凝气</w:t>
                  </w:r>
                  <w:r>
                    <w:rPr>
                      <w:rFonts w:hint="eastAsia"/>
                      <w:color w:val="000000" w:themeColor="text1"/>
                      <w:sz w:val="18"/>
                      <w:szCs w:val="18"/>
                      <w14:textFill>
                        <w14:solidFill>
                          <w14:schemeClr w14:val="tx1"/>
                        </w14:solidFill>
                      </w14:textFill>
                    </w:rPr>
                    <w:t>，送废气废液焚烧炉处理。</w:t>
                  </w:r>
                </w:p>
              </w:tc>
              <w:tc>
                <w:tcPr>
                  <w:tcW w:w="308" w:type="pct"/>
                  <w:noWrap w:val="0"/>
                  <w:vAlign w:val="center"/>
                </w:tcPr>
                <w:p w14:paraId="5C52C0F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4E3B6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05A409DF">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371FE647">
                  <w:pPr>
                    <w:jc w:val="center"/>
                    <w:rPr>
                      <w:color w:val="000000" w:themeColor="text1"/>
                      <w:sz w:val="18"/>
                      <w:szCs w:val="18"/>
                      <w14:textFill>
                        <w14:solidFill>
                          <w14:schemeClr w14:val="tx1"/>
                        </w14:solidFill>
                      </w14:textFill>
                    </w:rPr>
                  </w:pPr>
                </w:p>
              </w:tc>
              <w:tc>
                <w:tcPr>
                  <w:tcW w:w="3784" w:type="pct"/>
                  <w:noWrap w:val="0"/>
                  <w:vAlign w:val="center"/>
                </w:tcPr>
                <w:p w14:paraId="1A763BD4">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电子级DMC装置</w:t>
                  </w:r>
                  <w:r>
                    <w:rPr>
                      <w:rFonts w:hint="eastAsia"/>
                      <w:color w:val="000000" w:themeColor="text1"/>
                      <w:kern w:val="0"/>
                      <w:sz w:val="18"/>
                      <w:szCs w:val="18"/>
                      <w14:textFill>
                        <w14:solidFill>
                          <w14:schemeClr w14:val="tx1"/>
                        </w14:solidFill>
                      </w14:textFill>
                    </w:rPr>
                    <w:t>轻组分解析气</w:t>
                  </w:r>
                  <w:r>
                    <w:rPr>
                      <w:rFonts w:hint="eastAsia"/>
                      <w:color w:val="000000" w:themeColor="text1"/>
                      <w:sz w:val="18"/>
                      <w:szCs w:val="18"/>
                      <w14:textFill>
                        <w14:solidFill>
                          <w14:schemeClr w14:val="tx1"/>
                        </w14:solidFill>
                      </w14:textFill>
                    </w:rPr>
                    <w:t>，送废气废液焚烧炉处理。</w:t>
                  </w:r>
                </w:p>
              </w:tc>
              <w:tc>
                <w:tcPr>
                  <w:tcW w:w="308" w:type="pct"/>
                  <w:noWrap w:val="0"/>
                  <w:vAlign w:val="center"/>
                </w:tcPr>
                <w:p w14:paraId="4EC1463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C14E0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1D6D9DF0">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29F81097">
                  <w:pPr>
                    <w:jc w:val="center"/>
                    <w:rPr>
                      <w:color w:val="000000" w:themeColor="text1"/>
                      <w:sz w:val="18"/>
                      <w:szCs w:val="18"/>
                      <w14:textFill>
                        <w14:solidFill>
                          <w14:schemeClr w14:val="tx1"/>
                        </w14:solidFill>
                      </w14:textFill>
                    </w:rPr>
                  </w:pPr>
                </w:p>
              </w:tc>
              <w:tc>
                <w:tcPr>
                  <w:tcW w:w="3784" w:type="pct"/>
                  <w:noWrap w:val="0"/>
                  <w:vAlign w:val="center"/>
                </w:tcPr>
                <w:p w14:paraId="71AB683D">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电子级DMC装置</w:t>
                  </w:r>
                  <w:r>
                    <w:rPr>
                      <w:rFonts w:hint="eastAsia"/>
                      <w:color w:val="000000" w:themeColor="text1"/>
                      <w:kern w:val="0"/>
                      <w:sz w:val="18"/>
                      <w:szCs w:val="18"/>
                      <w14:textFill>
                        <w14:solidFill>
                          <w14:schemeClr w14:val="tx1"/>
                        </w14:solidFill>
                      </w14:textFill>
                    </w:rPr>
                    <w:t>DMC脱轻塔不凝气</w:t>
                  </w:r>
                  <w:r>
                    <w:rPr>
                      <w:rFonts w:hint="eastAsia"/>
                      <w:color w:val="000000" w:themeColor="text1"/>
                      <w:sz w:val="18"/>
                      <w:szCs w:val="18"/>
                      <w14:textFill>
                        <w14:solidFill>
                          <w14:schemeClr w14:val="tx1"/>
                        </w14:solidFill>
                      </w14:textFill>
                    </w:rPr>
                    <w:t>，送废气废液焚烧炉处理。</w:t>
                  </w:r>
                </w:p>
              </w:tc>
              <w:tc>
                <w:tcPr>
                  <w:tcW w:w="308" w:type="pct"/>
                  <w:noWrap w:val="0"/>
                  <w:vAlign w:val="center"/>
                </w:tcPr>
                <w:p w14:paraId="7A80197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5D7CF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1E8313B3">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3B9DD638">
                  <w:pPr>
                    <w:jc w:val="center"/>
                    <w:rPr>
                      <w:color w:val="000000" w:themeColor="text1"/>
                      <w:sz w:val="18"/>
                      <w:szCs w:val="18"/>
                      <w14:textFill>
                        <w14:solidFill>
                          <w14:schemeClr w14:val="tx1"/>
                        </w14:solidFill>
                      </w14:textFill>
                    </w:rPr>
                  </w:pPr>
                </w:p>
              </w:tc>
              <w:tc>
                <w:tcPr>
                  <w:tcW w:w="3784" w:type="pct"/>
                  <w:noWrap w:val="0"/>
                  <w:vAlign w:val="center"/>
                </w:tcPr>
                <w:p w14:paraId="7900F18B">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电子级DMC装置DMC脱重塔</w:t>
                  </w:r>
                  <w:r>
                    <w:rPr>
                      <w:rFonts w:hint="eastAsia"/>
                      <w:color w:val="000000" w:themeColor="text1"/>
                      <w:kern w:val="0"/>
                      <w:sz w:val="18"/>
                      <w:szCs w:val="18"/>
                      <w14:textFill>
                        <w14:solidFill>
                          <w14:schemeClr w14:val="tx1"/>
                        </w14:solidFill>
                      </w14:textFill>
                    </w:rPr>
                    <w:t>不凝气</w:t>
                  </w:r>
                  <w:r>
                    <w:rPr>
                      <w:rFonts w:hint="eastAsia"/>
                      <w:color w:val="000000" w:themeColor="text1"/>
                      <w:sz w:val="18"/>
                      <w:szCs w:val="18"/>
                      <w14:textFill>
                        <w14:solidFill>
                          <w14:schemeClr w14:val="tx1"/>
                        </w14:solidFill>
                      </w14:textFill>
                    </w:rPr>
                    <w:t>，送废气废液焚烧炉处理。</w:t>
                  </w:r>
                </w:p>
              </w:tc>
              <w:tc>
                <w:tcPr>
                  <w:tcW w:w="308" w:type="pct"/>
                  <w:noWrap w:val="0"/>
                  <w:vAlign w:val="center"/>
                </w:tcPr>
                <w:p w14:paraId="5DBBD36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4C4E6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213114AD">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79B9ED49">
                  <w:pPr>
                    <w:jc w:val="center"/>
                    <w:rPr>
                      <w:color w:val="000000" w:themeColor="text1"/>
                      <w:sz w:val="18"/>
                      <w:szCs w:val="18"/>
                      <w14:textFill>
                        <w14:solidFill>
                          <w14:schemeClr w14:val="tx1"/>
                        </w14:solidFill>
                      </w14:textFill>
                    </w:rPr>
                  </w:pPr>
                </w:p>
              </w:tc>
              <w:tc>
                <w:tcPr>
                  <w:tcW w:w="3784" w:type="pct"/>
                  <w:noWrap w:val="0"/>
                  <w:vAlign w:val="center"/>
                </w:tcPr>
                <w:p w14:paraId="5B8548F4">
                  <w:pPr>
                    <w:spacing w:line="23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中间罐区有机物储罐呼吸废气，送废气废液焚烧炉处理。</w:t>
                  </w:r>
                </w:p>
              </w:tc>
              <w:tc>
                <w:tcPr>
                  <w:tcW w:w="308" w:type="pct"/>
                  <w:noWrap w:val="0"/>
                  <w:vAlign w:val="center"/>
                </w:tcPr>
                <w:p w14:paraId="2C4139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88805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A85363B">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57B38DFE">
                  <w:pPr>
                    <w:jc w:val="center"/>
                    <w:rPr>
                      <w:color w:val="000000" w:themeColor="text1"/>
                      <w:sz w:val="18"/>
                      <w:szCs w:val="18"/>
                      <w14:textFill>
                        <w14:solidFill>
                          <w14:schemeClr w14:val="tx1"/>
                        </w14:solidFill>
                      </w14:textFill>
                    </w:rPr>
                  </w:pPr>
                </w:p>
              </w:tc>
              <w:tc>
                <w:tcPr>
                  <w:tcW w:w="3784" w:type="pct"/>
                  <w:noWrap w:val="0"/>
                  <w:vAlign w:val="center"/>
                </w:tcPr>
                <w:p w14:paraId="0B9D118F">
                  <w:pPr>
                    <w:spacing w:line="23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原料及产品罐区有机物储罐废气，送废气废液焚烧炉处理。</w:t>
                  </w:r>
                </w:p>
              </w:tc>
              <w:tc>
                <w:tcPr>
                  <w:tcW w:w="308" w:type="pct"/>
                  <w:noWrap w:val="0"/>
                  <w:vAlign w:val="center"/>
                </w:tcPr>
                <w:p w14:paraId="444F791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4C6E8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5494A8E">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5C74AC7E">
                  <w:pPr>
                    <w:jc w:val="center"/>
                    <w:rPr>
                      <w:color w:val="000000" w:themeColor="text1"/>
                      <w:sz w:val="18"/>
                      <w:szCs w:val="18"/>
                      <w14:textFill>
                        <w14:solidFill>
                          <w14:schemeClr w14:val="tx1"/>
                        </w14:solidFill>
                      </w14:textFill>
                    </w:rPr>
                  </w:pPr>
                </w:p>
              </w:tc>
              <w:tc>
                <w:tcPr>
                  <w:tcW w:w="3784" w:type="pct"/>
                  <w:noWrap w:val="0"/>
                  <w:vAlign w:val="center"/>
                </w:tcPr>
                <w:p w14:paraId="79CDFE5E">
                  <w:pPr>
                    <w:spacing w:line="23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原料及产品罐区装卸废气，送废气废液焚烧炉处理。</w:t>
                  </w:r>
                </w:p>
              </w:tc>
              <w:tc>
                <w:tcPr>
                  <w:tcW w:w="308" w:type="pct"/>
                  <w:noWrap w:val="0"/>
                  <w:vAlign w:val="center"/>
                </w:tcPr>
                <w:p w14:paraId="6A18960F">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ED76B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4626A59">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3B91C674">
                  <w:pPr>
                    <w:jc w:val="center"/>
                    <w:rPr>
                      <w:color w:val="000000" w:themeColor="text1"/>
                      <w:sz w:val="18"/>
                      <w:szCs w:val="18"/>
                      <w14:textFill>
                        <w14:solidFill>
                          <w14:schemeClr w14:val="tx1"/>
                        </w14:solidFill>
                      </w14:textFill>
                    </w:rPr>
                  </w:pPr>
                </w:p>
              </w:tc>
              <w:tc>
                <w:tcPr>
                  <w:tcW w:w="3784" w:type="pct"/>
                  <w:noWrap w:val="0"/>
                  <w:vAlign w:val="center"/>
                </w:tcPr>
                <w:p w14:paraId="72A4482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废气废液焚烧炉</w:t>
                  </w:r>
                  <w:r>
                    <w:rPr>
                      <w:color w:val="000000" w:themeColor="text1"/>
                      <w:sz w:val="18"/>
                      <w:szCs w:val="18"/>
                      <w14:textFill>
                        <w14:solidFill>
                          <w14:schemeClr w14:val="tx1"/>
                        </w14:solidFill>
                      </w14:textFill>
                    </w:rPr>
                    <w:t>废气</w:t>
                  </w:r>
                  <w:r>
                    <w:rPr>
                      <w:rFonts w:hint="eastAsia"/>
                      <w:color w:val="000000" w:themeColor="text1"/>
                      <w:sz w:val="18"/>
                      <w:szCs w:val="18"/>
                      <w14:textFill>
                        <w14:solidFill>
                          <w14:schemeClr w14:val="tx1"/>
                        </w14:solidFill>
                      </w14:textFill>
                    </w:rPr>
                    <w:t>采用“低氮燃烧+余热锅炉+SCR脱硝”处理后，经50</w:t>
                  </w:r>
                  <w:r>
                    <w:rPr>
                      <w:color w:val="000000" w:themeColor="text1"/>
                      <w:sz w:val="18"/>
                      <w:szCs w:val="18"/>
                      <w14:textFill>
                        <w14:solidFill>
                          <w14:schemeClr w14:val="tx1"/>
                        </w14:solidFill>
                      </w14:textFill>
                    </w:rPr>
                    <w:t>m排气筒排放</w:t>
                  </w:r>
                  <w:r>
                    <w:rPr>
                      <w:rFonts w:hint="eastAsia"/>
                      <w:color w:val="000000" w:themeColor="text1"/>
                      <w:sz w:val="18"/>
                      <w:szCs w:val="18"/>
                      <w14:textFill>
                        <w14:solidFill>
                          <w14:schemeClr w14:val="tx1"/>
                        </w14:solidFill>
                      </w14:textFill>
                    </w:rPr>
                    <w:t>。</w:t>
                  </w:r>
                </w:p>
              </w:tc>
              <w:tc>
                <w:tcPr>
                  <w:tcW w:w="308" w:type="pct"/>
                  <w:noWrap w:val="0"/>
                  <w:vAlign w:val="center"/>
                </w:tcPr>
                <w:p w14:paraId="288A5A8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6E66E6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6" w:hRule="atLeast"/>
                <w:jc w:val="center"/>
              </w:trPr>
              <w:tc>
                <w:tcPr>
                  <w:tcW w:w="277" w:type="pct"/>
                  <w:vMerge w:val="continue"/>
                  <w:noWrap w:val="0"/>
                  <w:vAlign w:val="center"/>
                </w:tcPr>
                <w:p w14:paraId="5B5BE3DD">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660C17FC">
                  <w:pPr>
                    <w:jc w:val="center"/>
                    <w:rPr>
                      <w:color w:val="000000" w:themeColor="text1"/>
                      <w:sz w:val="18"/>
                      <w:szCs w:val="18"/>
                      <w14:textFill>
                        <w14:solidFill>
                          <w14:schemeClr w14:val="tx1"/>
                        </w14:solidFill>
                      </w14:textFill>
                    </w:rPr>
                  </w:pPr>
                </w:p>
              </w:tc>
              <w:tc>
                <w:tcPr>
                  <w:tcW w:w="3784" w:type="pct"/>
                  <w:noWrap w:val="0"/>
                  <w:vAlign w:val="center"/>
                </w:tcPr>
                <w:p w14:paraId="6BFBBCA2">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污水处理站</w:t>
                  </w:r>
                  <w:r>
                    <w:rPr>
                      <w:rFonts w:hint="eastAsia"/>
                      <w:color w:val="000000" w:themeColor="text1"/>
                      <w:sz w:val="18"/>
                      <w:szCs w:val="18"/>
                      <w14:textFill>
                        <w14:solidFill>
                          <w14:schemeClr w14:val="tx1"/>
                        </w14:solidFill>
                      </w14:textFill>
                    </w:rPr>
                    <w:t>臭气经“碱洗+</w:t>
                  </w:r>
                  <w:r>
                    <w:rPr>
                      <w:color w:val="000000" w:themeColor="text1"/>
                      <w:sz w:val="18"/>
                      <w:szCs w:val="18"/>
                      <w14:textFill>
                        <w14:solidFill>
                          <w14:schemeClr w14:val="tx1"/>
                        </w14:solidFill>
                      </w14:textFill>
                    </w:rPr>
                    <w:t>生物除臭+活性炭吸附</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后</w:t>
                  </w:r>
                  <w:r>
                    <w:rPr>
                      <w:rFonts w:hint="eastAsia"/>
                      <w:color w:val="000000" w:themeColor="text1"/>
                      <w:sz w:val="18"/>
                      <w:szCs w:val="18"/>
                      <w14:textFill>
                        <w14:solidFill>
                          <w14:schemeClr w14:val="tx1"/>
                        </w14:solidFill>
                      </w14:textFill>
                    </w:rPr>
                    <w:t>，通过15m排气筒达标排放。</w:t>
                  </w:r>
                </w:p>
              </w:tc>
              <w:tc>
                <w:tcPr>
                  <w:tcW w:w="308" w:type="pct"/>
                  <w:noWrap w:val="0"/>
                  <w:vAlign w:val="center"/>
                </w:tcPr>
                <w:p w14:paraId="220AA81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694D6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6" w:hRule="atLeast"/>
                <w:jc w:val="center"/>
              </w:trPr>
              <w:tc>
                <w:tcPr>
                  <w:tcW w:w="277" w:type="pct"/>
                  <w:vMerge w:val="continue"/>
                  <w:noWrap w:val="0"/>
                  <w:vAlign w:val="center"/>
                </w:tcPr>
                <w:p w14:paraId="79B7CB6C">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68B8D49C">
                  <w:pPr>
                    <w:jc w:val="center"/>
                    <w:rPr>
                      <w:color w:val="000000" w:themeColor="text1"/>
                      <w:sz w:val="18"/>
                      <w:szCs w:val="18"/>
                      <w14:textFill>
                        <w14:solidFill>
                          <w14:schemeClr w14:val="tx1"/>
                        </w14:solidFill>
                      </w14:textFill>
                    </w:rPr>
                  </w:pPr>
                </w:p>
              </w:tc>
              <w:tc>
                <w:tcPr>
                  <w:tcW w:w="3784" w:type="pct"/>
                  <w:noWrap w:val="0"/>
                  <w:vAlign w:val="center"/>
                </w:tcPr>
                <w:p w14:paraId="54B009B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危废暂存间废气采用“活性炭吸附”处理后，通过15m排气筒达标排放。</w:t>
                  </w:r>
                </w:p>
              </w:tc>
              <w:tc>
                <w:tcPr>
                  <w:tcW w:w="308" w:type="pct"/>
                  <w:noWrap w:val="0"/>
                  <w:vAlign w:val="center"/>
                </w:tcPr>
                <w:p w14:paraId="7E0D09A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92F96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5FFE4ADA">
                  <w:pPr>
                    <w:jc w:val="center"/>
                    <w:rPr>
                      <w:color w:val="000000" w:themeColor="text1"/>
                      <w:sz w:val="18"/>
                      <w:szCs w:val="18"/>
                      <w14:textFill>
                        <w14:solidFill>
                          <w14:schemeClr w14:val="tx1"/>
                        </w14:solidFill>
                      </w14:textFill>
                    </w:rPr>
                  </w:pPr>
                </w:p>
              </w:tc>
              <w:tc>
                <w:tcPr>
                  <w:tcW w:w="631" w:type="pct"/>
                  <w:gridSpan w:val="2"/>
                  <w:vMerge w:val="restart"/>
                  <w:noWrap w:val="0"/>
                  <w:vAlign w:val="center"/>
                </w:tcPr>
                <w:p w14:paraId="377A222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w:t>
                  </w:r>
                </w:p>
              </w:tc>
              <w:tc>
                <w:tcPr>
                  <w:tcW w:w="3784" w:type="pct"/>
                  <w:noWrap w:val="0"/>
                  <w:vAlign w:val="center"/>
                </w:tcPr>
                <w:p w14:paraId="2AD2CA3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配套</w:t>
                  </w:r>
                  <w:r>
                    <w:rPr>
                      <w:rFonts w:hint="eastAsia"/>
                      <w:color w:val="000000" w:themeColor="text1"/>
                      <w:sz w:val="18"/>
                      <w:szCs w:val="18"/>
                      <w14:textFill>
                        <w14:solidFill>
                          <w14:schemeClr w14:val="tx1"/>
                        </w14:solidFill>
                      </w14:textFill>
                    </w:rPr>
                    <w:t>2</w:t>
                  </w:r>
                  <w:r>
                    <w:rPr>
                      <w:rFonts w:ascii="Arial" w:hAnsi="Arial" w:cs="Arial"/>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/h污水处理站处理生产及生活废水，</w:t>
                  </w:r>
                  <w:r>
                    <w:rPr>
                      <w:rFonts w:hint="eastAsia"/>
                      <w:color w:val="000000" w:themeColor="text1"/>
                      <w:sz w:val="18"/>
                      <w:szCs w:val="18"/>
                      <w14:textFill>
                        <w14:solidFill>
                          <w14:schemeClr w14:val="tx1"/>
                        </w14:solidFill>
                      </w14:textFill>
                    </w:rPr>
                    <w:t>处理工艺为：“</w:t>
                  </w:r>
                  <w:r>
                    <w:rPr>
                      <w:rFonts w:hint="eastAsia"/>
                      <w:b w:val="0"/>
                      <w:bCs w:val="0"/>
                      <w:color w:val="000000" w:themeColor="text1"/>
                      <w:sz w:val="18"/>
                      <w:szCs w:val="18"/>
                      <w14:textFill>
                        <w14:solidFill>
                          <w14:schemeClr w14:val="tx1"/>
                        </w14:solidFill>
                      </w14:textFill>
                    </w:rPr>
                    <w:t>高浓度废水调节池+预酸化池+高效脱氮反应器+沉淀池+初混池+综合调节池+涡凹气浮+AO+二沉池+高效沉淀池+臭氧氧化</w:t>
                  </w:r>
                  <w:r>
                    <w:rPr>
                      <w:rFonts w:hint="eastAsia"/>
                      <w:color w:val="000000" w:themeColor="text1"/>
                      <w:sz w:val="18"/>
                      <w:szCs w:val="18"/>
                      <w14:textFill>
                        <w14:solidFill>
                          <w14:schemeClr w14:val="tx1"/>
                        </w14:solidFill>
                      </w14:textFill>
                    </w:rPr>
                    <w:t>”处理后排入园区污水处理厂。</w:t>
                  </w:r>
                </w:p>
              </w:tc>
              <w:tc>
                <w:tcPr>
                  <w:tcW w:w="308" w:type="pct"/>
                  <w:noWrap w:val="0"/>
                  <w:vAlign w:val="center"/>
                </w:tcPr>
                <w:p w14:paraId="37D4E96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4FF2C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02A334B7">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2E4F4069">
                  <w:pPr>
                    <w:jc w:val="center"/>
                    <w:rPr>
                      <w:color w:val="000000" w:themeColor="text1"/>
                      <w:sz w:val="18"/>
                      <w:szCs w:val="18"/>
                      <w14:textFill>
                        <w14:solidFill>
                          <w14:schemeClr w14:val="tx1"/>
                        </w14:solidFill>
                      </w14:textFill>
                    </w:rPr>
                  </w:pPr>
                </w:p>
              </w:tc>
              <w:tc>
                <w:tcPr>
                  <w:tcW w:w="3784" w:type="pct"/>
                  <w:noWrap w:val="0"/>
                  <w:vAlign w:val="center"/>
                </w:tcPr>
                <w:p w14:paraId="287DF2EE">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新建2</w:t>
                  </w:r>
                  <w:r>
                    <w:rPr>
                      <w:rFonts w:ascii="Arial" w:hAnsi="Arial" w:cs="Arial"/>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h</w:t>
                  </w:r>
                  <w:r>
                    <w:rPr>
                      <w:rFonts w:hint="eastAsia"/>
                      <w:color w:val="000000" w:themeColor="text1"/>
                      <w:sz w:val="18"/>
                      <w:szCs w:val="18"/>
                      <w14:textFill>
                        <w14:solidFill>
                          <w14:schemeClr w14:val="tx1"/>
                        </w14:solidFill>
                      </w14:textFill>
                    </w:rPr>
                    <w:t>高盐废水处理，处理工艺为“预处理+MVR装置“，处理后污水送回用水站。</w:t>
                  </w:r>
                </w:p>
              </w:tc>
              <w:tc>
                <w:tcPr>
                  <w:tcW w:w="308" w:type="pct"/>
                  <w:noWrap w:val="0"/>
                  <w:vAlign w:val="center"/>
                </w:tcPr>
                <w:p w14:paraId="7B27465E">
                  <w:pPr>
                    <w:spacing w:line="240" w:lineRule="exact"/>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27026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6897DFC">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432FA217">
                  <w:pPr>
                    <w:jc w:val="center"/>
                    <w:rPr>
                      <w:color w:val="000000" w:themeColor="text1"/>
                      <w:sz w:val="18"/>
                      <w:szCs w:val="18"/>
                      <w14:textFill>
                        <w14:solidFill>
                          <w14:schemeClr w14:val="tx1"/>
                        </w14:solidFill>
                      </w14:textFill>
                    </w:rPr>
                  </w:pPr>
                </w:p>
              </w:tc>
              <w:tc>
                <w:tcPr>
                  <w:tcW w:w="3784" w:type="pct"/>
                  <w:noWrap w:val="0"/>
                  <w:vAlign w:val="center"/>
                </w:tcPr>
                <w:p w14:paraId="41D6185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新建2</w:t>
                  </w:r>
                  <w:r>
                    <w:rPr>
                      <w:rFonts w:ascii="Arial" w:hAnsi="Arial" w:cs="Arial"/>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400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w:t>
                  </w:r>
                  <w:r>
                    <w:rPr>
                      <w:rFonts w:hint="eastAsia"/>
                      <w:color w:val="000000" w:themeColor="text1"/>
                      <w:sz w:val="18"/>
                      <w:szCs w:val="18"/>
                      <w14:textFill>
                        <w14:solidFill>
                          <w14:schemeClr w14:val="tx1"/>
                        </w14:solidFill>
                      </w14:textFill>
                    </w:rPr>
                    <w:t>回用水站，回用水质</w:t>
                  </w:r>
                  <w:r>
                    <w:rPr>
                      <w:color w:val="000000" w:themeColor="text1"/>
                      <w:sz w:val="18"/>
                      <w:szCs w:val="18"/>
                      <w14:textFill>
                        <w14:solidFill>
                          <w14:schemeClr w14:val="tx1"/>
                        </w14:solidFill>
                      </w14:textFill>
                    </w:rPr>
                    <w:t>满足</w:t>
                  </w:r>
                  <w:r>
                    <w:rPr>
                      <w:rFonts w:hint="eastAsia"/>
                      <w:color w:val="000000" w:themeColor="text1"/>
                      <w:sz w:val="18"/>
                      <w:szCs w:val="18"/>
                      <w14:textFill>
                        <w14:solidFill>
                          <w14:schemeClr w14:val="tx1"/>
                        </w14:solidFill>
                      </w14:textFill>
                    </w:rPr>
                    <w:t>《循环冷却水用再生水水质标准》（HG/T3923</w:t>
                  </w:r>
                  <w:r>
                    <w:rPr>
                      <w:color w:val="000000" w:themeColor="text1"/>
                      <w:sz w:val="18"/>
                      <w:szCs w:val="18"/>
                      <w14:textFill>
                        <w14:solidFill>
                          <w14:schemeClr w14:val="tx1"/>
                        </w14:solidFill>
                      </w14:textFill>
                    </w:rPr>
                    <w:t>-20</w:t>
                  </w:r>
                  <w:r>
                    <w:rPr>
                      <w:rFonts w:hint="eastAsia"/>
                      <w:color w:val="000000" w:themeColor="text1"/>
                      <w:sz w:val="18"/>
                      <w:szCs w:val="18"/>
                      <w14:textFill>
                        <w14:solidFill>
                          <w14:schemeClr w14:val="tx1"/>
                        </w14:solidFill>
                      </w14:textFill>
                    </w:rPr>
                    <w:t>07）回用于循环水站，浓水送园区污水处理厂。</w:t>
                  </w:r>
                </w:p>
              </w:tc>
              <w:tc>
                <w:tcPr>
                  <w:tcW w:w="308" w:type="pct"/>
                  <w:noWrap w:val="0"/>
                  <w:vAlign w:val="center"/>
                </w:tcPr>
                <w:p w14:paraId="2CAD754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6876A3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159D95EE">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2BAF97AD">
                  <w:pPr>
                    <w:jc w:val="center"/>
                    <w:rPr>
                      <w:color w:val="000000" w:themeColor="text1"/>
                      <w:sz w:val="18"/>
                      <w:szCs w:val="18"/>
                      <w14:textFill>
                        <w14:solidFill>
                          <w14:schemeClr w14:val="tx1"/>
                        </w14:solidFill>
                      </w14:textFill>
                    </w:rPr>
                  </w:pPr>
                </w:p>
              </w:tc>
              <w:tc>
                <w:tcPr>
                  <w:tcW w:w="3784" w:type="pct"/>
                  <w:noWrap w:val="0"/>
                  <w:vAlign w:val="center"/>
                </w:tcPr>
                <w:p w14:paraId="2B9F936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事故水池：</w:t>
                  </w:r>
                  <w:r>
                    <w:rPr>
                      <w:rFonts w:hint="eastAsia"/>
                      <w:color w:val="000000" w:themeColor="text1"/>
                      <w:sz w:val="18"/>
                      <w:szCs w:val="18"/>
                      <w14:textFill>
                        <w14:solidFill>
                          <w14:schemeClr w14:val="tx1"/>
                        </w14:solidFill>
                      </w14:textFill>
                    </w:rPr>
                    <w:t>180</w:t>
                  </w:r>
                  <w:r>
                    <w:rPr>
                      <w:color w:val="000000" w:themeColor="text1"/>
                      <w:sz w:val="18"/>
                      <w:szCs w:val="18"/>
                      <w14:textFill>
                        <w14:solidFill>
                          <w14:schemeClr w14:val="tx1"/>
                        </w14:solidFill>
                      </w14:textFill>
                    </w:rPr>
                    <w:t>00m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事故水池</w:t>
                  </w:r>
                </w:p>
              </w:tc>
              <w:tc>
                <w:tcPr>
                  <w:tcW w:w="308" w:type="pct"/>
                  <w:noWrap w:val="0"/>
                  <w:vAlign w:val="center"/>
                </w:tcPr>
                <w:p w14:paraId="2E7404B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1DD3EC8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6351F543">
                  <w:pPr>
                    <w:jc w:val="center"/>
                    <w:rPr>
                      <w:color w:val="000000" w:themeColor="text1"/>
                      <w:sz w:val="18"/>
                      <w:szCs w:val="18"/>
                      <w14:textFill>
                        <w14:solidFill>
                          <w14:schemeClr w14:val="tx1"/>
                        </w14:solidFill>
                      </w14:textFill>
                    </w:rPr>
                  </w:pPr>
                </w:p>
              </w:tc>
              <w:tc>
                <w:tcPr>
                  <w:tcW w:w="631" w:type="pct"/>
                  <w:gridSpan w:val="2"/>
                  <w:vMerge w:val="restart"/>
                  <w:noWrap w:val="0"/>
                  <w:vAlign w:val="center"/>
                </w:tcPr>
                <w:p w14:paraId="0E4FEE7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固废</w:t>
                  </w:r>
                </w:p>
              </w:tc>
              <w:tc>
                <w:tcPr>
                  <w:tcW w:w="3784" w:type="pct"/>
                  <w:noWrap w:val="0"/>
                  <w:vAlign w:val="center"/>
                </w:tcPr>
                <w:p w14:paraId="5B770BF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厂内设</w:t>
                  </w:r>
                  <w:r>
                    <w:rPr>
                      <w:rFonts w:hint="eastAsia"/>
                      <w:color w:val="000000" w:themeColor="text1"/>
                      <w:spacing w:val="-2"/>
                      <w:sz w:val="18"/>
                      <w:szCs w:val="18"/>
                      <w14:textFill>
                        <w14:solidFill>
                          <w14:schemeClr w14:val="tx1"/>
                        </w14:solidFill>
                      </w14:textFill>
                    </w:rPr>
                    <w:t>451</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2</w:t>
                  </w:r>
                  <w:r>
                    <w:rPr>
                      <w:color w:val="000000" w:themeColor="text1"/>
                      <w:sz w:val="18"/>
                      <w:szCs w:val="18"/>
                      <w14:textFill>
                        <w14:solidFill>
                          <w14:schemeClr w14:val="tx1"/>
                        </w14:solidFill>
                      </w14:textFill>
                    </w:rPr>
                    <w:t>危险废物暂存库一座，分类收集，交由有资质的单位处置</w:t>
                  </w:r>
                  <w:r>
                    <w:rPr>
                      <w:rFonts w:hint="eastAsia"/>
                      <w:color w:val="000000" w:themeColor="text1"/>
                      <w:sz w:val="18"/>
                      <w:szCs w:val="18"/>
                      <w14:textFill>
                        <w14:solidFill>
                          <w14:schemeClr w14:val="tx1"/>
                        </w14:solidFill>
                      </w14:textFill>
                    </w:rPr>
                    <w:t>。</w:t>
                  </w:r>
                </w:p>
              </w:tc>
              <w:tc>
                <w:tcPr>
                  <w:tcW w:w="308" w:type="pct"/>
                  <w:noWrap w:val="0"/>
                  <w:vAlign w:val="center"/>
                </w:tcPr>
                <w:p w14:paraId="6B076D8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5CEE1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93EFA88">
                  <w:pPr>
                    <w:jc w:val="center"/>
                    <w:rPr>
                      <w:color w:val="000000" w:themeColor="text1"/>
                      <w:sz w:val="18"/>
                      <w:szCs w:val="18"/>
                      <w14:textFill>
                        <w14:solidFill>
                          <w14:schemeClr w14:val="tx1"/>
                        </w14:solidFill>
                      </w14:textFill>
                    </w:rPr>
                  </w:pPr>
                </w:p>
              </w:tc>
              <w:tc>
                <w:tcPr>
                  <w:tcW w:w="631" w:type="pct"/>
                  <w:gridSpan w:val="2"/>
                  <w:vMerge w:val="continue"/>
                  <w:noWrap w:val="0"/>
                  <w:vAlign w:val="center"/>
                </w:tcPr>
                <w:p w14:paraId="61348F72">
                  <w:pPr>
                    <w:jc w:val="center"/>
                    <w:rPr>
                      <w:color w:val="000000" w:themeColor="text1"/>
                      <w:sz w:val="18"/>
                      <w:szCs w:val="18"/>
                      <w14:textFill>
                        <w14:solidFill>
                          <w14:schemeClr w14:val="tx1"/>
                        </w14:solidFill>
                      </w14:textFill>
                    </w:rPr>
                  </w:pPr>
                </w:p>
              </w:tc>
              <w:tc>
                <w:tcPr>
                  <w:tcW w:w="3784" w:type="pct"/>
                  <w:noWrap w:val="0"/>
                  <w:vAlign w:val="center"/>
                </w:tcPr>
                <w:p w14:paraId="06C3022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厂内设</w:t>
                  </w:r>
                  <w:r>
                    <w:rPr>
                      <w:rFonts w:hint="eastAsia"/>
                      <w:color w:val="000000" w:themeColor="text1"/>
                      <w:spacing w:val="-2"/>
                      <w:sz w:val="18"/>
                      <w:szCs w:val="18"/>
                      <w14:textFill>
                        <w14:solidFill>
                          <w14:schemeClr w14:val="tx1"/>
                        </w14:solidFill>
                      </w14:textFill>
                    </w:rPr>
                    <w:t>451</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2</w:t>
                  </w:r>
                  <w:r>
                    <w:rPr>
                      <w:rFonts w:hint="eastAsia"/>
                      <w:color w:val="000000" w:themeColor="text1"/>
                      <w:sz w:val="18"/>
                      <w:szCs w:val="18"/>
                      <w14:textFill>
                        <w14:solidFill>
                          <w14:schemeClr w14:val="tx1"/>
                        </w14:solidFill>
                      </w14:textFill>
                    </w:rPr>
                    <w:t>一般固废</w:t>
                  </w:r>
                  <w:r>
                    <w:rPr>
                      <w:color w:val="000000" w:themeColor="text1"/>
                      <w:sz w:val="18"/>
                      <w:szCs w:val="18"/>
                      <w14:textFill>
                        <w14:solidFill>
                          <w14:schemeClr w14:val="tx1"/>
                        </w14:solidFill>
                      </w14:textFill>
                    </w:rPr>
                    <w:t>暂存库一座，分类收集</w:t>
                  </w:r>
                  <w:r>
                    <w:rPr>
                      <w:rFonts w:hint="eastAsia"/>
                      <w:color w:val="000000" w:themeColor="text1"/>
                      <w:sz w:val="18"/>
                      <w:szCs w:val="18"/>
                      <w14:textFill>
                        <w14:solidFill>
                          <w14:schemeClr w14:val="tx1"/>
                        </w14:solidFill>
                      </w14:textFill>
                    </w:rPr>
                    <w:t>，厂家回收或外售综合利用。</w:t>
                  </w:r>
                </w:p>
              </w:tc>
              <w:tc>
                <w:tcPr>
                  <w:tcW w:w="308" w:type="pct"/>
                  <w:noWrap w:val="0"/>
                  <w:vAlign w:val="center"/>
                </w:tcPr>
                <w:p w14:paraId="5338444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D04B9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4C60C0E8">
                  <w:pPr>
                    <w:jc w:val="center"/>
                    <w:rPr>
                      <w:color w:val="000000" w:themeColor="text1"/>
                      <w:sz w:val="18"/>
                      <w:szCs w:val="18"/>
                      <w14:textFill>
                        <w14:solidFill>
                          <w14:schemeClr w14:val="tx1"/>
                        </w14:solidFill>
                      </w14:textFill>
                    </w:rPr>
                  </w:pPr>
                </w:p>
              </w:tc>
              <w:tc>
                <w:tcPr>
                  <w:tcW w:w="631" w:type="pct"/>
                  <w:gridSpan w:val="2"/>
                  <w:noWrap w:val="0"/>
                  <w:vAlign w:val="center"/>
                </w:tcPr>
                <w:p w14:paraId="68932FA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w:t>
                  </w:r>
                </w:p>
              </w:tc>
              <w:tc>
                <w:tcPr>
                  <w:tcW w:w="3784" w:type="pct"/>
                  <w:noWrap w:val="0"/>
                  <w:vAlign w:val="center"/>
                </w:tcPr>
                <w:p w14:paraId="176E01E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减振、消声器、隔声、隔声控制室、绿化</w:t>
                  </w:r>
                </w:p>
              </w:tc>
              <w:tc>
                <w:tcPr>
                  <w:tcW w:w="308" w:type="pct"/>
                  <w:noWrap w:val="0"/>
                  <w:vAlign w:val="center"/>
                </w:tcPr>
                <w:p w14:paraId="7C8FCDC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9EE31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786E8AE3">
                  <w:pPr>
                    <w:jc w:val="center"/>
                    <w:rPr>
                      <w:color w:val="000000" w:themeColor="text1"/>
                      <w:sz w:val="18"/>
                      <w:szCs w:val="18"/>
                      <w14:textFill>
                        <w14:solidFill>
                          <w14:schemeClr w14:val="tx1"/>
                        </w14:solidFill>
                      </w14:textFill>
                    </w:rPr>
                  </w:pPr>
                </w:p>
              </w:tc>
              <w:tc>
                <w:tcPr>
                  <w:tcW w:w="631" w:type="pct"/>
                  <w:gridSpan w:val="2"/>
                  <w:noWrap w:val="0"/>
                  <w:vAlign w:val="center"/>
                </w:tcPr>
                <w:p w14:paraId="319F5D1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其他</w:t>
                  </w:r>
                </w:p>
              </w:tc>
              <w:tc>
                <w:tcPr>
                  <w:tcW w:w="3784" w:type="pct"/>
                  <w:noWrap w:val="0"/>
                  <w:vAlign w:val="center"/>
                </w:tcPr>
                <w:p w14:paraId="7958DFD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全厂分区防渗</w:t>
                  </w:r>
                </w:p>
              </w:tc>
              <w:tc>
                <w:tcPr>
                  <w:tcW w:w="308" w:type="pct"/>
                  <w:noWrap w:val="0"/>
                  <w:vAlign w:val="center"/>
                </w:tcPr>
                <w:p w14:paraId="0117B19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6078B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restart"/>
                  <w:noWrap w:val="0"/>
                  <w:vAlign w:val="center"/>
                </w:tcPr>
                <w:p w14:paraId="687103B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储运 工程</w:t>
                  </w:r>
                </w:p>
              </w:tc>
              <w:tc>
                <w:tcPr>
                  <w:tcW w:w="157" w:type="pct"/>
                  <w:vMerge w:val="restart"/>
                  <w:noWrap w:val="0"/>
                  <w:textDirection w:val="tbRlV"/>
                  <w:vAlign w:val="center"/>
                </w:tcPr>
                <w:p w14:paraId="2D22AF2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储 存</w:t>
                  </w:r>
                </w:p>
              </w:tc>
              <w:tc>
                <w:tcPr>
                  <w:tcW w:w="474" w:type="pct"/>
                  <w:vMerge w:val="restart"/>
                  <w:noWrap w:val="0"/>
                  <w:vAlign w:val="center"/>
                </w:tcPr>
                <w:p w14:paraId="774A2C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中间罐区</w:t>
                  </w:r>
                </w:p>
              </w:tc>
              <w:tc>
                <w:tcPr>
                  <w:tcW w:w="3784" w:type="pct"/>
                  <w:noWrap w:val="0"/>
                  <w:vAlign w:val="center"/>
                </w:tcPr>
                <w:p w14:paraId="096CDD9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N</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O</w:t>
                  </w:r>
                  <w:r>
                    <w:rPr>
                      <w:rFonts w:hint="eastAsia"/>
                      <w:color w:val="000000" w:themeColor="text1"/>
                      <w:sz w:val="18"/>
                      <w:szCs w:val="18"/>
                      <w:vertAlign w:val="subscript"/>
                      <w14:textFill>
                        <w14:solidFill>
                          <w14:schemeClr w14:val="tx1"/>
                        </w14:solidFill>
                      </w14:textFill>
                    </w:rPr>
                    <w:t>4</w:t>
                  </w:r>
                  <w:r>
                    <w:rPr>
                      <w:rFonts w:hint="eastAsia"/>
                      <w:color w:val="000000" w:themeColor="text1"/>
                      <w:sz w:val="18"/>
                      <w:szCs w:val="18"/>
                      <w14:textFill>
                        <w14:solidFill>
                          <w14:schemeClr w14:val="tx1"/>
                        </w14:solidFill>
                      </w14:textFill>
                    </w:rPr>
                    <w:t>储罐、2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45</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吸收液罐</w:t>
                  </w:r>
                </w:p>
              </w:tc>
              <w:tc>
                <w:tcPr>
                  <w:tcW w:w="308" w:type="pct"/>
                  <w:noWrap w:val="0"/>
                  <w:vAlign w:val="center"/>
                </w:tcPr>
                <w:p w14:paraId="635413A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5FC3C1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jc w:val="center"/>
              </w:trPr>
              <w:tc>
                <w:tcPr>
                  <w:tcW w:w="277" w:type="pct"/>
                  <w:vMerge w:val="continue"/>
                  <w:noWrap w:val="0"/>
                  <w:vAlign w:val="center"/>
                </w:tcPr>
                <w:p w14:paraId="5DB9BCA3">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02980B1A">
                  <w:pPr>
                    <w:jc w:val="center"/>
                    <w:rPr>
                      <w:color w:val="000000" w:themeColor="text1"/>
                      <w:sz w:val="18"/>
                      <w:szCs w:val="18"/>
                      <w14:textFill>
                        <w14:solidFill>
                          <w14:schemeClr w14:val="tx1"/>
                        </w14:solidFill>
                      </w14:textFill>
                    </w:rPr>
                  </w:pPr>
                </w:p>
              </w:tc>
              <w:tc>
                <w:tcPr>
                  <w:tcW w:w="474" w:type="pct"/>
                  <w:vMerge w:val="continue"/>
                  <w:noWrap w:val="0"/>
                  <w:vAlign w:val="center"/>
                </w:tcPr>
                <w:p w14:paraId="5950B73E">
                  <w:pPr>
                    <w:jc w:val="center"/>
                    <w:rPr>
                      <w:color w:val="000000" w:themeColor="text1"/>
                      <w:sz w:val="18"/>
                      <w:szCs w:val="18"/>
                      <w14:textFill>
                        <w14:solidFill>
                          <w14:schemeClr w14:val="tx1"/>
                        </w14:solidFill>
                      </w14:textFill>
                    </w:rPr>
                  </w:pPr>
                </w:p>
              </w:tc>
              <w:tc>
                <w:tcPr>
                  <w:tcW w:w="3784" w:type="pct"/>
                  <w:noWrap w:val="0"/>
                  <w:vAlign w:val="center"/>
                </w:tcPr>
                <w:p w14:paraId="79C6878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废水储罐、4</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1200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乙二醇中间罐</w:t>
                  </w:r>
                </w:p>
              </w:tc>
              <w:tc>
                <w:tcPr>
                  <w:tcW w:w="308" w:type="pct"/>
                  <w:noWrap w:val="0"/>
                  <w:vAlign w:val="center"/>
                </w:tcPr>
                <w:p w14:paraId="4DDAA5E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3362F9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50" w:hRule="atLeast"/>
                <w:jc w:val="center"/>
              </w:trPr>
              <w:tc>
                <w:tcPr>
                  <w:tcW w:w="277" w:type="pct"/>
                  <w:vMerge w:val="continue"/>
                  <w:noWrap w:val="0"/>
                  <w:vAlign w:val="center"/>
                </w:tcPr>
                <w:p w14:paraId="267346BF">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47D45A91">
                  <w:pPr>
                    <w:jc w:val="center"/>
                    <w:rPr>
                      <w:color w:val="000000" w:themeColor="text1"/>
                      <w:sz w:val="18"/>
                      <w:szCs w:val="18"/>
                      <w14:textFill>
                        <w14:solidFill>
                          <w14:schemeClr w14:val="tx1"/>
                        </w14:solidFill>
                      </w14:textFill>
                    </w:rPr>
                  </w:pPr>
                </w:p>
              </w:tc>
              <w:tc>
                <w:tcPr>
                  <w:tcW w:w="474" w:type="pct"/>
                  <w:vMerge w:val="continue"/>
                  <w:noWrap w:val="0"/>
                  <w:vAlign w:val="center"/>
                </w:tcPr>
                <w:p w14:paraId="67835D47">
                  <w:pPr>
                    <w:jc w:val="center"/>
                    <w:rPr>
                      <w:color w:val="000000" w:themeColor="text1"/>
                      <w:sz w:val="18"/>
                      <w:szCs w:val="18"/>
                      <w14:textFill>
                        <w14:solidFill>
                          <w14:schemeClr w14:val="tx1"/>
                        </w14:solidFill>
                      </w14:textFill>
                    </w:rPr>
                  </w:pPr>
                </w:p>
              </w:tc>
              <w:tc>
                <w:tcPr>
                  <w:tcW w:w="3784" w:type="pct"/>
                  <w:noWrap w:val="0"/>
                  <w:vAlign w:val="center"/>
                </w:tcPr>
                <w:p w14:paraId="7B27F5D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精甲醇罐</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粗甲醇罐、2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酯化甲醇储罐</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4</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w:t>
                  </w:r>
                  <w:r>
                    <w:rPr>
                      <w:color w:val="000000" w:themeColor="text1"/>
                      <w:sz w:val="18"/>
                      <w:szCs w:val="18"/>
                      <w14:textFill>
                        <w14:solidFill>
                          <w14:schemeClr w14:val="tx1"/>
                        </w14:solidFill>
                      </w14:textFill>
                    </w:rPr>
                    <w:t xml:space="preserve"> 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乙醇中间储罐、4</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电子级DMC中间储罐、4</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w:t>
                  </w:r>
                  <w:r>
                    <w:rPr>
                      <w:color w:val="000000" w:themeColor="text1"/>
                      <w:sz w:val="18"/>
                      <w:szCs w:val="18"/>
                      <w14:textFill>
                        <w14:solidFill>
                          <w14:schemeClr w14:val="tx1"/>
                        </w14:solidFill>
                      </w14:textFill>
                    </w:rPr>
                    <w:t xml:space="preserve"> 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优品级DMC储罐、2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w:t>
                  </w:r>
                  <w:r>
                    <w:rPr>
                      <w:color w:val="000000" w:themeColor="text1"/>
                      <w:sz w:val="18"/>
                      <w:szCs w:val="18"/>
                      <w14:textFill>
                        <w14:solidFill>
                          <w14:schemeClr w14:val="tx1"/>
                        </w14:solidFill>
                      </w14:textFill>
                    </w:rPr>
                    <w:t xml:space="preserve"> 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粗DMC罐、2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加氢甲醇中间罐、2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粗乙二醇罐、2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550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重质二元醇中间储罐</w:t>
                  </w:r>
                </w:p>
              </w:tc>
              <w:tc>
                <w:tcPr>
                  <w:tcW w:w="308" w:type="pct"/>
                  <w:noWrap w:val="0"/>
                  <w:vAlign w:val="center"/>
                </w:tcPr>
                <w:p w14:paraId="735928D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281EEC0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45C4D3AA">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1EDE1E61">
                  <w:pPr>
                    <w:jc w:val="center"/>
                    <w:rPr>
                      <w:color w:val="000000" w:themeColor="text1"/>
                      <w:sz w:val="18"/>
                      <w:szCs w:val="18"/>
                      <w14:textFill>
                        <w14:solidFill>
                          <w14:schemeClr w14:val="tx1"/>
                        </w14:solidFill>
                      </w14:textFill>
                    </w:rPr>
                  </w:pPr>
                </w:p>
              </w:tc>
              <w:tc>
                <w:tcPr>
                  <w:tcW w:w="474" w:type="pct"/>
                  <w:noWrap w:val="0"/>
                  <w:vAlign w:val="center"/>
                </w:tcPr>
                <w:p w14:paraId="0F4D9BC2">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酸碱罐区</w:t>
                  </w:r>
                </w:p>
              </w:tc>
              <w:tc>
                <w:tcPr>
                  <w:tcW w:w="3784" w:type="pct"/>
                  <w:noWrap w:val="0"/>
                  <w:vAlign w:val="center"/>
                </w:tcPr>
                <w:p w14:paraId="71126B97">
                  <w:pPr>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w:t>
                  </w:r>
                  <w:r>
                    <w:rPr>
                      <w:color w:val="000000" w:themeColor="text1"/>
                      <w:sz w:val="18"/>
                      <w:szCs w:val="18"/>
                      <w14:textFill>
                        <w14:solidFill>
                          <w14:schemeClr w14:val="tx1"/>
                        </w14:solidFill>
                      </w14:textFill>
                    </w:rPr>
                    <w:t>00m</w:t>
                  </w:r>
                  <w:r>
                    <w:rPr>
                      <w:color w:val="000000" w:themeColor="text1"/>
                      <w:sz w:val="18"/>
                      <w:szCs w:val="18"/>
                      <w:vertAlign w:val="superscript"/>
                      <w14:textFill>
                        <w14:solidFill>
                          <w14:schemeClr w14:val="tx1"/>
                        </w14:solidFill>
                      </w14:textFill>
                    </w:rPr>
                    <w:t>3</w:t>
                  </w:r>
                  <w:r>
                    <w:rPr>
                      <w:rFonts w:hint="eastAsia"/>
                      <w:color w:val="000000" w:themeColor="text1"/>
                      <w:sz w:val="18"/>
                      <w:szCs w:val="18"/>
                      <w:vertAlign w:val="superscript"/>
                      <w:lang w:val="en-US" w:eastAsia="zh-CN"/>
                      <w14:textFill>
                        <w14:solidFill>
                          <w14:schemeClr w14:val="tx1"/>
                        </w14:solidFill>
                      </w14:textFill>
                    </w:rPr>
                    <w:t xml:space="preserve"> </w:t>
                  </w:r>
                  <w:r>
                    <w:rPr>
                      <w:rFonts w:hint="eastAsia"/>
                      <w:color w:val="000000" w:themeColor="text1"/>
                      <w:sz w:val="18"/>
                      <w:szCs w:val="18"/>
                      <w14:textFill>
                        <w14:solidFill>
                          <w14:schemeClr w14:val="tx1"/>
                        </w14:solidFill>
                      </w14:textFill>
                    </w:rPr>
                    <w:t>32%</w:t>
                  </w:r>
                  <w:r>
                    <w:rPr>
                      <w:color w:val="000000" w:themeColor="text1"/>
                      <w:sz w:val="18"/>
                      <w:szCs w:val="18"/>
                      <w14:textFill>
                        <w14:solidFill>
                          <w14:schemeClr w14:val="tx1"/>
                        </w14:solidFill>
                      </w14:textFill>
                    </w:rPr>
                    <w:t>氢氧化钠罐、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50</w:t>
                  </w:r>
                  <w:r>
                    <w:rPr>
                      <w:color w:val="000000" w:themeColor="text1"/>
                      <w:sz w:val="18"/>
                      <w:szCs w:val="18"/>
                      <w14:textFill>
                        <w14:solidFill>
                          <w14:schemeClr w14:val="tx1"/>
                        </w14:solidFill>
                      </w14:textFill>
                    </w:rPr>
                    <w:t>0m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68%硝酸</w:t>
                  </w:r>
                  <w:r>
                    <w:rPr>
                      <w:color w:val="000000" w:themeColor="text1"/>
                      <w:sz w:val="18"/>
                      <w:szCs w:val="18"/>
                      <w14:textFill>
                        <w14:solidFill>
                          <w14:schemeClr w14:val="tx1"/>
                        </w14:solidFill>
                      </w14:textFill>
                    </w:rPr>
                    <w:t>罐</w:t>
                  </w:r>
                </w:p>
              </w:tc>
              <w:tc>
                <w:tcPr>
                  <w:tcW w:w="308" w:type="pct"/>
                  <w:noWrap w:val="0"/>
                  <w:vAlign w:val="center"/>
                </w:tcPr>
                <w:p w14:paraId="6CF563A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6CBA7F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277" w:type="pct"/>
                  <w:vMerge w:val="continue"/>
                  <w:noWrap w:val="0"/>
                  <w:vAlign w:val="center"/>
                </w:tcPr>
                <w:p w14:paraId="11138C6B">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60F70AEB">
                  <w:pPr>
                    <w:jc w:val="center"/>
                    <w:rPr>
                      <w:color w:val="000000" w:themeColor="text1"/>
                      <w:sz w:val="18"/>
                      <w:szCs w:val="18"/>
                      <w14:textFill>
                        <w14:solidFill>
                          <w14:schemeClr w14:val="tx1"/>
                        </w14:solidFill>
                      </w14:textFill>
                    </w:rPr>
                  </w:pPr>
                </w:p>
              </w:tc>
              <w:tc>
                <w:tcPr>
                  <w:tcW w:w="474" w:type="pct"/>
                  <w:noWrap w:val="0"/>
                  <w:vAlign w:val="center"/>
                </w:tcPr>
                <w:p w14:paraId="5CE930F6">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原料及副产物罐区</w:t>
                  </w:r>
                </w:p>
              </w:tc>
              <w:tc>
                <w:tcPr>
                  <w:tcW w:w="3784" w:type="pct"/>
                  <w:noWrap w:val="0"/>
                  <w:vAlign w:val="center"/>
                </w:tcPr>
                <w:p w14:paraId="23F1E32C">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r>
                    <w:rPr>
                      <w:color w:val="000000" w:themeColor="text1"/>
                      <w:sz w:val="18"/>
                      <w:szCs w:val="18"/>
                      <w14:textFill>
                        <w14:solidFill>
                          <w14:schemeClr w14:val="tx1"/>
                        </w14:solidFill>
                      </w14:textFill>
                    </w:rPr>
                    <w:t>00m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轻质二元醇储</w:t>
                  </w:r>
                  <w:r>
                    <w:rPr>
                      <w:color w:val="000000" w:themeColor="text1"/>
                      <w:sz w:val="18"/>
                      <w:szCs w:val="18"/>
                      <w14:textFill>
                        <w14:solidFill>
                          <w14:schemeClr w14:val="tx1"/>
                        </w14:solidFill>
                      </w14:textFill>
                    </w:rPr>
                    <w:t>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×500m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混合一元醇储</w:t>
                  </w:r>
                  <w:r>
                    <w:rPr>
                      <w:color w:val="000000" w:themeColor="text1"/>
                      <w:sz w:val="18"/>
                      <w:szCs w:val="18"/>
                      <w14:textFill>
                        <w14:solidFill>
                          <w14:schemeClr w14:val="tx1"/>
                        </w14:solidFill>
                      </w14:textFill>
                    </w:rPr>
                    <w:t>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乙醇储罐、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优等品</w:t>
                  </w:r>
                  <w:r>
                    <w:rPr>
                      <w:color w:val="000000" w:themeColor="text1"/>
                      <w:sz w:val="18"/>
                      <w:szCs w:val="18"/>
                      <w14:textFill>
                        <w14:solidFill>
                          <w14:schemeClr w14:val="tx1"/>
                        </w14:solidFill>
                      </w14:textFill>
                    </w:rPr>
                    <w:t>DMC储罐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电子级</w:t>
                  </w:r>
                  <w:r>
                    <w:rPr>
                      <w:color w:val="000000" w:themeColor="text1"/>
                      <w:sz w:val="18"/>
                      <w:szCs w:val="18"/>
                      <w14:textFill>
                        <w14:solidFill>
                          <w14:schemeClr w14:val="tx1"/>
                        </w14:solidFill>
                      </w14:textFill>
                    </w:rPr>
                    <w:t>DMC储罐</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30</w:t>
                  </w:r>
                  <w:r>
                    <w:rPr>
                      <w:color w:val="000000" w:themeColor="text1"/>
                      <w:sz w:val="18"/>
                      <w:szCs w:val="18"/>
                      <w14:textFill>
                        <w14:solidFill>
                          <w14:schemeClr w14:val="tx1"/>
                        </w14:solidFill>
                      </w14:textFill>
                    </w:rPr>
                    <w:t>00m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原料甲醇罐</w:t>
                  </w:r>
                </w:p>
              </w:tc>
              <w:tc>
                <w:tcPr>
                  <w:tcW w:w="308" w:type="pct"/>
                  <w:noWrap w:val="0"/>
                  <w:vAlign w:val="center"/>
                </w:tcPr>
                <w:p w14:paraId="33895A2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33C6CF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51D88AC6">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485DEE84">
                  <w:pPr>
                    <w:jc w:val="center"/>
                    <w:rPr>
                      <w:color w:val="000000" w:themeColor="text1"/>
                      <w:sz w:val="18"/>
                      <w:szCs w:val="18"/>
                      <w14:textFill>
                        <w14:solidFill>
                          <w14:schemeClr w14:val="tx1"/>
                        </w14:solidFill>
                      </w14:textFill>
                    </w:rPr>
                  </w:pPr>
                </w:p>
              </w:tc>
              <w:tc>
                <w:tcPr>
                  <w:tcW w:w="474" w:type="pct"/>
                  <w:noWrap w:val="0"/>
                  <w:vAlign w:val="center"/>
                </w:tcPr>
                <w:p w14:paraId="49FF4E1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成品罐</w:t>
                  </w:r>
                </w:p>
                <w:p w14:paraId="4E922C1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区</w:t>
                  </w:r>
                </w:p>
              </w:tc>
              <w:tc>
                <w:tcPr>
                  <w:tcW w:w="3784" w:type="pct"/>
                  <w:noWrap w:val="0"/>
                  <w:vAlign w:val="center"/>
                </w:tcPr>
                <w:p w14:paraId="6DB6B3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0000m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聚酯级乙二醇罐</w:t>
                  </w:r>
                </w:p>
              </w:tc>
              <w:tc>
                <w:tcPr>
                  <w:tcW w:w="308" w:type="pct"/>
                  <w:noWrap w:val="0"/>
                  <w:vAlign w:val="center"/>
                </w:tcPr>
                <w:p w14:paraId="5FB652FA">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AF54F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0D31EDC8">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27100C88">
                  <w:pPr>
                    <w:jc w:val="center"/>
                    <w:rPr>
                      <w:color w:val="000000" w:themeColor="text1"/>
                      <w:sz w:val="18"/>
                      <w:szCs w:val="18"/>
                      <w14:textFill>
                        <w14:solidFill>
                          <w14:schemeClr w14:val="tx1"/>
                        </w14:solidFill>
                      </w14:textFill>
                    </w:rPr>
                  </w:pPr>
                </w:p>
              </w:tc>
              <w:tc>
                <w:tcPr>
                  <w:tcW w:w="474" w:type="pct"/>
                  <w:noWrap w:val="0"/>
                  <w:vAlign w:val="center"/>
                </w:tcPr>
                <w:p w14:paraId="31C526C9">
                  <w:pPr>
                    <w:spacing w:line="26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氨水罐区</w:t>
                  </w:r>
                </w:p>
              </w:tc>
              <w:tc>
                <w:tcPr>
                  <w:tcW w:w="3784" w:type="pct"/>
                  <w:noWrap w:val="0"/>
                  <w:vAlign w:val="center"/>
                </w:tcPr>
                <w:p w14:paraId="7AEF01AE">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1×60m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氨水罐</w:t>
                  </w:r>
                </w:p>
              </w:tc>
              <w:tc>
                <w:tcPr>
                  <w:tcW w:w="308" w:type="pct"/>
                  <w:noWrap w:val="0"/>
                  <w:vAlign w:val="center"/>
                </w:tcPr>
                <w:p w14:paraId="4597C779">
                  <w:pPr>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7E4604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268C4D19">
                  <w:pPr>
                    <w:jc w:val="center"/>
                    <w:rPr>
                      <w:color w:val="000000" w:themeColor="text1"/>
                      <w:sz w:val="18"/>
                      <w:szCs w:val="18"/>
                      <w14:textFill>
                        <w14:solidFill>
                          <w14:schemeClr w14:val="tx1"/>
                        </w14:solidFill>
                      </w14:textFill>
                    </w:rPr>
                  </w:pPr>
                </w:p>
              </w:tc>
              <w:tc>
                <w:tcPr>
                  <w:tcW w:w="157" w:type="pct"/>
                  <w:vMerge w:val="continue"/>
                  <w:noWrap w:val="0"/>
                  <w:textDirection w:val="tbRlV"/>
                  <w:vAlign w:val="center"/>
                </w:tcPr>
                <w:p w14:paraId="1E653E7D">
                  <w:pPr>
                    <w:jc w:val="center"/>
                    <w:rPr>
                      <w:color w:val="000000" w:themeColor="text1"/>
                      <w:sz w:val="18"/>
                      <w:szCs w:val="18"/>
                      <w14:textFill>
                        <w14:solidFill>
                          <w14:schemeClr w14:val="tx1"/>
                        </w14:solidFill>
                      </w14:textFill>
                    </w:rPr>
                  </w:pPr>
                </w:p>
              </w:tc>
              <w:tc>
                <w:tcPr>
                  <w:tcW w:w="474" w:type="pct"/>
                  <w:noWrap w:val="0"/>
                  <w:vAlign w:val="center"/>
                </w:tcPr>
                <w:p w14:paraId="458DE990">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空分装置</w:t>
                  </w:r>
                </w:p>
              </w:tc>
              <w:tc>
                <w:tcPr>
                  <w:tcW w:w="3784" w:type="pct"/>
                  <w:noWrap w:val="0"/>
                  <w:vAlign w:val="center"/>
                </w:tcPr>
                <w:p w14:paraId="23036954">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液氧罐、1</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液氮罐、1</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1000</w:t>
                  </w:r>
                  <w:r>
                    <w:rPr>
                      <w:color w:val="000000" w:themeColor="text1"/>
                      <w:sz w:val="18"/>
                      <w:szCs w:val="18"/>
                      <w14:textFill>
                        <w14:solidFill>
                          <w14:schemeClr w14:val="tx1"/>
                        </w14:solidFill>
                      </w14:textFill>
                    </w:rPr>
                    <w:t>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液氩罐</w:t>
                  </w:r>
                </w:p>
              </w:tc>
              <w:tc>
                <w:tcPr>
                  <w:tcW w:w="308" w:type="pct"/>
                  <w:noWrap w:val="0"/>
                  <w:vAlign w:val="center"/>
                </w:tcPr>
                <w:p w14:paraId="7CF1E183">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r w14:paraId="437FDB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jc w:val="center"/>
              </w:trPr>
              <w:tc>
                <w:tcPr>
                  <w:tcW w:w="277" w:type="pct"/>
                  <w:vMerge w:val="continue"/>
                  <w:noWrap w:val="0"/>
                  <w:vAlign w:val="center"/>
                </w:tcPr>
                <w:p w14:paraId="73098467">
                  <w:pPr>
                    <w:jc w:val="center"/>
                    <w:rPr>
                      <w:color w:val="000000" w:themeColor="text1"/>
                      <w:sz w:val="18"/>
                      <w:szCs w:val="18"/>
                      <w14:textFill>
                        <w14:solidFill>
                          <w14:schemeClr w14:val="tx1"/>
                        </w14:solidFill>
                      </w14:textFill>
                    </w:rPr>
                  </w:pPr>
                </w:p>
              </w:tc>
              <w:tc>
                <w:tcPr>
                  <w:tcW w:w="631" w:type="pct"/>
                  <w:gridSpan w:val="2"/>
                  <w:noWrap w:val="0"/>
                  <w:vAlign w:val="center"/>
                </w:tcPr>
                <w:p w14:paraId="7FFBC2D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装卸</w:t>
                  </w:r>
                </w:p>
              </w:tc>
              <w:tc>
                <w:tcPr>
                  <w:tcW w:w="3784" w:type="pct"/>
                  <w:noWrap w:val="0"/>
                  <w:vAlign w:val="center"/>
                </w:tcPr>
                <w:p w14:paraId="4E606A4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共</w:t>
                  </w:r>
                  <w:r>
                    <w:rPr>
                      <w:color w:val="000000" w:themeColor="text1"/>
                      <w:sz w:val="18"/>
                      <w:szCs w:val="18"/>
                      <w14:textFill>
                        <w14:solidFill>
                          <w14:schemeClr w14:val="tx1"/>
                        </w14:solidFill>
                      </w14:textFill>
                    </w:rPr>
                    <w:t>设置</w:t>
                  </w:r>
                  <w:r>
                    <w:rPr>
                      <w:rFonts w:hint="eastAsia"/>
                      <w:color w:val="000000" w:themeColor="text1"/>
                      <w:sz w:val="18"/>
                      <w:szCs w:val="18"/>
                      <w14:textFill>
                        <w14:solidFill>
                          <w14:schemeClr w14:val="tx1"/>
                        </w14:solidFill>
                      </w14:textFill>
                    </w:rPr>
                    <w:t>22</w:t>
                  </w:r>
                  <w:r>
                    <w:rPr>
                      <w:color w:val="000000" w:themeColor="text1"/>
                      <w:sz w:val="18"/>
                      <w:szCs w:val="18"/>
                      <w14:textFill>
                        <w14:solidFill>
                          <w14:schemeClr w14:val="tx1"/>
                        </w14:solidFill>
                      </w14:textFill>
                    </w:rPr>
                    <w:t>台鹤管</w:t>
                  </w:r>
                  <w:r>
                    <w:rPr>
                      <w:rFonts w:hint="eastAsia"/>
                      <w:color w:val="000000" w:themeColor="text1"/>
                      <w:sz w:val="18"/>
                      <w:szCs w:val="18"/>
                      <w14:textFill>
                        <w14:solidFill>
                          <w14:schemeClr w14:val="tx1"/>
                        </w14:solidFill>
                      </w14:textFill>
                    </w:rPr>
                    <w:t>，其中乙二醇为集装箱槽鹤管，其余汽车装卸鹤管。甲醇2台、68%硝酸1台、32%液碱1台、聚酯乙二醇12台、电子级DMC2台、轻质二元醇1台、重质二元醇1台、乙醇1台、混合一元醇1台、20%按氨水1台</w:t>
                  </w:r>
                </w:p>
              </w:tc>
              <w:tc>
                <w:tcPr>
                  <w:tcW w:w="308" w:type="pct"/>
                  <w:noWrap w:val="0"/>
                  <w:vAlign w:val="center"/>
                </w:tcPr>
                <w:p w14:paraId="7F95513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新建</w:t>
                  </w:r>
                </w:p>
              </w:tc>
            </w:tr>
          </w:tbl>
          <w:p w14:paraId="66A63D5E">
            <w:pPr>
              <w:keepNext/>
              <w:keepLines/>
              <w:spacing w:line="360" w:lineRule="auto"/>
              <w:rPr>
                <w:rFonts w:hint="default" w:ascii="Times New Roman" w:hAnsi="Times New Roman" w:eastAsia="宋体" w:cs="Times New Roman"/>
                <w:b/>
                <w:bCs/>
                <w:color w:val="000000" w:themeColor="text1"/>
                <w:sz w:val="24"/>
                <w14:textFill>
                  <w14:solidFill>
                    <w14:schemeClr w14:val="tx1"/>
                  </w14:solidFill>
                </w14:textFill>
              </w:rPr>
            </w:pPr>
          </w:p>
          <w:p w14:paraId="4588F874">
            <w:pPr>
              <w:keepNext/>
              <w:keepLines/>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2、一期项目生产工艺流程及产污情况</w:t>
            </w:r>
          </w:p>
          <w:p w14:paraId="310287D0">
            <w:pPr>
              <w:keepNext/>
              <w:keepLine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二期工程后期建设，此处介绍一期工程总体工艺流程及产污情况。</w:t>
            </w:r>
          </w:p>
          <w:p w14:paraId="00E7C15B">
            <w:pPr>
              <w:keepNext/>
              <w:keepLines/>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221.4pt;width:417.3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14:paraId="00DE009D">
            <w:pPr>
              <w:keepNext/>
              <w:keepLines/>
              <w:spacing w:line="360" w:lineRule="auto"/>
              <w:jc w:val="center"/>
              <w:rPr>
                <w:rFonts w:hint="default" w:cs="Times New Roman"/>
                <w:color w:val="000000" w:themeColor="text1"/>
                <w:sz w:val="24"/>
                <w:u w:val="singl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 xml:space="preserve">图2-2  </w:t>
            </w:r>
            <w:r>
              <w:rPr>
                <w:rFonts w:hint="default" w:ascii="Times New Roman" w:hAnsi="Times New Roman" w:eastAsia="宋体" w:cs="Times New Roman"/>
                <w:b/>
                <w:bCs/>
                <w:color w:val="000000" w:themeColor="text1"/>
                <w:sz w:val="21"/>
                <w:szCs w:val="21"/>
                <w14:textFill>
                  <w14:solidFill>
                    <w14:schemeClr w14:val="tx1"/>
                  </w14:solidFill>
                </w14:textFill>
              </w:rPr>
              <w:t>全厂工艺路线图</w:t>
            </w:r>
          </w:p>
        </w:tc>
      </w:tr>
    </w:tbl>
    <w:p w14:paraId="66D41000">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sectPr>
          <w:headerReference r:id="rId8" w:type="default"/>
          <w:footerReference r:id="rId9" w:type="default"/>
          <w:pgSz w:w="11906" w:h="16838"/>
          <w:pgMar w:top="1701" w:right="1531" w:bottom="1701" w:left="1531" w:header="851" w:footer="851" w:gutter="0"/>
          <w:cols w:space="720" w:num="1"/>
          <w:docGrid w:linePitch="312" w:charSpace="0"/>
        </w:sectPr>
      </w:pPr>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603"/>
      </w:tblGrid>
      <w:tr w14:paraId="6ECF6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3" w:hRule="atLeast"/>
          <w:jc w:val="center"/>
        </w:trPr>
        <w:tc>
          <w:tcPr>
            <w:tcW w:w="451" w:type="dxa"/>
            <w:vAlign w:val="center"/>
          </w:tcPr>
          <w:p w14:paraId="2A4AA4BB">
            <w:pPr>
              <w:widowControl/>
              <w:jc w:val="left"/>
              <w:rPr>
                <w:rFonts w:hint="default" w:ascii="Times New Roman" w:hAnsi="Times New Roman" w:eastAsia="宋体" w:cs="Times New Roman"/>
                <w:color w:val="000000" w:themeColor="text1"/>
                <w:kern w:val="0"/>
                <w:sz w:val="24"/>
                <w14:textFill>
                  <w14:solidFill>
                    <w14:schemeClr w14:val="tx1"/>
                  </w14:solidFill>
                </w14:textFill>
              </w:rPr>
            </w:pPr>
          </w:p>
        </w:tc>
        <w:tc>
          <w:tcPr>
            <w:tcW w:w="8603" w:type="dxa"/>
          </w:tcPr>
          <w:p w14:paraId="28B4B529">
            <w:pPr>
              <w:keepNext/>
              <w:keepLines/>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4175125</wp:posOffset>
                      </wp:positionH>
                      <wp:positionV relativeFrom="paragraph">
                        <wp:posOffset>2806700</wp:posOffset>
                      </wp:positionV>
                      <wp:extent cx="1143000" cy="427990"/>
                      <wp:effectExtent l="5080" t="4445" r="13970" b="5715"/>
                      <wp:wrapNone/>
                      <wp:docPr id="17" name="文本框 17"/>
                      <wp:cNvGraphicFramePr/>
                      <a:graphic xmlns:a="http://schemas.openxmlformats.org/drawingml/2006/main">
                        <a:graphicData uri="http://schemas.microsoft.com/office/word/2010/wordprocessingShape">
                          <wps:wsp>
                            <wps:cNvSpPr txBox="1"/>
                            <wps:spPr>
                              <a:xfrm>
                                <a:off x="5435600" y="3899535"/>
                                <a:ext cx="1143000" cy="4279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79737C">
                                  <w:pPr>
                                    <w:rPr>
                                      <w:rFonts w:hint="default" w:eastAsia="宋体"/>
                                      <w:lang w:val="en-US" w:eastAsia="zh-CN"/>
                                    </w:rPr>
                                  </w:pPr>
                                  <w:r>
                                    <w:rPr>
                                      <w:rFonts w:hint="eastAsia"/>
                                      <w:lang w:val="en-US" w:eastAsia="zh-CN"/>
                                    </w:rPr>
                                    <w:t>本次含CO</w:t>
                                  </w:r>
                                  <w:r>
                                    <w:rPr>
                                      <w:rFonts w:hint="eastAsia"/>
                                      <w:vertAlign w:val="subscript"/>
                                      <w:lang w:val="en-US" w:eastAsia="zh-CN"/>
                                    </w:rPr>
                                    <w:t>2</w:t>
                                  </w:r>
                                  <w:r>
                                    <w:rPr>
                                      <w:rFonts w:hint="eastAsia"/>
                                      <w:lang w:val="en-US" w:eastAsia="zh-CN"/>
                                    </w:rPr>
                                    <w:t>原料气来源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75pt;margin-top:221pt;height:33.7pt;width:90pt;z-index:251676672;mso-width-relative:page;mso-height-relative:page;" fillcolor="#FFFFFF [3201]" filled="t" stroked="t" coordsize="21600,21600" o:gfxdata="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iHP3dcAAAALAQAADwAAAAAAAAABACAAAAAiAAAAZHJzL2Rvd25yZXYueG1sUEsBAhQA&#10;FAAAAAgAh07iQD65ixZlAgAAxQQAAA4AAAAAAAAAAQAgAAAAJgEAAGRycy9lMm9Eb2MueG1sUEsF&#10;BgAAAAAGAAYAWQEAAP0FAAAAAA==&#10;">
                      <v:fill on="t" focussize="0,0"/>
                      <v:stroke weight="0.5pt" color="#000000 [3204]" joinstyle="round"/>
                      <v:imagedata o:title=""/>
                      <o:lock v:ext="edit" aspectratio="f"/>
                      <v:textbox>
                        <w:txbxContent>
                          <w:p w14:paraId="1379737C">
                            <w:pPr>
                              <w:rPr>
                                <w:rFonts w:hint="default" w:eastAsia="宋体"/>
                                <w:lang w:val="en-US" w:eastAsia="zh-CN"/>
                              </w:rPr>
                            </w:pPr>
                            <w:r>
                              <w:rPr>
                                <w:rFonts w:hint="eastAsia"/>
                                <w:lang w:val="en-US" w:eastAsia="zh-CN"/>
                              </w:rPr>
                              <w:t>本次含CO</w:t>
                            </w:r>
                            <w:r>
                              <w:rPr>
                                <w:rFonts w:hint="eastAsia"/>
                                <w:vertAlign w:val="subscript"/>
                                <w:lang w:val="en-US" w:eastAsia="zh-CN"/>
                              </w:rPr>
                              <w:t>2</w:t>
                            </w:r>
                            <w:r>
                              <w:rPr>
                                <w:rFonts w:hint="eastAsia"/>
                                <w:lang w:val="en-US" w:eastAsia="zh-CN"/>
                              </w:rPr>
                              <w:t>原料气来源</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3833495</wp:posOffset>
                      </wp:positionH>
                      <wp:positionV relativeFrom="paragraph">
                        <wp:posOffset>3131820</wp:posOffset>
                      </wp:positionV>
                      <wp:extent cx="333375" cy="643255"/>
                      <wp:effectExtent l="5715" t="5715" r="22860" b="17780"/>
                      <wp:wrapNone/>
                      <wp:docPr id="3" name="直接箭头连接符 3"/>
                      <wp:cNvGraphicFramePr/>
                      <a:graphic xmlns:a="http://schemas.openxmlformats.org/drawingml/2006/main">
                        <a:graphicData uri="http://schemas.microsoft.com/office/word/2010/wordprocessingShape">
                          <wps:wsp>
                            <wps:cNvCnPr/>
                            <wps:spPr>
                              <a:xfrm flipH="1">
                                <a:off x="5093970" y="4224655"/>
                                <a:ext cx="333375" cy="64325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01.85pt;margin-top:246.6pt;height:50.65pt;width:26.25pt;z-index:251675648;mso-width-relative:page;mso-height-relative:page;" filled="f" stroked="t" coordsize="21600,21600" o:gfxdata="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YyCJtsAAAALAQAADwAA&#10;AAAAAAABACAAAAAiAAAAZHJzL2Rvd25yZXYueG1sUEsBAhQAFAAAAAgAh07iQF3jo2cTAgAA4gMA&#10;AA4AAAAAAAAAAQAgAAAAKgEAAGRycy9lMm9Eb2MueG1sUEsFBgAAAAAGAAYAWQEAAK8FAAAAAA==&#10;">
                      <v:fill on="f" focussize="0,0"/>
                      <v:stroke weight="2pt" color="#FF0000 [3204]" joinstyle="round" endarrow="open"/>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3475990</wp:posOffset>
                      </wp:positionH>
                      <wp:positionV relativeFrom="paragraph">
                        <wp:posOffset>3790950</wp:posOffset>
                      </wp:positionV>
                      <wp:extent cx="960755" cy="421005"/>
                      <wp:effectExtent l="12700" t="12700" r="17145" b="23495"/>
                      <wp:wrapNone/>
                      <wp:docPr id="1" name="矩形 1"/>
                      <wp:cNvGraphicFramePr/>
                      <a:graphic xmlns:a="http://schemas.openxmlformats.org/drawingml/2006/main">
                        <a:graphicData uri="http://schemas.microsoft.com/office/word/2010/wordprocessingShape">
                          <wps:wsp>
                            <wps:cNvSpPr/>
                            <wps:spPr>
                              <a:xfrm>
                                <a:off x="4610100" y="4805045"/>
                                <a:ext cx="960755" cy="42100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7pt;margin-top:298.5pt;height:33.15pt;width:75.65pt;z-index:251674624;v-text-anchor:middle;mso-width-relative:page;mso-height-relative:page;" filled="f" stroked="t" coordsize="21600,21600" o:gfxdata="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5joPHaAAAACwEAAA8AAAAAAAAAAQAgAAAAIgAAAGRycy9kb3ducmV2LnhtbFBL&#10;AQIUABQAAAAIAIdO4kDoozUdZgIAAL8EAAAOAAAAAAAAAAEAIAAAACkBAABkcnMvZTJvRG9jLnht&#10;bFBLBQYAAAAABgAGAFkBAAABBgAAAAA=&#10;">
                      <v:fill on="f" focussize="0,0"/>
                      <v:stroke weight="2pt" color="#FF0000 [2404]" joinstyle="round"/>
                      <v:imagedata o:title=""/>
                      <o:lock v:ext="edit" aspectratio="f"/>
                    </v:rect>
                  </w:pict>
                </mc:Fallback>
              </mc:AlternateContent>
            </w:r>
            <w:r>
              <w:rPr>
                <w:rFonts w:hint="eastAsia"/>
                <w:b/>
                <w:color w:val="000000" w:themeColor="text1"/>
                <w:sz w:val="28"/>
                <w:szCs w:val="28"/>
                <w14:textFill>
                  <w14:solidFill>
                    <w14:schemeClr w14:val="tx1"/>
                  </w14:solidFill>
                </w14:textFill>
              </w:rPr>
              <w:object>
                <v:shape id="_x0000_i1026" o:spt="75" type="#_x0000_t75" style="height:438.85pt;width:410.6pt;" o:ole="t" filled="f" o:preferrelative="t" stroked="f" coordsize="21600,21600">
                  <v:path/>
                  <v:fill on="f" focussize="0,0"/>
                  <v:stroke on="f"/>
                  <v:imagedata r:id="rId21" o:title=""/>
                  <o:lock v:ext="edit" aspectratio="t"/>
                  <w10:wrap type="none"/>
                  <w10:anchorlock/>
                </v:shape>
                <o:OLEObject Type="Embed" ProgID="Visio.Drawing.11" ShapeID="_x0000_i1026" DrawAspect="Content" ObjectID="_1468075726" r:id="rId20">
                  <o:LockedField>false</o:LockedField>
                </o:OLEObject>
              </w:object>
            </w:r>
          </w:p>
          <w:p w14:paraId="52EE48A3">
            <w:pPr>
              <w:keepNext/>
              <w:keepLines/>
              <w:spacing w:line="360" w:lineRule="auto"/>
              <w:jc w:val="center"/>
              <w:rPr>
                <w:rFonts w:hint="default" w:ascii="Times New Roman" w:hAnsi="Times New Roman" w:eastAsia="宋体" w:cs="Times New Roman"/>
                <w:b/>
                <w:bCs/>
                <w:color w:val="000000" w:themeColor="text1"/>
                <w:sz w:val="24"/>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图2-3  天然气净化及转化装置工艺流程及产污节点图</w:t>
            </w:r>
          </w:p>
          <w:p w14:paraId="775C2C64">
            <w:pPr>
              <w:keepNext/>
              <w:keepLines/>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3、一期项目污染源</w:t>
            </w:r>
            <w:r>
              <w:rPr>
                <w:rFonts w:hint="eastAsia" w:cs="Times New Roman"/>
                <w:b/>
                <w:bCs/>
                <w:color w:val="000000" w:themeColor="text1"/>
                <w:sz w:val="24"/>
                <w:lang w:val="en-US" w:eastAsia="zh-CN"/>
                <w14:textFill>
                  <w14:solidFill>
                    <w14:schemeClr w14:val="tx1"/>
                  </w14:solidFill>
                </w14:textFill>
              </w:rPr>
              <w:t>达标</w:t>
            </w:r>
            <w:r>
              <w:rPr>
                <w:rFonts w:hint="default" w:ascii="Times New Roman" w:hAnsi="Times New Roman" w:eastAsia="宋体" w:cs="Times New Roman"/>
                <w:b/>
                <w:bCs/>
                <w:color w:val="000000" w:themeColor="text1"/>
                <w:sz w:val="24"/>
                <w14:textFill>
                  <w14:solidFill>
                    <w14:schemeClr w14:val="tx1"/>
                  </w14:solidFill>
                </w14:textFill>
              </w:rPr>
              <w:t>排放情况</w:t>
            </w:r>
          </w:p>
          <w:p w14:paraId="187A8064">
            <w:pPr>
              <w:pStyle w:val="457"/>
              <w:spacing w:line="360" w:lineRule="auto"/>
              <w:ind w:firstLine="480"/>
              <w:rPr>
                <w:rFonts w:hint="default" w:ascii="Times New Roman" w:hAnsi="Times New Roman" w:eastAsia="宋体" w:cs="Times New Roman"/>
                <w:b/>
                <w:bCs/>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目前，因涉及重大变动，企业尚未开展生产活动，不涉及污染物稳定排放。</w:t>
            </w:r>
          </w:p>
          <w:p w14:paraId="60C39D62">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二</w:t>
            </w:r>
            <w:r>
              <w:rPr>
                <w:rFonts w:hint="default" w:ascii="Times New Roman" w:hAnsi="Times New Roman" w:eastAsia="宋体" w:cs="Times New Roman"/>
                <w:b/>
                <w:bCs/>
                <w:color w:val="000000" w:themeColor="text1"/>
                <w14:textFill>
                  <w14:solidFill>
                    <w14:schemeClr w14:val="tx1"/>
                  </w14:solidFill>
                </w14:textFill>
              </w:rPr>
              <w:t>）全厂履行排污许可手续情况</w:t>
            </w:r>
          </w:p>
          <w:p w14:paraId="4AD68187">
            <w:pPr>
              <w:pStyle w:val="457"/>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2025年3月13日，四川正达凯新材料有限公司取得排污许可证</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重点管理</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，许可证编号：91511722MA7DTTWJ85001V</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由于涉及重大变动，目前正在开展排污许可变更工作。</w:t>
            </w:r>
          </w:p>
          <w:p w14:paraId="0ACBB305">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三</w:t>
            </w:r>
            <w:r>
              <w:rPr>
                <w:rFonts w:hint="default" w:ascii="Times New Roman" w:hAnsi="Times New Roman" w:eastAsia="宋体" w:cs="Times New Roman"/>
                <w:b/>
                <w:bCs/>
                <w:color w:val="000000" w:themeColor="text1"/>
                <w14:textFill>
                  <w14:solidFill>
                    <w14:schemeClr w14:val="tx1"/>
                  </w14:solidFill>
                </w14:textFill>
              </w:rPr>
              <w:t>）全厂总量控制指标</w:t>
            </w:r>
          </w:p>
          <w:p w14:paraId="2C3F7D87">
            <w:pPr>
              <w:widowControl/>
              <w:jc w:val="center"/>
              <w:rPr>
                <w:rFonts w:hint="default" w:ascii="Times New Roman" w:hAnsi="Times New Roman" w:eastAsia="宋体" w:cs="Times New Roman"/>
                <w:b/>
                <w:bCs/>
                <w:color w:val="000000" w:themeColor="text1"/>
                <w:kern w:val="0"/>
                <w:szCs w:val="21"/>
                <w:lang w:bidi="ar"/>
                <w14:textFill>
                  <w14:solidFill>
                    <w14:schemeClr w14:val="tx1"/>
                  </w14:solidFill>
                </w14:textFill>
              </w:rPr>
            </w:pPr>
          </w:p>
          <w:p w14:paraId="0374A398">
            <w:pPr>
              <w:widowControl/>
              <w:jc w:val="center"/>
              <w:rPr>
                <w:rFonts w:hint="default" w:ascii="Times New Roman" w:hAnsi="Times New Roman" w:eastAsia="宋体" w:cs="Times New Roman"/>
                <w:b/>
                <w:bCs/>
                <w:color w:val="000000" w:themeColor="text1"/>
                <w:kern w:val="0"/>
                <w:szCs w:val="21"/>
                <w:lang w:bidi="ar"/>
                <w14:textFill>
                  <w14:solidFill>
                    <w14:schemeClr w14:val="tx1"/>
                  </w14:solidFill>
                </w14:textFill>
              </w:rPr>
            </w:pPr>
          </w:p>
          <w:p w14:paraId="0817C45E">
            <w:pPr>
              <w:widowControl/>
              <w:jc w:val="center"/>
              <w:rPr>
                <w:rFonts w:hint="default" w:ascii="Times New Roman" w:hAnsi="Times New Roman" w:eastAsia="宋体" w:cs="Times New Roman"/>
                <w:b/>
                <w:bCs/>
                <w:color w:val="000000" w:themeColor="text1"/>
                <w:kern w:val="0"/>
                <w:szCs w:val="21"/>
                <w:lang w:bidi="ar"/>
                <w14:textFill>
                  <w14:solidFill>
                    <w14:schemeClr w14:val="tx1"/>
                  </w14:solidFill>
                </w14:textFill>
              </w:rPr>
            </w:pPr>
          </w:p>
          <w:p w14:paraId="5411F95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表2-1</w:t>
            </w:r>
            <w:r>
              <w:rPr>
                <w:rFonts w:hint="eastAsia" w:cs="Times New Roman"/>
                <w:b/>
                <w:bCs/>
                <w:color w:val="000000" w:themeColor="text1"/>
                <w:kern w:val="0"/>
                <w:szCs w:val="21"/>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Cs w:val="21"/>
                <w:lang w:bidi="ar"/>
                <w14:textFill>
                  <w14:solidFill>
                    <w14:schemeClr w14:val="tx1"/>
                  </w14:solidFill>
                </w14:textFill>
              </w:rPr>
              <w:t xml:space="preserve">  全厂总量控制指标</w:t>
            </w:r>
          </w:p>
          <w:tbl>
            <w:tblPr>
              <w:tblStyle w:val="48"/>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713"/>
              <w:gridCol w:w="1149"/>
              <w:gridCol w:w="1269"/>
              <w:gridCol w:w="1208"/>
              <w:gridCol w:w="1214"/>
              <w:gridCol w:w="1208"/>
              <w:gridCol w:w="1231"/>
            </w:tblGrid>
            <w:tr w14:paraId="40D4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653" w:type="pct"/>
                  <w:gridSpan w:val="2"/>
                  <w:noWrap w:val="0"/>
                  <w:vAlign w:val="center"/>
                </w:tcPr>
                <w:p w14:paraId="55885B4C">
                  <w:pPr>
                    <w:spacing w:line="240" w:lineRule="exact"/>
                    <w:ind w:left="-63" w:leftChars="-30" w:right="-63" w:rightChars="-3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总量控制污染物</w:t>
                  </w:r>
                </w:p>
              </w:tc>
              <w:tc>
                <w:tcPr>
                  <w:tcW w:w="1443" w:type="pct"/>
                  <w:gridSpan w:val="2"/>
                  <w:noWrap w:val="0"/>
                  <w:vAlign w:val="center"/>
                </w:tcPr>
                <w:p w14:paraId="7E95EC6C">
                  <w:pPr>
                    <w:spacing w:line="240" w:lineRule="exact"/>
                    <w:ind w:left="-63" w:leftChars="-30" w:right="-63" w:rightChars="-3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环评计算量（t/a）</w:t>
                  </w:r>
                </w:p>
              </w:tc>
              <w:tc>
                <w:tcPr>
                  <w:tcW w:w="1446" w:type="pct"/>
                  <w:gridSpan w:val="2"/>
                  <w:noWrap w:val="0"/>
                  <w:vAlign w:val="center"/>
                </w:tcPr>
                <w:p w14:paraId="088736BC">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按《暂行管理办法》计（t/a）</w:t>
                  </w:r>
                </w:p>
              </w:tc>
              <w:tc>
                <w:tcPr>
                  <w:tcW w:w="1456" w:type="pct"/>
                  <w:gridSpan w:val="2"/>
                  <w:noWrap w:val="0"/>
                  <w:vAlign w:val="center"/>
                </w:tcPr>
                <w:p w14:paraId="7CB33755">
                  <w:pPr>
                    <w:spacing w:line="240" w:lineRule="exact"/>
                    <w:ind w:left="-63" w:leftChars="-30" w:right="-63" w:rightChars="-3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项目总量指标建议（t/a）</w:t>
                  </w:r>
                </w:p>
              </w:tc>
            </w:tr>
            <w:tr w14:paraId="47B9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228" w:type="pct"/>
                  <w:vMerge w:val="restart"/>
                  <w:noWrap w:val="0"/>
                  <w:vAlign w:val="center"/>
                </w:tcPr>
                <w:p w14:paraId="7B485234">
                  <w:pPr>
                    <w:spacing w:line="240" w:lineRule="exact"/>
                    <w:ind w:left="-63" w:leftChars="-30" w:right="-63" w:rightChars="-3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w:t>
                  </w:r>
                </w:p>
              </w:tc>
              <w:tc>
                <w:tcPr>
                  <w:tcW w:w="425" w:type="pct"/>
                  <w:noWrap w:val="0"/>
                  <w:vAlign w:val="center"/>
                </w:tcPr>
                <w:p w14:paraId="24AB1CA8">
                  <w:pPr>
                    <w:spacing w:line="240" w:lineRule="exact"/>
                    <w:ind w:left="-63" w:leftChars="-30" w:right="-63" w:rightChars="-3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SO</w:t>
                  </w:r>
                  <w:r>
                    <w:rPr>
                      <w:rFonts w:hint="eastAsia"/>
                      <w:color w:val="000000" w:themeColor="text1"/>
                      <w:kern w:val="0"/>
                      <w:sz w:val="18"/>
                      <w:szCs w:val="18"/>
                      <w:vertAlign w:val="subscript"/>
                      <w14:textFill>
                        <w14:solidFill>
                          <w14:schemeClr w14:val="tx1"/>
                        </w14:solidFill>
                      </w14:textFill>
                    </w:rPr>
                    <w:t>2</w:t>
                  </w:r>
                </w:p>
              </w:tc>
              <w:tc>
                <w:tcPr>
                  <w:tcW w:w="1443" w:type="pct"/>
                  <w:gridSpan w:val="2"/>
                  <w:noWrap w:val="0"/>
                  <w:vAlign w:val="center"/>
                </w:tcPr>
                <w:p w14:paraId="114FCDAD">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0.8</w:t>
                  </w:r>
                  <w:r>
                    <w:rPr>
                      <w:rFonts w:hint="eastAsia"/>
                      <w:color w:val="000000" w:themeColor="text1"/>
                      <w:kern w:val="0"/>
                      <w:sz w:val="18"/>
                      <w:szCs w:val="18"/>
                      <w:lang w:val="en-US" w:eastAsia="zh-CN"/>
                      <w14:textFill>
                        <w14:solidFill>
                          <w14:schemeClr w14:val="tx1"/>
                        </w14:solidFill>
                      </w14:textFill>
                    </w:rPr>
                    <w:t>6</w:t>
                  </w:r>
                  <w:r>
                    <w:rPr>
                      <w:rFonts w:hint="eastAsia"/>
                      <w:color w:val="000000" w:themeColor="text1"/>
                      <w:kern w:val="0"/>
                      <w:sz w:val="18"/>
                      <w:szCs w:val="18"/>
                      <w14:textFill>
                        <w14:solidFill>
                          <w14:schemeClr w14:val="tx1"/>
                        </w14:solidFill>
                      </w14:textFill>
                    </w:rPr>
                    <w:t>（一期:0.4</w:t>
                  </w:r>
                  <w:r>
                    <w:rPr>
                      <w:rFonts w:hint="eastAsia"/>
                      <w:color w:val="000000" w:themeColor="text1"/>
                      <w:kern w:val="0"/>
                      <w:sz w:val="18"/>
                      <w:szCs w:val="18"/>
                      <w:lang w:val="en-US" w:eastAsia="zh-CN"/>
                      <w14:textFill>
                        <w14:solidFill>
                          <w14:schemeClr w14:val="tx1"/>
                        </w14:solidFill>
                      </w14:textFill>
                    </w:rPr>
                    <w:t>3</w:t>
                  </w:r>
                  <w:r>
                    <w:rPr>
                      <w:rFonts w:hint="eastAsia"/>
                      <w:color w:val="000000" w:themeColor="text1"/>
                      <w:kern w:val="0"/>
                      <w:sz w:val="18"/>
                      <w:szCs w:val="18"/>
                      <w14:textFill>
                        <w14:solidFill>
                          <w14:schemeClr w14:val="tx1"/>
                        </w14:solidFill>
                      </w14:textFill>
                    </w:rPr>
                    <w:t>）</w:t>
                  </w:r>
                </w:p>
              </w:tc>
              <w:tc>
                <w:tcPr>
                  <w:tcW w:w="1446" w:type="pct"/>
                  <w:gridSpan w:val="2"/>
                  <w:noWrap w:val="0"/>
                  <w:vAlign w:val="center"/>
                </w:tcPr>
                <w:p w14:paraId="3AF2B6BD">
                  <w:pPr>
                    <w:spacing w:line="24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113.83</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56.06</w:t>
                  </w:r>
                  <w:r>
                    <w:rPr>
                      <w:rFonts w:hint="eastAsia"/>
                      <w:color w:val="000000" w:themeColor="text1"/>
                      <w:kern w:val="0"/>
                      <w:sz w:val="18"/>
                      <w:szCs w:val="18"/>
                      <w14:textFill>
                        <w14:solidFill>
                          <w14:schemeClr w14:val="tx1"/>
                        </w14:solidFill>
                      </w14:textFill>
                    </w:rPr>
                    <w:t>）</w:t>
                  </w:r>
                </w:p>
              </w:tc>
              <w:tc>
                <w:tcPr>
                  <w:tcW w:w="1456" w:type="pct"/>
                  <w:gridSpan w:val="2"/>
                  <w:noWrap w:val="0"/>
                  <w:vAlign w:val="center"/>
                </w:tcPr>
                <w:p w14:paraId="7C8D06AD">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0.8</w:t>
                  </w:r>
                  <w:r>
                    <w:rPr>
                      <w:rFonts w:hint="eastAsia"/>
                      <w:color w:val="000000" w:themeColor="text1"/>
                      <w:kern w:val="0"/>
                      <w:sz w:val="18"/>
                      <w:szCs w:val="18"/>
                      <w:lang w:val="en-US" w:eastAsia="zh-CN"/>
                      <w14:textFill>
                        <w14:solidFill>
                          <w14:schemeClr w14:val="tx1"/>
                        </w14:solidFill>
                      </w14:textFill>
                    </w:rPr>
                    <w:t>6</w:t>
                  </w:r>
                  <w:r>
                    <w:rPr>
                      <w:rFonts w:hint="eastAsia"/>
                      <w:color w:val="000000" w:themeColor="text1"/>
                      <w:kern w:val="0"/>
                      <w:sz w:val="18"/>
                      <w:szCs w:val="18"/>
                      <w14:textFill>
                        <w14:solidFill>
                          <w14:schemeClr w14:val="tx1"/>
                        </w14:solidFill>
                      </w14:textFill>
                    </w:rPr>
                    <w:t>（一期:0.4</w:t>
                  </w:r>
                  <w:r>
                    <w:rPr>
                      <w:rFonts w:hint="eastAsia"/>
                      <w:color w:val="000000" w:themeColor="text1"/>
                      <w:kern w:val="0"/>
                      <w:sz w:val="18"/>
                      <w:szCs w:val="18"/>
                      <w:lang w:val="en-US" w:eastAsia="zh-CN"/>
                      <w14:textFill>
                        <w14:solidFill>
                          <w14:schemeClr w14:val="tx1"/>
                        </w14:solidFill>
                      </w14:textFill>
                    </w:rPr>
                    <w:t>3</w:t>
                  </w:r>
                  <w:r>
                    <w:rPr>
                      <w:rFonts w:hint="eastAsia"/>
                      <w:color w:val="000000" w:themeColor="text1"/>
                      <w:kern w:val="0"/>
                      <w:sz w:val="18"/>
                      <w:szCs w:val="18"/>
                      <w14:textFill>
                        <w14:solidFill>
                          <w14:schemeClr w14:val="tx1"/>
                        </w14:solidFill>
                      </w14:textFill>
                    </w:rPr>
                    <w:t>）</w:t>
                  </w:r>
                </w:p>
              </w:tc>
            </w:tr>
            <w:tr w14:paraId="58E3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228" w:type="pct"/>
                  <w:vMerge w:val="continue"/>
                  <w:noWrap w:val="0"/>
                  <w:vAlign w:val="center"/>
                </w:tcPr>
                <w:p w14:paraId="5387E7DB">
                  <w:pPr>
                    <w:spacing w:line="240" w:lineRule="exact"/>
                    <w:ind w:left="-63" w:leftChars="-30" w:right="-63" w:rightChars="-30"/>
                    <w:jc w:val="center"/>
                    <w:rPr>
                      <w:color w:val="000000" w:themeColor="text1"/>
                      <w:sz w:val="18"/>
                      <w:szCs w:val="18"/>
                      <w14:textFill>
                        <w14:solidFill>
                          <w14:schemeClr w14:val="tx1"/>
                        </w14:solidFill>
                      </w14:textFill>
                    </w:rPr>
                  </w:pPr>
                </w:p>
              </w:tc>
              <w:tc>
                <w:tcPr>
                  <w:tcW w:w="425" w:type="pct"/>
                  <w:noWrap w:val="0"/>
                  <w:vAlign w:val="center"/>
                </w:tcPr>
                <w:p w14:paraId="46F61CD6">
                  <w:pPr>
                    <w:spacing w:line="24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NO</w:t>
                  </w:r>
                  <w:r>
                    <w:rPr>
                      <w:rFonts w:hint="eastAsia"/>
                      <w:color w:val="000000" w:themeColor="text1"/>
                      <w:kern w:val="0"/>
                      <w:sz w:val="18"/>
                      <w:szCs w:val="18"/>
                      <w:vertAlign w:val="subscript"/>
                      <w14:textFill>
                        <w14:solidFill>
                          <w14:schemeClr w14:val="tx1"/>
                        </w14:solidFill>
                      </w14:textFill>
                    </w:rPr>
                    <w:t>X</w:t>
                  </w:r>
                </w:p>
              </w:tc>
              <w:tc>
                <w:tcPr>
                  <w:tcW w:w="1443" w:type="pct"/>
                  <w:gridSpan w:val="2"/>
                  <w:noWrap w:val="0"/>
                  <w:vAlign w:val="center"/>
                </w:tcPr>
                <w:p w14:paraId="744CEA4A">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98.15</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48.41</w:t>
                  </w:r>
                  <w:r>
                    <w:rPr>
                      <w:rFonts w:hint="eastAsia"/>
                      <w:color w:val="000000" w:themeColor="text1"/>
                      <w:kern w:val="0"/>
                      <w:sz w:val="18"/>
                      <w:szCs w:val="18"/>
                      <w14:textFill>
                        <w14:solidFill>
                          <w14:schemeClr w14:val="tx1"/>
                        </w14:solidFill>
                      </w14:textFill>
                    </w:rPr>
                    <w:t>）</w:t>
                  </w:r>
                </w:p>
              </w:tc>
              <w:tc>
                <w:tcPr>
                  <w:tcW w:w="1446" w:type="pct"/>
                  <w:gridSpan w:val="2"/>
                  <w:noWrap w:val="0"/>
                  <w:vAlign w:val="center"/>
                </w:tcPr>
                <w:p w14:paraId="63BB7031">
                  <w:pPr>
                    <w:spacing w:line="24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227.65</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112.13</w:t>
                  </w:r>
                  <w:r>
                    <w:rPr>
                      <w:rFonts w:hint="eastAsia"/>
                      <w:color w:val="000000" w:themeColor="text1"/>
                      <w:kern w:val="0"/>
                      <w:sz w:val="18"/>
                      <w:szCs w:val="18"/>
                      <w14:textFill>
                        <w14:solidFill>
                          <w14:schemeClr w14:val="tx1"/>
                        </w14:solidFill>
                      </w14:textFill>
                    </w:rPr>
                    <w:t>）</w:t>
                  </w:r>
                </w:p>
              </w:tc>
              <w:tc>
                <w:tcPr>
                  <w:tcW w:w="1456" w:type="pct"/>
                  <w:gridSpan w:val="2"/>
                  <w:noWrap w:val="0"/>
                  <w:vAlign w:val="center"/>
                </w:tcPr>
                <w:p w14:paraId="67D2E385">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98.15</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48.41</w:t>
                  </w:r>
                  <w:r>
                    <w:rPr>
                      <w:rFonts w:hint="eastAsia"/>
                      <w:color w:val="000000" w:themeColor="text1"/>
                      <w:kern w:val="0"/>
                      <w:sz w:val="18"/>
                      <w:szCs w:val="18"/>
                      <w14:textFill>
                        <w14:solidFill>
                          <w14:schemeClr w14:val="tx1"/>
                        </w14:solidFill>
                      </w14:textFill>
                    </w:rPr>
                    <w:t>）</w:t>
                  </w:r>
                </w:p>
              </w:tc>
            </w:tr>
            <w:tr w14:paraId="39F8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228" w:type="pct"/>
                  <w:vMerge w:val="continue"/>
                  <w:noWrap w:val="0"/>
                  <w:vAlign w:val="center"/>
                </w:tcPr>
                <w:p w14:paraId="40D9843F">
                  <w:pPr>
                    <w:spacing w:line="240" w:lineRule="exact"/>
                    <w:ind w:left="-63" w:leftChars="-30" w:right="-63" w:rightChars="-30"/>
                    <w:jc w:val="center"/>
                    <w:rPr>
                      <w:color w:val="000000" w:themeColor="text1"/>
                      <w:sz w:val="18"/>
                      <w:szCs w:val="18"/>
                      <w14:textFill>
                        <w14:solidFill>
                          <w14:schemeClr w14:val="tx1"/>
                        </w14:solidFill>
                      </w14:textFill>
                    </w:rPr>
                  </w:pPr>
                </w:p>
              </w:tc>
              <w:tc>
                <w:tcPr>
                  <w:tcW w:w="425" w:type="pct"/>
                  <w:noWrap w:val="0"/>
                  <w:vAlign w:val="center"/>
                </w:tcPr>
                <w:p w14:paraId="7C36B6E9">
                  <w:pPr>
                    <w:spacing w:line="240" w:lineRule="exact"/>
                    <w:ind w:left="-63" w:leftChars="-30" w:right="-63" w:rightChars="-3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颗粒物</w:t>
                  </w:r>
                </w:p>
              </w:tc>
              <w:tc>
                <w:tcPr>
                  <w:tcW w:w="1443" w:type="pct"/>
                  <w:gridSpan w:val="2"/>
                  <w:noWrap w:val="0"/>
                  <w:vAlign w:val="center"/>
                </w:tcPr>
                <w:p w14:paraId="5F492EB5">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eastAsia="等线"/>
                      <w:color w:val="000000" w:themeColor="text1"/>
                      <w:sz w:val="18"/>
                      <w:szCs w:val="18"/>
                      <w:lang w:val="en-US" w:eastAsia="zh-CN"/>
                      <w14:textFill>
                        <w14:solidFill>
                          <w14:schemeClr w14:val="tx1"/>
                        </w14:solidFill>
                      </w14:textFill>
                    </w:rPr>
                    <w:t>25.60</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12.60</w:t>
                  </w:r>
                  <w:r>
                    <w:rPr>
                      <w:rFonts w:hint="eastAsia"/>
                      <w:color w:val="000000" w:themeColor="text1"/>
                      <w:kern w:val="0"/>
                      <w:sz w:val="18"/>
                      <w:szCs w:val="18"/>
                      <w14:textFill>
                        <w14:solidFill>
                          <w14:schemeClr w14:val="tx1"/>
                        </w14:solidFill>
                      </w14:textFill>
                    </w:rPr>
                    <w:t>）</w:t>
                  </w:r>
                </w:p>
              </w:tc>
              <w:tc>
                <w:tcPr>
                  <w:tcW w:w="1446" w:type="pct"/>
                  <w:gridSpan w:val="2"/>
                  <w:noWrap w:val="0"/>
                  <w:vAlign w:val="center"/>
                </w:tcPr>
                <w:p w14:paraId="348C9DE1">
                  <w:pPr>
                    <w:widowControl/>
                    <w:spacing w:line="260" w:lineRule="exact"/>
                    <w:ind w:left="-105" w:leftChars="-50" w:right="-105" w:rightChars="-5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45.53</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22.43</w:t>
                  </w:r>
                  <w:r>
                    <w:rPr>
                      <w:rFonts w:hint="eastAsia"/>
                      <w:color w:val="000000" w:themeColor="text1"/>
                      <w:kern w:val="0"/>
                      <w:sz w:val="18"/>
                      <w:szCs w:val="18"/>
                      <w14:textFill>
                        <w14:solidFill>
                          <w14:schemeClr w14:val="tx1"/>
                        </w14:solidFill>
                      </w14:textFill>
                    </w:rPr>
                    <w:t>）</w:t>
                  </w:r>
                </w:p>
              </w:tc>
              <w:tc>
                <w:tcPr>
                  <w:tcW w:w="1456" w:type="pct"/>
                  <w:gridSpan w:val="2"/>
                  <w:noWrap w:val="0"/>
                  <w:vAlign w:val="center"/>
                </w:tcPr>
                <w:p w14:paraId="1D9F09A7">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eastAsia="等线"/>
                      <w:color w:val="000000" w:themeColor="text1"/>
                      <w:sz w:val="18"/>
                      <w:szCs w:val="18"/>
                      <w:lang w:val="en-US" w:eastAsia="zh-CN"/>
                      <w14:textFill>
                        <w14:solidFill>
                          <w14:schemeClr w14:val="tx1"/>
                        </w14:solidFill>
                      </w14:textFill>
                    </w:rPr>
                    <w:t>25.60</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12.60</w:t>
                  </w:r>
                  <w:r>
                    <w:rPr>
                      <w:rFonts w:hint="eastAsia"/>
                      <w:color w:val="000000" w:themeColor="text1"/>
                      <w:kern w:val="0"/>
                      <w:sz w:val="18"/>
                      <w:szCs w:val="18"/>
                      <w14:textFill>
                        <w14:solidFill>
                          <w14:schemeClr w14:val="tx1"/>
                        </w14:solidFill>
                      </w14:textFill>
                    </w:rPr>
                    <w:t>）</w:t>
                  </w:r>
                </w:p>
              </w:tc>
            </w:tr>
            <w:tr w14:paraId="6F28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228" w:type="pct"/>
                  <w:vMerge w:val="continue"/>
                  <w:noWrap w:val="0"/>
                  <w:vAlign w:val="center"/>
                </w:tcPr>
                <w:p w14:paraId="7805A7B0">
                  <w:pPr>
                    <w:spacing w:line="240" w:lineRule="exact"/>
                    <w:ind w:left="-63" w:leftChars="-30" w:right="-63" w:rightChars="-30"/>
                    <w:jc w:val="center"/>
                    <w:rPr>
                      <w:color w:val="000000" w:themeColor="text1"/>
                      <w:sz w:val="18"/>
                      <w:szCs w:val="18"/>
                      <w14:textFill>
                        <w14:solidFill>
                          <w14:schemeClr w14:val="tx1"/>
                        </w14:solidFill>
                      </w14:textFill>
                    </w:rPr>
                  </w:pPr>
                </w:p>
              </w:tc>
              <w:tc>
                <w:tcPr>
                  <w:tcW w:w="425" w:type="pct"/>
                  <w:noWrap w:val="0"/>
                  <w:vAlign w:val="center"/>
                </w:tcPr>
                <w:p w14:paraId="25D4E81C">
                  <w:pPr>
                    <w:spacing w:line="240" w:lineRule="exact"/>
                    <w:ind w:left="-63" w:leftChars="-30" w:right="-63" w:rightChars="-3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VOCs</w:t>
                  </w:r>
                </w:p>
              </w:tc>
              <w:tc>
                <w:tcPr>
                  <w:tcW w:w="1443" w:type="pct"/>
                  <w:gridSpan w:val="2"/>
                  <w:noWrap w:val="0"/>
                  <w:vAlign w:val="center"/>
                </w:tcPr>
                <w:p w14:paraId="4A099E4D">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38.19</w:t>
                  </w:r>
                  <w:r>
                    <w:rPr>
                      <w:rFonts w:hint="eastAsia"/>
                      <w:color w:val="000000" w:themeColor="text1"/>
                      <w:kern w:val="0"/>
                      <w:sz w:val="18"/>
                      <w:szCs w:val="18"/>
                      <w14:textFill>
                        <w14:solidFill>
                          <w14:schemeClr w14:val="tx1"/>
                        </w14:solidFill>
                      </w14:textFill>
                    </w:rPr>
                    <w:t>（一期:1</w:t>
                  </w:r>
                  <w:r>
                    <w:rPr>
                      <w:rFonts w:hint="eastAsia"/>
                      <w:color w:val="000000" w:themeColor="text1"/>
                      <w:kern w:val="0"/>
                      <w:sz w:val="18"/>
                      <w:szCs w:val="18"/>
                      <w:lang w:val="en-US" w:eastAsia="zh-CN"/>
                      <w14:textFill>
                        <w14:solidFill>
                          <w14:schemeClr w14:val="tx1"/>
                        </w14:solidFill>
                      </w14:textFill>
                    </w:rPr>
                    <w:t>8.49</w:t>
                  </w:r>
                  <w:r>
                    <w:rPr>
                      <w:rFonts w:hint="eastAsia"/>
                      <w:color w:val="000000" w:themeColor="text1"/>
                      <w:kern w:val="0"/>
                      <w:sz w:val="18"/>
                      <w:szCs w:val="18"/>
                      <w14:textFill>
                        <w14:solidFill>
                          <w14:schemeClr w14:val="tx1"/>
                        </w14:solidFill>
                      </w14:textFill>
                    </w:rPr>
                    <w:t>）</w:t>
                  </w:r>
                </w:p>
              </w:tc>
              <w:tc>
                <w:tcPr>
                  <w:tcW w:w="1446" w:type="pct"/>
                  <w:gridSpan w:val="2"/>
                  <w:noWrap w:val="0"/>
                  <w:vAlign w:val="center"/>
                </w:tcPr>
                <w:p w14:paraId="435804D6">
                  <w:pPr>
                    <w:spacing w:line="24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98.19</w:t>
                  </w:r>
                  <w:r>
                    <w:rPr>
                      <w:rFonts w:hint="eastAsia"/>
                      <w:color w:val="000000" w:themeColor="text1"/>
                      <w:kern w:val="0"/>
                      <w:sz w:val="18"/>
                      <w:szCs w:val="18"/>
                      <w14:textFill>
                        <w14:solidFill>
                          <w14:schemeClr w14:val="tx1"/>
                        </w14:solidFill>
                      </w14:textFill>
                    </w:rPr>
                    <w:t>（一期</w:t>
                  </w:r>
                  <w:r>
                    <w:rPr>
                      <w:rFonts w:hint="eastAsia"/>
                      <w:color w:val="000000" w:themeColor="text1"/>
                      <w:kern w:val="0"/>
                      <w:sz w:val="18"/>
                      <w:szCs w:val="18"/>
                      <w:lang w:val="en-US" w:eastAsia="zh-CN"/>
                      <w14:textFill>
                        <w14:solidFill>
                          <w14:schemeClr w14:val="tx1"/>
                        </w14:solidFill>
                      </w14:textFill>
                    </w:rPr>
                    <w:t>53.36</w:t>
                  </w:r>
                  <w:r>
                    <w:rPr>
                      <w:rFonts w:hint="eastAsia"/>
                      <w:color w:val="000000" w:themeColor="text1"/>
                      <w:kern w:val="0"/>
                      <w:sz w:val="18"/>
                      <w:szCs w:val="18"/>
                      <w14:textFill>
                        <w14:solidFill>
                          <w14:schemeClr w14:val="tx1"/>
                        </w14:solidFill>
                      </w14:textFill>
                    </w:rPr>
                    <w:t>）</w:t>
                  </w:r>
                </w:p>
              </w:tc>
              <w:tc>
                <w:tcPr>
                  <w:tcW w:w="1456" w:type="pct"/>
                  <w:gridSpan w:val="2"/>
                  <w:noWrap w:val="0"/>
                  <w:vAlign w:val="center"/>
                </w:tcPr>
                <w:p w14:paraId="6265FA76">
                  <w:pPr>
                    <w:widowControl/>
                    <w:spacing w:line="260" w:lineRule="exact"/>
                    <w:ind w:left="-63" w:leftChars="-30" w:right="-63" w:rightChars="-30"/>
                    <w:jc w:val="center"/>
                    <w:rPr>
                      <w:rFonts w:hint="eastAsia"/>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38.19</w:t>
                  </w:r>
                  <w:r>
                    <w:rPr>
                      <w:rFonts w:hint="eastAsia"/>
                      <w:color w:val="000000" w:themeColor="text1"/>
                      <w:kern w:val="0"/>
                      <w:sz w:val="18"/>
                      <w:szCs w:val="18"/>
                      <w14:textFill>
                        <w14:solidFill>
                          <w14:schemeClr w14:val="tx1"/>
                        </w14:solidFill>
                      </w14:textFill>
                    </w:rPr>
                    <w:t>（一期:1</w:t>
                  </w:r>
                  <w:r>
                    <w:rPr>
                      <w:rFonts w:hint="eastAsia"/>
                      <w:color w:val="000000" w:themeColor="text1"/>
                      <w:kern w:val="0"/>
                      <w:sz w:val="18"/>
                      <w:szCs w:val="18"/>
                      <w:lang w:val="en-US" w:eastAsia="zh-CN"/>
                      <w14:textFill>
                        <w14:solidFill>
                          <w14:schemeClr w14:val="tx1"/>
                        </w14:solidFill>
                      </w14:textFill>
                    </w:rPr>
                    <w:t>8.49</w:t>
                  </w:r>
                  <w:r>
                    <w:rPr>
                      <w:rFonts w:hint="eastAsia"/>
                      <w:color w:val="000000" w:themeColor="text1"/>
                      <w:kern w:val="0"/>
                      <w:sz w:val="18"/>
                      <w:szCs w:val="18"/>
                      <w14:textFill>
                        <w14:solidFill>
                          <w14:schemeClr w14:val="tx1"/>
                        </w14:solidFill>
                      </w14:textFill>
                    </w:rPr>
                    <w:t>）</w:t>
                  </w:r>
                </w:p>
              </w:tc>
            </w:tr>
            <w:tr w14:paraId="77D4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 w:type="pct"/>
                  <w:vMerge w:val="restart"/>
                  <w:noWrap w:val="0"/>
                  <w:vAlign w:val="center"/>
                </w:tcPr>
                <w:p w14:paraId="525AC0F7">
                  <w:pPr>
                    <w:spacing w:line="240" w:lineRule="exact"/>
                    <w:ind w:left="-63" w:leftChars="-30" w:right="-63" w:rightChars="-3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w:t>
                  </w:r>
                </w:p>
              </w:tc>
              <w:tc>
                <w:tcPr>
                  <w:tcW w:w="425" w:type="pct"/>
                  <w:noWrap w:val="0"/>
                  <w:vAlign w:val="center"/>
                </w:tcPr>
                <w:p w14:paraId="53ABFE95">
                  <w:pPr>
                    <w:spacing w:line="240" w:lineRule="exact"/>
                    <w:ind w:left="-63" w:leftChars="-30" w:right="-63" w:rightChars="-3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COD</w:t>
                  </w:r>
                  <w:r>
                    <w:rPr>
                      <w:color w:val="000000" w:themeColor="text1"/>
                      <w:sz w:val="18"/>
                      <w:szCs w:val="18"/>
                      <w:vertAlign w:val="subscript"/>
                      <w14:textFill>
                        <w14:solidFill>
                          <w14:schemeClr w14:val="tx1"/>
                        </w14:solidFill>
                      </w14:textFill>
                    </w:rPr>
                    <w:t>Cr</w:t>
                  </w:r>
                </w:p>
              </w:tc>
              <w:tc>
                <w:tcPr>
                  <w:tcW w:w="686" w:type="pct"/>
                  <w:noWrap w:val="0"/>
                  <w:vAlign w:val="center"/>
                </w:tcPr>
                <w:p w14:paraId="3EA44AC2">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608（一期：313.6）*</w:t>
                  </w:r>
                </w:p>
              </w:tc>
              <w:tc>
                <w:tcPr>
                  <w:tcW w:w="757" w:type="pct"/>
                  <w:noWrap w:val="0"/>
                  <w:vAlign w:val="center"/>
                </w:tcPr>
                <w:p w14:paraId="559E9909">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152.0（一期：78.4）**</w:t>
                  </w:r>
                </w:p>
              </w:tc>
              <w:tc>
                <w:tcPr>
                  <w:tcW w:w="721" w:type="pct"/>
                  <w:noWrap w:val="0"/>
                  <w:vAlign w:val="center"/>
                </w:tcPr>
                <w:p w14:paraId="28C11D66">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1428.8（一期：737）*</w:t>
                  </w:r>
                </w:p>
              </w:tc>
              <w:tc>
                <w:tcPr>
                  <w:tcW w:w="724" w:type="pct"/>
                  <w:noWrap w:val="0"/>
                  <w:vAlign w:val="center"/>
                </w:tcPr>
                <w:p w14:paraId="3DAEE936">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152.0（一期：78.4）**</w:t>
                  </w:r>
                </w:p>
              </w:tc>
              <w:tc>
                <w:tcPr>
                  <w:tcW w:w="721" w:type="pct"/>
                  <w:noWrap w:val="0"/>
                  <w:vAlign w:val="center"/>
                </w:tcPr>
                <w:p w14:paraId="1CD49E05">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608（一期：313.6）*</w:t>
                  </w:r>
                </w:p>
              </w:tc>
              <w:tc>
                <w:tcPr>
                  <w:tcW w:w="735" w:type="pct"/>
                  <w:noWrap w:val="0"/>
                  <w:vAlign w:val="center"/>
                </w:tcPr>
                <w:p w14:paraId="69F5D98D">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152.0（一期：78.4）**</w:t>
                  </w:r>
                </w:p>
              </w:tc>
            </w:tr>
            <w:tr w14:paraId="050F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 w:type="pct"/>
                  <w:vMerge w:val="continue"/>
                  <w:noWrap w:val="0"/>
                  <w:vAlign w:val="center"/>
                </w:tcPr>
                <w:p w14:paraId="22828B5F">
                  <w:pPr>
                    <w:spacing w:line="240" w:lineRule="exact"/>
                    <w:ind w:left="-63" w:leftChars="-30" w:right="-63" w:rightChars="-30"/>
                    <w:jc w:val="center"/>
                    <w:rPr>
                      <w:color w:val="000000" w:themeColor="text1"/>
                      <w:sz w:val="18"/>
                      <w:szCs w:val="18"/>
                      <w14:textFill>
                        <w14:solidFill>
                          <w14:schemeClr w14:val="tx1"/>
                        </w14:solidFill>
                      </w14:textFill>
                    </w:rPr>
                  </w:pPr>
                </w:p>
              </w:tc>
              <w:tc>
                <w:tcPr>
                  <w:tcW w:w="425" w:type="pct"/>
                  <w:noWrap w:val="0"/>
                  <w:vAlign w:val="center"/>
                </w:tcPr>
                <w:p w14:paraId="007C171F">
                  <w:pPr>
                    <w:spacing w:line="240" w:lineRule="exact"/>
                    <w:ind w:left="-63" w:leftChars="-30" w:right="-63" w:rightChars="-3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NH</w:t>
                  </w:r>
                  <w:r>
                    <w:rPr>
                      <w:color w:val="000000" w:themeColor="text1"/>
                      <w:sz w:val="18"/>
                      <w:szCs w:val="18"/>
                      <w:vertAlign w:val="subscript"/>
                      <w14:textFill>
                        <w14:solidFill>
                          <w14:schemeClr w14:val="tx1"/>
                        </w14:solidFill>
                      </w14:textFill>
                    </w:rPr>
                    <w:t>3</w:t>
                  </w:r>
                  <w:r>
                    <w:rPr>
                      <w:color w:val="000000" w:themeColor="text1"/>
                      <w:sz w:val="18"/>
                      <w:szCs w:val="18"/>
                      <w14:textFill>
                        <w14:solidFill>
                          <w14:schemeClr w14:val="tx1"/>
                        </w14:solidFill>
                      </w14:textFill>
                    </w:rPr>
                    <w:t>-N</w:t>
                  </w:r>
                </w:p>
              </w:tc>
              <w:tc>
                <w:tcPr>
                  <w:tcW w:w="686" w:type="pct"/>
                  <w:noWrap w:val="0"/>
                  <w:vAlign w:val="center"/>
                </w:tcPr>
                <w:p w14:paraId="3B8178FF">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76.0（一期：39.20）*</w:t>
                  </w:r>
                </w:p>
              </w:tc>
              <w:tc>
                <w:tcPr>
                  <w:tcW w:w="757" w:type="pct"/>
                  <w:noWrap w:val="0"/>
                  <w:vAlign w:val="center"/>
                </w:tcPr>
                <w:p w14:paraId="20D706A2">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15.2（一期：7.84）**</w:t>
                  </w:r>
                </w:p>
              </w:tc>
              <w:tc>
                <w:tcPr>
                  <w:tcW w:w="721" w:type="pct"/>
                  <w:noWrap w:val="0"/>
                  <w:vAlign w:val="center"/>
                </w:tcPr>
                <w:p w14:paraId="268EC437">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106.4（一期：54.88）*</w:t>
                  </w:r>
                </w:p>
              </w:tc>
              <w:tc>
                <w:tcPr>
                  <w:tcW w:w="724" w:type="pct"/>
                  <w:noWrap w:val="0"/>
                  <w:vAlign w:val="center"/>
                </w:tcPr>
                <w:p w14:paraId="0203ACAE">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15.2（一期：7.84）**</w:t>
                  </w:r>
                </w:p>
              </w:tc>
              <w:tc>
                <w:tcPr>
                  <w:tcW w:w="721" w:type="pct"/>
                  <w:noWrap w:val="0"/>
                  <w:vAlign w:val="center"/>
                </w:tcPr>
                <w:p w14:paraId="40539B3E">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76.0（一期：39.20）*</w:t>
                  </w:r>
                </w:p>
              </w:tc>
              <w:tc>
                <w:tcPr>
                  <w:tcW w:w="735" w:type="pct"/>
                  <w:noWrap w:val="0"/>
                  <w:vAlign w:val="center"/>
                </w:tcPr>
                <w:p w14:paraId="662CCFA6">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15.2（一期：7.84）**</w:t>
                  </w:r>
                </w:p>
              </w:tc>
            </w:tr>
            <w:tr w14:paraId="57D5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228" w:type="pct"/>
                  <w:vMerge w:val="continue"/>
                  <w:noWrap w:val="0"/>
                  <w:vAlign w:val="center"/>
                </w:tcPr>
                <w:p w14:paraId="7492C1C3">
                  <w:pPr>
                    <w:spacing w:line="240" w:lineRule="exact"/>
                    <w:ind w:left="-63" w:leftChars="-30" w:right="-63" w:rightChars="-30"/>
                    <w:jc w:val="center"/>
                    <w:rPr>
                      <w:color w:val="000000" w:themeColor="text1"/>
                      <w:sz w:val="18"/>
                      <w:szCs w:val="18"/>
                      <w14:textFill>
                        <w14:solidFill>
                          <w14:schemeClr w14:val="tx1"/>
                        </w14:solidFill>
                      </w14:textFill>
                    </w:rPr>
                  </w:pPr>
                </w:p>
              </w:tc>
              <w:tc>
                <w:tcPr>
                  <w:tcW w:w="425" w:type="pct"/>
                  <w:noWrap w:val="0"/>
                  <w:vAlign w:val="center"/>
                </w:tcPr>
                <w:p w14:paraId="2E839317">
                  <w:pPr>
                    <w:spacing w:line="240" w:lineRule="exact"/>
                    <w:ind w:left="-63" w:leftChars="-30" w:right="-63" w:rightChars="-3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总磷</w:t>
                  </w:r>
                </w:p>
              </w:tc>
              <w:tc>
                <w:tcPr>
                  <w:tcW w:w="686" w:type="pct"/>
                  <w:noWrap w:val="0"/>
                  <w:vAlign w:val="center"/>
                </w:tcPr>
                <w:p w14:paraId="222206BD">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6.08（一期：3.14）*</w:t>
                  </w:r>
                </w:p>
              </w:tc>
              <w:tc>
                <w:tcPr>
                  <w:tcW w:w="757" w:type="pct"/>
                  <w:noWrap w:val="0"/>
                  <w:vAlign w:val="center"/>
                </w:tcPr>
                <w:p w14:paraId="0ECE0386">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1.52（一期：0.78））**</w:t>
                  </w:r>
                </w:p>
              </w:tc>
              <w:tc>
                <w:tcPr>
                  <w:tcW w:w="721" w:type="pct"/>
                  <w:noWrap w:val="0"/>
                  <w:vAlign w:val="center"/>
                </w:tcPr>
                <w:p w14:paraId="13A8567F">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21.28（一期：10.98）*</w:t>
                  </w:r>
                </w:p>
              </w:tc>
              <w:tc>
                <w:tcPr>
                  <w:tcW w:w="724" w:type="pct"/>
                  <w:noWrap w:val="0"/>
                  <w:vAlign w:val="center"/>
                </w:tcPr>
                <w:p w14:paraId="4BF74EA5">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1.52（一期：0.78））**</w:t>
                  </w:r>
                </w:p>
              </w:tc>
              <w:tc>
                <w:tcPr>
                  <w:tcW w:w="721" w:type="pct"/>
                  <w:noWrap w:val="0"/>
                  <w:vAlign w:val="center"/>
                </w:tcPr>
                <w:p w14:paraId="2B461A1B">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6.08（一期：3.14）*</w:t>
                  </w:r>
                </w:p>
              </w:tc>
              <w:tc>
                <w:tcPr>
                  <w:tcW w:w="735" w:type="pct"/>
                  <w:noWrap w:val="0"/>
                  <w:vAlign w:val="center"/>
                </w:tcPr>
                <w:p w14:paraId="11F653C4">
                  <w:pPr>
                    <w:spacing w:line="240" w:lineRule="exact"/>
                    <w:ind w:left="-63" w:leftChars="-30" w:right="-63" w:rightChars="-30"/>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1.52（一期：0.78））**</w:t>
                  </w:r>
                </w:p>
              </w:tc>
            </w:tr>
            <w:tr w14:paraId="5C10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noWrap w:val="0"/>
                  <w:vAlign w:val="center"/>
                </w:tcPr>
                <w:p w14:paraId="45EFD92F">
                  <w:pPr>
                    <w:spacing w:line="240" w:lineRule="exact"/>
                    <w:ind w:left="-63" w:leftChars="-30" w:right="-63" w:rightChars="-30"/>
                    <w:jc w:val="left"/>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备注</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*为</w:t>
                  </w:r>
                  <w:r>
                    <w:rPr>
                      <w:color w:val="000000" w:themeColor="text1"/>
                      <w:sz w:val="18"/>
                      <w:szCs w:val="18"/>
                      <w14:textFill>
                        <w14:solidFill>
                          <w14:schemeClr w14:val="tx1"/>
                        </w14:solidFill>
                      </w14:textFill>
                    </w:rPr>
                    <w:t>厂</w:t>
                  </w:r>
                  <w:r>
                    <w:rPr>
                      <w:rFonts w:hint="eastAsia"/>
                      <w:color w:val="000000" w:themeColor="text1"/>
                      <w:sz w:val="18"/>
                      <w:szCs w:val="18"/>
                      <w:lang w:val="en-US" w:eastAsia="zh-CN"/>
                      <w14:textFill>
                        <w14:solidFill>
                          <w14:schemeClr w14:val="tx1"/>
                        </w14:solidFill>
                      </w14:textFill>
                    </w:rPr>
                    <w:t>区</w:t>
                  </w:r>
                  <w:r>
                    <w:rPr>
                      <w:color w:val="000000" w:themeColor="text1"/>
                      <w:sz w:val="18"/>
                      <w:szCs w:val="18"/>
                      <w14:textFill>
                        <w14:solidFill>
                          <w14:schemeClr w14:val="tx1"/>
                        </w14:solidFill>
                      </w14:textFill>
                    </w:rPr>
                    <w:t>废水站出水</w:t>
                  </w:r>
                  <w:r>
                    <w:rPr>
                      <w:rFonts w:hint="eastAsia"/>
                      <w:color w:val="000000" w:themeColor="text1"/>
                      <w:sz w:val="18"/>
                      <w:szCs w:val="18"/>
                      <w14:textFill>
                        <w14:solidFill>
                          <w14:schemeClr w14:val="tx1"/>
                        </w14:solidFill>
                      </w14:textFill>
                    </w:rPr>
                    <w:t>排放总量</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**为</w:t>
                  </w:r>
                  <w:r>
                    <w:rPr>
                      <w:color w:val="000000" w:themeColor="text1"/>
                      <w:sz w:val="18"/>
                      <w:szCs w:val="18"/>
                      <w14:textFill>
                        <w14:solidFill>
                          <w14:schemeClr w14:val="tx1"/>
                        </w14:solidFill>
                      </w14:textFill>
                    </w:rPr>
                    <w:t>园区污水厂出水排放总量</w:t>
                  </w:r>
                  <w:r>
                    <w:rPr>
                      <w:rFonts w:hint="eastAsia"/>
                      <w:color w:val="000000" w:themeColor="text1"/>
                      <w:sz w:val="18"/>
                      <w:szCs w:val="18"/>
                      <w:lang w:eastAsia="zh-CN"/>
                      <w14:textFill>
                        <w14:solidFill>
                          <w14:schemeClr w14:val="tx1"/>
                        </w14:solidFill>
                      </w14:textFill>
                    </w:rPr>
                    <w:t>。</w:t>
                  </w:r>
                </w:p>
              </w:tc>
            </w:tr>
          </w:tbl>
          <w:p w14:paraId="5CD5FDF0">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p>
          <w:p w14:paraId="04DFD234">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（五）现有厂区</w:t>
            </w:r>
            <w:r>
              <w:rPr>
                <w:rFonts w:hint="eastAsia" w:cs="Times New Roman"/>
                <w:b/>
                <w:bCs/>
                <w:color w:val="000000" w:themeColor="text1"/>
                <w:lang w:val="en-US" w:eastAsia="zh-CN"/>
                <w14:textFill>
                  <w14:solidFill>
                    <w14:schemeClr w14:val="tx1"/>
                  </w14:solidFill>
                </w14:textFill>
              </w:rPr>
              <w:t>涉及的</w:t>
            </w:r>
            <w:r>
              <w:rPr>
                <w:rFonts w:hint="default" w:ascii="Times New Roman" w:hAnsi="Times New Roman" w:eastAsia="宋体" w:cs="Times New Roman"/>
                <w:b/>
                <w:bCs/>
                <w:color w:val="000000" w:themeColor="text1"/>
                <w14:textFill>
                  <w14:solidFill>
                    <w14:schemeClr w14:val="tx1"/>
                  </w14:solidFill>
                </w14:textFill>
              </w:rPr>
              <w:t>环保问题</w:t>
            </w:r>
          </w:p>
          <w:p w14:paraId="13C578C1">
            <w:pPr>
              <w:pStyle w:val="457"/>
              <w:spacing w:line="360" w:lineRule="auto"/>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目前，项目处于重大变动后的建设阶段，主要生产设施及环保设施基本建成，由于主体工程变动后部分环保设施发生变动，已经建成的部分环保设施需要进行调整，具体如下：</w:t>
            </w:r>
          </w:p>
          <w:p w14:paraId="3E61E4BD">
            <w:pPr>
              <w:keepNext/>
              <w:keepLines/>
              <w:spacing w:line="240" w:lineRule="auto"/>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表2-</w:t>
            </w:r>
            <w:r>
              <w:rPr>
                <w:rFonts w:hint="eastAsia" w:cs="Times New Roman"/>
                <w:b/>
                <w:bCs/>
                <w:color w:val="000000" w:themeColor="text1"/>
                <w:szCs w:val="21"/>
                <w:lang w:val="en-US" w:eastAsia="zh-CN"/>
                <w14:textFill>
                  <w14:solidFill>
                    <w14:schemeClr w14:val="tx1"/>
                  </w14:solidFill>
                </w14:textFill>
              </w:rPr>
              <w:t>14</w:t>
            </w:r>
            <w:r>
              <w:rPr>
                <w:rFonts w:hint="default" w:ascii="Times New Roman" w:hAnsi="Times New Roman" w:eastAsia="宋体" w:cs="Times New Roman"/>
                <w:b/>
                <w:bCs/>
                <w:color w:val="000000" w:themeColor="text1"/>
                <w:szCs w:val="21"/>
                <w14:textFill>
                  <w14:solidFill>
                    <w14:schemeClr w14:val="tx1"/>
                  </w14:solidFill>
                </w14:textFill>
              </w:rPr>
              <w:t xml:space="preserve">  </w:t>
            </w:r>
            <w:r>
              <w:rPr>
                <w:rFonts w:hint="eastAsia" w:cs="Times New Roman"/>
                <w:b/>
                <w:bCs/>
                <w:color w:val="000000" w:themeColor="text1"/>
                <w:szCs w:val="21"/>
                <w:lang w:val="en-US" w:eastAsia="zh-CN"/>
                <w14:textFill>
                  <w14:solidFill>
                    <w14:schemeClr w14:val="tx1"/>
                  </w14:solidFill>
                </w14:textFill>
              </w:rPr>
              <w:t>现有工程需要整改的环保治理措施一览表</w:t>
            </w:r>
          </w:p>
          <w:tbl>
            <w:tblPr>
              <w:tblStyle w:val="48"/>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498"/>
              <w:gridCol w:w="2328"/>
              <w:gridCol w:w="5"/>
              <w:gridCol w:w="1770"/>
            </w:tblGrid>
            <w:tr w14:paraId="7713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506" w:type="pct"/>
                  <w:noWrap w:val="0"/>
                  <w:vAlign w:val="center"/>
                </w:tcPr>
                <w:p w14:paraId="686B6D31">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类比</w:t>
                  </w:r>
                </w:p>
              </w:tc>
              <w:tc>
                <w:tcPr>
                  <w:tcW w:w="2067" w:type="pct"/>
                  <w:noWrap w:val="0"/>
                  <w:vAlign w:val="center"/>
                </w:tcPr>
                <w:p w14:paraId="4F3ADC82">
                  <w:pPr>
                    <w:spacing w:line="24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重大变动后</w:t>
                  </w:r>
                  <w:r>
                    <w:rPr>
                      <w:color w:val="000000" w:themeColor="text1"/>
                      <w:sz w:val="18"/>
                      <w:szCs w:val="18"/>
                      <w14:textFill>
                        <w14:solidFill>
                          <w14:schemeClr w14:val="tx1"/>
                        </w14:solidFill>
                      </w14:textFill>
                    </w:rPr>
                    <w:t>环评</w:t>
                  </w:r>
                  <w:r>
                    <w:rPr>
                      <w:rFonts w:hint="eastAsia"/>
                      <w:color w:val="000000" w:themeColor="text1"/>
                      <w:sz w:val="18"/>
                      <w:szCs w:val="18"/>
                      <w:lang w:val="en-US" w:eastAsia="zh-CN"/>
                      <w14:textFill>
                        <w14:solidFill>
                          <w14:schemeClr w14:val="tx1"/>
                        </w14:solidFill>
                      </w14:textFill>
                    </w:rPr>
                    <w:t>要求</w:t>
                  </w:r>
                </w:p>
              </w:tc>
              <w:tc>
                <w:tcPr>
                  <w:tcW w:w="1379" w:type="pct"/>
                  <w:gridSpan w:val="2"/>
                  <w:noWrap w:val="0"/>
                  <w:vAlign w:val="center"/>
                </w:tcPr>
                <w:p w14:paraId="1C5F9B51">
                  <w:pPr>
                    <w:spacing w:line="240" w:lineRule="exact"/>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实际建设内容</w:t>
                  </w:r>
                </w:p>
              </w:tc>
              <w:tc>
                <w:tcPr>
                  <w:tcW w:w="1046" w:type="pct"/>
                  <w:noWrap w:val="0"/>
                  <w:vAlign w:val="center"/>
                </w:tcPr>
                <w:p w14:paraId="303FC7D8">
                  <w:pPr>
                    <w:spacing w:line="24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整改措施</w:t>
                  </w:r>
                </w:p>
              </w:tc>
            </w:tr>
            <w:tr w14:paraId="3339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restart"/>
                  <w:noWrap w:val="0"/>
                  <w:vAlign w:val="center"/>
                </w:tcPr>
                <w:p w14:paraId="31973EE7">
                  <w:pPr>
                    <w:spacing w:line="240" w:lineRule="exac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废气治理设施</w:t>
                  </w:r>
                </w:p>
              </w:tc>
              <w:tc>
                <w:tcPr>
                  <w:tcW w:w="2067" w:type="pct"/>
                  <w:noWrap w:val="0"/>
                  <w:vAlign w:val="center"/>
                </w:tcPr>
                <w:p w14:paraId="44042CD8">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天然气加热炉烟气，经“低氮燃烧+SCR脱硝”处理后，经</w:t>
                  </w:r>
                  <w:r>
                    <w:rPr>
                      <w:rFonts w:hint="eastAsia"/>
                      <w:color w:val="000000" w:themeColor="text1"/>
                      <w:sz w:val="18"/>
                      <w:szCs w:val="18"/>
                      <w:lang w:val="en-US" w:eastAsia="zh-CN"/>
                      <w14:textFill>
                        <w14:solidFill>
                          <w14:schemeClr w14:val="tx1"/>
                        </w14:solidFill>
                      </w14:textFill>
                    </w:rPr>
                    <w:t>6</w:t>
                  </w:r>
                  <w:r>
                    <w:rPr>
                      <w:rFonts w:hint="eastAsia"/>
                      <w:color w:val="000000" w:themeColor="text1"/>
                      <w:sz w:val="18"/>
                      <w:szCs w:val="18"/>
                      <w14:textFill>
                        <w14:solidFill>
                          <w14:schemeClr w14:val="tx1"/>
                        </w14:solidFill>
                      </w14:textFill>
                    </w:rPr>
                    <w:t>0m排气筒排放。</w:t>
                  </w:r>
                </w:p>
              </w:tc>
              <w:tc>
                <w:tcPr>
                  <w:tcW w:w="1376" w:type="pct"/>
                  <w:noWrap w:val="0"/>
                  <w:vAlign w:val="center"/>
                </w:tcPr>
                <w:p w14:paraId="0FDF21C1">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天然气加热炉烟气，经“低氮燃烧+SCR脱硝”处理后，经50m排气筒排放。</w:t>
                  </w:r>
                </w:p>
              </w:tc>
              <w:tc>
                <w:tcPr>
                  <w:tcW w:w="1049" w:type="pct"/>
                  <w:gridSpan w:val="2"/>
                  <w:noWrap w:val="0"/>
                  <w:vAlign w:val="center"/>
                </w:tcPr>
                <w:p w14:paraId="11E84830">
                  <w:pPr>
                    <w:spacing w:line="24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排气筒加高至60m</w:t>
                  </w:r>
                </w:p>
              </w:tc>
            </w:tr>
            <w:tr w14:paraId="73E8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59BEADDA">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46615916">
                  <w:pPr>
                    <w:spacing w:line="240" w:lineRule="exac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天然气净化及转化装置CO</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再生塔多余废气，经</w:t>
                  </w:r>
                  <w:r>
                    <w:rPr>
                      <w:rFonts w:hint="eastAsia"/>
                      <w:color w:val="000000" w:themeColor="text1"/>
                      <w:sz w:val="18"/>
                      <w:szCs w:val="18"/>
                      <w:lang w:val="en-US" w:eastAsia="zh-CN"/>
                      <w14:textFill>
                        <w14:solidFill>
                          <w14:schemeClr w14:val="tx1"/>
                        </w14:solidFill>
                      </w14:textFill>
                    </w:rPr>
                    <w:t>67</w:t>
                  </w:r>
                  <w:r>
                    <w:rPr>
                      <w:rFonts w:hint="eastAsia"/>
                      <w:color w:val="000000" w:themeColor="text1"/>
                      <w:sz w:val="18"/>
                      <w:szCs w:val="18"/>
                      <w14:textFill>
                        <w14:solidFill>
                          <w14:schemeClr w14:val="tx1"/>
                        </w14:solidFill>
                      </w14:textFill>
                    </w:rPr>
                    <w:t>m</w:t>
                  </w:r>
                  <w:r>
                    <w:rPr>
                      <w:rFonts w:hint="eastAsia"/>
                      <w:color w:val="000000" w:themeColor="text1"/>
                      <w:sz w:val="18"/>
                      <w:szCs w:val="18"/>
                      <w:lang w:val="en-US" w:eastAsia="zh-CN"/>
                      <w14:textFill>
                        <w14:solidFill>
                          <w14:schemeClr w14:val="tx1"/>
                        </w14:solidFill>
                      </w14:textFill>
                    </w:rPr>
                    <w:t>高空</w:t>
                  </w:r>
                  <w:r>
                    <w:rPr>
                      <w:rFonts w:hint="eastAsia"/>
                      <w:color w:val="000000" w:themeColor="text1"/>
                      <w:sz w:val="18"/>
                      <w:szCs w:val="18"/>
                      <w14:textFill>
                        <w14:solidFill>
                          <w14:schemeClr w14:val="tx1"/>
                        </w14:solidFill>
                      </w14:textFill>
                    </w:rPr>
                    <w:t>排放</w:t>
                  </w:r>
                  <w:r>
                    <w:rPr>
                      <w:rFonts w:hint="eastAsia"/>
                      <w:color w:val="000000" w:themeColor="text1"/>
                      <w:sz w:val="18"/>
                      <w:szCs w:val="18"/>
                      <w:lang w:eastAsia="zh-CN"/>
                      <w14:textFill>
                        <w14:solidFill>
                          <w14:schemeClr w14:val="tx1"/>
                        </w14:solidFill>
                      </w14:textFill>
                    </w:rPr>
                    <w:t>。</w:t>
                  </w:r>
                </w:p>
              </w:tc>
              <w:tc>
                <w:tcPr>
                  <w:tcW w:w="1376" w:type="pct"/>
                  <w:noWrap w:val="0"/>
                  <w:vAlign w:val="center"/>
                </w:tcPr>
                <w:p w14:paraId="0115A6E4">
                  <w:pPr>
                    <w:spacing w:line="240" w:lineRule="exact"/>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049" w:type="pct"/>
                  <w:gridSpan w:val="2"/>
                  <w:noWrap w:val="0"/>
                  <w:vAlign w:val="center"/>
                </w:tcPr>
                <w:p w14:paraId="520F4742">
                  <w:pPr>
                    <w:spacing w:line="240" w:lineRule="exact"/>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253C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6885A005">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68B21DE8">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/CO深冷分离分子筛吸附器解析废气，送天然气转化及净化装置循环回用。</w:t>
                  </w:r>
                </w:p>
              </w:tc>
              <w:tc>
                <w:tcPr>
                  <w:tcW w:w="1376" w:type="pct"/>
                  <w:noWrap w:val="0"/>
                  <w:vAlign w:val="center"/>
                </w:tcPr>
                <w:p w14:paraId="1C8E9B3C">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049" w:type="pct"/>
                  <w:gridSpan w:val="2"/>
                  <w:noWrap w:val="0"/>
                  <w:vAlign w:val="center"/>
                </w:tcPr>
                <w:p w14:paraId="12B6D95F">
                  <w:pPr>
                    <w:spacing w:line="240" w:lineRule="exac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5932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20336390">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2A4E1355">
                  <w:pPr>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w:t>
                  </w:r>
                  <w:r>
                    <w:rPr>
                      <w:rFonts w:hint="eastAsia"/>
                      <w:color w:val="000000" w:themeColor="text1"/>
                      <w:sz w:val="18"/>
                      <w:szCs w:val="18"/>
                      <w:vertAlign w:val="subscript"/>
                      <w14:textFill>
                        <w14:solidFill>
                          <w14:schemeClr w14:val="tx1"/>
                        </w14:solidFill>
                      </w14:textFill>
                    </w:rPr>
                    <w:t>2</w:t>
                  </w:r>
                  <w:r>
                    <w:rPr>
                      <w:rFonts w:hint="eastAsia"/>
                      <w:color w:val="000000" w:themeColor="text1"/>
                      <w:sz w:val="18"/>
                      <w:szCs w:val="18"/>
                      <w14:textFill>
                        <w14:solidFill>
                          <w14:schemeClr w14:val="tx1"/>
                        </w14:solidFill>
                      </w14:textFill>
                    </w:rPr>
                    <w:t>/CO深冷分离脱氮气/甲烷废气，送天然气加热炉处理。</w:t>
                  </w:r>
                </w:p>
              </w:tc>
              <w:tc>
                <w:tcPr>
                  <w:tcW w:w="1376" w:type="pct"/>
                  <w:noWrap w:val="0"/>
                  <w:vAlign w:val="center"/>
                </w:tcPr>
                <w:p w14:paraId="3A7814F1">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7822D8B4">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0DDE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0898A6D7">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2B4E7179">
                  <w:pPr>
                    <w:spacing w:line="240" w:lineRule="exac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乙二醇装置酯化单元尾气吸收塔尾气</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送废气废液焚烧炉处理。</w:t>
                  </w:r>
                </w:p>
              </w:tc>
              <w:tc>
                <w:tcPr>
                  <w:tcW w:w="1376" w:type="pct"/>
                  <w:noWrap w:val="0"/>
                  <w:vAlign w:val="center"/>
                </w:tcPr>
                <w:p w14:paraId="680BB8AC">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7B4471A2">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23E1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3CCC40FB">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660F7E88">
                  <w:pPr>
                    <w:spacing w:line="240" w:lineRule="exac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乙二醇装置加氢单元PSA装置解析气</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送废气废液焚烧炉处理。</w:t>
                  </w:r>
                </w:p>
              </w:tc>
              <w:tc>
                <w:tcPr>
                  <w:tcW w:w="2328" w:type="dxa"/>
                  <w:noWrap w:val="0"/>
                  <w:vAlign w:val="center"/>
                </w:tcPr>
                <w:p w14:paraId="71F6899D">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2A283769">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490E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5223F854">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43D98867">
                  <w:pPr>
                    <w:spacing w:line="240" w:lineRule="exact"/>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乙二醇装置精馏尾气气液分离罐不凝气</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14:textFill>
                        <w14:solidFill>
                          <w14:schemeClr w14:val="tx1"/>
                        </w14:solidFill>
                      </w14:textFill>
                    </w:rPr>
                    <w:t>送废气废液焚烧炉处理。</w:t>
                  </w:r>
                </w:p>
              </w:tc>
              <w:tc>
                <w:tcPr>
                  <w:tcW w:w="2328" w:type="dxa"/>
                  <w:noWrap w:val="0"/>
                  <w:vAlign w:val="center"/>
                </w:tcPr>
                <w:p w14:paraId="1024C7DD">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6FA28D77">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0700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6F34F684">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0A83620C">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乙二醇装置精制单元中间罐/第一脱醇塔减压释放气，送废气废液焚烧炉处理。</w:t>
                  </w:r>
                </w:p>
              </w:tc>
              <w:tc>
                <w:tcPr>
                  <w:tcW w:w="2328" w:type="dxa"/>
                  <w:noWrap w:val="0"/>
                  <w:vAlign w:val="center"/>
                </w:tcPr>
                <w:p w14:paraId="5033FAC3">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0A740087">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6B39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4090A30D">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517484C5">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乙二醇装置液相加氢出气分离罐排放气，送废气废液焚烧炉处理。</w:t>
                  </w:r>
                </w:p>
              </w:tc>
              <w:tc>
                <w:tcPr>
                  <w:tcW w:w="2328" w:type="dxa"/>
                  <w:noWrap w:val="0"/>
                  <w:vAlign w:val="center"/>
                </w:tcPr>
                <w:p w14:paraId="3F27806D">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1EA287BB">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3591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4082BA34">
                  <w:pPr>
                    <w:spacing w:line="240" w:lineRule="exact"/>
                    <w:jc w:val="center"/>
                    <w:rPr>
                      <w:rFonts w:hint="eastAsia"/>
                      <w:color w:val="000000" w:themeColor="text1"/>
                      <w:sz w:val="18"/>
                      <w:szCs w:val="18"/>
                      <w14:textFill>
                        <w14:solidFill>
                          <w14:schemeClr w14:val="tx1"/>
                        </w14:solidFill>
                      </w14:textFill>
                    </w:rPr>
                  </w:pPr>
                </w:p>
              </w:tc>
              <w:tc>
                <w:tcPr>
                  <w:tcW w:w="2067" w:type="pct"/>
                  <w:noWrap w:val="0"/>
                  <w:vAlign w:val="center"/>
                </w:tcPr>
                <w:p w14:paraId="04C416FB">
                  <w:pPr>
                    <w:spacing w:line="240" w:lineRule="exac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中间罐区、原料及副产物罐区、装卸废气送</w:t>
                  </w:r>
                  <w:r>
                    <w:rPr>
                      <w:rFonts w:hint="eastAsia"/>
                      <w:color w:val="000000" w:themeColor="text1"/>
                      <w:sz w:val="18"/>
                      <w:szCs w:val="18"/>
                      <w14:textFill>
                        <w14:solidFill>
                          <w14:schemeClr w14:val="tx1"/>
                        </w14:solidFill>
                      </w14:textFill>
                    </w:rPr>
                    <w:t>废气废液焚烧炉处理。</w:t>
                  </w:r>
                </w:p>
              </w:tc>
              <w:tc>
                <w:tcPr>
                  <w:tcW w:w="2328" w:type="dxa"/>
                  <w:noWrap w:val="0"/>
                  <w:vAlign w:val="center"/>
                </w:tcPr>
                <w:p w14:paraId="64A6CF95">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137F7B6A">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1D5F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06" w:type="pct"/>
                  <w:vMerge w:val="continue"/>
                  <w:noWrap w:val="0"/>
                  <w:vAlign w:val="center"/>
                </w:tcPr>
                <w:p w14:paraId="456F38DE">
                  <w:pPr>
                    <w:spacing w:line="240" w:lineRule="exact"/>
                    <w:jc w:val="center"/>
                    <w:rPr>
                      <w:rFonts w:hint="eastAsia"/>
                      <w:color w:val="000000" w:themeColor="text1"/>
                      <w:sz w:val="18"/>
                      <w:szCs w:val="18"/>
                      <w14:textFill>
                        <w14:solidFill>
                          <w14:schemeClr w14:val="tx1"/>
                        </w14:solidFill>
                      </w14:textFill>
                    </w:rPr>
                  </w:pPr>
                </w:p>
              </w:tc>
              <w:tc>
                <w:tcPr>
                  <w:tcW w:w="2067" w:type="pct"/>
                  <w:noWrap w:val="0"/>
                  <w:vAlign w:val="center"/>
                </w:tcPr>
                <w:p w14:paraId="4B14A074">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废气废液焚烧炉</w:t>
                  </w:r>
                  <w:r>
                    <w:rPr>
                      <w:color w:val="000000" w:themeColor="text1"/>
                      <w:sz w:val="18"/>
                      <w:szCs w:val="18"/>
                      <w14:textFill>
                        <w14:solidFill>
                          <w14:schemeClr w14:val="tx1"/>
                        </w14:solidFill>
                      </w14:textFill>
                    </w:rPr>
                    <w:t>废气</w:t>
                  </w:r>
                  <w:r>
                    <w:rPr>
                      <w:rFonts w:hint="eastAsia"/>
                      <w:color w:val="000000" w:themeColor="text1"/>
                      <w:sz w:val="18"/>
                      <w:szCs w:val="18"/>
                      <w14:textFill>
                        <w14:solidFill>
                          <w14:schemeClr w14:val="tx1"/>
                        </w14:solidFill>
                      </w14:textFill>
                    </w:rPr>
                    <w:t>采用“低氮燃烧+余热锅炉+</w:t>
                  </w:r>
                  <w:r>
                    <w:rPr>
                      <w:rFonts w:hint="eastAsia"/>
                      <w:color w:val="000000" w:themeColor="text1"/>
                      <w:sz w:val="18"/>
                      <w:szCs w:val="18"/>
                      <w:lang w:val="en-US" w:eastAsia="zh-CN"/>
                      <w14:textFill>
                        <w14:solidFill>
                          <w14:schemeClr w14:val="tx1"/>
                        </w14:solidFill>
                      </w14:textFill>
                    </w:rPr>
                    <w:t>SNCR脱硝+</w:t>
                  </w:r>
                  <w:r>
                    <w:rPr>
                      <w:rFonts w:hint="eastAsia"/>
                      <w:color w:val="000000" w:themeColor="text1"/>
                      <w:sz w:val="18"/>
                      <w:szCs w:val="18"/>
                      <w14:textFill>
                        <w14:solidFill>
                          <w14:schemeClr w14:val="tx1"/>
                        </w14:solidFill>
                      </w14:textFill>
                    </w:rPr>
                    <w:t>SCR脱硝”处理后，经50</w:t>
                  </w:r>
                  <w:r>
                    <w:rPr>
                      <w:color w:val="000000" w:themeColor="text1"/>
                      <w:sz w:val="18"/>
                      <w:szCs w:val="18"/>
                      <w14:textFill>
                        <w14:solidFill>
                          <w14:schemeClr w14:val="tx1"/>
                        </w14:solidFill>
                      </w14:textFill>
                    </w:rPr>
                    <w:t>m排气筒排放</w:t>
                  </w:r>
                  <w:r>
                    <w:rPr>
                      <w:rFonts w:hint="eastAsia"/>
                      <w:color w:val="000000" w:themeColor="text1"/>
                      <w:sz w:val="18"/>
                      <w:szCs w:val="18"/>
                      <w14:textFill>
                        <w14:solidFill>
                          <w14:schemeClr w14:val="tx1"/>
                        </w14:solidFill>
                      </w14:textFill>
                    </w:rPr>
                    <w:t>。</w:t>
                  </w:r>
                </w:p>
              </w:tc>
              <w:tc>
                <w:tcPr>
                  <w:tcW w:w="2328" w:type="dxa"/>
                  <w:noWrap w:val="0"/>
                  <w:vAlign w:val="center"/>
                </w:tcPr>
                <w:p w14:paraId="29486080">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43AE80D2">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03F3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Merge w:val="continue"/>
                  <w:noWrap w:val="0"/>
                  <w:vAlign w:val="center"/>
                </w:tcPr>
                <w:p w14:paraId="36830AE4">
                  <w:pPr>
                    <w:spacing w:line="240" w:lineRule="exact"/>
                    <w:jc w:val="center"/>
                    <w:rPr>
                      <w:rFonts w:hint="eastAsia"/>
                      <w:color w:val="000000" w:themeColor="text1"/>
                      <w:sz w:val="18"/>
                      <w:szCs w:val="18"/>
                      <w14:textFill>
                        <w14:solidFill>
                          <w14:schemeClr w14:val="tx1"/>
                        </w14:solidFill>
                      </w14:textFill>
                    </w:rPr>
                  </w:pPr>
                </w:p>
              </w:tc>
              <w:tc>
                <w:tcPr>
                  <w:tcW w:w="2067" w:type="pct"/>
                  <w:noWrap w:val="0"/>
                  <w:vAlign w:val="center"/>
                </w:tcPr>
                <w:p w14:paraId="2988EE7E">
                  <w:pPr>
                    <w:spacing w:line="240" w:lineRule="exact"/>
                    <w:jc w:val="center"/>
                    <w:rPr>
                      <w:rFonts w:hint="eastAsia"/>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污水处理站</w:t>
                  </w:r>
                  <w:r>
                    <w:rPr>
                      <w:rFonts w:hint="eastAsia"/>
                      <w:color w:val="000000" w:themeColor="text1"/>
                      <w:sz w:val="18"/>
                      <w:szCs w:val="18"/>
                      <w14:textFill>
                        <w14:solidFill>
                          <w14:schemeClr w14:val="tx1"/>
                        </w14:solidFill>
                      </w14:textFill>
                    </w:rPr>
                    <w:t>臭气经“碱洗+生物滴滤+生物滤池+活性炭（含脱附再生）”</w:t>
                  </w:r>
                  <w:r>
                    <w:rPr>
                      <w:color w:val="000000" w:themeColor="text1"/>
                      <w:sz w:val="18"/>
                      <w:szCs w:val="18"/>
                      <w14:textFill>
                        <w14:solidFill>
                          <w14:schemeClr w14:val="tx1"/>
                        </w14:solidFill>
                      </w14:textFill>
                    </w:rPr>
                    <w:t>后</w:t>
                  </w:r>
                  <w:r>
                    <w:rPr>
                      <w:rFonts w:hint="eastAsia"/>
                      <w:color w:val="000000" w:themeColor="text1"/>
                      <w:sz w:val="18"/>
                      <w:szCs w:val="18"/>
                      <w14:textFill>
                        <w14:solidFill>
                          <w14:schemeClr w14:val="tx1"/>
                        </w14:solidFill>
                      </w14:textFill>
                    </w:rPr>
                    <w:t>，通过15m排气筒达标排放。</w:t>
                  </w:r>
                </w:p>
              </w:tc>
              <w:tc>
                <w:tcPr>
                  <w:tcW w:w="2328" w:type="dxa"/>
                  <w:noWrap w:val="0"/>
                  <w:vAlign w:val="center"/>
                </w:tcPr>
                <w:p w14:paraId="3DBA3412">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4BAE8B03">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1957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06" w:type="pct"/>
                  <w:vMerge w:val="continue"/>
                  <w:noWrap w:val="0"/>
                  <w:vAlign w:val="center"/>
                </w:tcPr>
                <w:p w14:paraId="74CF6ECA">
                  <w:pPr>
                    <w:spacing w:line="240" w:lineRule="exact"/>
                    <w:jc w:val="center"/>
                    <w:rPr>
                      <w:color w:val="000000" w:themeColor="text1"/>
                      <w:sz w:val="18"/>
                      <w:szCs w:val="18"/>
                      <w14:textFill>
                        <w14:solidFill>
                          <w14:schemeClr w14:val="tx1"/>
                        </w14:solidFill>
                      </w14:textFill>
                    </w:rPr>
                  </w:pPr>
                </w:p>
              </w:tc>
              <w:tc>
                <w:tcPr>
                  <w:tcW w:w="2067" w:type="pct"/>
                  <w:noWrap w:val="0"/>
                  <w:vAlign w:val="center"/>
                </w:tcPr>
                <w:p w14:paraId="60BD3F87">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危废暂存间废气采用“活性炭吸附”处理后，通过15m排气筒达标排放。</w:t>
                  </w:r>
                </w:p>
              </w:tc>
              <w:tc>
                <w:tcPr>
                  <w:tcW w:w="2328" w:type="dxa"/>
                  <w:noWrap w:val="0"/>
                  <w:vAlign w:val="center"/>
                </w:tcPr>
                <w:p w14:paraId="5FF16CB7">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02DB6E67">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4DE6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06" w:type="pct"/>
                  <w:noWrap w:val="0"/>
                  <w:vAlign w:val="center"/>
                </w:tcPr>
                <w:p w14:paraId="3D51E06C">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废水治理设施</w:t>
                  </w:r>
                </w:p>
              </w:tc>
              <w:tc>
                <w:tcPr>
                  <w:tcW w:w="2067" w:type="pct"/>
                  <w:noWrap w:val="0"/>
                  <w:vAlign w:val="center"/>
                </w:tcPr>
                <w:p w14:paraId="09F02883">
                  <w:pPr>
                    <w:spacing w:line="240" w:lineRule="exact"/>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高浓度废水调节池+预酸化池+高效脱氮反应器+沉淀池+初混池+综合调节池+涡凹气浮+两级AO+二沉池+高效沉淀池+臭氧氧化</w:t>
                  </w:r>
                  <w:r>
                    <w:rPr>
                      <w:rFonts w:hint="eastAsia"/>
                      <w:color w:val="000000" w:themeColor="text1"/>
                      <w:sz w:val="18"/>
                      <w:szCs w:val="18"/>
                      <w:lang w:eastAsia="zh-CN"/>
                      <w14:textFill>
                        <w14:solidFill>
                          <w14:schemeClr w14:val="tx1"/>
                        </w14:solidFill>
                      </w14:textFill>
                    </w:rPr>
                    <w:t>。</w:t>
                  </w:r>
                </w:p>
              </w:tc>
              <w:tc>
                <w:tcPr>
                  <w:tcW w:w="2328" w:type="dxa"/>
                  <w:noWrap w:val="0"/>
                  <w:vAlign w:val="center"/>
                </w:tcPr>
                <w:p w14:paraId="7097E6B6">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27067B89">
                  <w:pPr>
                    <w:spacing w:line="24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14:paraId="3DCE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6" w:type="pct"/>
                  <w:noWrap w:val="0"/>
                  <w:vAlign w:val="center"/>
                </w:tcPr>
                <w:p w14:paraId="4573DFF8">
                  <w:pPr>
                    <w:spacing w:line="240" w:lineRule="exac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固废污染防治措施</w:t>
                  </w:r>
                </w:p>
              </w:tc>
              <w:tc>
                <w:tcPr>
                  <w:tcW w:w="2067" w:type="pct"/>
                  <w:noWrap w:val="0"/>
                  <w:vAlign w:val="center"/>
                </w:tcPr>
                <w:p w14:paraId="49845AF8">
                  <w:pPr>
                    <w:spacing w:line="240" w:lineRule="exact"/>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危废暂存间</w:t>
                  </w:r>
                </w:p>
                <w:p w14:paraId="5506C8FF">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占地面积为451m</w:t>
                  </w:r>
                  <w:r>
                    <w:rPr>
                      <w:rFonts w:hint="eastAsia"/>
                      <w:color w:val="000000" w:themeColor="text1"/>
                      <w:sz w:val="18"/>
                      <w:szCs w:val="18"/>
                      <w:vertAlign w:val="superscript"/>
                      <w14:textFill>
                        <w14:solidFill>
                          <w14:schemeClr w14:val="tx1"/>
                        </w14:solidFill>
                      </w14:textFill>
                    </w:rPr>
                    <w:t>2</w:t>
                  </w:r>
                </w:p>
              </w:tc>
              <w:tc>
                <w:tcPr>
                  <w:tcW w:w="2328" w:type="dxa"/>
                  <w:noWrap w:val="0"/>
                  <w:vAlign w:val="center"/>
                </w:tcPr>
                <w:p w14:paraId="0D6E1E71">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与重大变动后一致</w:t>
                  </w:r>
                </w:p>
              </w:tc>
              <w:tc>
                <w:tcPr>
                  <w:tcW w:w="1775" w:type="dxa"/>
                  <w:gridSpan w:val="2"/>
                  <w:noWrap w:val="0"/>
                  <w:vAlign w:val="center"/>
                </w:tcPr>
                <w:p w14:paraId="3CEEDBE9">
                  <w:pPr>
                    <w:spacing w:line="240" w:lineRule="exact"/>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bl>
          <w:p w14:paraId="4A211E8F">
            <w:pPr>
              <w:pStyle w:val="457"/>
              <w:spacing w:line="360" w:lineRule="auto"/>
              <w:ind w:left="0" w:leftChars="0" w:firstLine="0" w:firstLineChars="0"/>
              <w:rPr>
                <w:rFonts w:hint="default" w:ascii="Times New Roman" w:hAnsi="Times New Roman" w:eastAsia="宋体" w:cs="Times New Roman"/>
                <w:color w:val="000000" w:themeColor="text1"/>
                <w14:textFill>
                  <w14:solidFill>
                    <w14:schemeClr w14:val="tx1"/>
                  </w14:solidFill>
                </w14:textFill>
              </w:rPr>
            </w:pPr>
          </w:p>
        </w:tc>
      </w:tr>
    </w:tbl>
    <w:p w14:paraId="27A61E39">
      <w:pPr>
        <w:pStyle w:val="42"/>
        <w:jc w:val="center"/>
        <w:rPr>
          <w:rFonts w:hint="default" w:ascii="Times New Roman" w:hAnsi="Times New Roman" w:eastAsia="宋体" w:cs="Times New Roman"/>
          <w:snapToGrid w:val="0"/>
          <w:color w:val="000000" w:themeColor="text1"/>
          <w:sz w:val="21"/>
          <w:szCs w:val="21"/>
          <w:highlight w:val="yellow"/>
          <w14:textFill>
            <w14:solidFill>
              <w14:schemeClr w14:val="tx1"/>
            </w14:solidFill>
          </w14:textFill>
        </w:rPr>
        <w:sectPr>
          <w:pgSz w:w="11906" w:h="16838"/>
          <w:pgMar w:top="1701" w:right="1531" w:bottom="1701" w:left="1531" w:header="851" w:footer="851" w:gutter="0"/>
          <w:cols w:space="720" w:num="1"/>
          <w:docGrid w:linePitch="312" w:charSpace="0"/>
        </w:sectPr>
      </w:pPr>
    </w:p>
    <w:p w14:paraId="4BFA5580">
      <w:pPr>
        <w:pStyle w:val="2"/>
        <w:numPr>
          <w:ilvl w:val="0"/>
          <w:numId w:val="0"/>
        </w:numPr>
        <w:spacing w:line="260" w:lineRule="auto"/>
        <w:jc w:val="center"/>
        <w:rPr>
          <w:rFonts w:hint="default" w:ascii="Times New Roman" w:hAnsi="Times New Roman" w:eastAsia="宋体" w:cs="Times New Roman"/>
          <w:color w:val="000000" w:themeColor="text1"/>
          <w14:textFill>
            <w14:solidFill>
              <w14:schemeClr w14:val="tx1"/>
            </w14:solidFill>
          </w14:textFill>
        </w:rPr>
      </w:pPr>
      <w:bookmarkStart w:id="8" w:name="_Toc14094"/>
      <w:r>
        <w:rPr>
          <w:rFonts w:hint="default" w:ascii="Times New Roman" w:hAnsi="Times New Roman" w:eastAsia="宋体" w:cs="Times New Roman"/>
          <w:color w:val="000000" w:themeColor="text1"/>
          <w14:textFill>
            <w14:solidFill>
              <w14:schemeClr w14:val="tx1"/>
            </w14:solidFill>
          </w14:textFill>
        </w:rPr>
        <w:t>三、区域环境质量现状、环境保护目标及评价标准</w:t>
      </w:r>
      <w:bookmarkEnd w:id="8"/>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457"/>
      </w:tblGrid>
      <w:tr w14:paraId="0F3D2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vAlign w:val="center"/>
          </w:tcPr>
          <w:p w14:paraId="624357F1">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区域环境</w:t>
            </w:r>
          </w:p>
          <w:p w14:paraId="1F5CBA35">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质量</w:t>
            </w:r>
          </w:p>
          <w:p w14:paraId="23C831DE">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现状</w:t>
            </w:r>
          </w:p>
        </w:tc>
        <w:tc>
          <w:tcPr>
            <w:tcW w:w="8457" w:type="dxa"/>
            <w:vAlign w:val="center"/>
          </w:tcPr>
          <w:p w14:paraId="082EECA4">
            <w:pPr>
              <w:adjustRightInd w:val="0"/>
              <w:snapToGrid w:val="0"/>
              <w:spacing w:line="360" w:lineRule="auto"/>
              <w:rPr>
                <w:rFonts w:hint="default" w:ascii="Times New Roman" w:hAnsi="Times New Roman" w:eastAsia="宋体" w:cs="Times New Roman"/>
                <w:b/>
                <w:bCs/>
                <w:snapToGrid w:val="0"/>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14:textFill>
                  <w14:solidFill>
                    <w14:schemeClr w14:val="tx1"/>
                  </w14:solidFill>
                </w14:textFill>
              </w:rPr>
              <w:t>一、大气环境质量现状</w:t>
            </w:r>
          </w:p>
          <w:p w14:paraId="01DB612B">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根据《环境影响评价技术导则 大气环境》（HJ2.2-2018），环境空气质量现状调查与评价中规定，项目所在区域达标判定，优先选用国家或地方生态环境主管部门公开发布的评价基准年环境质量公告或环境质量报告中的数据或结论。</w:t>
            </w:r>
          </w:p>
          <w:p w14:paraId="30954C71">
            <w:pPr>
              <w:keepNext/>
              <w:keepLines/>
              <w:spacing w:line="360" w:lineRule="auto"/>
              <w:ind w:firstLine="480" w:firstLineChars="200"/>
              <w:rPr>
                <w:rFonts w:hint="default" w:ascii="Times New Roman" w:hAnsi="Times New Roman" w:eastAsia="宋体" w:cs="Times New Roman"/>
                <w:color w:val="000000" w:themeColor="text1"/>
                <w:sz w:val="24"/>
                <w:lang w:val="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（1）项目所在区域环境质量达标情况</w:t>
            </w:r>
          </w:p>
          <w:p w14:paraId="7748A978">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生态环境局2025年1月公布的《达州市2024年环境空气质量状况》中相关数据和结论：</w:t>
            </w:r>
          </w:p>
          <w:p w14:paraId="409543B5">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宣汉县全年有效监测天数366天，达标天数342天，达标率为93.4%。其中：优187天，占51.1%，良155天，占42.3%，轻度污染18天，占4.9%，中度污染6天，占1.6%，重度污染0天。</w:t>
            </w:r>
          </w:p>
          <w:p w14:paraId="27E6E7AF">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宣汉县内SO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年均值为6微克/立方米，NO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年均值为20微克/立方米，CO年均值为1.2毫克/立方米，O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年均值为90微克/立方米，PM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年均值为29微克/立方米，PM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年均值为55微克/立方米，详见下表。</w:t>
            </w:r>
          </w:p>
          <w:p w14:paraId="321B3A04">
            <w:pPr>
              <w:pStyle w:val="459"/>
              <w:spacing w:beforeLines="0" w:line="240" w:lineRule="auto"/>
              <w:ind w:firstLine="422"/>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表3-1  区域空气质量现状评价表</w:t>
            </w:r>
          </w:p>
          <w:tbl>
            <w:tblPr>
              <w:tblStyle w:val="48"/>
              <w:tblW w:w="80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1"/>
              <w:gridCol w:w="1938"/>
              <w:gridCol w:w="1123"/>
              <w:gridCol w:w="1363"/>
              <w:gridCol w:w="1549"/>
              <w:gridCol w:w="1203"/>
            </w:tblGrid>
            <w:tr w14:paraId="313804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tblHeader/>
                <w:jc w:val="center"/>
              </w:trPr>
              <w:tc>
                <w:tcPr>
                  <w:tcW w:w="921" w:type="dxa"/>
                  <w:tcBorders>
                    <w:bottom w:val="single" w:color="auto" w:sz="4" w:space="0"/>
                    <w:right w:val="single" w:color="auto" w:sz="4" w:space="0"/>
                  </w:tcBorders>
                  <w:vAlign w:val="center"/>
                </w:tcPr>
                <w:p w14:paraId="61132421">
                  <w:pPr>
                    <w:pStyle w:val="522"/>
                    <w:spacing w:line="32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1938" w:type="dxa"/>
                  <w:tcBorders>
                    <w:left w:val="single" w:color="auto" w:sz="4" w:space="0"/>
                    <w:bottom w:val="single" w:color="auto" w:sz="4" w:space="0"/>
                    <w:right w:val="single" w:color="auto" w:sz="4" w:space="0"/>
                  </w:tcBorders>
                  <w:vAlign w:val="center"/>
                </w:tcPr>
                <w:p w14:paraId="4D3A75E7">
                  <w:pPr>
                    <w:pStyle w:val="522"/>
                    <w:spacing w:line="32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年评价指标</w:t>
                  </w:r>
                </w:p>
              </w:tc>
              <w:tc>
                <w:tcPr>
                  <w:tcW w:w="1123" w:type="dxa"/>
                  <w:tcBorders>
                    <w:left w:val="single" w:color="auto" w:sz="4" w:space="0"/>
                    <w:bottom w:val="single" w:color="auto" w:sz="4" w:space="0"/>
                    <w:right w:val="single" w:color="auto" w:sz="4" w:space="0"/>
                  </w:tcBorders>
                  <w:vAlign w:val="center"/>
                </w:tcPr>
                <w:p w14:paraId="14953995">
                  <w:pPr>
                    <w:widowControl/>
                    <w:jc w:val="center"/>
                    <w:textAlignment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现状浓度（μg/m</w:t>
                  </w:r>
                  <w:r>
                    <w:rPr>
                      <w:rFonts w:hint="default" w:ascii="Times New Roman" w:hAnsi="Times New Roman" w:eastAsia="宋体" w:cs="Times New Roman"/>
                      <w:b/>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Cs w:val="21"/>
                      <w14:textFill>
                        <w14:solidFill>
                          <w14:schemeClr w14:val="tx1"/>
                        </w14:solidFill>
                      </w14:textFill>
                    </w:rPr>
                    <w:t>）</w:t>
                  </w:r>
                </w:p>
              </w:tc>
              <w:tc>
                <w:tcPr>
                  <w:tcW w:w="1363" w:type="dxa"/>
                  <w:tcBorders>
                    <w:left w:val="single" w:color="auto" w:sz="4" w:space="0"/>
                    <w:bottom w:val="single" w:color="auto" w:sz="4" w:space="0"/>
                    <w:right w:val="single" w:color="auto" w:sz="4" w:space="0"/>
                  </w:tcBorders>
                  <w:vAlign w:val="center"/>
                </w:tcPr>
                <w:p w14:paraId="450AB8FF">
                  <w:pPr>
                    <w:widowControl/>
                    <w:jc w:val="center"/>
                    <w:textAlignment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标准值（μg/m</w:t>
                  </w:r>
                  <w:r>
                    <w:rPr>
                      <w:rFonts w:hint="default" w:ascii="Times New Roman" w:hAnsi="Times New Roman" w:eastAsia="宋体" w:cs="Times New Roman"/>
                      <w:b/>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Cs w:val="21"/>
                      <w14:textFill>
                        <w14:solidFill>
                          <w14:schemeClr w14:val="tx1"/>
                        </w14:solidFill>
                      </w14:textFill>
                    </w:rPr>
                    <w:t>）</w:t>
                  </w:r>
                </w:p>
              </w:tc>
              <w:tc>
                <w:tcPr>
                  <w:tcW w:w="1549" w:type="dxa"/>
                  <w:tcBorders>
                    <w:left w:val="single" w:color="auto" w:sz="4" w:space="0"/>
                    <w:bottom w:val="single" w:color="auto" w:sz="4" w:space="0"/>
                    <w:right w:val="single" w:color="auto" w:sz="4" w:space="0"/>
                  </w:tcBorders>
                  <w:vAlign w:val="center"/>
                </w:tcPr>
                <w:p w14:paraId="1FB310BF">
                  <w:pPr>
                    <w:pStyle w:val="522"/>
                    <w:spacing w:line="32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占标率（%）</w:t>
                  </w:r>
                </w:p>
              </w:tc>
              <w:tc>
                <w:tcPr>
                  <w:tcW w:w="1203" w:type="dxa"/>
                  <w:tcBorders>
                    <w:left w:val="single" w:color="auto" w:sz="4" w:space="0"/>
                    <w:bottom w:val="single" w:color="auto" w:sz="4" w:space="0"/>
                  </w:tcBorders>
                  <w:vAlign w:val="center"/>
                </w:tcPr>
                <w:p w14:paraId="6817A168">
                  <w:pPr>
                    <w:pStyle w:val="522"/>
                    <w:spacing w:line="320" w:lineRule="exact"/>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14:paraId="1DC6BB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21" w:type="dxa"/>
                  <w:tcBorders>
                    <w:top w:val="single" w:color="auto" w:sz="4" w:space="0"/>
                    <w:bottom w:val="single" w:color="auto" w:sz="4" w:space="0"/>
                    <w:right w:val="single" w:color="auto" w:sz="4" w:space="0"/>
                  </w:tcBorders>
                  <w:vAlign w:val="center"/>
                </w:tcPr>
                <w:p w14:paraId="1070DB85">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SO</w:t>
                  </w:r>
                  <w:r>
                    <w:rPr>
                      <w:rFonts w:hint="default" w:ascii="Times New Roman" w:hAnsi="Times New Roman" w:eastAsia="宋体" w:cs="Times New Roman"/>
                      <w:color w:val="000000" w:themeColor="text1"/>
                      <w:kern w:val="0"/>
                      <w:szCs w:val="21"/>
                      <w:vertAlign w:val="subscript"/>
                      <w14:textFill>
                        <w14:solidFill>
                          <w14:schemeClr w14:val="tx1"/>
                        </w14:solidFill>
                      </w14:textFill>
                    </w:rPr>
                    <w:t>2</w:t>
                  </w:r>
                </w:p>
              </w:tc>
              <w:tc>
                <w:tcPr>
                  <w:tcW w:w="1938" w:type="dxa"/>
                  <w:tcBorders>
                    <w:top w:val="single" w:color="auto" w:sz="4" w:space="0"/>
                    <w:left w:val="single" w:color="auto" w:sz="4" w:space="0"/>
                    <w:bottom w:val="single" w:color="auto" w:sz="4" w:space="0"/>
                    <w:right w:val="single" w:color="auto" w:sz="4" w:space="0"/>
                  </w:tcBorders>
                  <w:vAlign w:val="center"/>
                </w:tcPr>
                <w:p w14:paraId="75D8EF21">
                  <w:pPr>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年平均</w:t>
                  </w:r>
                </w:p>
              </w:tc>
              <w:tc>
                <w:tcPr>
                  <w:tcW w:w="1123" w:type="dxa"/>
                  <w:tcBorders>
                    <w:top w:val="single" w:color="auto" w:sz="4" w:space="0"/>
                    <w:left w:val="single" w:color="auto" w:sz="4" w:space="0"/>
                    <w:bottom w:val="single" w:color="auto" w:sz="4" w:space="0"/>
                    <w:right w:val="single" w:color="auto" w:sz="4" w:space="0"/>
                  </w:tcBorders>
                  <w:vAlign w:val="center"/>
                </w:tcPr>
                <w:p w14:paraId="2DC92A59">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1363" w:type="dxa"/>
                  <w:tcBorders>
                    <w:top w:val="single" w:color="auto" w:sz="4" w:space="0"/>
                    <w:left w:val="single" w:color="auto" w:sz="4" w:space="0"/>
                    <w:bottom w:val="single" w:color="auto" w:sz="4" w:space="0"/>
                    <w:right w:val="single" w:color="auto" w:sz="4" w:space="0"/>
                  </w:tcBorders>
                  <w:vAlign w:val="center"/>
                </w:tcPr>
                <w:p w14:paraId="54A54836">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60</w:t>
                  </w:r>
                </w:p>
              </w:tc>
              <w:tc>
                <w:tcPr>
                  <w:tcW w:w="1549" w:type="dxa"/>
                  <w:tcBorders>
                    <w:top w:val="single" w:color="auto" w:sz="4" w:space="0"/>
                    <w:left w:val="single" w:color="auto" w:sz="4" w:space="0"/>
                    <w:bottom w:val="single" w:color="auto" w:sz="4" w:space="0"/>
                    <w:right w:val="single" w:color="auto" w:sz="4" w:space="0"/>
                  </w:tcBorders>
                  <w:vAlign w:val="center"/>
                </w:tcPr>
                <w:p w14:paraId="7EC5EBE3">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11.67</w:t>
                  </w:r>
                </w:p>
              </w:tc>
              <w:tc>
                <w:tcPr>
                  <w:tcW w:w="1203" w:type="dxa"/>
                  <w:tcBorders>
                    <w:top w:val="single" w:color="auto" w:sz="4" w:space="0"/>
                    <w:left w:val="single" w:color="auto" w:sz="4" w:space="0"/>
                    <w:bottom w:val="single" w:color="auto" w:sz="4" w:space="0"/>
                  </w:tcBorders>
                  <w:vAlign w:val="center"/>
                </w:tcPr>
                <w:p w14:paraId="57E6905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r w14:paraId="58CC47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21" w:type="dxa"/>
                  <w:tcBorders>
                    <w:top w:val="single" w:color="auto" w:sz="4" w:space="0"/>
                    <w:bottom w:val="single" w:color="auto" w:sz="4" w:space="0"/>
                    <w:right w:val="single" w:color="auto" w:sz="4" w:space="0"/>
                  </w:tcBorders>
                  <w:vAlign w:val="center"/>
                </w:tcPr>
                <w:p w14:paraId="06E52AB4">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NO</w:t>
                  </w:r>
                  <w:r>
                    <w:rPr>
                      <w:rFonts w:hint="default" w:ascii="Times New Roman" w:hAnsi="Times New Roman" w:eastAsia="宋体" w:cs="Times New Roman"/>
                      <w:color w:val="000000" w:themeColor="text1"/>
                      <w:kern w:val="0"/>
                      <w:szCs w:val="21"/>
                      <w:vertAlign w:val="subscript"/>
                      <w14:textFill>
                        <w14:solidFill>
                          <w14:schemeClr w14:val="tx1"/>
                        </w14:solidFill>
                      </w14:textFill>
                    </w:rPr>
                    <w:t>2</w:t>
                  </w:r>
                </w:p>
              </w:tc>
              <w:tc>
                <w:tcPr>
                  <w:tcW w:w="1938" w:type="dxa"/>
                  <w:tcBorders>
                    <w:top w:val="single" w:color="auto" w:sz="4" w:space="0"/>
                    <w:left w:val="single" w:color="auto" w:sz="4" w:space="0"/>
                    <w:bottom w:val="single" w:color="auto" w:sz="4" w:space="0"/>
                    <w:right w:val="single" w:color="auto" w:sz="4" w:space="0"/>
                  </w:tcBorders>
                  <w:vAlign w:val="center"/>
                </w:tcPr>
                <w:p w14:paraId="650EA59A">
                  <w:pPr>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年平均</w:t>
                  </w:r>
                </w:p>
              </w:tc>
              <w:tc>
                <w:tcPr>
                  <w:tcW w:w="1123" w:type="dxa"/>
                  <w:tcBorders>
                    <w:top w:val="single" w:color="auto" w:sz="4" w:space="0"/>
                    <w:left w:val="single" w:color="auto" w:sz="4" w:space="0"/>
                    <w:bottom w:val="single" w:color="auto" w:sz="4" w:space="0"/>
                    <w:right w:val="single" w:color="auto" w:sz="4" w:space="0"/>
                  </w:tcBorders>
                  <w:vAlign w:val="center"/>
                </w:tcPr>
                <w:p w14:paraId="74D7114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w:t>
                  </w:r>
                </w:p>
              </w:tc>
              <w:tc>
                <w:tcPr>
                  <w:tcW w:w="1363" w:type="dxa"/>
                  <w:tcBorders>
                    <w:top w:val="single" w:color="auto" w:sz="4" w:space="0"/>
                    <w:left w:val="single" w:color="auto" w:sz="4" w:space="0"/>
                    <w:bottom w:val="single" w:color="auto" w:sz="4" w:space="0"/>
                    <w:right w:val="single" w:color="auto" w:sz="4" w:space="0"/>
                  </w:tcBorders>
                  <w:vAlign w:val="center"/>
                </w:tcPr>
                <w:p w14:paraId="503EFE80">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w:t>
                  </w:r>
                </w:p>
              </w:tc>
              <w:tc>
                <w:tcPr>
                  <w:tcW w:w="1549" w:type="dxa"/>
                  <w:tcBorders>
                    <w:top w:val="single" w:color="auto" w:sz="4" w:space="0"/>
                    <w:left w:val="single" w:color="auto" w:sz="4" w:space="0"/>
                    <w:bottom w:val="single" w:color="auto" w:sz="4" w:space="0"/>
                    <w:right w:val="single" w:color="auto" w:sz="4" w:space="0"/>
                  </w:tcBorders>
                  <w:vAlign w:val="center"/>
                </w:tcPr>
                <w:p w14:paraId="1B34173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c>
                <w:tcPr>
                  <w:tcW w:w="1203" w:type="dxa"/>
                  <w:tcBorders>
                    <w:top w:val="single" w:color="auto" w:sz="4" w:space="0"/>
                    <w:left w:val="single" w:color="auto" w:sz="4" w:space="0"/>
                    <w:bottom w:val="single" w:color="auto" w:sz="4" w:space="0"/>
                  </w:tcBorders>
                  <w:vAlign w:val="center"/>
                </w:tcPr>
                <w:p w14:paraId="27CF4A9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r w14:paraId="78F64A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921" w:type="dxa"/>
                  <w:tcBorders>
                    <w:top w:val="single" w:color="auto" w:sz="4" w:space="0"/>
                    <w:bottom w:val="single" w:color="auto" w:sz="4" w:space="0"/>
                    <w:right w:val="single" w:color="auto" w:sz="4" w:space="0"/>
                  </w:tcBorders>
                  <w:vAlign w:val="center"/>
                </w:tcPr>
                <w:p w14:paraId="75097ED0">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CO</w:t>
                  </w:r>
                </w:p>
              </w:tc>
              <w:tc>
                <w:tcPr>
                  <w:tcW w:w="1938" w:type="dxa"/>
                  <w:tcBorders>
                    <w:top w:val="single" w:color="auto" w:sz="4" w:space="0"/>
                    <w:left w:val="single" w:color="auto" w:sz="4" w:space="0"/>
                    <w:bottom w:val="single" w:color="auto" w:sz="4" w:space="0"/>
                    <w:right w:val="single" w:color="auto" w:sz="4" w:space="0"/>
                  </w:tcBorders>
                  <w:vAlign w:val="center"/>
                </w:tcPr>
                <w:p w14:paraId="6ACA8A13">
                  <w:pPr>
                    <w:pStyle w:val="522"/>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24小时平均第95百分位数</w:t>
                  </w:r>
                </w:p>
              </w:tc>
              <w:tc>
                <w:tcPr>
                  <w:tcW w:w="1123" w:type="dxa"/>
                  <w:tcBorders>
                    <w:top w:val="single" w:color="auto" w:sz="4" w:space="0"/>
                    <w:left w:val="single" w:color="auto" w:sz="4" w:space="0"/>
                    <w:bottom w:val="single" w:color="auto" w:sz="4" w:space="0"/>
                    <w:right w:val="single" w:color="auto" w:sz="4" w:space="0"/>
                  </w:tcBorders>
                  <w:vAlign w:val="center"/>
                </w:tcPr>
                <w:p w14:paraId="64965D3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1363" w:type="dxa"/>
                  <w:tcBorders>
                    <w:top w:val="single" w:color="auto" w:sz="4" w:space="0"/>
                    <w:left w:val="single" w:color="auto" w:sz="4" w:space="0"/>
                    <w:bottom w:val="single" w:color="auto" w:sz="4" w:space="0"/>
                    <w:right w:val="single" w:color="auto" w:sz="4" w:space="0"/>
                  </w:tcBorders>
                  <w:vAlign w:val="center"/>
                </w:tcPr>
                <w:p w14:paraId="322ACA2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p>
              </w:tc>
              <w:tc>
                <w:tcPr>
                  <w:tcW w:w="1549" w:type="dxa"/>
                  <w:tcBorders>
                    <w:top w:val="single" w:color="auto" w:sz="4" w:space="0"/>
                    <w:left w:val="single" w:color="auto" w:sz="4" w:space="0"/>
                    <w:bottom w:val="single" w:color="auto" w:sz="4" w:space="0"/>
                    <w:right w:val="single" w:color="auto" w:sz="4" w:space="0"/>
                  </w:tcBorders>
                  <w:vAlign w:val="center"/>
                </w:tcPr>
                <w:p w14:paraId="4233C5E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27.5</w:t>
                  </w:r>
                </w:p>
              </w:tc>
              <w:tc>
                <w:tcPr>
                  <w:tcW w:w="1203" w:type="dxa"/>
                  <w:tcBorders>
                    <w:top w:val="single" w:color="auto" w:sz="4" w:space="0"/>
                    <w:left w:val="single" w:color="auto" w:sz="4" w:space="0"/>
                    <w:bottom w:val="single" w:color="auto" w:sz="4" w:space="0"/>
                  </w:tcBorders>
                  <w:vAlign w:val="center"/>
                </w:tcPr>
                <w:p w14:paraId="29AEC695">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r w14:paraId="3ED3B6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921" w:type="dxa"/>
                  <w:tcBorders>
                    <w:top w:val="single" w:color="auto" w:sz="4" w:space="0"/>
                    <w:bottom w:val="single" w:color="auto" w:sz="4" w:space="0"/>
                    <w:right w:val="single" w:color="auto" w:sz="4" w:space="0"/>
                  </w:tcBorders>
                  <w:vAlign w:val="center"/>
                </w:tcPr>
                <w:p w14:paraId="50F310B2">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O</w:t>
                  </w:r>
                  <w:r>
                    <w:rPr>
                      <w:rFonts w:hint="default" w:ascii="Times New Roman" w:hAnsi="Times New Roman" w:eastAsia="宋体" w:cs="Times New Roman"/>
                      <w:color w:val="000000" w:themeColor="text1"/>
                      <w:kern w:val="0"/>
                      <w:szCs w:val="21"/>
                      <w:vertAlign w:val="subscript"/>
                      <w14:textFill>
                        <w14:solidFill>
                          <w14:schemeClr w14:val="tx1"/>
                        </w14:solidFill>
                      </w14:textFill>
                    </w:rPr>
                    <w:t>3</w:t>
                  </w:r>
                </w:p>
              </w:tc>
              <w:tc>
                <w:tcPr>
                  <w:tcW w:w="1938" w:type="dxa"/>
                  <w:tcBorders>
                    <w:top w:val="single" w:color="auto" w:sz="4" w:space="0"/>
                    <w:left w:val="single" w:color="auto" w:sz="4" w:space="0"/>
                    <w:bottom w:val="single" w:color="auto" w:sz="4" w:space="0"/>
                    <w:right w:val="single" w:color="auto" w:sz="4" w:space="0"/>
                  </w:tcBorders>
                  <w:vAlign w:val="center"/>
                </w:tcPr>
                <w:p w14:paraId="355D826B">
                  <w:pPr>
                    <w:pStyle w:val="522"/>
                    <w:spacing w:line="24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日最大8小时滑动平均值的第90百分位数</w:t>
                  </w:r>
                </w:p>
              </w:tc>
              <w:tc>
                <w:tcPr>
                  <w:tcW w:w="1123" w:type="dxa"/>
                  <w:tcBorders>
                    <w:top w:val="single" w:color="auto" w:sz="4" w:space="0"/>
                    <w:left w:val="single" w:color="auto" w:sz="4" w:space="0"/>
                    <w:bottom w:val="single" w:color="auto" w:sz="4" w:space="0"/>
                    <w:right w:val="single" w:color="auto" w:sz="4" w:space="0"/>
                  </w:tcBorders>
                  <w:vAlign w:val="center"/>
                </w:tcPr>
                <w:p w14:paraId="08E7F279">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122</w:t>
                  </w:r>
                </w:p>
              </w:tc>
              <w:tc>
                <w:tcPr>
                  <w:tcW w:w="1363" w:type="dxa"/>
                  <w:tcBorders>
                    <w:top w:val="single" w:color="auto" w:sz="4" w:space="0"/>
                    <w:left w:val="single" w:color="auto" w:sz="4" w:space="0"/>
                    <w:bottom w:val="single" w:color="auto" w:sz="4" w:space="0"/>
                    <w:right w:val="single" w:color="auto" w:sz="4" w:space="0"/>
                  </w:tcBorders>
                  <w:vAlign w:val="center"/>
                </w:tcPr>
                <w:p w14:paraId="75692C3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160</w:t>
                  </w:r>
                </w:p>
              </w:tc>
              <w:tc>
                <w:tcPr>
                  <w:tcW w:w="1549" w:type="dxa"/>
                  <w:tcBorders>
                    <w:top w:val="single" w:color="auto" w:sz="4" w:space="0"/>
                    <w:left w:val="single" w:color="auto" w:sz="4" w:space="0"/>
                    <w:bottom w:val="single" w:color="auto" w:sz="4" w:space="0"/>
                    <w:right w:val="single" w:color="auto" w:sz="4" w:space="0"/>
                  </w:tcBorders>
                  <w:vAlign w:val="center"/>
                </w:tcPr>
                <w:p w14:paraId="7904971E">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77.14</w:t>
                  </w:r>
                </w:p>
              </w:tc>
              <w:tc>
                <w:tcPr>
                  <w:tcW w:w="1203" w:type="dxa"/>
                  <w:tcBorders>
                    <w:top w:val="single" w:color="auto" w:sz="4" w:space="0"/>
                    <w:left w:val="single" w:color="auto" w:sz="4" w:space="0"/>
                    <w:bottom w:val="single" w:color="auto" w:sz="4" w:space="0"/>
                  </w:tcBorders>
                  <w:vAlign w:val="center"/>
                </w:tcPr>
                <w:p w14:paraId="3ECDAC5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r w14:paraId="276AD5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21" w:type="dxa"/>
                  <w:tcBorders>
                    <w:top w:val="single" w:color="auto" w:sz="4" w:space="0"/>
                    <w:bottom w:val="single" w:color="auto" w:sz="4" w:space="0"/>
                    <w:right w:val="single" w:color="auto" w:sz="4" w:space="0"/>
                  </w:tcBorders>
                  <w:vAlign w:val="center"/>
                </w:tcPr>
                <w:p w14:paraId="7BF886BC">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PM</w:t>
                  </w:r>
                  <w:r>
                    <w:rPr>
                      <w:rFonts w:hint="default" w:ascii="Times New Roman" w:hAnsi="Times New Roman" w:eastAsia="宋体" w:cs="Times New Roman"/>
                      <w:color w:val="000000" w:themeColor="text1"/>
                      <w:kern w:val="0"/>
                      <w:szCs w:val="21"/>
                      <w:vertAlign w:val="subscript"/>
                      <w14:textFill>
                        <w14:solidFill>
                          <w14:schemeClr w14:val="tx1"/>
                        </w14:solidFill>
                      </w14:textFill>
                    </w:rPr>
                    <w:t>2.5</w:t>
                  </w:r>
                </w:p>
              </w:tc>
              <w:tc>
                <w:tcPr>
                  <w:tcW w:w="1938" w:type="dxa"/>
                  <w:tcBorders>
                    <w:top w:val="single" w:color="auto" w:sz="4" w:space="0"/>
                    <w:left w:val="single" w:color="auto" w:sz="4" w:space="0"/>
                    <w:bottom w:val="single" w:color="auto" w:sz="4" w:space="0"/>
                    <w:right w:val="single" w:color="auto" w:sz="4" w:space="0"/>
                  </w:tcBorders>
                  <w:vAlign w:val="center"/>
                </w:tcPr>
                <w:p w14:paraId="6F4C97E4">
                  <w:pPr>
                    <w:spacing w:line="320" w:lineRule="exac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年平均</w:t>
                  </w:r>
                </w:p>
              </w:tc>
              <w:tc>
                <w:tcPr>
                  <w:tcW w:w="1123" w:type="dxa"/>
                  <w:tcBorders>
                    <w:top w:val="single" w:color="auto" w:sz="4" w:space="0"/>
                    <w:left w:val="single" w:color="auto" w:sz="4" w:space="0"/>
                    <w:bottom w:val="single" w:color="auto" w:sz="4" w:space="0"/>
                    <w:right w:val="single" w:color="auto" w:sz="4" w:space="0"/>
                  </w:tcBorders>
                  <w:vAlign w:val="center"/>
                </w:tcPr>
                <w:p w14:paraId="1E2CDE3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27</w:t>
                  </w:r>
                </w:p>
              </w:tc>
              <w:tc>
                <w:tcPr>
                  <w:tcW w:w="1363" w:type="dxa"/>
                  <w:tcBorders>
                    <w:top w:val="single" w:color="auto" w:sz="4" w:space="0"/>
                    <w:left w:val="single" w:color="auto" w:sz="4" w:space="0"/>
                    <w:bottom w:val="single" w:color="auto" w:sz="4" w:space="0"/>
                    <w:right w:val="single" w:color="auto" w:sz="4" w:space="0"/>
                  </w:tcBorders>
                  <w:vAlign w:val="center"/>
                </w:tcPr>
                <w:p w14:paraId="42A42C9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w:t>
                  </w:r>
                </w:p>
              </w:tc>
              <w:tc>
                <w:tcPr>
                  <w:tcW w:w="1549" w:type="dxa"/>
                  <w:tcBorders>
                    <w:top w:val="single" w:color="auto" w:sz="4" w:space="0"/>
                    <w:left w:val="single" w:color="auto" w:sz="4" w:space="0"/>
                    <w:bottom w:val="single" w:color="auto" w:sz="4" w:space="0"/>
                    <w:right w:val="single" w:color="auto" w:sz="4" w:space="0"/>
                  </w:tcBorders>
                  <w:vAlign w:val="center"/>
                </w:tcPr>
                <w:p w14:paraId="362E1D72">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77.14</w:t>
                  </w:r>
                </w:p>
              </w:tc>
              <w:tc>
                <w:tcPr>
                  <w:tcW w:w="1203" w:type="dxa"/>
                  <w:tcBorders>
                    <w:top w:val="single" w:color="auto" w:sz="4" w:space="0"/>
                    <w:left w:val="single" w:color="auto" w:sz="4" w:space="0"/>
                    <w:bottom w:val="single" w:color="auto" w:sz="4" w:space="0"/>
                  </w:tcBorders>
                  <w:vAlign w:val="center"/>
                </w:tcPr>
                <w:p w14:paraId="2E6432E9">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r w14:paraId="44FDA7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921" w:type="dxa"/>
                  <w:tcBorders>
                    <w:top w:val="single" w:color="auto" w:sz="4" w:space="0"/>
                    <w:right w:val="single" w:color="auto" w:sz="4" w:space="0"/>
                  </w:tcBorders>
                  <w:vAlign w:val="center"/>
                </w:tcPr>
                <w:p w14:paraId="661277F0">
                  <w:pPr>
                    <w:widowControl/>
                    <w:spacing w:line="320" w:lineRule="exact"/>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PM</w:t>
                  </w:r>
                  <w:r>
                    <w:rPr>
                      <w:rFonts w:hint="default" w:ascii="Times New Roman" w:hAnsi="Times New Roman" w:eastAsia="宋体" w:cs="Times New Roman"/>
                      <w:color w:val="000000" w:themeColor="text1"/>
                      <w:kern w:val="0"/>
                      <w:szCs w:val="21"/>
                      <w:vertAlign w:val="subscript"/>
                      <w14:textFill>
                        <w14:solidFill>
                          <w14:schemeClr w14:val="tx1"/>
                        </w14:solidFill>
                      </w14:textFill>
                    </w:rPr>
                    <w:t>10</w:t>
                  </w:r>
                </w:p>
              </w:tc>
              <w:tc>
                <w:tcPr>
                  <w:tcW w:w="1938" w:type="dxa"/>
                  <w:tcBorders>
                    <w:top w:val="single" w:color="auto" w:sz="4" w:space="0"/>
                    <w:left w:val="single" w:color="auto" w:sz="4" w:space="0"/>
                    <w:right w:val="single" w:color="auto" w:sz="4" w:space="0"/>
                  </w:tcBorders>
                  <w:vAlign w:val="center"/>
                </w:tcPr>
                <w:p w14:paraId="7C2F9169">
                  <w:pPr>
                    <w:pStyle w:val="522"/>
                    <w:spacing w:line="320" w:lineRule="exac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w:t>
                  </w:r>
                </w:p>
              </w:tc>
              <w:tc>
                <w:tcPr>
                  <w:tcW w:w="1123" w:type="dxa"/>
                  <w:tcBorders>
                    <w:top w:val="single" w:color="auto" w:sz="4" w:space="0"/>
                    <w:left w:val="single" w:color="auto" w:sz="4" w:space="0"/>
                    <w:right w:val="single" w:color="auto" w:sz="4" w:space="0"/>
                  </w:tcBorders>
                  <w:vAlign w:val="center"/>
                </w:tcPr>
                <w:p w14:paraId="5C224D0D">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48</w:t>
                  </w:r>
                </w:p>
              </w:tc>
              <w:tc>
                <w:tcPr>
                  <w:tcW w:w="1363" w:type="dxa"/>
                  <w:tcBorders>
                    <w:top w:val="single" w:color="auto" w:sz="4" w:space="0"/>
                    <w:left w:val="single" w:color="auto" w:sz="4" w:space="0"/>
                    <w:right w:val="single" w:color="auto" w:sz="4" w:space="0"/>
                  </w:tcBorders>
                  <w:vAlign w:val="center"/>
                </w:tcPr>
                <w:p w14:paraId="14DD0E2B">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w:t>
                  </w:r>
                </w:p>
              </w:tc>
              <w:tc>
                <w:tcPr>
                  <w:tcW w:w="1549" w:type="dxa"/>
                  <w:tcBorders>
                    <w:top w:val="single" w:color="auto" w:sz="4" w:space="0"/>
                    <w:left w:val="single" w:color="auto" w:sz="4" w:space="0"/>
                    <w:right w:val="single" w:color="auto" w:sz="4" w:space="0"/>
                  </w:tcBorders>
                  <w:vAlign w:val="center"/>
                </w:tcPr>
                <w:p w14:paraId="7BC97FA1">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68.57</w:t>
                  </w:r>
                </w:p>
              </w:tc>
              <w:tc>
                <w:tcPr>
                  <w:tcW w:w="1203" w:type="dxa"/>
                  <w:tcBorders>
                    <w:top w:val="single" w:color="auto" w:sz="4" w:space="0"/>
                    <w:left w:val="single" w:color="auto" w:sz="4" w:space="0"/>
                  </w:tcBorders>
                  <w:vAlign w:val="center"/>
                </w:tcPr>
                <w:p w14:paraId="6AE7007D">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达标</w:t>
                  </w:r>
                </w:p>
              </w:tc>
            </w:tr>
          </w:tbl>
          <w:p w14:paraId="1E176C1B">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p>
          <w:p w14:paraId="2F1DE44B">
            <w:pPr>
              <w:keepNext/>
              <w:keepLine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由上表可知，宣汉县内环境空气质量年均值达到《环境空气质量标准》（GB3095-2012）中二级标准，属于达标区域。</w:t>
            </w:r>
          </w:p>
          <w:p w14:paraId="10FC79E3">
            <w:pPr>
              <w:keepNext/>
              <w:keepLine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此外，根据主体工程环评现状评价结论，区域甲醇、硫化氢、氨、硫酸雾、氯化氢、非甲烷总烃满足《环境空气质量标准》（GB3095-2012）二级标准、《环境影响评价技术导则 大气环境》（HJ2.2-2018）附录D等限值要求。</w:t>
            </w:r>
          </w:p>
          <w:p w14:paraId="4396A990">
            <w:pPr>
              <w:adjustRightInd w:val="0"/>
              <w:snapToGrid w:val="0"/>
              <w:spacing w:line="360" w:lineRule="auto"/>
              <w:rPr>
                <w:rFonts w:hint="default" w:ascii="Times New Roman" w:hAnsi="Times New Roman" w:eastAsia="宋体" w:cs="Times New Roman"/>
                <w:b/>
                <w:bCs/>
                <w:snapToGrid w:val="0"/>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14:textFill>
                  <w14:solidFill>
                    <w14:schemeClr w14:val="tx1"/>
                  </w14:solidFill>
                </w14:textFill>
              </w:rPr>
              <w:t>二、地表水环境质量现状</w:t>
            </w:r>
          </w:p>
          <w:p w14:paraId="6730E208">
            <w:pPr>
              <w:adjustRightInd w:val="0"/>
              <w:spacing w:line="360" w:lineRule="auto"/>
              <w:ind w:firstLine="505"/>
              <w:textAlignment w:val="center"/>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本项目洗管废水通过厂区已建回用水站处理后回用于生产工序不外排。</w:t>
            </w:r>
          </w:p>
          <w:p w14:paraId="07647D22">
            <w:pPr>
              <w:adjustRightInd w:val="0"/>
              <w:spacing w:line="360" w:lineRule="auto"/>
              <w:ind w:firstLine="505"/>
              <w:textAlignment w:val="center"/>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根据达州市宣汉生态环境局发布的《2024年第一季度-第四季度宣汉县城区集中式饮用水水源地水质状况》可知，后河-徐家坡断面环境现状评价结果见下表。</w:t>
            </w:r>
          </w:p>
          <w:p w14:paraId="2AE8BA01">
            <w:pPr>
              <w:pStyle w:val="459"/>
              <w:spacing w:beforeLines="0"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表3-2  地表水环境质量现状评价结果表</w:t>
            </w:r>
          </w:p>
          <w:tbl>
            <w:tblPr>
              <w:tblStyle w:val="48"/>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112"/>
              <w:gridCol w:w="1755"/>
              <w:gridCol w:w="1903"/>
              <w:gridCol w:w="2251"/>
            </w:tblGrid>
            <w:tr w14:paraId="697E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1036" w:type="dxa"/>
                  <w:tcBorders>
                    <w:bottom w:val="single" w:color="auto" w:sz="4" w:space="0"/>
                    <w:right w:val="single" w:color="auto" w:sz="4" w:space="0"/>
                  </w:tcBorders>
                  <w:vAlign w:val="center"/>
                </w:tcPr>
                <w:p w14:paraId="774E9DC1">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河流名称</w:t>
                  </w:r>
                </w:p>
              </w:tc>
              <w:tc>
                <w:tcPr>
                  <w:tcW w:w="1112" w:type="dxa"/>
                  <w:tcBorders>
                    <w:left w:val="single" w:color="auto" w:sz="4" w:space="0"/>
                    <w:bottom w:val="single" w:color="auto" w:sz="4" w:space="0"/>
                    <w:right w:val="single" w:color="auto" w:sz="4" w:space="0"/>
                  </w:tcBorders>
                  <w:vAlign w:val="center"/>
                </w:tcPr>
                <w:p w14:paraId="642047F5">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监测断面</w:t>
                  </w:r>
                </w:p>
              </w:tc>
              <w:tc>
                <w:tcPr>
                  <w:tcW w:w="1755" w:type="dxa"/>
                  <w:tcBorders>
                    <w:left w:val="single" w:color="auto" w:sz="4" w:space="0"/>
                    <w:bottom w:val="single" w:color="auto" w:sz="4" w:space="0"/>
                    <w:right w:val="single" w:color="auto" w:sz="4" w:space="0"/>
                  </w:tcBorders>
                  <w:vAlign w:val="center"/>
                </w:tcPr>
                <w:p w14:paraId="0C6DAF88">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评价内容</w:t>
                  </w:r>
                </w:p>
              </w:tc>
              <w:tc>
                <w:tcPr>
                  <w:tcW w:w="1903" w:type="dxa"/>
                  <w:tcBorders>
                    <w:left w:val="single" w:color="auto" w:sz="4" w:space="0"/>
                    <w:bottom w:val="single" w:color="auto" w:sz="4" w:space="0"/>
                    <w:right w:val="single" w:color="auto" w:sz="4" w:space="0"/>
                  </w:tcBorders>
                  <w:vAlign w:val="center"/>
                </w:tcPr>
                <w:p w14:paraId="122E03EF">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季度</w:t>
                  </w:r>
                </w:p>
              </w:tc>
              <w:tc>
                <w:tcPr>
                  <w:tcW w:w="2251" w:type="dxa"/>
                  <w:tcBorders>
                    <w:left w:val="single" w:color="auto" w:sz="4" w:space="0"/>
                    <w:bottom w:val="single" w:color="auto" w:sz="4" w:space="0"/>
                  </w:tcBorders>
                  <w:vAlign w:val="center"/>
                </w:tcPr>
                <w:p w14:paraId="5EEAC466">
                  <w:pPr>
                    <w:snapToGrid w:val="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类别</w:t>
                  </w:r>
                </w:p>
              </w:tc>
            </w:tr>
            <w:tr w14:paraId="4B02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36" w:type="dxa"/>
                  <w:vMerge w:val="restart"/>
                  <w:tcBorders>
                    <w:top w:val="single" w:color="auto" w:sz="4" w:space="0"/>
                    <w:right w:val="single" w:color="auto" w:sz="4" w:space="0"/>
                  </w:tcBorders>
                  <w:vAlign w:val="center"/>
                </w:tcPr>
                <w:p w14:paraId="4EFDCB2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后河</w:t>
                  </w:r>
                </w:p>
              </w:tc>
              <w:tc>
                <w:tcPr>
                  <w:tcW w:w="1112" w:type="dxa"/>
                  <w:vMerge w:val="restart"/>
                  <w:tcBorders>
                    <w:top w:val="single" w:color="auto" w:sz="4" w:space="0"/>
                    <w:left w:val="single" w:color="auto" w:sz="4" w:space="0"/>
                    <w:right w:val="single" w:color="auto" w:sz="4" w:space="0"/>
                  </w:tcBorders>
                  <w:vAlign w:val="center"/>
                </w:tcPr>
                <w:p w14:paraId="23231B2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徐家坡</w:t>
                  </w:r>
                </w:p>
              </w:tc>
              <w:tc>
                <w:tcPr>
                  <w:tcW w:w="1755" w:type="dxa"/>
                  <w:vMerge w:val="restart"/>
                  <w:tcBorders>
                    <w:top w:val="single" w:color="auto" w:sz="4" w:space="0"/>
                    <w:left w:val="single" w:color="auto" w:sz="4" w:space="0"/>
                    <w:right w:val="single" w:color="auto" w:sz="4" w:space="0"/>
                  </w:tcBorders>
                  <w:vAlign w:val="center"/>
                </w:tcPr>
                <w:p w14:paraId="5B15D2FC">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地表水环境水质</w:t>
                  </w:r>
                </w:p>
              </w:tc>
              <w:tc>
                <w:tcPr>
                  <w:tcW w:w="1903" w:type="dxa"/>
                  <w:tcBorders>
                    <w:top w:val="single" w:color="auto" w:sz="4" w:space="0"/>
                    <w:left w:val="single" w:color="auto" w:sz="4" w:space="0"/>
                    <w:bottom w:val="single" w:color="auto" w:sz="4" w:space="0"/>
                    <w:right w:val="single" w:color="auto" w:sz="4" w:space="0"/>
                  </w:tcBorders>
                  <w:vAlign w:val="center"/>
                </w:tcPr>
                <w:p w14:paraId="1BDF4A2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251" w:type="dxa"/>
                  <w:tcBorders>
                    <w:top w:val="single" w:color="auto" w:sz="4" w:space="0"/>
                    <w:left w:val="single" w:color="auto" w:sz="4" w:space="0"/>
                    <w:bottom w:val="single" w:color="auto" w:sz="4" w:space="0"/>
                  </w:tcBorders>
                  <w:vAlign w:val="center"/>
                </w:tcPr>
                <w:p w14:paraId="0C17222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r>
            <w:tr w14:paraId="712C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36" w:type="dxa"/>
                  <w:vMerge w:val="continue"/>
                  <w:tcBorders>
                    <w:right w:val="single" w:color="auto" w:sz="4" w:space="0"/>
                  </w:tcBorders>
                  <w:vAlign w:val="center"/>
                </w:tcPr>
                <w:p w14:paraId="107F318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112" w:type="dxa"/>
                  <w:vMerge w:val="continue"/>
                  <w:tcBorders>
                    <w:left w:val="single" w:color="auto" w:sz="4" w:space="0"/>
                    <w:right w:val="single" w:color="auto" w:sz="4" w:space="0"/>
                  </w:tcBorders>
                  <w:vAlign w:val="center"/>
                </w:tcPr>
                <w:p w14:paraId="71610CAF">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55" w:type="dxa"/>
                  <w:vMerge w:val="continue"/>
                  <w:tcBorders>
                    <w:left w:val="single" w:color="auto" w:sz="4" w:space="0"/>
                    <w:right w:val="single" w:color="auto" w:sz="4" w:space="0"/>
                  </w:tcBorders>
                  <w:vAlign w:val="center"/>
                </w:tcPr>
                <w:p w14:paraId="2CDF6C3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55173D2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251" w:type="dxa"/>
                  <w:tcBorders>
                    <w:top w:val="single" w:color="auto" w:sz="4" w:space="0"/>
                    <w:left w:val="single" w:color="auto" w:sz="4" w:space="0"/>
                    <w:bottom w:val="single" w:color="auto" w:sz="4" w:space="0"/>
                  </w:tcBorders>
                  <w:vAlign w:val="center"/>
                </w:tcPr>
                <w:p w14:paraId="0BD155F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r>
            <w:tr w14:paraId="4B87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36" w:type="dxa"/>
                  <w:vMerge w:val="continue"/>
                  <w:tcBorders>
                    <w:right w:val="single" w:color="auto" w:sz="4" w:space="0"/>
                  </w:tcBorders>
                  <w:vAlign w:val="center"/>
                </w:tcPr>
                <w:p w14:paraId="1242E342">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112" w:type="dxa"/>
                  <w:vMerge w:val="continue"/>
                  <w:tcBorders>
                    <w:left w:val="single" w:color="auto" w:sz="4" w:space="0"/>
                    <w:right w:val="single" w:color="auto" w:sz="4" w:space="0"/>
                  </w:tcBorders>
                  <w:vAlign w:val="center"/>
                </w:tcPr>
                <w:p w14:paraId="1999C22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55" w:type="dxa"/>
                  <w:vMerge w:val="continue"/>
                  <w:tcBorders>
                    <w:left w:val="single" w:color="auto" w:sz="4" w:space="0"/>
                    <w:right w:val="single" w:color="auto" w:sz="4" w:space="0"/>
                  </w:tcBorders>
                  <w:vAlign w:val="center"/>
                </w:tcPr>
                <w:p w14:paraId="4145C36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2095A8D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251" w:type="dxa"/>
                  <w:tcBorders>
                    <w:top w:val="single" w:color="auto" w:sz="4" w:space="0"/>
                    <w:left w:val="single" w:color="auto" w:sz="4" w:space="0"/>
                    <w:bottom w:val="single" w:color="auto" w:sz="4" w:space="0"/>
                  </w:tcBorders>
                  <w:vAlign w:val="center"/>
                </w:tcPr>
                <w:p w14:paraId="62D7415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r>
            <w:tr w14:paraId="0F14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036" w:type="dxa"/>
                  <w:vMerge w:val="continue"/>
                  <w:tcBorders>
                    <w:right w:val="single" w:color="auto" w:sz="4" w:space="0"/>
                  </w:tcBorders>
                  <w:vAlign w:val="center"/>
                </w:tcPr>
                <w:p w14:paraId="1589894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112" w:type="dxa"/>
                  <w:vMerge w:val="continue"/>
                  <w:tcBorders>
                    <w:left w:val="single" w:color="auto" w:sz="4" w:space="0"/>
                    <w:right w:val="single" w:color="auto" w:sz="4" w:space="0"/>
                  </w:tcBorders>
                  <w:vAlign w:val="center"/>
                </w:tcPr>
                <w:p w14:paraId="5859B73A">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755" w:type="dxa"/>
                  <w:vMerge w:val="continue"/>
                  <w:tcBorders>
                    <w:left w:val="single" w:color="auto" w:sz="4" w:space="0"/>
                    <w:right w:val="single" w:color="auto" w:sz="4" w:space="0"/>
                  </w:tcBorders>
                  <w:vAlign w:val="center"/>
                </w:tcPr>
                <w:p w14:paraId="10CE072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1903" w:type="dxa"/>
                  <w:tcBorders>
                    <w:top w:val="single" w:color="auto" w:sz="4" w:space="0"/>
                    <w:left w:val="single" w:color="auto" w:sz="4" w:space="0"/>
                    <w:bottom w:val="single" w:color="auto" w:sz="4" w:space="0"/>
                    <w:right w:val="single" w:color="auto" w:sz="4" w:space="0"/>
                  </w:tcBorders>
                  <w:vAlign w:val="center"/>
                </w:tcPr>
                <w:p w14:paraId="47BB1D8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251" w:type="dxa"/>
                  <w:tcBorders>
                    <w:top w:val="single" w:color="auto" w:sz="4" w:space="0"/>
                    <w:left w:val="single" w:color="auto" w:sz="4" w:space="0"/>
                    <w:bottom w:val="single" w:color="auto" w:sz="4" w:space="0"/>
                  </w:tcBorders>
                  <w:vAlign w:val="center"/>
                </w:tcPr>
                <w:p w14:paraId="5792A2D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Ⅱ类</w:t>
                  </w:r>
                </w:p>
              </w:tc>
            </w:tr>
            <w:tr w14:paraId="24F5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36" w:type="dxa"/>
                  <w:vMerge w:val="continue"/>
                  <w:tcBorders>
                    <w:right w:val="single" w:color="auto" w:sz="4" w:space="0"/>
                  </w:tcBorders>
                  <w:vAlign w:val="center"/>
                </w:tcPr>
                <w:p w14:paraId="391E2036">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112" w:type="dxa"/>
                  <w:vMerge w:val="continue"/>
                  <w:tcBorders>
                    <w:left w:val="single" w:color="auto" w:sz="4" w:space="0"/>
                    <w:right w:val="single" w:color="auto" w:sz="4" w:space="0"/>
                  </w:tcBorders>
                  <w:vAlign w:val="center"/>
                </w:tcPr>
                <w:p w14:paraId="0F3D8D54">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658" w:type="dxa"/>
                  <w:gridSpan w:val="2"/>
                  <w:tcBorders>
                    <w:top w:val="single" w:color="auto" w:sz="4" w:space="0"/>
                    <w:left w:val="single" w:color="auto" w:sz="4" w:space="0"/>
                    <w:bottom w:val="single" w:color="auto" w:sz="4" w:space="0"/>
                    <w:right w:val="single" w:color="auto" w:sz="4" w:space="0"/>
                  </w:tcBorders>
                  <w:vAlign w:val="center"/>
                </w:tcPr>
                <w:p w14:paraId="0ADC40F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主要污染指数/超标倍数</w:t>
                  </w:r>
                </w:p>
              </w:tc>
              <w:tc>
                <w:tcPr>
                  <w:tcW w:w="2251" w:type="dxa"/>
                  <w:tcBorders>
                    <w:top w:val="single" w:color="auto" w:sz="4" w:space="0"/>
                    <w:left w:val="single" w:color="auto" w:sz="4" w:space="0"/>
                    <w:bottom w:val="single" w:color="auto" w:sz="4" w:space="0"/>
                  </w:tcBorders>
                  <w:vAlign w:val="center"/>
                </w:tcPr>
                <w:p w14:paraId="4E3CE74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5AB5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36" w:type="dxa"/>
                  <w:vMerge w:val="continue"/>
                  <w:tcBorders>
                    <w:right w:val="single" w:color="auto" w:sz="4" w:space="0"/>
                  </w:tcBorders>
                  <w:vAlign w:val="center"/>
                </w:tcPr>
                <w:p w14:paraId="5A76B375">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112" w:type="dxa"/>
                  <w:vMerge w:val="continue"/>
                  <w:tcBorders>
                    <w:left w:val="single" w:color="auto" w:sz="4" w:space="0"/>
                    <w:right w:val="single" w:color="auto" w:sz="4" w:space="0"/>
                  </w:tcBorders>
                  <w:vAlign w:val="center"/>
                </w:tcPr>
                <w:p w14:paraId="1406343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3658" w:type="dxa"/>
                  <w:gridSpan w:val="2"/>
                  <w:tcBorders>
                    <w:top w:val="single" w:color="auto" w:sz="4" w:space="0"/>
                    <w:left w:val="single" w:color="auto" w:sz="4" w:space="0"/>
                    <w:right w:val="single" w:color="auto" w:sz="4" w:space="0"/>
                  </w:tcBorders>
                  <w:vAlign w:val="center"/>
                </w:tcPr>
                <w:p w14:paraId="5A1B416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达标情况</w:t>
                  </w:r>
                </w:p>
              </w:tc>
              <w:tc>
                <w:tcPr>
                  <w:tcW w:w="2251" w:type="dxa"/>
                  <w:tcBorders>
                    <w:top w:val="single" w:color="auto" w:sz="4" w:space="0"/>
                    <w:left w:val="single" w:color="auto" w:sz="4" w:space="0"/>
                  </w:tcBorders>
                  <w:vAlign w:val="center"/>
                </w:tcPr>
                <w:p w14:paraId="10BAEF76">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bl>
          <w:p w14:paraId="16860ED7">
            <w:pPr>
              <w:pStyle w:val="457"/>
              <w:spacing w:line="360" w:lineRule="auto"/>
              <w:ind w:firstLine="480"/>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kern w:val="0"/>
                <w:szCs w:val="24"/>
                <w14:textFill>
                  <w14:solidFill>
                    <w14:schemeClr w14:val="tx1"/>
                  </w14:solidFill>
                </w14:textFill>
              </w:rPr>
              <w:t>评价结果表明</w:t>
            </w:r>
            <w:bookmarkStart w:id="9" w:name="_Hlk135472985"/>
            <w:r>
              <w:rPr>
                <w:rFonts w:hint="default" w:ascii="Times New Roman" w:hAnsi="Times New Roman" w:eastAsia="宋体" w:cs="Times New Roman"/>
                <w:bCs/>
                <w:color w:val="000000" w:themeColor="text1"/>
                <w:kern w:val="0"/>
                <w:szCs w:val="24"/>
                <w14:textFill>
                  <w14:solidFill>
                    <w14:schemeClr w14:val="tx1"/>
                  </w14:solidFill>
                </w14:textFill>
              </w:rPr>
              <w:t>：后河-徐家坡断面地表水环境各评价指标均满足《地表水环境质量标准》（GB3838-2002）中Ⅲ类水域标准要求</w:t>
            </w:r>
            <w:bookmarkEnd w:id="9"/>
            <w:r>
              <w:rPr>
                <w:rFonts w:hint="default" w:ascii="Times New Roman" w:hAnsi="Times New Roman" w:eastAsia="宋体" w:cs="Times New Roman"/>
                <w:bCs/>
                <w:color w:val="000000" w:themeColor="text1"/>
                <w:kern w:val="0"/>
                <w:szCs w:val="24"/>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表明区域地表水环境质量良好。</w:t>
            </w:r>
          </w:p>
          <w:p w14:paraId="171C5B0D">
            <w:pPr>
              <w:adjustRightInd w:val="0"/>
              <w:snapToGrid w:val="0"/>
              <w:spacing w:line="360" w:lineRule="auto"/>
              <w:rPr>
                <w:rFonts w:hint="default" w:ascii="Times New Roman" w:hAnsi="Times New Roman" w:eastAsia="宋体" w:cs="Times New Roman"/>
                <w:b/>
                <w:bCs/>
                <w:snapToGrid w:val="0"/>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14:textFill>
                  <w14:solidFill>
                    <w14:schemeClr w14:val="tx1"/>
                  </w14:solidFill>
                </w14:textFill>
              </w:rPr>
              <w:t>三、声环境质量现状</w:t>
            </w:r>
          </w:p>
          <w:p w14:paraId="01E2A93E">
            <w:pPr>
              <w:pStyle w:val="457"/>
              <w:spacing w:line="360" w:lineRule="auto"/>
              <w:ind w:firstLine="480"/>
              <w:rPr>
                <w:rFonts w:hint="default" w:ascii="Times New Roman" w:hAnsi="Times New Roman" w:eastAsia="宋体" w:cs="Times New Roman"/>
                <w:snapToGrid w:val="0"/>
                <w:color w:val="000000" w:themeColor="text1"/>
                <w:szCs w:val="24"/>
                <w14:textFill>
                  <w14:solidFill>
                    <w14:schemeClr w14:val="tx1"/>
                  </w14:solidFill>
                </w14:textFill>
              </w:rPr>
            </w:pPr>
            <w:r>
              <w:rPr>
                <w:rFonts w:hint="default" w:ascii="Times New Roman" w:hAnsi="Times New Roman" w:eastAsia="宋体" w:cs="Times New Roman"/>
                <w:snapToGrid w:val="0"/>
                <w:color w:val="000000" w:themeColor="text1"/>
                <w:szCs w:val="24"/>
                <w14:textFill>
                  <w14:solidFill>
                    <w14:schemeClr w14:val="tx1"/>
                  </w14:solidFill>
                </w14:textFill>
              </w:rPr>
              <w:t>本项目位于园区内，厂界外周边50m范围内不存在声环境保护目标，根据《建设项目环境影响报告表编制技术指南（污染影响类）（试行）》相关要求，不需进行声环境质量现状监测。</w:t>
            </w:r>
          </w:p>
          <w:p w14:paraId="64226FC7">
            <w:pPr>
              <w:wordWrap w:val="0"/>
              <w:topLinePunct/>
              <w:adjustRightInd w:val="0"/>
              <w:spacing w:line="360" w:lineRule="auto"/>
              <w:jc w:val="left"/>
              <w:rPr>
                <w:rFonts w:hint="default" w:ascii="Times New Roman" w:hAnsi="Times New Roman" w:eastAsia="宋体" w:cs="Times New Roman"/>
                <w:b/>
                <w:bCs/>
                <w:snapToGrid w:val="0"/>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14:textFill>
                  <w14:solidFill>
                    <w14:schemeClr w14:val="tx1"/>
                  </w14:solidFill>
                </w14:textFill>
              </w:rPr>
              <w:t>四、地下水、土壤环境质量现状评价</w:t>
            </w:r>
          </w:p>
          <w:p w14:paraId="3A567F14">
            <w:pPr>
              <w:wordWrap w:val="0"/>
              <w:topLinePunct/>
              <w:adjustRightInd w:val="0"/>
              <w:spacing w:line="360" w:lineRule="auto"/>
              <w:ind w:firstLine="480" w:firstLineChars="200"/>
              <w:rPr>
                <w:rFonts w:hint="default" w:ascii="Times New Roman" w:hAnsi="Times New Roman" w:eastAsia="宋体" w:cs="Times New Roman"/>
                <w:snapToGrid w:val="0"/>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14:textFill>
                  <w14:solidFill>
                    <w14:schemeClr w14:val="tx1"/>
                  </w14:solidFill>
                </w14:textFill>
              </w:rPr>
              <w:t>根据生态环境部《关于印发&lt;建设项目环境影响报告表&gt;内容、格式及编制技术指南的通知》（环办环评〔2020〕33号）：原则上不开展土壤、地下水环境质量现状调查。建设项目存在土壤、地下水环境污染途径的，应结合污染源、保护目标分布情况开展现状调查以留作背景值。</w:t>
            </w:r>
          </w:p>
          <w:p w14:paraId="58F524B5">
            <w:pPr>
              <w:wordWrap w:val="0"/>
              <w:topLinePunct/>
              <w:adjustRightInd w:val="0"/>
              <w:spacing w:line="360" w:lineRule="auto"/>
              <w:ind w:firstLine="480" w:firstLineChars="200"/>
              <w:rPr>
                <w:rFonts w:hint="default" w:ascii="Times New Roman" w:hAnsi="Times New Roman" w:eastAsia="宋体" w:cs="Times New Roman"/>
                <w:snapToGrid w:val="0"/>
                <w:color w:val="000000" w:themeColor="text1"/>
                <w:sz w:val="24"/>
                <w14:textFill>
                  <w14:solidFill>
                    <w14:schemeClr w14:val="tx1"/>
                  </w14:solidFill>
                </w14:textFill>
              </w:rPr>
            </w:pPr>
            <w:bookmarkStart w:id="10" w:name="_Hlk48118160"/>
            <w:r>
              <w:rPr>
                <w:rFonts w:hint="default" w:ascii="Times New Roman" w:hAnsi="Times New Roman" w:eastAsia="宋体" w:cs="Times New Roman"/>
                <w:snapToGrid w:val="0"/>
                <w:color w:val="000000" w:themeColor="text1"/>
                <w:sz w:val="24"/>
                <w14:textFill>
                  <w14:solidFill>
                    <w14:schemeClr w14:val="tx1"/>
                  </w14:solidFill>
                </w14:textFill>
              </w:rPr>
              <w:t>结合本项目产污分析，本项目正常情况下不会对地下水、土壤环境产生影响，本项目无需开展地下水和土壤环境质量现状调查。</w:t>
            </w:r>
          </w:p>
          <w:p w14:paraId="0040FBFE">
            <w:pPr>
              <w:wordWrap w:val="0"/>
              <w:topLinePunct/>
              <w:adjustRightInd w:val="0"/>
              <w:spacing w:line="360" w:lineRule="auto"/>
              <w:ind w:firstLine="480" w:firstLineChars="200"/>
              <w:rPr>
                <w:rFonts w:hint="default" w:ascii="Times New Roman" w:hAnsi="Times New Roman" w:eastAsia="宋体" w:cs="Times New Roman"/>
                <w:snapToGrid w:val="0"/>
                <w:color w:val="000000" w:themeColor="text1"/>
                <w:sz w:val="24"/>
                <w:lang w:val="en-US" w:eastAsia="zh-CN"/>
                <w14:textFill>
                  <w14:solidFill>
                    <w14:schemeClr w14:val="tx1"/>
                  </w14:solidFill>
                </w14:textFill>
              </w:rPr>
            </w:pPr>
            <w:r>
              <w:rPr>
                <w:rFonts w:hint="eastAsia" w:cs="Times New Roman"/>
                <w:snapToGrid w:val="0"/>
                <w:color w:val="000000" w:themeColor="text1"/>
                <w:sz w:val="24"/>
                <w:lang w:val="en-US" w:eastAsia="zh-CN"/>
                <w14:textFill>
                  <w14:solidFill>
                    <w14:schemeClr w14:val="tx1"/>
                  </w14:solidFill>
                </w14:textFill>
              </w:rPr>
              <w:t>此外，根据主体工程环评中有关土壤和地下水环境质量现状评价结论，区域地下水各点位除总大肠杆菌、细菌总数超标外，其余各项指标均满足《地下水质量标准》（GB/Tl4848-2017）中Ⅲ类标准。经分析，总大肠杆菌、细菌总数超标系农村面源等污染所致；区域土壤各监测点的各项监测指标均符合《土壤环境质量 建设用地土壤污染风险管控标准（试行）》（GB36600-2018）、《土壤环境质量 农用地土壤污染风险管控标准（试行）》（GB15618-2018）要求。</w:t>
            </w:r>
          </w:p>
          <w:p w14:paraId="590D9891">
            <w:pPr>
              <w:wordWrap w:val="0"/>
              <w:topLinePunct/>
              <w:adjustRightInd w:val="0"/>
              <w:spacing w:line="360" w:lineRule="auto"/>
              <w:jc w:val="left"/>
              <w:rPr>
                <w:rFonts w:hint="default" w:ascii="Times New Roman" w:hAnsi="Times New Roman" w:eastAsia="宋体" w:cs="Times New Roman"/>
                <w:b/>
                <w:bCs/>
                <w:snapToGrid w:val="0"/>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14:textFill>
                  <w14:solidFill>
                    <w14:schemeClr w14:val="tx1"/>
                  </w14:solidFill>
                </w14:textFill>
              </w:rPr>
              <w:t>五、生态环境现状</w:t>
            </w:r>
            <w:bookmarkEnd w:id="10"/>
          </w:p>
          <w:p w14:paraId="3C6FF7C6">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bookmarkStart w:id="11" w:name="_Hlk48118171"/>
            <w:r>
              <w:rPr>
                <w:rFonts w:hint="default" w:ascii="Times New Roman" w:hAnsi="Times New Roman" w:eastAsia="宋体" w:cs="Times New Roman"/>
                <w:color w:val="000000" w:themeColor="text1"/>
                <w14:textFill>
                  <w14:solidFill>
                    <w14:schemeClr w14:val="tx1"/>
                  </w14:solidFill>
                </w14:textFill>
              </w:rPr>
              <w:t>本项目位于达州普光化工园区现有已建厂区内，区域内人类活动频繁。项目所在区域内无珍稀濒危受保护物种存在，无文物古迹等需特殊保护的目标。本项目的建设不会对区域生态环境造成影响</w:t>
            </w:r>
            <w:bookmarkEnd w:id="11"/>
            <w:r>
              <w:rPr>
                <w:rFonts w:hint="default" w:ascii="Times New Roman" w:hAnsi="Times New Roman" w:eastAsia="宋体" w:cs="Times New Roman"/>
                <w:color w:val="000000" w:themeColor="text1"/>
                <w14:textFill>
                  <w14:solidFill>
                    <w14:schemeClr w14:val="tx1"/>
                  </w14:solidFill>
                </w14:textFill>
              </w:rPr>
              <w:t>，本项目属于CO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减排工程，对周边生态环境具有一定的正效益。</w:t>
            </w:r>
          </w:p>
        </w:tc>
      </w:tr>
      <w:tr w14:paraId="237BF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04" w:type="dxa"/>
            <w:vAlign w:val="center"/>
          </w:tcPr>
          <w:p w14:paraId="117D7C5E">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环境保护目标</w:t>
            </w:r>
          </w:p>
        </w:tc>
        <w:tc>
          <w:tcPr>
            <w:tcW w:w="8457" w:type="dxa"/>
            <w:vAlign w:val="center"/>
          </w:tcPr>
          <w:p w14:paraId="66E67A12">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1、大气环境</w:t>
            </w:r>
            <w:r>
              <w:rPr>
                <w:rFonts w:hint="default" w:ascii="Times New Roman" w:hAnsi="Times New Roman" w:eastAsia="宋体" w:cs="Times New Roman"/>
                <w:color w:val="000000" w:themeColor="text1"/>
                <w14:textFill>
                  <w14:solidFill>
                    <w14:schemeClr w14:val="tx1"/>
                  </w14:solidFill>
                </w14:textFill>
              </w:rPr>
              <w:t>：根据现场踏勘，以本项目设备边界500m范围内大气环境保护目标为：</w:t>
            </w:r>
            <w:r>
              <w:rPr>
                <w:rFonts w:hint="eastAsia" w:cs="Times New Roman"/>
                <w:color w:val="000000" w:themeColor="text1"/>
                <w:lang w:val="en-US" w:eastAsia="zh-CN"/>
                <w14:textFill>
                  <w14:solidFill>
                    <w14:schemeClr w14:val="tx1"/>
                  </w14:solidFill>
                </w14:textFill>
              </w:rPr>
              <w:t>西</w:t>
            </w:r>
            <w:r>
              <w:rPr>
                <w:rFonts w:hint="default" w:ascii="Times New Roman" w:hAnsi="Times New Roman" w:eastAsia="宋体" w:cs="Times New Roman"/>
                <w:color w:val="000000" w:themeColor="text1"/>
                <w:szCs w:val="21"/>
                <w14:textFill>
                  <w14:solidFill>
                    <w14:schemeClr w14:val="tx1"/>
                  </w14:solidFill>
                </w14:textFill>
              </w:rPr>
              <w:t>北侧</w:t>
            </w:r>
            <w:r>
              <w:rPr>
                <w:rFonts w:hint="eastAsia" w:cs="Times New Roman"/>
                <w:color w:val="000000" w:themeColor="text1"/>
                <w:szCs w:val="21"/>
                <w:lang w:val="en-US" w:eastAsia="zh-CN"/>
                <w14:textFill>
                  <w14:solidFill>
                    <w14:schemeClr w14:val="tx1"/>
                  </w14:solidFill>
                </w14:textFill>
              </w:rPr>
              <w:t>464</w:t>
            </w:r>
            <w:r>
              <w:rPr>
                <w:rFonts w:hint="default" w:ascii="Times New Roman" w:hAnsi="Times New Roman" w:eastAsia="宋体" w:cs="Times New Roman"/>
                <w:color w:val="000000" w:themeColor="text1"/>
                <w:szCs w:val="21"/>
                <w14:textFill>
                  <w14:solidFill>
                    <w14:schemeClr w14:val="tx1"/>
                  </w14:solidFill>
                </w14:textFill>
              </w:rPr>
              <w:t>m处的熊家沟散户居民</w:t>
            </w:r>
            <w:r>
              <w:rPr>
                <w:rFonts w:hint="default" w:ascii="Times New Roman" w:hAnsi="Times New Roman" w:eastAsia="宋体" w:cs="Times New Roman"/>
                <w:color w:val="000000" w:themeColor="text1"/>
                <w14:textFill>
                  <w14:solidFill>
                    <w14:schemeClr w14:val="tx1"/>
                  </w14:solidFill>
                </w14:textFill>
              </w:rPr>
              <w:t>。</w:t>
            </w:r>
          </w:p>
          <w:p w14:paraId="338F8CE2">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2、声环境</w:t>
            </w:r>
            <w:r>
              <w:rPr>
                <w:rFonts w:hint="default" w:ascii="Times New Roman" w:hAnsi="Times New Roman" w:eastAsia="宋体" w:cs="Times New Roman"/>
                <w:color w:val="000000" w:themeColor="text1"/>
                <w14:textFill>
                  <w14:solidFill>
                    <w14:schemeClr w14:val="tx1"/>
                  </w14:solidFill>
                </w14:textFill>
              </w:rPr>
              <w:t>：厂界外50m范围内不存在声环境保护目标。</w:t>
            </w:r>
          </w:p>
          <w:p w14:paraId="06E42A8A">
            <w:pPr>
              <w:pStyle w:val="457"/>
              <w:spacing w:line="360" w:lineRule="auto"/>
              <w:ind w:firstLine="48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3、地下水环境</w:t>
            </w:r>
            <w:r>
              <w:rPr>
                <w:rFonts w:hint="default" w:ascii="Times New Roman" w:hAnsi="Times New Roman" w:eastAsia="宋体" w:cs="Times New Roman"/>
                <w:color w:val="000000" w:themeColor="text1"/>
                <w14:textFill>
                  <w14:solidFill>
                    <w14:schemeClr w14:val="tx1"/>
                  </w14:solidFill>
                </w14:textFill>
              </w:rPr>
              <w:t>：厂界外500m范围内不存在地下水集中式饮用水水源和热水、矿泉水、温泉等特殊地下水资源。</w:t>
            </w:r>
          </w:p>
          <w:p w14:paraId="07F81074">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4、生态环境：</w:t>
            </w:r>
            <w:r>
              <w:rPr>
                <w:rFonts w:hint="default" w:ascii="Times New Roman" w:hAnsi="Times New Roman" w:eastAsia="宋体" w:cs="Times New Roman"/>
                <w:color w:val="000000" w:themeColor="text1"/>
                <w14:textFill>
                  <w14:solidFill>
                    <w14:schemeClr w14:val="tx1"/>
                  </w14:solidFill>
                </w14:textFill>
              </w:rPr>
              <w:t>项目位于达州普光化工园区现有已建厂区内，项目周边无生态环境保护目标。</w:t>
            </w:r>
          </w:p>
          <w:p w14:paraId="1EEFAE62">
            <w:pPr>
              <w:pStyle w:val="476"/>
              <w:widowControl w:val="0"/>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表3-3  项目环境保护目标一览表</w:t>
            </w:r>
          </w:p>
          <w:tbl>
            <w:tblPr>
              <w:tblStyle w:val="4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302"/>
              <w:gridCol w:w="1167"/>
              <w:gridCol w:w="917"/>
              <w:gridCol w:w="1132"/>
              <w:gridCol w:w="2827"/>
            </w:tblGrid>
            <w:tr w14:paraId="342B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6" w:type="pct"/>
                  <w:tcBorders>
                    <w:tl2br w:val="nil"/>
                    <w:tr2bl w:val="nil"/>
                  </w:tcBorders>
                  <w:vAlign w:val="center"/>
                </w:tcPr>
                <w:p w14:paraId="5692784C">
                  <w:pPr>
                    <w:widowControl/>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环境要素</w:t>
                  </w:r>
                </w:p>
              </w:tc>
              <w:tc>
                <w:tcPr>
                  <w:tcW w:w="791" w:type="pct"/>
                  <w:tcBorders>
                    <w:tl2br w:val="nil"/>
                    <w:tr2bl w:val="nil"/>
                  </w:tcBorders>
                  <w:vAlign w:val="center"/>
                </w:tcPr>
                <w:p w14:paraId="23B3EBBF">
                  <w:pPr>
                    <w:pStyle w:val="10"/>
                    <w:spacing w:line="240" w:lineRule="auto"/>
                    <w:ind w:firstLine="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保护对象</w:t>
                  </w:r>
                </w:p>
              </w:tc>
              <w:tc>
                <w:tcPr>
                  <w:tcW w:w="709" w:type="pct"/>
                  <w:tcBorders>
                    <w:tl2br w:val="nil"/>
                    <w:tr2bl w:val="nil"/>
                  </w:tcBorders>
                  <w:vAlign w:val="center"/>
                </w:tcPr>
                <w:p w14:paraId="0226CCEF">
                  <w:pPr>
                    <w:pStyle w:val="10"/>
                    <w:spacing w:line="240" w:lineRule="auto"/>
                    <w:ind w:firstLine="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方位、距离</w:t>
                  </w:r>
                </w:p>
              </w:tc>
              <w:tc>
                <w:tcPr>
                  <w:tcW w:w="557" w:type="pct"/>
                  <w:tcBorders>
                    <w:tl2br w:val="nil"/>
                    <w:tr2bl w:val="nil"/>
                  </w:tcBorders>
                  <w:vAlign w:val="center"/>
                </w:tcPr>
                <w:p w14:paraId="6194C949">
                  <w:pPr>
                    <w:pStyle w:val="10"/>
                    <w:spacing w:line="240" w:lineRule="auto"/>
                    <w:ind w:firstLine="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性质</w:t>
                  </w:r>
                </w:p>
              </w:tc>
              <w:tc>
                <w:tcPr>
                  <w:tcW w:w="687" w:type="pct"/>
                  <w:tcBorders>
                    <w:tl2br w:val="nil"/>
                    <w:tr2bl w:val="nil"/>
                  </w:tcBorders>
                  <w:vAlign w:val="center"/>
                </w:tcPr>
                <w:p w14:paraId="32F89BC7">
                  <w:pPr>
                    <w:pStyle w:val="10"/>
                    <w:spacing w:line="240" w:lineRule="auto"/>
                    <w:ind w:firstLine="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规模</w:t>
                  </w:r>
                </w:p>
              </w:tc>
              <w:tc>
                <w:tcPr>
                  <w:tcW w:w="1717" w:type="pct"/>
                  <w:tcBorders>
                    <w:tl2br w:val="nil"/>
                    <w:tr2bl w:val="nil"/>
                  </w:tcBorders>
                  <w:vAlign w:val="center"/>
                </w:tcPr>
                <w:p w14:paraId="43351755">
                  <w:pPr>
                    <w:widowControl/>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环境功能</w:t>
                  </w:r>
                </w:p>
              </w:tc>
            </w:tr>
            <w:tr w14:paraId="5A48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6" w:type="pct"/>
                  <w:tcBorders>
                    <w:tl2br w:val="nil"/>
                    <w:tr2bl w:val="nil"/>
                  </w:tcBorders>
                  <w:vAlign w:val="center"/>
                </w:tcPr>
                <w:p w14:paraId="7B2619CE">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大气环境</w:t>
                  </w:r>
                </w:p>
              </w:tc>
              <w:tc>
                <w:tcPr>
                  <w:tcW w:w="791" w:type="pct"/>
                  <w:tcBorders>
                    <w:tl2br w:val="nil"/>
                    <w:tr2bl w:val="nil"/>
                  </w:tcBorders>
                  <w:vAlign w:val="center"/>
                </w:tcPr>
                <w:p w14:paraId="2447531E">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熊家沟散户居民</w:t>
                  </w:r>
                </w:p>
              </w:tc>
              <w:tc>
                <w:tcPr>
                  <w:tcW w:w="709" w:type="pct"/>
                  <w:tcBorders>
                    <w:tl2br w:val="nil"/>
                    <w:tr2bl w:val="nil"/>
                  </w:tcBorders>
                  <w:vAlign w:val="center"/>
                </w:tcPr>
                <w:p w14:paraId="1F9DB0FD">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西</w:t>
                  </w:r>
                  <w:r>
                    <w:rPr>
                      <w:rFonts w:hint="default" w:ascii="Times New Roman" w:hAnsi="Times New Roman" w:eastAsia="宋体" w:cs="Times New Roman"/>
                      <w:color w:val="000000" w:themeColor="text1"/>
                      <w:szCs w:val="21"/>
                      <w14:textFill>
                        <w14:solidFill>
                          <w14:schemeClr w14:val="tx1"/>
                        </w14:solidFill>
                      </w14:textFill>
                    </w:rPr>
                    <w:t>北侧、</w:t>
                  </w:r>
                  <w:r>
                    <w:rPr>
                      <w:rFonts w:hint="eastAsia" w:cs="Times New Roman"/>
                      <w:color w:val="000000" w:themeColor="text1"/>
                      <w:szCs w:val="21"/>
                      <w:lang w:val="en-US" w:eastAsia="zh-CN"/>
                      <w14:textFill>
                        <w14:solidFill>
                          <w14:schemeClr w14:val="tx1"/>
                        </w14:solidFill>
                      </w14:textFill>
                    </w:rPr>
                    <w:t>464</w:t>
                  </w:r>
                  <w:r>
                    <w:rPr>
                      <w:rFonts w:hint="default" w:ascii="Times New Roman" w:hAnsi="Times New Roman" w:eastAsia="宋体" w:cs="Times New Roman"/>
                      <w:color w:val="000000" w:themeColor="text1"/>
                      <w:szCs w:val="21"/>
                      <w14:textFill>
                        <w14:solidFill>
                          <w14:schemeClr w14:val="tx1"/>
                        </w14:solidFill>
                      </w14:textFill>
                    </w:rPr>
                    <w:t>m</w:t>
                  </w:r>
                </w:p>
              </w:tc>
              <w:tc>
                <w:tcPr>
                  <w:tcW w:w="557" w:type="pct"/>
                  <w:tcBorders>
                    <w:tl2br w:val="nil"/>
                    <w:tr2bl w:val="nil"/>
                  </w:tcBorders>
                  <w:vAlign w:val="center"/>
                </w:tcPr>
                <w:p w14:paraId="092839F3">
                  <w:pPr>
                    <w:widowControl/>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散户居民点</w:t>
                  </w:r>
                </w:p>
              </w:tc>
              <w:tc>
                <w:tcPr>
                  <w:tcW w:w="687" w:type="pct"/>
                  <w:tcBorders>
                    <w:tl2br w:val="nil"/>
                    <w:tr2bl w:val="nil"/>
                  </w:tcBorders>
                  <w:vAlign w:val="center"/>
                </w:tcPr>
                <w:p w14:paraId="7051CC37">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2户4人</w:t>
                  </w:r>
                </w:p>
              </w:tc>
              <w:tc>
                <w:tcPr>
                  <w:tcW w:w="1717" w:type="pct"/>
                  <w:tcBorders>
                    <w:tl2br w:val="nil"/>
                    <w:tr2bl w:val="nil"/>
                  </w:tcBorders>
                  <w:vAlign w:val="center"/>
                </w:tcPr>
                <w:p w14:paraId="7F73E686">
                  <w:pPr>
                    <w:jc w:val="center"/>
                    <w:rPr>
                      <w:rFonts w:hint="default" w:ascii="Times New Roman" w:hAnsi="Times New Roman" w:eastAsia="宋体" w:cs="Times New Roman"/>
                      <w:b/>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《环境空气质量标准》(GB3095-2012)中二级标准</w:t>
                  </w:r>
                </w:p>
              </w:tc>
            </w:tr>
            <w:tr w14:paraId="358C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36" w:type="pct"/>
                  <w:vMerge w:val="restart"/>
                  <w:tcBorders>
                    <w:tl2br w:val="nil"/>
                    <w:tr2bl w:val="nil"/>
                  </w:tcBorders>
                  <w:vAlign w:val="center"/>
                </w:tcPr>
                <w:p w14:paraId="42FB1F30">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地表水</w:t>
                  </w:r>
                </w:p>
              </w:tc>
              <w:tc>
                <w:tcPr>
                  <w:tcW w:w="791" w:type="pct"/>
                  <w:tcBorders>
                    <w:tl2br w:val="nil"/>
                    <w:tr2bl w:val="nil"/>
                  </w:tcBorders>
                  <w:vAlign w:val="center"/>
                </w:tcPr>
                <w:p w14:paraId="745B720C">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后巴河</w:t>
                  </w:r>
                </w:p>
              </w:tc>
              <w:tc>
                <w:tcPr>
                  <w:tcW w:w="709" w:type="pct"/>
                  <w:tcBorders>
                    <w:tl2br w:val="nil"/>
                    <w:tr2bl w:val="nil"/>
                  </w:tcBorders>
                  <w:vAlign w:val="center"/>
                </w:tcPr>
                <w:p w14:paraId="40FB4E5F">
                  <w:pPr>
                    <w:widowControl/>
                    <w:tabs>
                      <w:tab w:val="left" w:pos="222"/>
                    </w:tabs>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南侧、1915m</w:t>
                  </w:r>
                </w:p>
              </w:tc>
              <w:tc>
                <w:tcPr>
                  <w:tcW w:w="557" w:type="pct"/>
                  <w:tcBorders>
                    <w:tl2br w:val="nil"/>
                    <w:tr2bl w:val="nil"/>
                  </w:tcBorders>
                  <w:vAlign w:val="center"/>
                </w:tcPr>
                <w:p w14:paraId="20234CD2">
                  <w:pPr>
                    <w:widowControl/>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Ⅲ类水体</w:t>
                  </w:r>
                </w:p>
              </w:tc>
              <w:tc>
                <w:tcPr>
                  <w:tcW w:w="687" w:type="pct"/>
                  <w:tcBorders>
                    <w:tl2br w:val="nil"/>
                    <w:tr2bl w:val="nil"/>
                  </w:tcBorders>
                  <w:vAlign w:val="center"/>
                </w:tcPr>
                <w:p w14:paraId="06147530">
                  <w:pPr>
                    <w:widowControl/>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小型河流</w:t>
                  </w:r>
                </w:p>
              </w:tc>
              <w:tc>
                <w:tcPr>
                  <w:tcW w:w="1717" w:type="pct"/>
                  <w:vMerge w:val="restart"/>
                  <w:tcBorders>
                    <w:tl2br w:val="nil"/>
                    <w:tr2bl w:val="nil"/>
                  </w:tcBorders>
                  <w:vAlign w:val="center"/>
                </w:tcPr>
                <w:p w14:paraId="1B6718F7">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《地表水环境质量标准》（GB3838-2002）中Ⅲ类标准</w:t>
                  </w:r>
                </w:p>
              </w:tc>
            </w:tr>
            <w:tr w14:paraId="3D68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36" w:type="pct"/>
                  <w:vMerge w:val="continue"/>
                  <w:tcBorders>
                    <w:tl2br w:val="nil"/>
                    <w:tr2bl w:val="nil"/>
                  </w:tcBorders>
                  <w:vAlign w:val="center"/>
                </w:tcPr>
                <w:p w14:paraId="12BAC258">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791" w:type="pct"/>
                  <w:tcBorders>
                    <w:tl2br w:val="nil"/>
                    <w:tr2bl w:val="nil"/>
                  </w:tcBorders>
                  <w:vAlign w:val="center"/>
                </w:tcPr>
                <w:p w14:paraId="456C6B4F">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后河</w:t>
                  </w:r>
                </w:p>
              </w:tc>
              <w:tc>
                <w:tcPr>
                  <w:tcW w:w="709" w:type="pct"/>
                  <w:tcBorders>
                    <w:tl2br w:val="nil"/>
                    <w:tr2bl w:val="nil"/>
                  </w:tcBorders>
                  <w:vAlign w:val="center"/>
                </w:tcPr>
                <w:p w14:paraId="72CD79CF">
                  <w:pPr>
                    <w:widowControl/>
                    <w:tabs>
                      <w:tab w:val="left" w:pos="222"/>
                    </w:tabs>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东侧、6421m</w:t>
                  </w:r>
                </w:p>
              </w:tc>
              <w:tc>
                <w:tcPr>
                  <w:tcW w:w="557" w:type="pct"/>
                  <w:tcBorders>
                    <w:tl2br w:val="nil"/>
                    <w:tr2bl w:val="nil"/>
                  </w:tcBorders>
                  <w:vAlign w:val="center"/>
                </w:tcPr>
                <w:p w14:paraId="5331AAFC">
                  <w:pPr>
                    <w:widowControl/>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Ⅲ类水体</w:t>
                  </w:r>
                </w:p>
              </w:tc>
              <w:tc>
                <w:tcPr>
                  <w:tcW w:w="687" w:type="pct"/>
                  <w:tcBorders>
                    <w:tl2br w:val="nil"/>
                    <w:tr2bl w:val="nil"/>
                  </w:tcBorders>
                  <w:vAlign w:val="center"/>
                </w:tcPr>
                <w:p w14:paraId="0BFAA829">
                  <w:pPr>
                    <w:widowControl/>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中型河流</w:t>
                  </w:r>
                </w:p>
              </w:tc>
              <w:tc>
                <w:tcPr>
                  <w:tcW w:w="1717" w:type="pct"/>
                  <w:vMerge w:val="continue"/>
                  <w:tcBorders>
                    <w:tl2br w:val="nil"/>
                    <w:tr2bl w:val="nil"/>
                  </w:tcBorders>
                  <w:vAlign w:val="center"/>
                </w:tcPr>
                <w:p w14:paraId="39C57F51">
                  <w:pPr>
                    <w:jc w:val="center"/>
                    <w:rPr>
                      <w:rFonts w:hint="default" w:ascii="Times New Roman" w:hAnsi="Times New Roman" w:eastAsia="宋体" w:cs="Times New Roman"/>
                      <w:color w:val="000000" w:themeColor="text1"/>
                      <w:szCs w:val="21"/>
                      <w:lang w:bidi="ar"/>
                      <w14:textFill>
                        <w14:solidFill>
                          <w14:schemeClr w14:val="tx1"/>
                        </w14:solidFill>
                      </w14:textFill>
                    </w:rPr>
                  </w:pPr>
                </w:p>
              </w:tc>
            </w:tr>
            <w:tr w14:paraId="321D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4E6191D4">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声环境</w:t>
                  </w:r>
                </w:p>
              </w:tc>
              <w:tc>
                <w:tcPr>
                  <w:tcW w:w="2745" w:type="pct"/>
                  <w:gridSpan w:val="4"/>
                  <w:tcBorders>
                    <w:tl2br w:val="nil"/>
                    <w:tr2bl w:val="nil"/>
                  </w:tcBorders>
                  <w:vAlign w:val="center"/>
                </w:tcPr>
                <w:p w14:paraId="2DAC2065">
                  <w:pPr>
                    <w:widowControl/>
                    <w:jc w:val="center"/>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厂界外50m范围内无声环境保护目标</w:t>
                  </w:r>
                </w:p>
              </w:tc>
              <w:tc>
                <w:tcPr>
                  <w:tcW w:w="1717" w:type="pct"/>
                  <w:tcBorders>
                    <w:tl2br w:val="nil"/>
                    <w:tr2bl w:val="nil"/>
                  </w:tcBorders>
                  <w:vAlign w:val="center"/>
                </w:tcPr>
                <w:p w14:paraId="0C0DA6B7">
                  <w:pPr>
                    <w:jc w:val="center"/>
                    <w:rPr>
                      <w:rFonts w:hint="default" w:ascii="Times New Roman" w:hAnsi="Times New Roman" w:eastAsia="宋体" w:cs="Times New Roman"/>
                      <w:color w:val="000000" w:themeColor="text1"/>
                      <w:szCs w:val="21"/>
                      <w:lang w:val="zh-CN"/>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《声环境质量标准》（GB3096-2008）中3类标准</w:t>
                  </w:r>
                </w:p>
              </w:tc>
            </w:tr>
            <w:tr w14:paraId="207B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36F6BF8F">
                  <w:pPr>
                    <w:autoSpaceDE w:val="0"/>
                    <w:autoSpaceDN w:val="0"/>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地下水环境</w:t>
                  </w:r>
                </w:p>
              </w:tc>
              <w:tc>
                <w:tcPr>
                  <w:tcW w:w="2745" w:type="pct"/>
                  <w:gridSpan w:val="4"/>
                  <w:tcBorders>
                    <w:tl2br w:val="nil"/>
                    <w:tr2bl w:val="nil"/>
                  </w:tcBorders>
                  <w:vAlign w:val="center"/>
                </w:tcPr>
                <w:p w14:paraId="48DDEF5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厂界外500m范围内无地下水环境保护目标</w:t>
                  </w:r>
                </w:p>
              </w:tc>
              <w:tc>
                <w:tcPr>
                  <w:tcW w:w="1717" w:type="pct"/>
                  <w:tcBorders>
                    <w:tl2br w:val="nil"/>
                    <w:tr2bl w:val="nil"/>
                  </w:tcBorders>
                  <w:vAlign w:val="center"/>
                </w:tcPr>
                <w:p w14:paraId="608F7F0A">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《地下水质量标准》（GB/T14848-2017）Ⅲ类标准</w:t>
                  </w:r>
                </w:p>
              </w:tc>
            </w:tr>
            <w:tr w14:paraId="2646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tcBorders>
                    <w:tl2br w:val="nil"/>
                    <w:tr2bl w:val="nil"/>
                  </w:tcBorders>
                  <w:vAlign w:val="center"/>
                </w:tcPr>
                <w:p w14:paraId="3C49BBE8">
                  <w:pPr>
                    <w:autoSpaceDE w:val="0"/>
                    <w:autoSpaceDN w:val="0"/>
                    <w:adjustRightIn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生态环境</w:t>
                  </w:r>
                </w:p>
              </w:tc>
              <w:tc>
                <w:tcPr>
                  <w:tcW w:w="2745" w:type="pct"/>
                  <w:gridSpan w:val="4"/>
                  <w:tcBorders>
                    <w:tl2br w:val="nil"/>
                    <w:tr2bl w:val="nil"/>
                  </w:tcBorders>
                  <w:vAlign w:val="center"/>
                </w:tcPr>
                <w:p w14:paraId="452D747C">
                  <w:pPr>
                    <w:autoSpaceDE w:val="0"/>
                    <w:autoSpaceDN w:val="0"/>
                    <w:adjustRightInd w:val="0"/>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区域无生态环境保护目标</w:t>
                  </w:r>
                </w:p>
              </w:tc>
              <w:tc>
                <w:tcPr>
                  <w:tcW w:w="1717" w:type="pct"/>
                  <w:tcBorders>
                    <w:tl2br w:val="nil"/>
                    <w:tr2bl w:val="nil"/>
                  </w:tcBorders>
                  <w:vAlign w:val="center"/>
                </w:tcPr>
                <w:p w14:paraId="2E3B0FB2">
                  <w:pPr>
                    <w:autoSpaceDE w:val="0"/>
                    <w:autoSpaceDN w:val="0"/>
                    <w:adjustRightIn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w:t>
                  </w:r>
                </w:p>
              </w:tc>
            </w:tr>
          </w:tbl>
          <w:p w14:paraId="538A6FE8">
            <w:pPr>
              <w:adjustRightInd w:val="0"/>
              <w:snapToGrid w:val="0"/>
              <w:rPr>
                <w:rFonts w:hint="default" w:ascii="Times New Roman" w:hAnsi="Times New Roman" w:eastAsia="宋体" w:cs="Times New Roman"/>
                <w:color w:val="000000" w:themeColor="text1"/>
                <w:kern w:val="0"/>
                <w:szCs w:val="21"/>
                <w14:textFill>
                  <w14:solidFill>
                    <w14:schemeClr w14:val="tx1"/>
                  </w14:solidFill>
                </w14:textFill>
              </w:rPr>
            </w:pPr>
          </w:p>
        </w:tc>
      </w:tr>
      <w:tr w14:paraId="37773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6" w:hRule="atLeast"/>
          <w:jc w:val="center"/>
        </w:trPr>
        <w:tc>
          <w:tcPr>
            <w:tcW w:w="604" w:type="dxa"/>
            <w:tcMar>
              <w:left w:w="28" w:type="dxa"/>
              <w:right w:w="28" w:type="dxa"/>
            </w:tcMar>
            <w:vAlign w:val="center"/>
          </w:tcPr>
          <w:p w14:paraId="7C22BC0C">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污染物排放控制标准</w:t>
            </w:r>
          </w:p>
        </w:tc>
        <w:tc>
          <w:tcPr>
            <w:tcW w:w="8457" w:type="dxa"/>
          </w:tcPr>
          <w:p w14:paraId="5D682478">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1、废气</w:t>
            </w:r>
          </w:p>
          <w:p w14:paraId="058A6970">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施工期：本项目施工期废气排放执行《四川省施工场地扬尘排放标准》（DB51/2682-2020）中规定的废气限值标准；</w:t>
            </w:r>
          </w:p>
          <w:p w14:paraId="12E297B9">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运营期：</w:t>
            </w:r>
            <w:r>
              <w:rPr>
                <w:rFonts w:hint="eastAsia" w:cs="Times New Roman"/>
                <w:color w:val="000000" w:themeColor="text1"/>
                <w:lang w:val="en-US" w:eastAsia="zh-CN"/>
                <w14:textFill>
                  <w14:solidFill>
                    <w14:schemeClr w14:val="tx1"/>
                  </w14:solidFill>
                </w14:textFill>
              </w:rPr>
              <w:t>本项目</w:t>
            </w:r>
            <w:r>
              <w:rPr>
                <w:rFonts w:hint="eastAsia" w:cs="Times New Roman"/>
                <w:bCs/>
                <w:color w:val="000000" w:themeColor="text1"/>
                <w:sz w:val="24"/>
                <w:lang w:val="en-US" w:eastAsia="zh-CN" w:bidi="ar"/>
                <w14:textFill>
                  <w14:solidFill>
                    <w14:schemeClr w14:val="tx1"/>
                  </w14:solidFill>
                </w14:textFill>
              </w:rPr>
              <w:t>脱轻塔废气通过密闭管线进入天然气加热炉燃烧，</w:t>
            </w:r>
            <w:r>
              <w:rPr>
                <w:rFonts w:hint="default" w:ascii="Times New Roman" w:hAnsi="Times New Roman" w:eastAsia="宋体" w:cs="Times New Roman"/>
                <w:bCs/>
                <w:color w:val="000000" w:themeColor="text1"/>
                <w:sz w:val="24"/>
                <w:lang w:bidi="ar"/>
                <w14:textFill>
                  <w14:solidFill>
                    <w14:schemeClr w14:val="tx1"/>
                  </w14:solidFill>
                </w14:textFill>
              </w:rPr>
              <w:t>经</w:t>
            </w:r>
            <w:r>
              <w:rPr>
                <w:rFonts w:hint="eastAsia" w:cs="Times New Roman"/>
                <w:bCs/>
                <w:color w:val="000000" w:themeColor="text1"/>
                <w:sz w:val="24"/>
                <w:lang w:val="en-US" w:eastAsia="zh-CN" w:bidi="ar"/>
                <w14:textFill>
                  <w14:solidFill>
                    <w14:schemeClr w14:val="tx1"/>
                  </w14:solidFill>
                </w14:textFill>
              </w:rPr>
              <w:t>加热炉</w:t>
            </w:r>
            <w:r>
              <w:rPr>
                <w:rFonts w:hint="default" w:ascii="Times New Roman" w:hAnsi="Times New Roman" w:eastAsia="宋体" w:cs="Times New Roman"/>
                <w:bCs/>
                <w:color w:val="000000" w:themeColor="text1"/>
                <w:sz w:val="24"/>
                <w:lang w:bidi="ar"/>
                <w14:textFill>
                  <w14:solidFill>
                    <w14:schemeClr w14:val="tx1"/>
                  </w14:solidFill>
                </w14:textFill>
              </w:rPr>
              <w:t>处理后排放的废气经1根</w:t>
            </w:r>
            <w:r>
              <w:rPr>
                <w:rFonts w:hint="eastAsia" w:cs="Times New Roman"/>
                <w:bCs/>
                <w:color w:val="000000" w:themeColor="text1"/>
                <w:sz w:val="24"/>
                <w:lang w:val="en-US" w:eastAsia="zh-CN" w:bidi="ar"/>
                <w14:textFill>
                  <w14:solidFill>
                    <w14:schemeClr w14:val="tx1"/>
                  </w14:solidFill>
                </w14:textFill>
              </w:rPr>
              <w:t>60</w:t>
            </w:r>
            <w:r>
              <w:rPr>
                <w:rFonts w:hint="default" w:ascii="Times New Roman" w:hAnsi="Times New Roman" w:eastAsia="宋体" w:cs="Times New Roman"/>
                <w:bCs/>
                <w:color w:val="000000" w:themeColor="text1"/>
                <w:sz w:val="24"/>
                <w:lang w:bidi="ar"/>
                <w14:textFill>
                  <w14:solidFill>
                    <w14:schemeClr w14:val="tx1"/>
                  </w14:solidFill>
                </w14:textFill>
              </w:rPr>
              <w:t>m排气筒排放</w:t>
            </w:r>
            <w:r>
              <w:rPr>
                <w:rFonts w:hint="default" w:ascii="Times New Roman" w:hAnsi="Times New Roman" w:eastAsia="宋体" w:cs="Times New Roman"/>
                <w:color w:val="000000" w:themeColor="text1"/>
                <w14:textFill>
                  <w14:solidFill>
                    <w14:schemeClr w14:val="tx1"/>
                  </w14:solidFill>
                </w14:textFill>
              </w:rPr>
              <w:t>。</w:t>
            </w:r>
          </w:p>
          <w:p w14:paraId="1E0A4E04">
            <w:pPr>
              <w:pStyle w:val="457"/>
              <w:spacing w:line="240" w:lineRule="auto"/>
              <w:ind w:left="0" w:leftChars="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表3-4 天然气加热炉废气排放标准一览表</w:t>
            </w:r>
          </w:p>
          <w:tbl>
            <w:tblPr>
              <w:tblStyle w:val="474"/>
              <w:tblW w:w="8299"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935"/>
              <w:gridCol w:w="2402"/>
              <w:gridCol w:w="2481"/>
              <w:gridCol w:w="2481"/>
            </w:tblGrid>
            <w:tr w14:paraId="321C858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9" w:hRule="atLeast"/>
                <w:jc w:val="center"/>
              </w:trPr>
              <w:tc>
                <w:tcPr>
                  <w:tcW w:w="935" w:type="dxa"/>
                  <w:vAlign w:val="center"/>
                </w:tcPr>
                <w:p w14:paraId="69087437">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序号</w:t>
                  </w:r>
                </w:p>
              </w:tc>
              <w:tc>
                <w:tcPr>
                  <w:tcW w:w="2402" w:type="dxa"/>
                  <w:vAlign w:val="center"/>
                </w:tcPr>
                <w:p w14:paraId="4BBD5974">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污染物</w:t>
                  </w:r>
                </w:p>
              </w:tc>
              <w:tc>
                <w:tcPr>
                  <w:tcW w:w="2481" w:type="dxa"/>
                  <w:vAlign w:val="center"/>
                </w:tcPr>
                <w:p w14:paraId="41CE425F">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标准限值（mg/L）</w:t>
                  </w:r>
                </w:p>
              </w:tc>
              <w:tc>
                <w:tcPr>
                  <w:tcW w:w="2481" w:type="dxa"/>
                  <w:vAlign w:val="center"/>
                </w:tcPr>
                <w:p w14:paraId="5C114222">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执行标准</w:t>
                  </w:r>
                </w:p>
              </w:tc>
            </w:tr>
            <w:tr w14:paraId="1313810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4" w:hRule="atLeast"/>
                <w:jc w:val="center"/>
              </w:trPr>
              <w:tc>
                <w:tcPr>
                  <w:tcW w:w="935" w:type="dxa"/>
                  <w:vAlign w:val="center"/>
                </w:tcPr>
                <w:p w14:paraId="4339FF99">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1</w:t>
                  </w:r>
                </w:p>
              </w:tc>
              <w:tc>
                <w:tcPr>
                  <w:tcW w:w="2402" w:type="dxa"/>
                  <w:vAlign w:val="center"/>
                </w:tcPr>
                <w:p w14:paraId="7E41D7A5">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SO</w:t>
                  </w:r>
                  <w:r>
                    <w:rPr>
                      <w:rFonts w:hint="eastAsia" w:cs="Times New Roman"/>
                      <w:snapToGrid/>
                      <w:color w:val="000000" w:themeColor="text1"/>
                      <w:kern w:val="2"/>
                      <w:sz w:val="21"/>
                      <w:szCs w:val="21"/>
                      <w:vertAlign w:val="subscript"/>
                      <w:lang w:val="en-US" w:eastAsia="zh-CN" w:bidi="ar"/>
                      <w14:textFill>
                        <w14:solidFill>
                          <w14:schemeClr w14:val="tx1"/>
                        </w14:solidFill>
                      </w14:textFill>
                    </w:rPr>
                    <w:t>2</w:t>
                  </w:r>
                </w:p>
              </w:tc>
              <w:tc>
                <w:tcPr>
                  <w:tcW w:w="2481" w:type="dxa"/>
                  <w:vAlign w:val="center"/>
                </w:tcPr>
                <w:p w14:paraId="0DA405A5">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50</w:t>
                  </w:r>
                </w:p>
              </w:tc>
              <w:tc>
                <w:tcPr>
                  <w:tcW w:w="2481" w:type="dxa"/>
                  <w:vMerge w:val="restart"/>
                  <w:vAlign w:val="center"/>
                </w:tcPr>
                <w:p w14:paraId="49A97D48">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eastAsia"/>
                      <w:color w:val="000000" w:themeColor="text1"/>
                      <w:sz w:val="21"/>
                      <w:szCs w:val="21"/>
                      <w:highlight w:val="none"/>
                      <w14:textFill>
                        <w14:solidFill>
                          <w14:schemeClr w14:val="tx1"/>
                        </w14:solidFill>
                      </w14:textFill>
                    </w:rPr>
                    <w:t>《石油化学工业污染物排放标准》(GB31571-2015，含2024年修改单)</w:t>
                  </w:r>
                  <w:r>
                    <w:rPr>
                      <w:rFonts w:hint="eastAsia"/>
                      <w:color w:val="000000" w:themeColor="text1"/>
                      <w:sz w:val="21"/>
                      <w:szCs w:val="21"/>
                      <w:highlight w:val="none"/>
                      <w:lang w:val="en-US" w:eastAsia="zh-CN"/>
                      <w14:textFill>
                        <w14:solidFill>
                          <w14:schemeClr w14:val="tx1"/>
                        </w14:solidFill>
                      </w14:textFill>
                    </w:rPr>
                    <w:t>表5</w:t>
                  </w:r>
                </w:p>
              </w:tc>
            </w:tr>
            <w:tr w14:paraId="1F85573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74" w:hRule="atLeast"/>
                <w:jc w:val="center"/>
              </w:trPr>
              <w:tc>
                <w:tcPr>
                  <w:tcW w:w="935" w:type="dxa"/>
                  <w:vAlign w:val="center"/>
                </w:tcPr>
                <w:p w14:paraId="0E494247">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2</w:t>
                  </w:r>
                </w:p>
              </w:tc>
              <w:tc>
                <w:tcPr>
                  <w:tcW w:w="2402" w:type="dxa"/>
                  <w:vAlign w:val="center"/>
                </w:tcPr>
                <w:p w14:paraId="03363C03">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NOx</w:t>
                  </w:r>
                </w:p>
              </w:tc>
              <w:tc>
                <w:tcPr>
                  <w:tcW w:w="2481" w:type="dxa"/>
                  <w:vAlign w:val="center"/>
                </w:tcPr>
                <w:p w14:paraId="13B55D84">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100</w:t>
                  </w:r>
                </w:p>
              </w:tc>
              <w:tc>
                <w:tcPr>
                  <w:tcW w:w="2481" w:type="dxa"/>
                  <w:vMerge w:val="continue"/>
                  <w:vAlign w:val="center"/>
                </w:tcPr>
                <w:p w14:paraId="0C37EEA1">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p>
              </w:tc>
            </w:tr>
            <w:tr w14:paraId="00B8017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03" w:hRule="atLeast"/>
                <w:jc w:val="center"/>
              </w:trPr>
              <w:tc>
                <w:tcPr>
                  <w:tcW w:w="935" w:type="dxa"/>
                  <w:vAlign w:val="center"/>
                </w:tcPr>
                <w:p w14:paraId="5C718C6E">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3</w:t>
                  </w:r>
                </w:p>
              </w:tc>
              <w:tc>
                <w:tcPr>
                  <w:tcW w:w="2402" w:type="dxa"/>
                  <w:vAlign w:val="center"/>
                </w:tcPr>
                <w:p w14:paraId="6B7A0878">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val="en-US"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颗粒物</w:t>
                  </w:r>
                </w:p>
              </w:tc>
              <w:tc>
                <w:tcPr>
                  <w:tcW w:w="2481" w:type="dxa"/>
                  <w:vAlign w:val="center"/>
                </w:tcPr>
                <w:p w14:paraId="5FBCC1DA">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r>
                    <w:rPr>
                      <w:rFonts w:hint="eastAsia" w:cs="Times New Roman"/>
                      <w:snapToGrid/>
                      <w:color w:val="000000" w:themeColor="text1"/>
                      <w:kern w:val="2"/>
                      <w:sz w:val="21"/>
                      <w:szCs w:val="21"/>
                      <w:lang w:val="en-US" w:eastAsia="zh-CN" w:bidi="ar"/>
                      <w14:textFill>
                        <w14:solidFill>
                          <w14:schemeClr w14:val="tx1"/>
                        </w14:solidFill>
                      </w14:textFill>
                    </w:rPr>
                    <w:t>2</w:t>
                  </w:r>
                  <w:r>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t>0</w:t>
                  </w:r>
                </w:p>
              </w:tc>
              <w:tc>
                <w:tcPr>
                  <w:tcW w:w="2481" w:type="dxa"/>
                  <w:vMerge w:val="continue"/>
                  <w:vAlign w:val="center"/>
                </w:tcPr>
                <w:p w14:paraId="1D1CEA3C">
                  <w:pPr>
                    <w:widowControl w:val="0"/>
                    <w:kinsoku/>
                    <w:autoSpaceDE/>
                    <w:autoSpaceDN/>
                    <w:adjustRightInd/>
                    <w:snapToGrid/>
                    <w:spacing w:line="240" w:lineRule="auto"/>
                    <w:jc w:val="center"/>
                    <w:textAlignment w:val="auto"/>
                    <w:rPr>
                      <w:rFonts w:hint="default" w:ascii="Times New Roman" w:hAnsi="Times New Roman" w:eastAsia="宋体" w:cs="Times New Roman"/>
                      <w:snapToGrid/>
                      <w:color w:val="000000" w:themeColor="text1"/>
                      <w:kern w:val="2"/>
                      <w:sz w:val="21"/>
                      <w:szCs w:val="21"/>
                      <w:lang w:eastAsia="zh-CN" w:bidi="ar"/>
                      <w14:textFill>
                        <w14:solidFill>
                          <w14:schemeClr w14:val="tx1"/>
                        </w14:solidFill>
                      </w14:textFill>
                    </w:rPr>
                  </w:pPr>
                </w:p>
              </w:tc>
            </w:tr>
          </w:tbl>
          <w:p w14:paraId="3FD36DDE">
            <w:pPr>
              <w:pStyle w:val="457"/>
              <w:spacing w:line="240" w:lineRule="auto"/>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4AE68D06">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2、废水</w:t>
            </w:r>
          </w:p>
          <w:p w14:paraId="14BA00DA">
            <w:pPr>
              <w:widowControl/>
              <w:spacing w:line="360" w:lineRule="auto"/>
              <w:ind w:firstLine="480" w:firstLineChars="200"/>
              <w:jc w:val="left"/>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本项目洗管废水排入厂区回用水站处理后循环使用不外排</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分离废水（清净下水）排入初期雨水池进入污水处理站处理，新增员工生活污水</w:t>
            </w:r>
            <w:r>
              <w:rPr>
                <w:rFonts w:hint="eastAsia" w:cs="Times New Roman"/>
                <w:color w:val="000000" w:themeColor="text1"/>
                <w:sz w:val="24"/>
                <w:szCs w:val="20"/>
                <w:lang w:val="en-US" w:eastAsia="zh-CN"/>
                <w14:textFill>
                  <w14:solidFill>
                    <w14:schemeClr w14:val="tx1"/>
                  </w14:solidFill>
                </w14:textFill>
              </w:rPr>
              <w:t>依托</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污水处理站进行处理。出水执行《石油化学工业污染物排放标准》（GB 31571-2015）标准和《污水综合排放标准》（GB8978-1996）三级标准和园区污水接管标准，具体见表3-</w:t>
            </w:r>
            <w:r>
              <w:rPr>
                <w:rFonts w:hint="eastAsia" w:cs="Times New Roman"/>
                <w:color w:val="000000" w:themeColor="text1"/>
                <w:sz w:val="24"/>
                <w:szCs w:val="20"/>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w:t>
            </w:r>
          </w:p>
          <w:p w14:paraId="66A7C482">
            <w:pPr>
              <w:widowControl/>
              <w:spacing w:line="240" w:lineRule="auto"/>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kern w:val="0"/>
                <w:szCs w:val="21"/>
                <w:lang w:bidi="ar"/>
                <w14:textFill>
                  <w14:solidFill>
                    <w14:schemeClr w14:val="tx1"/>
                  </w14:solidFill>
                </w14:textFill>
              </w:rPr>
              <w:t>表3-</w:t>
            </w:r>
            <w:r>
              <w:rPr>
                <w:rFonts w:hint="eastAsia" w:cs="Times New Roman"/>
                <w:b/>
                <w:color w:val="000000" w:themeColor="text1"/>
                <w:kern w:val="0"/>
                <w:szCs w:val="21"/>
                <w:lang w:val="en-US" w:eastAsia="zh-CN" w:bidi="ar"/>
                <w14:textFill>
                  <w14:solidFill>
                    <w14:schemeClr w14:val="tx1"/>
                  </w14:solidFill>
                </w14:textFill>
              </w:rPr>
              <w:t>5</w:t>
            </w:r>
            <w:r>
              <w:rPr>
                <w:rFonts w:hint="default" w:ascii="Times New Roman" w:hAnsi="Times New Roman" w:eastAsia="宋体" w:cs="Times New Roman"/>
                <w:b/>
                <w:color w:val="000000" w:themeColor="text1"/>
                <w:kern w:val="0"/>
                <w:szCs w:val="21"/>
                <w:lang w:bidi="ar"/>
                <w14:textFill>
                  <w14:solidFill>
                    <w14:schemeClr w14:val="tx1"/>
                  </w14:solidFill>
                </w14:textFill>
              </w:rPr>
              <w:t xml:space="preserve"> </w:t>
            </w:r>
            <w:r>
              <w:rPr>
                <w:rFonts w:hint="eastAsia" w:cs="Times New Roman"/>
                <w:b/>
                <w:color w:val="000000" w:themeColor="text1"/>
                <w:kern w:val="0"/>
                <w:szCs w:val="21"/>
                <w:lang w:val="en-US" w:eastAsia="zh-CN" w:bidi="ar"/>
                <w14:textFill>
                  <w14:solidFill>
                    <w14:schemeClr w14:val="tx1"/>
                  </w14:solidFill>
                </w14:textFill>
              </w:rPr>
              <w:t>所依托污水处理站</w:t>
            </w:r>
            <w:r>
              <w:rPr>
                <w:rFonts w:hint="default" w:ascii="Times New Roman" w:hAnsi="Times New Roman" w:eastAsia="宋体" w:cs="Times New Roman"/>
                <w:b/>
                <w:color w:val="000000" w:themeColor="text1"/>
                <w:kern w:val="0"/>
                <w:szCs w:val="21"/>
                <w:lang w:val="en-US" w:eastAsia="zh-CN" w:bidi="ar"/>
                <w14:textFill>
                  <w14:solidFill>
                    <w14:schemeClr w14:val="tx1"/>
                  </w14:solidFill>
                </w14:textFill>
              </w:rPr>
              <w:t>排放执行标准</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6"/>
              <w:gridCol w:w="990"/>
              <w:gridCol w:w="1941"/>
              <w:gridCol w:w="1088"/>
              <w:gridCol w:w="1689"/>
              <w:gridCol w:w="1115"/>
              <w:gridCol w:w="820"/>
            </w:tblGrid>
            <w:tr w14:paraId="6E71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 w:hRule="atLeast"/>
                <w:tblHeader/>
                <w:jc w:val="center"/>
              </w:trPr>
              <w:tc>
                <w:tcPr>
                  <w:tcW w:w="356" w:type="pct"/>
                  <w:noWrap w:val="0"/>
                  <w:vAlign w:val="center"/>
                </w:tcPr>
                <w:p w14:paraId="03CAC29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序号</w:t>
                  </w:r>
                </w:p>
              </w:tc>
              <w:tc>
                <w:tcPr>
                  <w:tcW w:w="601" w:type="pct"/>
                  <w:noWrap w:val="0"/>
                  <w:vAlign w:val="center"/>
                </w:tcPr>
                <w:p w14:paraId="15D4552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控制项目</w:t>
                  </w:r>
                </w:p>
              </w:tc>
              <w:tc>
                <w:tcPr>
                  <w:tcW w:w="1179" w:type="pct"/>
                  <w:noWrap w:val="0"/>
                  <w:vAlign w:val="center"/>
                </w:tcPr>
                <w:p w14:paraId="17949563">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GB31571-2015表1间接排放限值和表3排放限值</w:t>
                  </w:r>
                </w:p>
              </w:tc>
              <w:tc>
                <w:tcPr>
                  <w:tcW w:w="661" w:type="pct"/>
                  <w:noWrap w:val="0"/>
                  <w:vAlign w:val="center"/>
                </w:tcPr>
                <w:p w14:paraId="004A5BCE">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园区签订的纳管协议要求</w:t>
                  </w:r>
                </w:p>
              </w:tc>
              <w:tc>
                <w:tcPr>
                  <w:tcW w:w="1026" w:type="pct"/>
                  <w:noWrap w:val="0"/>
                  <w:vAlign w:val="center"/>
                </w:tcPr>
                <w:p w14:paraId="4CB8208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DB51/3202-2024表1和表3间接排放限值</w:t>
                  </w:r>
                </w:p>
              </w:tc>
              <w:tc>
                <w:tcPr>
                  <w:tcW w:w="677" w:type="pct"/>
                  <w:noWrap w:val="0"/>
                  <w:vAlign w:val="center"/>
                </w:tcPr>
                <w:p w14:paraId="508C35CB">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出厂控制浓度要求</w:t>
                  </w:r>
                </w:p>
              </w:tc>
              <w:tc>
                <w:tcPr>
                  <w:tcW w:w="498" w:type="pct"/>
                  <w:noWrap w:val="0"/>
                  <w:vAlign w:val="center"/>
                </w:tcPr>
                <w:p w14:paraId="5D5707D2">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单位</w:t>
                  </w:r>
                </w:p>
              </w:tc>
            </w:tr>
            <w:tr w14:paraId="3570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0D4F92E0">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w:t>
                  </w:r>
                </w:p>
              </w:tc>
              <w:tc>
                <w:tcPr>
                  <w:tcW w:w="601" w:type="pct"/>
                  <w:noWrap w:val="0"/>
                  <w:vAlign w:val="center"/>
                </w:tcPr>
                <w:p w14:paraId="0E425663">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pH</w:t>
                  </w:r>
                </w:p>
              </w:tc>
              <w:tc>
                <w:tcPr>
                  <w:tcW w:w="1179" w:type="pct"/>
                  <w:noWrap w:val="0"/>
                  <w:vAlign w:val="center"/>
                </w:tcPr>
                <w:p w14:paraId="365BE10B">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0D06D393">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6~9</w:t>
                  </w:r>
                </w:p>
              </w:tc>
              <w:tc>
                <w:tcPr>
                  <w:tcW w:w="1026" w:type="pct"/>
                  <w:noWrap w:val="0"/>
                  <w:vAlign w:val="center"/>
                </w:tcPr>
                <w:p w14:paraId="674517B2">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6～9</w:t>
                  </w:r>
                </w:p>
              </w:tc>
              <w:tc>
                <w:tcPr>
                  <w:tcW w:w="677" w:type="pct"/>
                  <w:noWrap w:val="0"/>
                  <w:vAlign w:val="center"/>
                </w:tcPr>
                <w:p w14:paraId="2CC4C406">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6～9</w:t>
                  </w:r>
                </w:p>
              </w:tc>
              <w:tc>
                <w:tcPr>
                  <w:tcW w:w="498" w:type="pct"/>
                  <w:noWrap w:val="0"/>
                  <w:vAlign w:val="center"/>
                </w:tcPr>
                <w:p w14:paraId="72C4293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r>
            <w:tr w14:paraId="7B2E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0FF33F96">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w:t>
                  </w:r>
                </w:p>
              </w:tc>
              <w:tc>
                <w:tcPr>
                  <w:tcW w:w="601" w:type="pct"/>
                  <w:noWrap w:val="0"/>
                  <w:vAlign w:val="center"/>
                </w:tcPr>
                <w:p w14:paraId="0DDD2DD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COD</w:t>
                  </w:r>
                  <w:r>
                    <w:rPr>
                      <w:rFonts w:hint="eastAsia" w:cs="Times New Roman"/>
                      <w:snapToGrid/>
                      <w:color w:val="000000" w:themeColor="text1"/>
                      <w:kern w:val="2"/>
                      <w:szCs w:val="21"/>
                      <w:vertAlign w:val="subscript"/>
                      <w:lang w:val="en-US" w:eastAsia="zh-CN" w:bidi="ar"/>
                      <w14:textFill>
                        <w14:solidFill>
                          <w14:schemeClr w14:val="tx1"/>
                        </w14:solidFill>
                      </w14:textFill>
                    </w:rPr>
                    <w:t>Cr</w:t>
                  </w:r>
                </w:p>
              </w:tc>
              <w:tc>
                <w:tcPr>
                  <w:tcW w:w="1179" w:type="pct"/>
                  <w:noWrap w:val="0"/>
                  <w:vAlign w:val="center"/>
                </w:tcPr>
                <w:p w14:paraId="45BCE5E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57CA1A1F">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470</w:t>
                  </w:r>
                </w:p>
              </w:tc>
              <w:tc>
                <w:tcPr>
                  <w:tcW w:w="1026" w:type="pct"/>
                  <w:noWrap w:val="0"/>
                  <w:vAlign w:val="center"/>
                </w:tcPr>
                <w:p w14:paraId="45E00658">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500</w:t>
                  </w:r>
                </w:p>
              </w:tc>
              <w:tc>
                <w:tcPr>
                  <w:tcW w:w="677" w:type="pct"/>
                  <w:noWrap w:val="0"/>
                  <w:vAlign w:val="center"/>
                </w:tcPr>
                <w:p w14:paraId="39B21B1C">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470</w:t>
                  </w:r>
                </w:p>
              </w:tc>
              <w:tc>
                <w:tcPr>
                  <w:tcW w:w="498" w:type="pct"/>
                  <w:noWrap w:val="0"/>
                  <w:vAlign w:val="center"/>
                </w:tcPr>
                <w:p w14:paraId="157C4A13">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4354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2D7F2608">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w:t>
                  </w:r>
                </w:p>
              </w:tc>
              <w:tc>
                <w:tcPr>
                  <w:tcW w:w="601" w:type="pct"/>
                  <w:noWrap w:val="0"/>
                  <w:vAlign w:val="center"/>
                </w:tcPr>
                <w:p w14:paraId="747F6276">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BOD</w:t>
                  </w:r>
                  <w:r>
                    <w:rPr>
                      <w:rFonts w:hint="eastAsia" w:cs="Times New Roman"/>
                      <w:snapToGrid/>
                      <w:color w:val="000000" w:themeColor="text1"/>
                      <w:kern w:val="2"/>
                      <w:szCs w:val="21"/>
                      <w:vertAlign w:val="subscript"/>
                      <w:lang w:val="en-US" w:eastAsia="zh-CN" w:bidi="ar"/>
                      <w14:textFill>
                        <w14:solidFill>
                          <w14:schemeClr w14:val="tx1"/>
                        </w14:solidFill>
                      </w14:textFill>
                    </w:rPr>
                    <w:t>5</w:t>
                  </w:r>
                </w:p>
              </w:tc>
              <w:tc>
                <w:tcPr>
                  <w:tcW w:w="1179" w:type="pct"/>
                  <w:noWrap w:val="0"/>
                  <w:vAlign w:val="center"/>
                </w:tcPr>
                <w:p w14:paraId="580BD013">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6A1B2F73">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270</w:t>
                  </w:r>
                </w:p>
              </w:tc>
              <w:tc>
                <w:tcPr>
                  <w:tcW w:w="1026" w:type="pct"/>
                  <w:noWrap w:val="0"/>
                  <w:vAlign w:val="center"/>
                </w:tcPr>
                <w:p w14:paraId="2B6D7BF0">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77" w:type="pct"/>
                  <w:noWrap w:val="0"/>
                  <w:vAlign w:val="center"/>
                </w:tcPr>
                <w:p w14:paraId="5D64ED96">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270</w:t>
                  </w:r>
                </w:p>
              </w:tc>
              <w:tc>
                <w:tcPr>
                  <w:tcW w:w="498" w:type="pct"/>
                  <w:noWrap w:val="0"/>
                  <w:vAlign w:val="center"/>
                </w:tcPr>
                <w:p w14:paraId="623BD8F5">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1C0C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3D8E870F">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w:t>
                  </w:r>
                </w:p>
              </w:tc>
              <w:tc>
                <w:tcPr>
                  <w:tcW w:w="601" w:type="pct"/>
                  <w:noWrap w:val="0"/>
                  <w:vAlign w:val="center"/>
                </w:tcPr>
                <w:p w14:paraId="6E162C6E">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氨氮</w:t>
                  </w:r>
                </w:p>
              </w:tc>
              <w:tc>
                <w:tcPr>
                  <w:tcW w:w="1179" w:type="pct"/>
                  <w:noWrap w:val="0"/>
                  <w:vAlign w:val="center"/>
                </w:tcPr>
                <w:p w14:paraId="0ABB500F">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26B56580">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35</w:t>
                  </w:r>
                </w:p>
              </w:tc>
              <w:tc>
                <w:tcPr>
                  <w:tcW w:w="1026" w:type="pct"/>
                  <w:noWrap w:val="0"/>
                  <w:vAlign w:val="center"/>
                </w:tcPr>
                <w:p w14:paraId="794C1CF9">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45</w:t>
                  </w:r>
                </w:p>
              </w:tc>
              <w:tc>
                <w:tcPr>
                  <w:tcW w:w="677" w:type="pct"/>
                  <w:noWrap w:val="0"/>
                  <w:vAlign w:val="center"/>
                </w:tcPr>
                <w:p w14:paraId="1F4F82F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35</w:t>
                  </w:r>
                </w:p>
              </w:tc>
              <w:tc>
                <w:tcPr>
                  <w:tcW w:w="498" w:type="pct"/>
                  <w:noWrap w:val="0"/>
                  <w:vAlign w:val="center"/>
                </w:tcPr>
                <w:p w14:paraId="7B5453A6">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0D65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091B37A9">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w:t>
                  </w:r>
                </w:p>
              </w:tc>
              <w:tc>
                <w:tcPr>
                  <w:tcW w:w="601" w:type="pct"/>
                  <w:noWrap w:val="0"/>
                  <w:vAlign w:val="center"/>
                </w:tcPr>
                <w:p w14:paraId="4E2530B1">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SS</w:t>
                  </w:r>
                </w:p>
              </w:tc>
              <w:tc>
                <w:tcPr>
                  <w:tcW w:w="1179" w:type="pct"/>
                  <w:noWrap w:val="0"/>
                  <w:vAlign w:val="center"/>
                </w:tcPr>
                <w:p w14:paraId="652DBF2A">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5A3718A0">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400</w:t>
                  </w:r>
                </w:p>
              </w:tc>
              <w:tc>
                <w:tcPr>
                  <w:tcW w:w="1026" w:type="pct"/>
                  <w:noWrap w:val="0"/>
                  <w:vAlign w:val="center"/>
                </w:tcPr>
                <w:p w14:paraId="4495E52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150</w:t>
                  </w:r>
                </w:p>
              </w:tc>
              <w:tc>
                <w:tcPr>
                  <w:tcW w:w="677" w:type="pct"/>
                  <w:noWrap w:val="0"/>
                  <w:vAlign w:val="center"/>
                </w:tcPr>
                <w:p w14:paraId="03A00D2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150</w:t>
                  </w:r>
                </w:p>
              </w:tc>
              <w:tc>
                <w:tcPr>
                  <w:tcW w:w="498" w:type="pct"/>
                  <w:noWrap w:val="0"/>
                  <w:vAlign w:val="center"/>
                </w:tcPr>
                <w:p w14:paraId="1C2D220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6239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46063C7F">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w:t>
                  </w:r>
                </w:p>
              </w:tc>
              <w:tc>
                <w:tcPr>
                  <w:tcW w:w="601" w:type="pct"/>
                  <w:noWrap w:val="0"/>
                  <w:vAlign w:val="center"/>
                </w:tcPr>
                <w:p w14:paraId="067EF508">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石油类</w:t>
                  </w:r>
                </w:p>
              </w:tc>
              <w:tc>
                <w:tcPr>
                  <w:tcW w:w="1179" w:type="pct"/>
                  <w:noWrap w:val="0"/>
                  <w:vAlign w:val="center"/>
                </w:tcPr>
                <w:p w14:paraId="44001400">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w:t>
                  </w:r>
                </w:p>
              </w:tc>
              <w:tc>
                <w:tcPr>
                  <w:tcW w:w="661" w:type="pct"/>
                  <w:noWrap w:val="0"/>
                  <w:vAlign w:val="center"/>
                </w:tcPr>
                <w:p w14:paraId="76FF011F">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w:t>
                  </w:r>
                </w:p>
              </w:tc>
              <w:tc>
                <w:tcPr>
                  <w:tcW w:w="1026" w:type="pct"/>
                  <w:noWrap w:val="0"/>
                  <w:vAlign w:val="center"/>
                </w:tcPr>
                <w:p w14:paraId="3B3FFBC8">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77" w:type="pct"/>
                  <w:noWrap w:val="0"/>
                  <w:vAlign w:val="center"/>
                </w:tcPr>
                <w:p w14:paraId="11A44DE1">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w:t>
                  </w:r>
                </w:p>
              </w:tc>
              <w:tc>
                <w:tcPr>
                  <w:tcW w:w="498" w:type="pct"/>
                  <w:noWrap w:val="0"/>
                  <w:vAlign w:val="center"/>
                </w:tcPr>
                <w:p w14:paraId="7CECF91E">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25E9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578B13F9">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w:t>
                  </w:r>
                </w:p>
              </w:tc>
              <w:tc>
                <w:tcPr>
                  <w:tcW w:w="601" w:type="pct"/>
                  <w:noWrap w:val="0"/>
                  <w:vAlign w:val="center"/>
                </w:tcPr>
                <w:p w14:paraId="325C9D38">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总氮</w:t>
                  </w:r>
                </w:p>
              </w:tc>
              <w:tc>
                <w:tcPr>
                  <w:tcW w:w="1179" w:type="pct"/>
                  <w:noWrap w:val="0"/>
                  <w:vAlign w:val="center"/>
                </w:tcPr>
                <w:p w14:paraId="28DEAF95">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6F8FF767">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70</w:t>
                  </w:r>
                </w:p>
              </w:tc>
              <w:tc>
                <w:tcPr>
                  <w:tcW w:w="1026" w:type="pct"/>
                  <w:noWrap w:val="0"/>
                  <w:vAlign w:val="center"/>
                </w:tcPr>
                <w:p w14:paraId="24EE02A9">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70</w:t>
                  </w:r>
                </w:p>
              </w:tc>
              <w:tc>
                <w:tcPr>
                  <w:tcW w:w="677" w:type="pct"/>
                  <w:noWrap w:val="0"/>
                  <w:vAlign w:val="center"/>
                </w:tcPr>
                <w:p w14:paraId="0B09234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70</w:t>
                  </w:r>
                </w:p>
              </w:tc>
              <w:tc>
                <w:tcPr>
                  <w:tcW w:w="498" w:type="pct"/>
                  <w:noWrap w:val="0"/>
                  <w:vAlign w:val="center"/>
                </w:tcPr>
                <w:p w14:paraId="0FC9FCA1">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04D4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102523D1">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8</w:t>
                  </w:r>
                </w:p>
              </w:tc>
              <w:tc>
                <w:tcPr>
                  <w:tcW w:w="601" w:type="pct"/>
                  <w:noWrap w:val="0"/>
                  <w:vAlign w:val="center"/>
                </w:tcPr>
                <w:p w14:paraId="025D592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总磷</w:t>
                  </w:r>
                </w:p>
              </w:tc>
              <w:tc>
                <w:tcPr>
                  <w:tcW w:w="1179" w:type="pct"/>
                  <w:noWrap w:val="0"/>
                  <w:vAlign w:val="center"/>
                </w:tcPr>
                <w:p w14:paraId="26EBF238">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028CF4D6">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w:t>
                  </w:r>
                </w:p>
              </w:tc>
              <w:tc>
                <w:tcPr>
                  <w:tcW w:w="1026" w:type="pct"/>
                  <w:noWrap w:val="0"/>
                  <w:vAlign w:val="center"/>
                </w:tcPr>
                <w:p w14:paraId="549056F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8</w:t>
                  </w:r>
                </w:p>
              </w:tc>
              <w:tc>
                <w:tcPr>
                  <w:tcW w:w="677" w:type="pct"/>
                  <w:noWrap w:val="0"/>
                  <w:vAlign w:val="center"/>
                </w:tcPr>
                <w:p w14:paraId="1E4484FB">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w:t>
                  </w:r>
                </w:p>
              </w:tc>
              <w:tc>
                <w:tcPr>
                  <w:tcW w:w="498" w:type="pct"/>
                  <w:noWrap w:val="0"/>
                  <w:vAlign w:val="center"/>
                </w:tcPr>
                <w:p w14:paraId="75E5046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367F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144BC19C">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9</w:t>
                  </w:r>
                </w:p>
              </w:tc>
              <w:tc>
                <w:tcPr>
                  <w:tcW w:w="601" w:type="pct"/>
                  <w:noWrap w:val="0"/>
                  <w:vAlign w:val="center"/>
                </w:tcPr>
                <w:p w14:paraId="57C8839B">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氯化物</w:t>
                  </w:r>
                </w:p>
              </w:tc>
              <w:tc>
                <w:tcPr>
                  <w:tcW w:w="1179" w:type="pct"/>
                  <w:noWrap w:val="0"/>
                  <w:vAlign w:val="center"/>
                </w:tcPr>
                <w:p w14:paraId="65560811">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5A3843A2">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350</w:t>
                  </w:r>
                </w:p>
              </w:tc>
              <w:tc>
                <w:tcPr>
                  <w:tcW w:w="1026" w:type="pct"/>
                  <w:noWrap w:val="0"/>
                  <w:vAlign w:val="center"/>
                </w:tcPr>
                <w:p w14:paraId="43902BD7">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77" w:type="pct"/>
                  <w:noWrap w:val="0"/>
                  <w:vAlign w:val="center"/>
                </w:tcPr>
                <w:p w14:paraId="1061E515">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350</w:t>
                  </w:r>
                </w:p>
              </w:tc>
              <w:tc>
                <w:tcPr>
                  <w:tcW w:w="498" w:type="pct"/>
                  <w:noWrap w:val="0"/>
                  <w:vAlign w:val="center"/>
                </w:tcPr>
                <w:p w14:paraId="421688D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7945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50D515EC">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10</w:t>
                  </w:r>
                </w:p>
              </w:tc>
              <w:tc>
                <w:tcPr>
                  <w:tcW w:w="601" w:type="pct"/>
                  <w:noWrap w:val="0"/>
                  <w:vAlign w:val="center"/>
                </w:tcPr>
                <w:p w14:paraId="39F9E497">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硫酸盐</w:t>
                  </w:r>
                </w:p>
              </w:tc>
              <w:tc>
                <w:tcPr>
                  <w:tcW w:w="1179" w:type="pct"/>
                  <w:noWrap w:val="0"/>
                  <w:vAlign w:val="center"/>
                </w:tcPr>
                <w:p w14:paraId="2BA9CA32">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3C0FCAB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1500</w:t>
                  </w:r>
                </w:p>
              </w:tc>
              <w:tc>
                <w:tcPr>
                  <w:tcW w:w="1026" w:type="pct"/>
                  <w:noWrap w:val="0"/>
                  <w:vAlign w:val="center"/>
                </w:tcPr>
                <w:p w14:paraId="1BD0D63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p>
              </w:tc>
              <w:tc>
                <w:tcPr>
                  <w:tcW w:w="677" w:type="pct"/>
                  <w:noWrap w:val="0"/>
                  <w:vAlign w:val="center"/>
                </w:tcPr>
                <w:p w14:paraId="11A9F10C">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1500</w:t>
                  </w:r>
                </w:p>
              </w:tc>
              <w:tc>
                <w:tcPr>
                  <w:tcW w:w="498" w:type="pct"/>
                  <w:noWrap w:val="0"/>
                  <w:vAlign w:val="center"/>
                </w:tcPr>
                <w:p w14:paraId="06A3C4C1">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3F53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11614589">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11</w:t>
                  </w:r>
                </w:p>
              </w:tc>
              <w:tc>
                <w:tcPr>
                  <w:tcW w:w="601" w:type="pct"/>
                  <w:noWrap w:val="0"/>
                  <w:vAlign w:val="center"/>
                </w:tcPr>
                <w:p w14:paraId="5A03C5F2">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甲醇</w:t>
                  </w:r>
                </w:p>
              </w:tc>
              <w:tc>
                <w:tcPr>
                  <w:tcW w:w="1179" w:type="pct"/>
                  <w:noWrap w:val="0"/>
                  <w:vAlign w:val="center"/>
                </w:tcPr>
                <w:p w14:paraId="77FB4FB5">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0868BC21">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w:t>
                  </w:r>
                </w:p>
              </w:tc>
              <w:tc>
                <w:tcPr>
                  <w:tcW w:w="1026" w:type="pct"/>
                  <w:noWrap w:val="0"/>
                  <w:vAlign w:val="center"/>
                </w:tcPr>
                <w:p w14:paraId="62E5F391">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p>
              </w:tc>
              <w:tc>
                <w:tcPr>
                  <w:tcW w:w="677" w:type="pct"/>
                  <w:noWrap w:val="0"/>
                  <w:vAlign w:val="center"/>
                </w:tcPr>
                <w:p w14:paraId="68A6942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w:t>
                  </w:r>
                </w:p>
              </w:tc>
              <w:tc>
                <w:tcPr>
                  <w:tcW w:w="498" w:type="pct"/>
                  <w:noWrap w:val="0"/>
                  <w:vAlign w:val="center"/>
                </w:tcPr>
                <w:p w14:paraId="7ED793AA">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4B9E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356" w:type="pct"/>
                  <w:noWrap w:val="0"/>
                  <w:vAlign w:val="center"/>
                </w:tcPr>
                <w:p w14:paraId="21643354">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12</w:t>
                  </w:r>
                </w:p>
              </w:tc>
              <w:tc>
                <w:tcPr>
                  <w:tcW w:w="601" w:type="pct"/>
                  <w:noWrap w:val="0"/>
                  <w:vAlign w:val="center"/>
                </w:tcPr>
                <w:p w14:paraId="72705009">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TOC</w:t>
                  </w:r>
                </w:p>
              </w:tc>
              <w:tc>
                <w:tcPr>
                  <w:tcW w:w="1179" w:type="pct"/>
                  <w:noWrap w:val="0"/>
                  <w:vAlign w:val="center"/>
                </w:tcPr>
                <w:p w14:paraId="64749ACF">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6AAF8847">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200</w:t>
                  </w:r>
                </w:p>
              </w:tc>
              <w:tc>
                <w:tcPr>
                  <w:tcW w:w="1026" w:type="pct"/>
                  <w:noWrap w:val="0"/>
                  <w:vAlign w:val="center"/>
                </w:tcPr>
                <w:p w14:paraId="7A1628BC">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77" w:type="pct"/>
                  <w:noWrap w:val="0"/>
                  <w:vAlign w:val="center"/>
                </w:tcPr>
                <w:p w14:paraId="0611CFBF">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200</w:t>
                  </w:r>
                </w:p>
              </w:tc>
              <w:tc>
                <w:tcPr>
                  <w:tcW w:w="498" w:type="pct"/>
                  <w:noWrap w:val="0"/>
                  <w:vAlign w:val="center"/>
                </w:tcPr>
                <w:p w14:paraId="492E241A">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r w14:paraId="76D2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356" w:type="pct"/>
                  <w:noWrap w:val="0"/>
                  <w:vAlign w:val="center"/>
                </w:tcPr>
                <w:p w14:paraId="2E003EFF">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13</w:t>
                  </w:r>
                </w:p>
              </w:tc>
              <w:tc>
                <w:tcPr>
                  <w:tcW w:w="601" w:type="pct"/>
                  <w:noWrap w:val="0"/>
                  <w:vAlign w:val="center"/>
                </w:tcPr>
                <w:p w14:paraId="62F9B138">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TDS</w:t>
                  </w:r>
                </w:p>
              </w:tc>
              <w:tc>
                <w:tcPr>
                  <w:tcW w:w="1179" w:type="pct"/>
                  <w:noWrap w:val="0"/>
                  <w:vAlign w:val="center"/>
                </w:tcPr>
                <w:p w14:paraId="443D9F9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w:t>
                  </w:r>
                </w:p>
              </w:tc>
              <w:tc>
                <w:tcPr>
                  <w:tcW w:w="661" w:type="pct"/>
                  <w:noWrap w:val="0"/>
                  <w:vAlign w:val="center"/>
                </w:tcPr>
                <w:p w14:paraId="23C512D4">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4000</w:t>
                  </w:r>
                </w:p>
              </w:tc>
              <w:tc>
                <w:tcPr>
                  <w:tcW w:w="1026" w:type="pct"/>
                  <w:noWrap w:val="0"/>
                  <w:vAlign w:val="center"/>
                </w:tcPr>
                <w:p w14:paraId="60FAE346">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10000</w:t>
                  </w:r>
                </w:p>
              </w:tc>
              <w:tc>
                <w:tcPr>
                  <w:tcW w:w="677" w:type="pct"/>
                  <w:noWrap w:val="0"/>
                  <w:vAlign w:val="center"/>
                </w:tcPr>
                <w:p w14:paraId="33C9F297">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4000</w:t>
                  </w:r>
                </w:p>
              </w:tc>
              <w:tc>
                <w:tcPr>
                  <w:tcW w:w="498" w:type="pct"/>
                  <w:noWrap w:val="0"/>
                  <w:vAlign w:val="center"/>
                </w:tcPr>
                <w:p w14:paraId="6E6A2A3E">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mg/L</w:t>
                  </w:r>
                </w:p>
              </w:tc>
            </w:tr>
          </w:tbl>
          <w:p w14:paraId="0CF48ADE">
            <w:pPr>
              <w:pStyle w:val="16"/>
              <w:ind w:firstLine="482" w:firstLineChars="200"/>
              <w:rPr>
                <w:rFonts w:hint="default" w:ascii="Times New Roman" w:hAnsi="Times New Roman" w:eastAsia="宋体" w:cs="Times New Roman"/>
                <w:b/>
                <w:bCs/>
                <w:color w:val="000000" w:themeColor="text1"/>
                <w:kern w:val="2"/>
                <w:sz w:val="24"/>
                <w14:textFill>
                  <w14:solidFill>
                    <w14:schemeClr w14:val="tx1"/>
                  </w14:solidFill>
                </w14:textFill>
              </w:rPr>
            </w:pPr>
          </w:p>
          <w:p w14:paraId="78277794">
            <w:pPr>
              <w:pStyle w:val="16"/>
              <w:ind w:firstLine="482"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b/>
                <w:bCs/>
                <w:color w:val="000000" w:themeColor="text1"/>
                <w:kern w:val="2"/>
                <w:sz w:val="24"/>
                <w14:textFill>
                  <w14:solidFill>
                    <w14:schemeClr w14:val="tx1"/>
                  </w14:solidFill>
                </w14:textFill>
              </w:rPr>
              <w:t>3、噪声</w:t>
            </w:r>
          </w:p>
          <w:p w14:paraId="6DBCB420">
            <w:pPr>
              <w:autoSpaceDE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施工期噪声执行《</w:t>
            </w:r>
            <w:r>
              <w:rPr>
                <w:rFonts w:hint="eastAsia" w:cs="Times New Roman"/>
                <w:color w:val="000000" w:themeColor="text1"/>
                <w:sz w:val="24"/>
                <w:lang w:eastAsia="zh-CN" w:bidi="ar"/>
                <w14:textFill>
                  <w14:solidFill>
                    <w14:schemeClr w14:val="tx1"/>
                  </w14:solidFill>
                </w14:textFill>
              </w:rPr>
              <w:t>建筑施工噪声排放标准</w:t>
            </w:r>
            <w:r>
              <w:rPr>
                <w:rFonts w:hint="default" w:ascii="Times New Roman" w:hAnsi="Times New Roman" w:eastAsia="宋体" w:cs="Times New Roman"/>
                <w:color w:val="000000" w:themeColor="text1"/>
                <w:sz w:val="24"/>
                <w:lang w:bidi="ar"/>
                <w14:textFill>
                  <w14:solidFill>
                    <w14:schemeClr w14:val="tx1"/>
                  </w14:solidFill>
                </w14:textFill>
              </w:rPr>
              <w:t>》（GB12523-20</w:t>
            </w:r>
            <w:r>
              <w:rPr>
                <w:rFonts w:hint="eastAsia" w:cs="Times New Roman"/>
                <w:color w:val="000000" w:themeColor="text1"/>
                <w:sz w:val="24"/>
                <w:lang w:val="en-US" w:eastAsia="zh-CN" w:bidi="ar"/>
                <w14:textFill>
                  <w14:solidFill>
                    <w14:schemeClr w14:val="tx1"/>
                  </w14:solidFill>
                </w14:textFill>
              </w:rPr>
              <w:t>25</w:t>
            </w:r>
            <w:r>
              <w:rPr>
                <w:rFonts w:hint="default" w:ascii="Times New Roman" w:hAnsi="Times New Roman" w:eastAsia="宋体" w:cs="Times New Roman"/>
                <w:color w:val="000000" w:themeColor="text1"/>
                <w:sz w:val="24"/>
                <w:lang w:bidi="ar"/>
                <w14:textFill>
                  <w14:solidFill>
                    <w14:schemeClr w14:val="tx1"/>
                  </w14:solidFill>
                </w14:textFill>
              </w:rPr>
              <w:t>）中的相关标准；运营期</w:t>
            </w:r>
            <w:r>
              <w:rPr>
                <w:rFonts w:hint="eastAsia" w:cs="Times New Roman"/>
                <w:color w:val="000000" w:themeColor="text1"/>
                <w:sz w:val="24"/>
                <w:lang w:val="en-US" w:eastAsia="zh-CN" w:bidi="ar"/>
                <w14:textFill>
                  <w14:solidFill>
                    <w14:schemeClr w14:val="tx1"/>
                  </w14:solidFill>
                </w14:textFill>
              </w:rPr>
              <w:t>企业</w:t>
            </w:r>
            <w:r>
              <w:rPr>
                <w:rFonts w:hint="default" w:ascii="Times New Roman" w:hAnsi="Times New Roman" w:eastAsia="宋体" w:cs="Times New Roman"/>
                <w:color w:val="000000" w:themeColor="text1"/>
                <w:sz w:val="24"/>
                <w:lang w:bidi="ar"/>
                <w14:textFill>
                  <w14:solidFill>
                    <w14:schemeClr w14:val="tx1"/>
                  </w14:solidFill>
                </w14:textFill>
              </w:rPr>
              <w:t>厂界噪声执行《工业企业厂界环境噪声排放标准》（GB 12348-2008）中3类标准</w:t>
            </w:r>
            <w:r>
              <w:rPr>
                <w:rFonts w:hint="default" w:ascii="Times New Roman" w:hAnsi="Times New Roman" w:eastAsia="宋体" w:cs="Times New Roman"/>
                <w:color w:val="000000" w:themeColor="text1"/>
                <w:sz w:val="24"/>
                <w:lang w:val="en-US" w:eastAsia="zh-CN" w:bidi="ar"/>
                <w14:textFill>
                  <w14:solidFill>
                    <w14:schemeClr w14:val="tx1"/>
                  </w14:solidFill>
                </w14:textFill>
              </w:rPr>
              <w:t>和2类标准</w:t>
            </w:r>
            <w:r>
              <w:rPr>
                <w:rFonts w:hint="default" w:ascii="Times New Roman" w:hAnsi="Times New Roman" w:eastAsia="宋体" w:cs="Times New Roman"/>
                <w:color w:val="000000" w:themeColor="text1"/>
                <w:sz w:val="24"/>
                <w:lang w:bidi="ar"/>
                <w14:textFill>
                  <w14:solidFill>
                    <w14:schemeClr w14:val="tx1"/>
                  </w14:solidFill>
                </w14:textFill>
              </w:rPr>
              <w:t>，标准限值详见表3-</w:t>
            </w:r>
            <w:r>
              <w:rPr>
                <w:rFonts w:hint="eastAsia" w:cs="Times New Roman"/>
                <w:color w:val="000000" w:themeColor="text1"/>
                <w:sz w:val="24"/>
                <w:lang w:val="en-US" w:eastAsia="zh-CN" w:bidi="ar"/>
                <w14:textFill>
                  <w14:solidFill>
                    <w14:schemeClr w14:val="tx1"/>
                  </w14:solidFill>
                </w14:textFill>
              </w:rPr>
              <w:t>6、3-7</w:t>
            </w:r>
            <w:r>
              <w:rPr>
                <w:rFonts w:hint="default" w:ascii="Times New Roman" w:hAnsi="Times New Roman" w:eastAsia="宋体" w:cs="Times New Roman"/>
                <w:color w:val="000000" w:themeColor="text1"/>
                <w:sz w:val="24"/>
                <w:lang w:bidi="ar"/>
                <w14:textFill>
                  <w14:solidFill>
                    <w14:schemeClr w14:val="tx1"/>
                  </w14:solidFill>
                </w14:textFill>
              </w:rPr>
              <w:t>。</w:t>
            </w:r>
          </w:p>
          <w:p w14:paraId="0629E242">
            <w:pPr>
              <w:widowControl/>
              <w:spacing w:line="240" w:lineRule="auto"/>
              <w:jc w:val="center"/>
              <w:rPr>
                <w:rFonts w:hint="eastAsia" w:ascii="Times New Roman" w:hAnsi="Times New Roman" w:eastAsia="宋体" w:cs="Times New Roman"/>
                <w:b/>
                <w:color w:val="000000" w:themeColor="text1"/>
                <w:kern w:val="0"/>
                <w:szCs w:val="21"/>
                <w:lang w:bidi="ar"/>
                <w14:textFill>
                  <w14:solidFill>
                    <w14:schemeClr w14:val="tx1"/>
                  </w14:solidFill>
                </w14:textFill>
              </w:rPr>
            </w:pPr>
            <w:r>
              <w:rPr>
                <w:rFonts w:hint="eastAsia" w:ascii="Times New Roman" w:hAnsi="Times New Roman" w:eastAsia="宋体" w:cs="Times New Roman"/>
                <w:b/>
                <w:color w:val="000000" w:themeColor="text1"/>
                <w:kern w:val="0"/>
                <w:szCs w:val="21"/>
                <w:lang w:bidi="ar"/>
                <w14:textFill>
                  <w14:solidFill>
                    <w14:schemeClr w14:val="tx1"/>
                  </w14:solidFill>
                </w14:textFill>
              </w:rPr>
              <w:t xml:space="preserve"> 表</w:t>
            </w:r>
            <w:r>
              <w:rPr>
                <w:rFonts w:hint="eastAsia" w:cs="Times New Roman"/>
                <w:b/>
                <w:color w:val="000000" w:themeColor="text1"/>
                <w:kern w:val="0"/>
                <w:szCs w:val="21"/>
                <w:lang w:val="en-US" w:eastAsia="zh-CN" w:bidi="ar"/>
                <w14:textFill>
                  <w14:solidFill>
                    <w14:schemeClr w14:val="tx1"/>
                  </w14:solidFill>
                </w14:textFill>
              </w:rPr>
              <w:t>3-6</w:t>
            </w:r>
            <w:r>
              <w:rPr>
                <w:rFonts w:hint="eastAsia" w:ascii="Times New Roman" w:hAnsi="Times New Roman" w:eastAsia="宋体" w:cs="Times New Roman"/>
                <w:b/>
                <w:color w:val="000000" w:themeColor="text1"/>
                <w:kern w:val="0"/>
                <w:szCs w:val="21"/>
                <w:lang w:bidi="ar"/>
                <w14:textFill>
                  <w14:solidFill>
                    <w14:schemeClr w14:val="tx1"/>
                  </w14:solidFill>
                </w14:textFill>
              </w:rPr>
              <w:t xml:space="preserve"> 建筑施工噪声限值表（GB12523-20</w:t>
            </w:r>
            <w:r>
              <w:rPr>
                <w:rFonts w:hint="eastAsia" w:cs="Times New Roman"/>
                <w:b/>
                <w:color w:val="000000" w:themeColor="text1"/>
                <w:kern w:val="0"/>
                <w:szCs w:val="21"/>
                <w:lang w:val="en-US" w:eastAsia="zh-CN" w:bidi="ar"/>
                <w14:textFill>
                  <w14:solidFill>
                    <w14:schemeClr w14:val="tx1"/>
                  </w14:solidFill>
                </w14:textFill>
              </w:rPr>
              <w:t>25</w:t>
            </w:r>
            <w:r>
              <w:rPr>
                <w:rFonts w:hint="eastAsia" w:ascii="Times New Roman" w:hAnsi="Times New Roman" w:eastAsia="宋体" w:cs="Times New Roman"/>
                <w:b/>
                <w:color w:val="000000" w:themeColor="text1"/>
                <w:kern w:val="0"/>
                <w:szCs w:val="21"/>
                <w:lang w:bidi="ar"/>
                <w14:textFill>
                  <w14:solidFill>
                    <w14:schemeClr w14:val="tx1"/>
                  </w14:solidFill>
                </w14:textFill>
              </w:rPr>
              <w:t>）</w:t>
            </w:r>
          </w:p>
          <w:tbl>
            <w:tblPr>
              <w:tblStyle w:val="48"/>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1"/>
              <w:gridCol w:w="2938"/>
            </w:tblGrid>
            <w:tr w14:paraId="253B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4" w:type="pct"/>
                  <w:noWrap w:val="0"/>
                  <w:vAlign w:val="center"/>
                </w:tcPr>
                <w:p w14:paraId="5CC6FFFA">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昼间</w:t>
                  </w:r>
                </w:p>
              </w:tc>
              <w:tc>
                <w:tcPr>
                  <w:tcW w:w="1785" w:type="pct"/>
                  <w:noWrap w:val="0"/>
                  <w:vAlign w:val="center"/>
                </w:tcPr>
                <w:p w14:paraId="447076CB">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夜间</w:t>
                  </w:r>
                </w:p>
              </w:tc>
            </w:tr>
            <w:tr w14:paraId="41B3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4" w:type="pct"/>
                  <w:noWrap w:val="0"/>
                  <w:vAlign w:val="center"/>
                </w:tcPr>
                <w:p w14:paraId="3AD1C835">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70</w:t>
                  </w:r>
                </w:p>
              </w:tc>
              <w:tc>
                <w:tcPr>
                  <w:tcW w:w="1785" w:type="pct"/>
                  <w:noWrap w:val="0"/>
                  <w:vAlign w:val="center"/>
                </w:tcPr>
                <w:p w14:paraId="09EE6A0F">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55</w:t>
                  </w:r>
                </w:p>
              </w:tc>
            </w:tr>
          </w:tbl>
          <w:p w14:paraId="00918FCE">
            <w:pPr>
              <w:ind w:firstLine="0" w:firstLineChars="0"/>
              <w:jc w:val="center"/>
              <w:rPr>
                <w:rFonts w:hint="eastAsia" w:ascii="黑体" w:eastAsia="黑体"/>
                <w:color w:val="000000" w:themeColor="text1"/>
                <w:sz w:val="24"/>
                <w14:textFill>
                  <w14:solidFill>
                    <w14:schemeClr w14:val="tx1"/>
                  </w14:solidFill>
                </w14:textFill>
              </w:rPr>
            </w:pPr>
            <w:r>
              <w:rPr>
                <w:rFonts w:hint="eastAsia" w:ascii="黑体" w:eastAsia="黑体"/>
                <w:color w:val="000000" w:themeColor="text1"/>
                <w:sz w:val="24"/>
                <w14:textFill>
                  <w14:solidFill>
                    <w14:schemeClr w14:val="tx1"/>
                  </w14:solidFill>
                </w14:textFill>
              </w:rPr>
              <w:t xml:space="preserve">    </w:t>
            </w:r>
          </w:p>
          <w:p w14:paraId="038E93BA">
            <w:pPr>
              <w:widowControl/>
              <w:spacing w:line="240" w:lineRule="auto"/>
              <w:jc w:val="center"/>
              <w:rPr>
                <w:rFonts w:hint="eastAsia" w:ascii="Times New Roman" w:hAnsi="Times New Roman" w:eastAsia="宋体" w:cs="Times New Roman"/>
                <w:b/>
                <w:color w:val="000000" w:themeColor="text1"/>
                <w:kern w:val="0"/>
                <w:szCs w:val="21"/>
                <w:lang w:bidi="ar"/>
                <w14:textFill>
                  <w14:solidFill>
                    <w14:schemeClr w14:val="tx1"/>
                  </w14:solidFill>
                </w14:textFill>
              </w:rPr>
            </w:pPr>
            <w:r>
              <w:rPr>
                <w:rFonts w:hint="eastAsia" w:ascii="Times New Roman" w:hAnsi="Times New Roman" w:eastAsia="宋体" w:cs="Times New Roman"/>
                <w:b/>
                <w:color w:val="000000" w:themeColor="text1"/>
                <w:kern w:val="0"/>
                <w:szCs w:val="21"/>
                <w:lang w:bidi="ar"/>
                <w14:textFill>
                  <w14:solidFill>
                    <w14:schemeClr w14:val="tx1"/>
                  </w14:solidFill>
                </w14:textFill>
              </w:rPr>
              <w:t xml:space="preserve">  表</w:t>
            </w:r>
            <w:r>
              <w:rPr>
                <w:rFonts w:hint="eastAsia" w:cs="Times New Roman"/>
                <w:b/>
                <w:color w:val="000000" w:themeColor="text1"/>
                <w:kern w:val="0"/>
                <w:szCs w:val="21"/>
                <w:lang w:val="en-US" w:eastAsia="zh-CN" w:bidi="ar"/>
                <w14:textFill>
                  <w14:solidFill>
                    <w14:schemeClr w14:val="tx1"/>
                  </w14:solidFill>
                </w14:textFill>
              </w:rPr>
              <w:t>3</w:t>
            </w:r>
            <w:r>
              <w:rPr>
                <w:rFonts w:hint="eastAsia" w:ascii="Times New Roman" w:hAnsi="Times New Roman" w:eastAsia="宋体" w:cs="Times New Roman"/>
                <w:b/>
                <w:color w:val="000000" w:themeColor="text1"/>
                <w:kern w:val="0"/>
                <w:szCs w:val="21"/>
                <w:lang w:bidi="ar"/>
                <w14:textFill>
                  <w14:solidFill>
                    <w14:schemeClr w14:val="tx1"/>
                  </w14:solidFill>
                </w14:textFill>
              </w:rPr>
              <w:t>-</w:t>
            </w:r>
            <w:r>
              <w:rPr>
                <w:rFonts w:hint="eastAsia" w:cs="Times New Roman"/>
                <w:b/>
                <w:color w:val="000000" w:themeColor="text1"/>
                <w:kern w:val="0"/>
                <w:szCs w:val="21"/>
                <w:lang w:val="en-US" w:eastAsia="zh-CN" w:bidi="ar"/>
                <w14:textFill>
                  <w14:solidFill>
                    <w14:schemeClr w14:val="tx1"/>
                  </w14:solidFill>
                </w14:textFill>
              </w:rPr>
              <w:t>7</w:t>
            </w:r>
            <w:r>
              <w:rPr>
                <w:rFonts w:hint="eastAsia" w:ascii="Times New Roman" w:hAnsi="Times New Roman" w:eastAsia="宋体" w:cs="Times New Roman"/>
                <w:b/>
                <w:color w:val="000000" w:themeColor="text1"/>
                <w:kern w:val="0"/>
                <w:szCs w:val="21"/>
                <w:lang w:bidi="ar"/>
                <w14:textFill>
                  <w14:solidFill>
                    <w14:schemeClr w14:val="tx1"/>
                  </w14:solidFill>
                </w14:textFill>
              </w:rPr>
              <w:t xml:space="preserve"> 工业企业厂界环境噪声排放标准(GB12348-2008)</w:t>
            </w:r>
          </w:p>
          <w:tbl>
            <w:tblPr>
              <w:tblStyle w:val="4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6"/>
              <w:gridCol w:w="2020"/>
              <w:gridCol w:w="2495"/>
            </w:tblGrid>
            <w:tr w14:paraId="036C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7" w:type="pct"/>
                  <w:vMerge w:val="restart"/>
                  <w:noWrap w:val="0"/>
                  <w:vAlign w:val="center"/>
                </w:tcPr>
                <w:p w14:paraId="27C7DD4C">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标准类别</w:t>
                  </w:r>
                </w:p>
              </w:tc>
              <w:tc>
                <w:tcPr>
                  <w:tcW w:w="2742" w:type="pct"/>
                  <w:gridSpan w:val="2"/>
                  <w:noWrap w:val="0"/>
                  <w:vAlign w:val="center"/>
                </w:tcPr>
                <w:p w14:paraId="302349C2">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等效声级   LAeq(dB)</w:t>
                  </w:r>
                </w:p>
              </w:tc>
            </w:tr>
            <w:tr w14:paraId="7047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7" w:type="pct"/>
                  <w:vMerge w:val="continue"/>
                  <w:noWrap w:val="0"/>
                  <w:vAlign w:val="center"/>
                </w:tcPr>
                <w:p w14:paraId="02E73745">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p>
              </w:tc>
              <w:tc>
                <w:tcPr>
                  <w:tcW w:w="1227" w:type="pct"/>
                  <w:noWrap w:val="0"/>
                  <w:vAlign w:val="center"/>
                </w:tcPr>
                <w:p w14:paraId="3A77F1E9">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昼间</w:t>
                  </w:r>
                </w:p>
              </w:tc>
              <w:tc>
                <w:tcPr>
                  <w:tcW w:w="1515" w:type="pct"/>
                  <w:noWrap w:val="0"/>
                  <w:vAlign w:val="center"/>
                </w:tcPr>
                <w:p w14:paraId="335D6E6E">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夜间</w:t>
                  </w:r>
                </w:p>
              </w:tc>
            </w:tr>
            <w:tr w14:paraId="2899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7" w:type="pct"/>
                  <w:noWrap w:val="0"/>
                  <w:vAlign w:val="top"/>
                </w:tcPr>
                <w:p w14:paraId="2FBE18A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3类（南厂界、西厂界、东厂界）</w:t>
                  </w:r>
                </w:p>
              </w:tc>
              <w:tc>
                <w:tcPr>
                  <w:tcW w:w="1227" w:type="pct"/>
                  <w:noWrap w:val="0"/>
                  <w:vAlign w:val="top"/>
                </w:tcPr>
                <w:p w14:paraId="5EF2ADEF">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65</w:t>
                  </w:r>
                </w:p>
              </w:tc>
              <w:tc>
                <w:tcPr>
                  <w:tcW w:w="1515" w:type="pct"/>
                  <w:noWrap w:val="0"/>
                  <w:vAlign w:val="top"/>
                </w:tcPr>
                <w:p w14:paraId="1737CB3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55</w:t>
                  </w:r>
                </w:p>
              </w:tc>
            </w:tr>
            <w:tr w14:paraId="2FEF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7" w:type="pct"/>
                  <w:noWrap w:val="0"/>
                  <w:vAlign w:val="top"/>
                </w:tcPr>
                <w:p w14:paraId="188A1ED7">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2类（北厂界）</w:t>
                  </w:r>
                </w:p>
              </w:tc>
              <w:tc>
                <w:tcPr>
                  <w:tcW w:w="1227" w:type="pct"/>
                  <w:noWrap w:val="0"/>
                  <w:vAlign w:val="top"/>
                </w:tcPr>
                <w:p w14:paraId="66A6285D">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60</w:t>
                  </w:r>
                </w:p>
              </w:tc>
              <w:tc>
                <w:tcPr>
                  <w:tcW w:w="1515" w:type="pct"/>
                  <w:noWrap w:val="0"/>
                  <w:vAlign w:val="top"/>
                </w:tcPr>
                <w:p w14:paraId="7EAB1322">
                  <w:pPr>
                    <w:widowControl w:val="0"/>
                    <w:kinsoku/>
                    <w:autoSpaceDE/>
                    <w:autoSpaceDN/>
                    <w:adjustRightInd/>
                    <w:snapToGrid/>
                    <w:spacing w:line="240" w:lineRule="auto"/>
                    <w:jc w:val="center"/>
                    <w:textAlignment w:val="auto"/>
                    <w:rPr>
                      <w:rFonts w:hint="default"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50</w:t>
                  </w:r>
                </w:p>
              </w:tc>
            </w:tr>
            <w:tr w14:paraId="4BD6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7" w:type="pct"/>
                  <w:noWrap w:val="0"/>
                  <w:vAlign w:val="top"/>
                </w:tcPr>
                <w:p w14:paraId="015183E4">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2类（北侧敏感目标）</w:t>
                  </w:r>
                </w:p>
              </w:tc>
              <w:tc>
                <w:tcPr>
                  <w:tcW w:w="1227" w:type="pct"/>
                  <w:noWrap w:val="0"/>
                  <w:vAlign w:val="top"/>
                </w:tcPr>
                <w:p w14:paraId="75357902">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60</w:t>
                  </w:r>
                </w:p>
              </w:tc>
              <w:tc>
                <w:tcPr>
                  <w:tcW w:w="1515" w:type="pct"/>
                  <w:noWrap w:val="0"/>
                  <w:vAlign w:val="top"/>
                </w:tcPr>
                <w:p w14:paraId="1326EFBD">
                  <w:pPr>
                    <w:widowControl w:val="0"/>
                    <w:kinsoku/>
                    <w:autoSpaceDE/>
                    <w:autoSpaceDN/>
                    <w:adjustRightInd/>
                    <w:snapToGrid/>
                    <w:spacing w:line="240" w:lineRule="auto"/>
                    <w:jc w:val="center"/>
                    <w:textAlignment w:val="auto"/>
                    <w:rPr>
                      <w:rFonts w:hint="eastAsia" w:cs="Times New Roman"/>
                      <w:snapToGrid/>
                      <w:color w:val="000000" w:themeColor="text1"/>
                      <w:kern w:val="2"/>
                      <w:szCs w:val="21"/>
                      <w:lang w:val="en-US" w:eastAsia="zh-CN" w:bidi="ar"/>
                      <w14:textFill>
                        <w14:solidFill>
                          <w14:schemeClr w14:val="tx1"/>
                        </w14:solidFill>
                      </w14:textFill>
                    </w:rPr>
                  </w:pPr>
                  <w:r>
                    <w:rPr>
                      <w:rFonts w:hint="eastAsia" w:cs="Times New Roman"/>
                      <w:snapToGrid/>
                      <w:color w:val="000000" w:themeColor="text1"/>
                      <w:kern w:val="2"/>
                      <w:szCs w:val="21"/>
                      <w:lang w:val="en-US" w:eastAsia="zh-CN" w:bidi="ar"/>
                      <w14:textFill>
                        <w14:solidFill>
                          <w14:schemeClr w14:val="tx1"/>
                        </w14:solidFill>
                      </w14:textFill>
                    </w:rPr>
                    <w:t>50</w:t>
                  </w:r>
                </w:p>
              </w:tc>
            </w:tr>
          </w:tbl>
          <w:p w14:paraId="69C9FE0C">
            <w:pPr>
              <w:autoSpaceDE w:val="0"/>
              <w:spacing w:line="360" w:lineRule="auto"/>
              <w:ind w:firstLine="482" w:firstLineChars="200"/>
              <w:rPr>
                <w:rFonts w:hint="default" w:ascii="Times New Roman" w:hAnsi="Times New Roman" w:eastAsia="宋体" w:cs="Times New Roman"/>
                <w:b/>
                <w:bCs/>
                <w:color w:val="000000" w:themeColor="text1"/>
                <w:sz w:val="24"/>
                <w:lang w:bidi="ar"/>
                <w14:textFill>
                  <w14:solidFill>
                    <w14:schemeClr w14:val="tx1"/>
                  </w14:solidFill>
                </w14:textFill>
              </w:rPr>
            </w:pPr>
          </w:p>
          <w:p w14:paraId="50CB6E5D">
            <w:pPr>
              <w:autoSpaceDE w:val="0"/>
              <w:spacing w:line="360" w:lineRule="auto"/>
              <w:ind w:firstLine="482" w:firstLineChars="200"/>
              <w:rPr>
                <w:rFonts w:hint="default" w:ascii="Times New Roman" w:hAnsi="Times New Roman" w:eastAsia="宋体" w:cs="Times New Roman"/>
                <w:b/>
                <w:bCs/>
                <w:color w:val="000000" w:themeColor="text1"/>
                <w:sz w:val="24"/>
                <w:lang w:bidi="ar"/>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4、固体废物</w:t>
            </w:r>
          </w:p>
          <w:p w14:paraId="7DE5BC2C">
            <w:pPr>
              <w:autoSpaceDE w:val="0"/>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本项目采用</w:t>
            </w:r>
            <w:r>
              <w:rPr>
                <w:rFonts w:hint="eastAsia" w:cs="Times New Roman"/>
                <w:color w:val="000000" w:themeColor="text1"/>
                <w:sz w:val="24"/>
                <w:lang w:val="en-US" w:eastAsia="zh-CN" w:bidi="ar"/>
                <w14:textFill>
                  <w14:solidFill>
                    <w14:schemeClr w14:val="tx1"/>
                  </w14:solidFill>
                </w14:textFill>
              </w:rPr>
              <w:t>一般固废暂存间</w:t>
            </w:r>
            <w:r>
              <w:rPr>
                <w:rFonts w:hint="default" w:ascii="Times New Roman" w:hAnsi="Times New Roman" w:eastAsia="宋体" w:cs="Times New Roman"/>
                <w:color w:val="000000" w:themeColor="text1"/>
                <w:sz w:val="24"/>
                <w:lang w:bidi="ar"/>
                <w14:textFill>
                  <w14:solidFill>
                    <w14:schemeClr w14:val="tx1"/>
                  </w14:solidFill>
                </w14:textFill>
              </w:rPr>
              <w:t>贮存一般固废，贮存过程应满足相应防渗漏、防雨淋、防扬尘等环境保护要求，危险废物暂存场所执行《危险废物贮存污染控制标准》（GB18597-2023）有关规定。</w:t>
            </w:r>
          </w:p>
        </w:tc>
      </w:tr>
      <w:tr w14:paraId="5C955A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3" w:hRule="atLeast"/>
          <w:jc w:val="center"/>
        </w:trPr>
        <w:tc>
          <w:tcPr>
            <w:tcW w:w="604" w:type="dxa"/>
            <w:tcMar>
              <w:left w:w="28" w:type="dxa"/>
              <w:right w:w="28" w:type="dxa"/>
            </w:tcMar>
            <w:vAlign w:val="center"/>
          </w:tcPr>
          <w:p w14:paraId="14CF5FC0">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总量控制指标</w:t>
            </w:r>
          </w:p>
        </w:tc>
        <w:tc>
          <w:tcPr>
            <w:tcW w:w="8457" w:type="dxa"/>
          </w:tcPr>
          <w:p w14:paraId="153EF84B">
            <w:pPr>
              <w:widowControl/>
              <w:spacing w:line="360" w:lineRule="auto"/>
              <w:ind w:firstLine="482" w:firstLineChars="200"/>
              <w:rPr>
                <w:rFonts w:hint="default" w:ascii="Times New Roman" w:hAnsi="Times New Roman" w:eastAsia="宋体" w:cs="Times New Roman"/>
                <w:b/>
                <w:bCs/>
                <w:color w:val="000000" w:themeColor="text1"/>
                <w:sz w:val="24"/>
                <w:szCs w:val="20"/>
                <w14:textFill>
                  <w14:solidFill>
                    <w14:schemeClr w14:val="tx1"/>
                  </w14:solidFill>
                </w14:textFill>
              </w:rPr>
            </w:pPr>
            <w:r>
              <w:rPr>
                <w:rFonts w:hint="default" w:ascii="Times New Roman" w:hAnsi="Times New Roman" w:eastAsia="宋体" w:cs="Times New Roman"/>
                <w:b/>
                <w:bCs/>
                <w:color w:val="000000" w:themeColor="text1"/>
                <w:sz w:val="24"/>
                <w:szCs w:val="20"/>
                <w14:textFill>
                  <w14:solidFill>
                    <w14:schemeClr w14:val="tx1"/>
                  </w14:solidFill>
                </w14:textFill>
              </w:rPr>
              <w:t>废气总量控制指标核算：</w:t>
            </w:r>
          </w:p>
          <w:p w14:paraId="49A134CB">
            <w:pPr>
              <w:widowControl/>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根据项目实际情况，不设置</w:t>
            </w:r>
            <w:r>
              <w:rPr>
                <w:rFonts w:hint="eastAsia" w:cs="Times New Roman"/>
                <w:color w:val="000000" w:themeColor="text1"/>
                <w:sz w:val="24"/>
                <w:szCs w:val="20"/>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0"/>
                <w14:textFill>
                  <w14:solidFill>
                    <w14:schemeClr w14:val="tx1"/>
                  </w14:solidFill>
                </w14:textFill>
              </w:rPr>
              <w:t>总量控制指标。</w:t>
            </w:r>
          </w:p>
          <w:p w14:paraId="541BC32B">
            <w:pPr>
              <w:widowControl/>
              <w:spacing w:line="360" w:lineRule="auto"/>
              <w:ind w:firstLine="48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0"/>
                <w14:textFill>
                  <w14:solidFill>
                    <w14:schemeClr w14:val="tx1"/>
                  </w14:solidFill>
                </w14:textFill>
              </w:rPr>
              <w:t>废水总量控制指标核算：</w:t>
            </w:r>
          </w:p>
          <w:p w14:paraId="26D074C8">
            <w:pPr>
              <w:pStyle w:val="457"/>
              <w:spacing w:line="360" w:lineRule="auto"/>
              <w:ind w:firstLine="480"/>
              <w:rPr>
                <w:rFonts w:hint="eastAsia"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本次技改新增劳动定员</w:t>
            </w:r>
            <w:r>
              <w:rPr>
                <w:rFonts w:hint="default" w:ascii="Times New Roman" w:hAnsi="Times New Roman" w:eastAsia="宋体" w:cs="Times New Roman"/>
                <w:color w:val="000000" w:themeColor="text1"/>
                <w:sz w:val="24"/>
                <w:lang w:val="en-US" w:eastAsia="zh-CN"/>
                <w14:textFill>
                  <w14:solidFill>
                    <w14:schemeClr w14:val="tx1"/>
                  </w14:solidFill>
                </w14:textFill>
              </w:rPr>
              <w:t>8人，</w:t>
            </w:r>
            <w:r>
              <w:rPr>
                <w:rFonts w:hint="eastAsia" w:cs="Times New Roman"/>
                <w:color w:val="000000" w:themeColor="text1"/>
                <w:sz w:val="24"/>
                <w:lang w:val="en-US" w:eastAsia="zh-CN"/>
                <w14:textFill>
                  <w14:solidFill>
                    <w14:schemeClr w14:val="tx1"/>
                  </w14:solidFill>
                </w14:textFill>
              </w:rPr>
              <w:t>生活污水计入厂区现有总量指标中。</w:t>
            </w:r>
          </w:p>
          <w:p w14:paraId="0438A037">
            <w:pPr>
              <w:pStyle w:val="457"/>
              <w:spacing w:line="360" w:lineRule="auto"/>
              <w:ind w:firstLine="480"/>
              <w:rPr>
                <w:rFonts w:hint="default"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本次改建后全厂总量控制指标不变。</w:t>
            </w:r>
          </w:p>
        </w:tc>
      </w:tr>
    </w:tbl>
    <w:p w14:paraId="20C7ACEA">
      <w:pPr>
        <w:pStyle w:val="2"/>
        <w:numPr>
          <w:ilvl w:val="0"/>
          <w:numId w:val="0"/>
        </w:numPr>
        <w:spacing w:before="0"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yellow"/>
          <w14:textFill>
            <w14:solidFill>
              <w14:schemeClr w14:val="tx1"/>
            </w14:solidFill>
          </w14:textFill>
        </w:rPr>
        <w:br w:type="page"/>
      </w:r>
      <w:bookmarkStart w:id="12" w:name="_Toc3586"/>
      <w:r>
        <w:rPr>
          <w:rFonts w:hint="default" w:ascii="Times New Roman" w:hAnsi="Times New Roman" w:eastAsia="宋体" w:cs="Times New Roman"/>
          <w:color w:val="000000" w:themeColor="text1"/>
          <w14:textFill>
            <w14:solidFill>
              <w14:schemeClr w14:val="tx1"/>
            </w14:solidFill>
          </w14:textFill>
        </w:rPr>
        <w:t>四、主要环境影响和保护措施</w:t>
      </w:r>
      <w:bookmarkEnd w:id="12"/>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6487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6A54FCC5">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14:paraId="3E4BBEE7">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14:paraId="45296063">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14:paraId="3CBDB38F">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14:paraId="127CFA18">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604" w:type="dxa"/>
          </w:tcPr>
          <w:p w14:paraId="15A3AF79">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4.1施工期间环境保护措施</w:t>
            </w:r>
          </w:p>
          <w:p w14:paraId="7345FA40">
            <w:pPr>
              <w:spacing w:line="360" w:lineRule="auto"/>
              <w:ind w:firstLine="480" w:firstLineChars="200"/>
              <w:rPr>
                <w:rFonts w:hint="default" w:ascii="Times New Roman" w:hAnsi="Times New Roman" w:eastAsia="宋体" w:cs="Times New Roman"/>
                <w:bCs/>
                <w:color w:val="000000" w:themeColor="text1"/>
                <w:sz w:val="24"/>
                <w:lang w:bidi="ar"/>
                <w14:textFill>
                  <w14:solidFill>
                    <w14:schemeClr w14:val="tx1"/>
                  </w14:solidFill>
                </w14:textFill>
              </w:rPr>
            </w:pPr>
            <w:r>
              <w:rPr>
                <w:rFonts w:hint="default" w:ascii="Times New Roman" w:hAnsi="Times New Roman" w:eastAsia="宋体" w:cs="Times New Roman"/>
                <w:bCs/>
                <w:color w:val="000000" w:themeColor="text1"/>
                <w:sz w:val="24"/>
                <w:lang w:bidi="ar"/>
                <w14:textFill>
                  <w14:solidFill>
                    <w14:schemeClr w14:val="tx1"/>
                  </w14:solidFill>
                </w14:textFill>
              </w:rPr>
              <w:t>本项目施工期仅进行设备安装，不涉</w:t>
            </w:r>
            <w:r>
              <w:rPr>
                <w:rFonts w:hint="default" w:ascii="Times New Roman" w:hAnsi="Times New Roman" w:eastAsia="宋体" w:cs="Times New Roman"/>
                <w:bCs/>
                <w:color w:val="000000" w:themeColor="text1"/>
                <w:sz w:val="24"/>
                <w:szCs w:val="24"/>
                <w:lang w:bidi="ar"/>
                <w14:textFill>
                  <w14:solidFill>
                    <w14:schemeClr w14:val="tx1"/>
                  </w14:solidFill>
                </w14:textFill>
              </w:rPr>
              <w:t>及土建大开挖工程</w:t>
            </w:r>
            <w:r>
              <w:rPr>
                <w:rFonts w:hint="eastAsia" w:cs="Times New Roman"/>
                <w:bCs/>
                <w:color w:val="000000" w:themeColor="text1"/>
                <w:sz w:val="24"/>
                <w:szCs w:val="24"/>
                <w:lang w:eastAsia="zh-CN" w:bidi="ar"/>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仅产品储罐下方需要进行小规模的土石方开挖，铺设基础层</w:t>
            </w:r>
            <w:r>
              <w:rPr>
                <w:rFonts w:hint="eastAsia" w:cs="Times New Roman"/>
                <w:bCs/>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lang w:bidi="ar"/>
                <w14:textFill>
                  <w14:solidFill>
                    <w14:schemeClr w14:val="tx1"/>
                  </w14:solidFill>
                </w14:textFill>
              </w:rPr>
              <w:t>，主要污染物为</w:t>
            </w:r>
            <w:r>
              <w:rPr>
                <w:rFonts w:hint="default" w:ascii="Times New Roman" w:hAnsi="Times New Roman" w:eastAsia="宋体" w:cs="Times New Roman"/>
                <w:color w:val="000000" w:themeColor="text1"/>
                <w:sz w:val="24"/>
                <w14:textFill>
                  <w14:solidFill>
                    <w14:schemeClr w14:val="tx1"/>
                  </w14:solidFill>
                </w14:textFill>
              </w:rPr>
              <w:t>钻孔粉尘、施工噪声、</w:t>
            </w:r>
            <w:r>
              <w:rPr>
                <w:rFonts w:hint="eastAsia" w:cs="Times New Roman"/>
                <w:color w:val="000000" w:themeColor="text1"/>
                <w:sz w:val="24"/>
                <w:lang w:val="en-US" w:eastAsia="zh-CN"/>
                <w14:textFill>
                  <w14:solidFill>
                    <w14:schemeClr w14:val="tx1"/>
                  </w14:solidFill>
                </w14:textFill>
              </w:rPr>
              <w:t>建筑垃圾、</w:t>
            </w:r>
            <w:r>
              <w:rPr>
                <w:rFonts w:hint="default" w:ascii="Times New Roman" w:hAnsi="Times New Roman" w:eastAsia="宋体" w:cs="Times New Roman"/>
                <w:color w:val="000000" w:themeColor="text1"/>
                <w:sz w:val="24"/>
                <w14:textFill>
                  <w14:solidFill>
                    <w14:schemeClr w14:val="tx1"/>
                  </w14:solidFill>
                </w14:textFill>
              </w:rPr>
              <w:t>施工人员生活垃圾、生活污水</w:t>
            </w:r>
            <w:r>
              <w:rPr>
                <w:rFonts w:hint="default" w:ascii="Times New Roman" w:hAnsi="Times New Roman" w:eastAsia="宋体" w:cs="Times New Roman"/>
                <w:bCs/>
                <w:color w:val="000000" w:themeColor="text1"/>
                <w:sz w:val="24"/>
                <w:lang w:bidi="ar"/>
                <w14:textFill>
                  <w14:solidFill>
                    <w14:schemeClr w14:val="tx1"/>
                  </w14:solidFill>
                </w14:textFill>
              </w:rPr>
              <w:t>。</w:t>
            </w:r>
          </w:p>
          <w:p w14:paraId="72113835">
            <w:pPr>
              <w:spacing w:line="360" w:lineRule="auto"/>
              <w:ind w:firstLine="480" w:firstLineChars="200"/>
              <w:rPr>
                <w:rFonts w:hint="default" w:ascii="Times New Roman" w:hAnsi="Times New Roman" w:eastAsia="宋体" w:cs="Times New Roman"/>
                <w:bCs/>
                <w:color w:val="000000" w:themeColor="text1"/>
                <w:sz w:val="24"/>
                <w:lang w:bidi="ar"/>
                <w14:textFill>
                  <w14:solidFill>
                    <w14:schemeClr w14:val="tx1"/>
                  </w14:solidFill>
                </w14:textFill>
              </w:rPr>
            </w:pPr>
            <w:r>
              <w:rPr>
                <w:rFonts w:hint="default" w:ascii="Times New Roman" w:hAnsi="Times New Roman" w:eastAsia="宋体" w:cs="Times New Roman"/>
                <w:bCs/>
                <w:color w:val="000000" w:themeColor="text1"/>
                <w:sz w:val="24"/>
                <w:lang w:bidi="ar"/>
                <w14:textFill>
                  <w14:solidFill>
                    <w14:schemeClr w14:val="tx1"/>
                  </w14:solidFill>
                </w14:textFill>
              </w:rPr>
              <w:t>钻孔粉尘治理：设备拆除及安装的钻孔阶段配合洒水降尘；</w:t>
            </w:r>
          </w:p>
          <w:p w14:paraId="3DF98EFD">
            <w:pPr>
              <w:spacing w:line="360" w:lineRule="auto"/>
              <w:ind w:firstLine="480" w:firstLineChars="200"/>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default" w:ascii="Times New Roman" w:hAnsi="Times New Roman" w:eastAsia="宋体" w:cs="Times New Roman"/>
                <w:bCs/>
                <w:color w:val="000000" w:themeColor="text1"/>
                <w:sz w:val="24"/>
                <w:lang w:bidi="ar"/>
                <w14:textFill>
                  <w14:solidFill>
                    <w14:schemeClr w14:val="tx1"/>
                  </w14:solidFill>
                </w14:textFill>
              </w:rPr>
              <w:t>施工噪声治理：施工期噪声主要为设备拆除及安装产生的噪声，其最高噪声可达90dB。项目施工均在厂区的内进行，充分利用厂房墙体进行隔声，以及厂界距离衰减。环评要求：在建筑施工期间，必须严格执行《建筑施工噪声排放标准》（GB12523-20</w:t>
            </w:r>
            <w:r>
              <w:rPr>
                <w:rFonts w:hint="eastAsia" w:cs="Times New Roman"/>
                <w:bCs/>
                <w:color w:val="000000" w:themeColor="text1"/>
                <w:sz w:val="24"/>
                <w:lang w:val="en-US" w:eastAsia="zh-CN" w:bidi="ar"/>
                <w14:textFill>
                  <w14:solidFill>
                    <w14:schemeClr w14:val="tx1"/>
                  </w14:solidFill>
                </w14:textFill>
              </w:rPr>
              <w:t>25</w:t>
            </w:r>
            <w:r>
              <w:rPr>
                <w:rFonts w:hint="default" w:ascii="Times New Roman" w:hAnsi="Times New Roman" w:eastAsia="宋体" w:cs="Times New Roman"/>
                <w:bCs/>
                <w:color w:val="000000" w:themeColor="text1"/>
                <w:sz w:val="24"/>
                <w:lang w:bidi="ar"/>
                <w14:textFill>
                  <w14:solidFill>
                    <w14:schemeClr w14:val="tx1"/>
                  </w14:solidFill>
                </w14:textFill>
              </w:rPr>
              <w:t>）的要求。采取如下防治措施：①加强管理，文明施工，降低噪声源强；②合理安排施工计划和施工机械设备组合以及施工时间，禁止在中午（12:00~14:00）和夜间（22:00~6:00）施工，避免在同一时间集中使用大量的动力机械设备。严格执行《建筑施工噪声排放标准》（GB12523-20</w:t>
            </w:r>
            <w:r>
              <w:rPr>
                <w:rFonts w:hint="eastAsia" w:cs="Times New Roman"/>
                <w:bCs/>
                <w:color w:val="000000" w:themeColor="text1"/>
                <w:sz w:val="24"/>
                <w:lang w:val="en-US" w:eastAsia="zh-CN" w:bidi="ar"/>
                <w14:textFill>
                  <w14:solidFill>
                    <w14:schemeClr w14:val="tx1"/>
                  </w14:solidFill>
                </w14:textFill>
              </w:rPr>
              <w:t>25</w:t>
            </w:r>
            <w:r>
              <w:rPr>
                <w:rFonts w:hint="default" w:ascii="Times New Roman" w:hAnsi="Times New Roman" w:eastAsia="宋体" w:cs="Times New Roman"/>
                <w:bCs/>
                <w:color w:val="000000" w:themeColor="text1"/>
                <w:sz w:val="24"/>
                <w:lang w:bidi="ar"/>
                <w14:textFill>
                  <w14:solidFill>
                    <w14:schemeClr w14:val="tx1"/>
                  </w14:solidFill>
                </w14:textFill>
              </w:rPr>
              <w:t>）的要求，在施工过程中，尽量减少运行动力机械设备的数量，尽可能使动力机械设备比较均匀地使用；</w:t>
            </w:r>
            <w:r>
              <w:rPr>
                <w:rFonts w:hint="default" w:ascii="Times New Roman" w:hAnsi="Times New Roman" w:eastAsia="宋体" w:cs="Times New Roman"/>
                <w:color w:val="000000" w:themeColor="text1"/>
                <w:sz w:val="24"/>
                <w14:textFill>
                  <w14:solidFill>
                    <w14:schemeClr w14:val="tx1"/>
                  </w14:solidFill>
                </w14:textFill>
              </w:rPr>
              <w:br w:type="textWrapping"/>
            </w:r>
            <w:r>
              <w:rPr>
                <w:rFonts w:hint="default" w:ascii="Times New Roman" w:hAnsi="Times New Roman" w:eastAsia="宋体" w:cs="Times New Roman"/>
                <w:bCs/>
                <w:color w:val="000000" w:themeColor="text1"/>
                <w:sz w:val="24"/>
                <w:lang w:bidi="ar"/>
                <w14:textFill>
                  <w14:solidFill>
                    <w14:schemeClr w14:val="tx1"/>
                  </w14:solidFill>
                </w14:textFill>
              </w:rPr>
              <w:t xml:space="preserve">    </w:t>
            </w:r>
            <w:r>
              <w:rPr>
                <w:rFonts w:hint="eastAsia" w:cs="Times New Roman"/>
                <w:bCs/>
                <w:color w:val="000000" w:themeColor="text1"/>
                <w:sz w:val="24"/>
                <w:lang w:val="en-US" w:eastAsia="zh-CN" w:bidi="ar"/>
                <w14:textFill>
                  <w14:solidFill>
                    <w14:schemeClr w14:val="tx1"/>
                  </w14:solidFill>
                </w14:textFill>
              </w:rPr>
              <w:t>施工期产生的固废治理：</w:t>
            </w:r>
            <w:r>
              <w:rPr>
                <w:rFonts w:hint="default" w:ascii="Times New Roman" w:hAnsi="Times New Roman" w:eastAsia="宋体" w:cs="Times New Roman"/>
                <w:color w:val="000000" w:themeColor="text1"/>
                <w:sz w:val="24"/>
                <w14:textFill>
                  <w14:solidFill>
                    <w14:schemeClr w14:val="tx1"/>
                  </w14:solidFill>
                </w14:textFill>
              </w:rPr>
              <w:t>施工人员生活垃圾集中收集交由环卫部门处理</w:t>
            </w:r>
            <w:r>
              <w:rPr>
                <w:rFonts w:hint="eastAsia" w:cs="Times New Roman"/>
                <w:color w:val="000000" w:themeColor="text1"/>
                <w:sz w:val="24"/>
                <w:lang w:eastAsia="zh-CN"/>
                <w14:textFill>
                  <w14:solidFill>
                    <w14:schemeClr w14:val="tx1"/>
                  </w14:solidFill>
                </w14:textFill>
              </w:rPr>
              <w:t>，建筑垃圾（</w:t>
            </w:r>
            <w:r>
              <w:rPr>
                <w:rFonts w:hint="eastAsia" w:cs="Times New Roman"/>
                <w:color w:val="000000" w:themeColor="text1"/>
                <w:sz w:val="24"/>
                <w:lang w:val="en-US" w:eastAsia="zh-CN"/>
                <w14:textFill>
                  <w14:solidFill>
                    <w14:schemeClr w14:val="tx1"/>
                  </w14:solidFill>
                </w14:textFill>
              </w:rPr>
              <w:t>包含废焊条、废钢材等</w:t>
            </w:r>
            <w:r>
              <w:rPr>
                <w:rFonts w:hint="eastAsia" w:cs="Times New Roman"/>
                <w:color w:val="000000" w:themeColor="text1"/>
                <w:sz w:val="24"/>
                <w:lang w:eastAsia="zh-CN"/>
                <w14:textFill>
                  <w14:solidFill>
                    <w14:schemeClr w14:val="tx1"/>
                  </w14:solidFill>
                </w14:textFill>
              </w:rPr>
              <w:t>）可资源化利用的资源化利用，不可利用部分运至市政指定建筑垃圾处置场处置。</w:t>
            </w:r>
          </w:p>
          <w:p w14:paraId="0071668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施工人员生活污水治理：依托现有厂区已建污水处理系统进行处理。</w:t>
            </w:r>
          </w:p>
          <w:p w14:paraId="6932A86B">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在采取上述环保措施后，施工期设备安装活动不会对区域环境产生明显影响。</w:t>
            </w:r>
          </w:p>
        </w:tc>
      </w:tr>
      <w:tr w14:paraId="1D25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14:paraId="07B6FEB6">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运营期环</w:t>
            </w:r>
          </w:p>
          <w:p w14:paraId="1492E261">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14:paraId="005AA557">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14:paraId="3F901F2A">
            <w:pPr>
              <w:pStyle w:val="42"/>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8604" w:type="dxa"/>
          </w:tcPr>
          <w:p w14:paraId="36B76044">
            <w:pPr>
              <w:pStyle w:val="457"/>
              <w:spacing w:line="360" w:lineRule="auto"/>
              <w:ind w:left="420" w:leftChars="200" w:firstLine="0" w:firstLine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4.2、运营期环境影响和保护措施</w:t>
            </w:r>
          </w:p>
          <w:p w14:paraId="3E48A79E">
            <w:pPr>
              <w:pStyle w:val="457"/>
              <w:spacing w:line="360" w:lineRule="auto"/>
              <w:ind w:left="420" w:leftChars="200" w:firstLine="0" w:firstLine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4.2.1废气</w:t>
            </w:r>
          </w:p>
          <w:p w14:paraId="22EF924F">
            <w:pPr>
              <w:spacing w:line="360" w:lineRule="auto"/>
              <w:ind w:firstLine="482" w:firstLineChars="20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1、废气治理情况</w:t>
            </w:r>
          </w:p>
          <w:p w14:paraId="55FFDB94">
            <w:pPr>
              <w:spacing w:line="360" w:lineRule="auto"/>
              <w:ind w:firstLine="480" w:firstLineChars="200"/>
              <w:rPr>
                <w:rFonts w:hint="eastAsia" w:eastAsia="宋体" w:cs="Times New Roman"/>
                <w:bCs/>
                <w:color w:val="000000" w:themeColor="text1"/>
                <w:sz w:val="24"/>
                <w:lang w:val="en-US" w:eastAsia="zh-CN" w:bidi="ar"/>
                <w14:textFill>
                  <w14:solidFill>
                    <w14:schemeClr w14:val="tx1"/>
                  </w14:solidFill>
                </w14:textFill>
              </w:rPr>
            </w:pPr>
            <w:r>
              <w:rPr>
                <w:rFonts w:hint="default" w:ascii="Times New Roman" w:hAnsi="Times New Roman" w:eastAsia="宋体" w:cs="Times New Roman"/>
                <w:bCs/>
                <w:color w:val="000000" w:themeColor="text1"/>
                <w:sz w:val="24"/>
                <w:lang w:bidi="ar"/>
                <w14:textFill>
                  <w14:solidFill>
                    <w14:schemeClr w14:val="tx1"/>
                  </w14:solidFill>
                </w14:textFill>
              </w:rPr>
              <w:t>管线吹扫采用空气吹扫，平均1年吹扫1次，少量含尘空气直接排放</w:t>
            </w:r>
            <w:r>
              <w:rPr>
                <w:rFonts w:hint="eastAsia" w:cs="Times New Roman"/>
                <w:bCs/>
                <w:color w:val="000000" w:themeColor="text1"/>
                <w:sz w:val="24"/>
                <w:lang w:eastAsia="zh-CN" w:bidi="ar"/>
                <w14:textFill>
                  <w14:solidFill>
                    <w14:schemeClr w14:val="tx1"/>
                  </w14:solidFill>
                </w14:textFill>
              </w:rPr>
              <w:t>。</w:t>
            </w:r>
          </w:p>
          <w:p w14:paraId="7CE1C816">
            <w:pPr>
              <w:spacing w:line="360" w:lineRule="auto"/>
              <w:ind w:firstLine="480" w:firstLineChars="200"/>
              <w:rPr>
                <w:rFonts w:hint="default"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cs="Times New Roman"/>
                <w:bCs/>
                <w:color w:val="000000" w:themeColor="text1"/>
                <w:sz w:val="24"/>
                <w:lang w:val="en-US" w:eastAsia="zh-CN" w:bidi="ar"/>
                <w14:textFill>
                  <w14:solidFill>
                    <w14:schemeClr w14:val="tx1"/>
                  </w14:solidFill>
                </w14:textFill>
              </w:rPr>
              <w:t>根据前述分析，本项目脱轻塔废气成分如下：</w:t>
            </w:r>
          </w:p>
          <w:p w14:paraId="0C081EB4">
            <w:pPr>
              <w:spacing w:line="240" w:lineRule="auto"/>
              <w:jc w:val="center"/>
              <w:rPr>
                <w:rFonts w:hint="default" w:ascii="Times New Roman" w:hAnsi="Times New Roman" w:eastAsia="宋体" w:cs="Times New Roman"/>
                <w:b/>
                <w:bCs w:val="0"/>
                <w:color w:val="000000" w:themeColor="text1"/>
                <w:sz w:val="21"/>
                <w:szCs w:val="21"/>
                <w:vertAlign w:val="baseline"/>
                <w:lang w:val="en-US" w:eastAsia="zh-CN" w:bidi="ar"/>
                <w14:textFill>
                  <w14:solidFill>
                    <w14:schemeClr w14:val="tx1"/>
                  </w14:solidFill>
                </w14:textFill>
              </w:rPr>
            </w:pPr>
            <w:r>
              <w:rPr>
                <w:rFonts w:hint="eastAsia" w:cs="Times New Roman"/>
                <w:b/>
                <w:bCs w:val="0"/>
                <w:color w:val="000000" w:themeColor="text1"/>
                <w:sz w:val="21"/>
                <w:szCs w:val="21"/>
                <w:lang w:val="en-US" w:eastAsia="zh-CN" w:bidi="ar"/>
                <w14:textFill>
                  <w14:solidFill>
                    <w14:schemeClr w14:val="tx1"/>
                  </w14:solidFill>
                </w14:textFill>
              </w:rPr>
              <w:t>表4-1  脱轻塔分离废气成分一览表</w:t>
            </w:r>
          </w:p>
          <w:tbl>
            <w:tblPr>
              <w:tblStyle w:val="49"/>
              <w:tblW w:w="8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079"/>
              <w:gridCol w:w="2080"/>
              <w:gridCol w:w="2080"/>
            </w:tblGrid>
            <w:tr w14:paraId="7E35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079" w:type="dxa"/>
                  <w:vAlign w:val="center"/>
                </w:tcPr>
                <w:p w14:paraId="7AE836EC">
                  <w:pPr>
                    <w:jc w:val="center"/>
                    <w:rPr>
                      <w:rFonts w:hint="default"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t>废气名称</w:t>
                  </w:r>
                </w:p>
              </w:tc>
              <w:tc>
                <w:tcPr>
                  <w:tcW w:w="2079" w:type="dxa"/>
                  <w:vAlign w:val="center"/>
                </w:tcPr>
                <w:p w14:paraId="51EBDED2">
                  <w:pPr>
                    <w:jc w:val="center"/>
                    <w:rPr>
                      <w:rFonts w:hint="default"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t>成分</w:t>
                  </w:r>
                </w:p>
              </w:tc>
              <w:tc>
                <w:tcPr>
                  <w:tcW w:w="2080" w:type="dxa"/>
                  <w:vAlign w:val="center"/>
                </w:tcPr>
                <w:p w14:paraId="1203EEEF">
                  <w:pPr>
                    <w:jc w:val="center"/>
                    <w:rPr>
                      <w:rFonts w:hint="default"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cs="Times New Roman"/>
                      <w:b/>
                      <w:bCs/>
                      <w:color w:val="000000" w:themeColor="text1"/>
                      <w:szCs w:val="21"/>
                      <w:lang w:val="en-US" w:eastAsia="zh-CN" w:bidi="ar"/>
                      <w14:textFill>
                        <w14:solidFill>
                          <w14:schemeClr w14:val="tx1"/>
                        </w14:solidFill>
                      </w14:textFill>
                    </w:rPr>
                    <w:t>产生</w:t>
                  </w:r>
                  <w: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t>频率</w:t>
                  </w:r>
                </w:p>
              </w:tc>
              <w:tc>
                <w:tcPr>
                  <w:tcW w:w="2080" w:type="dxa"/>
                  <w:vAlign w:val="center"/>
                </w:tcPr>
                <w:p w14:paraId="716C8635">
                  <w:pPr>
                    <w:jc w:val="center"/>
                    <w:rPr>
                      <w:rFonts w:hint="default"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t>温度及压力</w:t>
                  </w:r>
                </w:p>
              </w:tc>
            </w:tr>
            <w:tr w14:paraId="4B8F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079" w:type="dxa"/>
                  <w:vMerge w:val="restart"/>
                  <w:vAlign w:val="center"/>
                </w:tcPr>
                <w:p w14:paraId="3EA48ABA">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zCs w:val="21"/>
                      <w:lang w:val="en-US" w:eastAsia="zh-CN" w:bidi="ar"/>
                      <w14:textFill>
                        <w14:solidFill>
                          <w14:schemeClr w14:val="tx1"/>
                        </w14:solidFill>
                      </w14:textFill>
                    </w:rPr>
                    <w:t>脱轻塔分离废气</w:t>
                  </w:r>
                </w:p>
              </w:tc>
              <w:tc>
                <w:tcPr>
                  <w:tcW w:w="2079" w:type="dxa"/>
                  <w:vAlign w:val="center"/>
                </w:tcPr>
                <w:p w14:paraId="0F4B4848">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CO</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lang w:val="en-US" w:eastAsia="zh-CN" w:bidi="ar"/>
                      <w14:textFill>
                        <w14:solidFill>
                          <w14:schemeClr w14:val="tx1"/>
                        </w14:solidFill>
                      </w14:textFill>
                    </w:rPr>
                    <w:t>：50.8%</w:t>
                  </w:r>
                </w:p>
              </w:tc>
              <w:tc>
                <w:tcPr>
                  <w:tcW w:w="2080" w:type="dxa"/>
                  <w:vMerge w:val="restart"/>
                  <w:vAlign w:val="center"/>
                </w:tcPr>
                <w:p w14:paraId="27A7DA3B">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连续</w:t>
                  </w:r>
                </w:p>
              </w:tc>
              <w:tc>
                <w:tcPr>
                  <w:tcW w:w="2080" w:type="dxa"/>
                  <w:vMerge w:val="restart"/>
                  <w:vAlign w:val="center"/>
                </w:tcPr>
                <w:p w14:paraId="0D5C04ED">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30℃、0.6MPa</w:t>
                  </w:r>
                </w:p>
              </w:tc>
            </w:tr>
            <w:tr w14:paraId="53B9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079" w:type="dxa"/>
                  <w:vMerge w:val="continue"/>
                  <w:vAlign w:val="center"/>
                </w:tcPr>
                <w:p w14:paraId="411C5EFA">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p>
              </w:tc>
              <w:tc>
                <w:tcPr>
                  <w:tcW w:w="2079" w:type="dxa"/>
                  <w:vAlign w:val="center"/>
                </w:tcPr>
                <w:p w14:paraId="1E2B47F8">
                  <w:pPr>
                    <w:jc w:val="center"/>
                    <w:rPr>
                      <w:rFonts w:hint="default"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lang w:val="en-US" w:eastAsia="zh-CN" w:bidi="ar"/>
                      <w14:textFill>
                        <w14:solidFill>
                          <w14:schemeClr w14:val="tx1"/>
                        </w14:solidFill>
                      </w14:textFill>
                    </w:rPr>
                    <w:t>：23%</w:t>
                  </w:r>
                </w:p>
              </w:tc>
              <w:tc>
                <w:tcPr>
                  <w:tcW w:w="2080" w:type="dxa"/>
                  <w:vMerge w:val="continue"/>
                  <w:vAlign w:val="center"/>
                </w:tcPr>
                <w:p w14:paraId="76CDC637">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c>
                <w:tcPr>
                  <w:tcW w:w="2080" w:type="dxa"/>
                  <w:vMerge w:val="continue"/>
                  <w:vAlign w:val="center"/>
                </w:tcPr>
                <w:p w14:paraId="3471EFC5">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r>
            <w:tr w14:paraId="40A2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2079" w:type="dxa"/>
                  <w:vMerge w:val="continue"/>
                  <w:vAlign w:val="center"/>
                </w:tcPr>
                <w:p w14:paraId="42D17409">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p>
              </w:tc>
              <w:tc>
                <w:tcPr>
                  <w:tcW w:w="2079" w:type="dxa"/>
                  <w:vAlign w:val="center"/>
                </w:tcPr>
                <w:p w14:paraId="1E4960FD">
                  <w:pPr>
                    <w:jc w:val="center"/>
                    <w:rPr>
                      <w:rFonts w:hint="default"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N</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lang w:val="en-US" w:eastAsia="zh-CN" w:bidi="ar"/>
                      <w14:textFill>
                        <w14:solidFill>
                          <w14:schemeClr w14:val="tx1"/>
                        </w14:solidFill>
                      </w14:textFill>
                    </w:rPr>
                    <w:t>：1.6%</w:t>
                  </w:r>
                </w:p>
              </w:tc>
              <w:tc>
                <w:tcPr>
                  <w:tcW w:w="2080" w:type="dxa"/>
                  <w:vMerge w:val="continue"/>
                  <w:vAlign w:val="center"/>
                </w:tcPr>
                <w:p w14:paraId="1A10BC2D">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c>
                <w:tcPr>
                  <w:tcW w:w="2080" w:type="dxa"/>
                  <w:vMerge w:val="continue"/>
                  <w:vAlign w:val="center"/>
                </w:tcPr>
                <w:p w14:paraId="24FC686B">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r>
            <w:tr w14:paraId="3E99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079" w:type="dxa"/>
                  <w:vMerge w:val="continue"/>
                  <w:vAlign w:val="center"/>
                </w:tcPr>
                <w:p w14:paraId="7D17C1D8">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p>
              </w:tc>
              <w:tc>
                <w:tcPr>
                  <w:tcW w:w="2079" w:type="dxa"/>
                  <w:vAlign w:val="center"/>
                </w:tcPr>
                <w:p w14:paraId="211E9D6F">
                  <w:pPr>
                    <w:jc w:val="center"/>
                    <w:rPr>
                      <w:rFonts w:hint="default"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CO：23%</w:t>
                  </w:r>
                </w:p>
              </w:tc>
              <w:tc>
                <w:tcPr>
                  <w:tcW w:w="2080" w:type="dxa"/>
                  <w:vMerge w:val="continue"/>
                  <w:vAlign w:val="center"/>
                </w:tcPr>
                <w:p w14:paraId="4B298CB8">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c>
                <w:tcPr>
                  <w:tcW w:w="2080" w:type="dxa"/>
                  <w:vMerge w:val="continue"/>
                  <w:vAlign w:val="center"/>
                </w:tcPr>
                <w:p w14:paraId="12343111">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r>
            <w:tr w14:paraId="5237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079" w:type="dxa"/>
                  <w:vMerge w:val="continue"/>
                  <w:vAlign w:val="center"/>
                </w:tcPr>
                <w:p w14:paraId="7F75CCE9">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p>
              </w:tc>
              <w:tc>
                <w:tcPr>
                  <w:tcW w:w="2079" w:type="dxa"/>
                  <w:vAlign w:val="center"/>
                </w:tcPr>
                <w:p w14:paraId="5C229C2D">
                  <w:pPr>
                    <w:jc w:val="center"/>
                    <w:rPr>
                      <w:rFonts w:hint="default"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CH</w:t>
                  </w:r>
                  <w:r>
                    <w:rPr>
                      <w:rFonts w:hint="eastAsia" w:cs="Times New Roman"/>
                      <w:color w:val="000000" w:themeColor="text1"/>
                      <w:szCs w:val="21"/>
                      <w:vertAlign w:val="subscript"/>
                      <w:lang w:val="en-US" w:eastAsia="zh-CN" w:bidi="ar"/>
                      <w14:textFill>
                        <w14:solidFill>
                          <w14:schemeClr w14:val="tx1"/>
                        </w14:solidFill>
                      </w14:textFill>
                    </w:rPr>
                    <w:t>4</w:t>
                  </w:r>
                  <w:r>
                    <w:rPr>
                      <w:rFonts w:hint="eastAsia" w:cs="Times New Roman"/>
                      <w:color w:val="000000" w:themeColor="text1"/>
                      <w:szCs w:val="21"/>
                      <w:lang w:val="en-US" w:eastAsia="zh-CN" w:bidi="ar"/>
                      <w14:textFill>
                        <w14:solidFill>
                          <w14:schemeClr w14:val="tx1"/>
                        </w14:solidFill>
                      </w14:textFill>
                    </w:rPr>
                    <w:t>：1.6%</w:t>
                  </w:r>
                </w:p>
              </w:tc>
              <w:tc>
                <w:tcPr>
                  <w:tcW w:w="2080" w:type="dxa"/>
                  <w:vMerge w:val="continue"/>
                  <w:vAlign w:val="center"/>
                </w:tcPr>
                <w:p w14:paraId="3CE60C85">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c>
                <w:tcPr>
                  <w:tcW w:w="2080" w:type="dxa"/>
                  <w:vMerge w:val="continue"/>
                  <w:vAlign w:val="center"/>
                </w:tcPr>
                <w:p w14:paraId="3329029E">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p>
              </w:tc>
            </w:tr>
          </w:tbl>
          <w:p w14:paraId="295E08C7">
            <w:pPr>
              <w:spacing w:line="240" w:lineRule="auto"/>
              <w:jc w:val="center"/>
              <w:rPr>
                <w:rFonts w:hint="default" w:ascii="Times New Roman" w:hAnsi="Times New Roman" w:eastAsia="宋体" w:cs="Times New Roman"/>
                <w:b/>
                <w:bCs w:val="0"/>
                <w:color w:val="000000" w:themeColor="text1"/>
                <w:sz w:val="21"/>
                <w:szCs w:val="21"/>
                <w:lang w:val="en-US" w:eastAsia="zh-CN" w:bidi="ar"/>
                <w14:textFill>
                  <w14:solidFill>
                    <w14:schemeClr w14:val="tx1"/>
                  </w14:solidFill>
                </w14:textFill>
              </w:rPr>
            </w:pPr>
          </w:p>
          <w:p w14:paraId="2B830C6E">
            <w:pPr>
              <w:spacing w:line="360" w:lineRule="auto"/>
              <w:ind w:firstLine="480" w:firstLineChars="200"/>
              <w:rPr>
                <w:rFonts w:hint="eastAsia" w:ascii="Times New Roman" w:hAnsi="Times New Roman" w:eastAsia="宋体" w:cs="Times New Roman"/>
                <w:bCs/>
                <w:color w:val="000000" w:themeColor="text1"/>
                <w:sz w:val="24"/>
                <w:lang w:eastAsia="zh-CN" w:bidi="ar"/>
                <w14:textFill>
                  <w14:solidFill>
                    <w14:schemeClr w14:val="tx1"/>
                  </w14:solidFill>
                </w14:textFill>
              </w:rPr>
            </w:pPr>
            <w:r>
              <w:rPr>
                <w:rFonts w:hint="default" w:ascii="Times New Roman" w:hAnsi="Times New Roman" w:eastAsia="宋体" w:cs="Times New Roman"/>
                <w:bCs/>
                <w:color w:val="000000" w:themeColor="text1"/>
                <w:sz w:val="24"/>
                <w:lang w:bidi="ar"/>
                <w14:textFill>
                  <w14:solidFill>
                    <w14:schemeClr w14:val="tx1"/>
                  </w14:solidFill>
                </w14:textFill>
              </w:rPr>
              <w:t>MDEA脱CO</w:t>
            </w:r>
            <w:r>
              <w:rPr>
                <w:rFonts w:hint="default" w:ascii="Times New Roman" w:hAnsi="Times New Roman" w:eastAsia="宋体" w:cs="Times New Roman"/>
                <w:bCs/>
                <w:color w:val="000000" w:themeColor="text1"/>
                <w:sz w:val="24"/>
                <w:vertAlign w:val="subscript"/>
                <w:lang w:bidi="ar"/>
                <w14:textFill>
                  <w14:solidFill>
                    <w14:schemeClr w14:val="tx1"/>
                  </w14:solidFill>
                </w14:textFill>
              </w:rPr>
              <w:t>2</w:t>
            </w:r>
            <w:r>
              <w:rPr>
                <w:rFonts w:hint="default" w:ascii="Times New Roman" w:hAnsi="Times New Roman" w:eastAsia="宋体" w:cs="Times New Roman"/>
                <w:bCs/>
                <w:color w:val="000000" w:themeColor="text1"/>
                <w:sz w:val="24"/>
                <w:lang w:bidi="ar"/>
                <w14:textFill>
                  <w14:solidFill>
                    <w14:schemeClr w14:val="tx1"/>
                  </w14:solidFill>
                </w14:textFill>
              </w:rPr>
              <w:t>放空气经回收CO</w:t>
            </w:r>
            <w:r>
              <w:rPr>
                <w:rFonts w:hint="default" w:ascii="Times New Roman" w:hAnsi="Times New Roman" w:eastAsia="宋体" w:cs="Times New Roman"/>
                <w:bCs/>
                <w:color w:val="000000" w:themeColor="text1"/>
                <w:sz w:val="24"/>
                <w:vertAlign w:val="subscript"/>
                <w:lang w:bidi="ar"/>
                <w14:textFill>
                  <w14:solidFill>
                    <w14:schemeClr w14:val="tx1"/>
                  </w14:solidFill>
                </w14:textFill>
              </w:rPr>
              <w:t>2</w:t>
            </w:r>
            <w:r>
              <w:rPr>
                <w:rFonts w:hint="default" w:ascii="Times New Roman" w:hAnsi="Times New Roman" w:eastAsia="宋体" w:cs="Times New Roman"/>
                <w:bCs/>
                <w:color w:val="000000" w:themeColor="text1"/>
                <w:sz w:val="24"/>
                <w:lang w:bidi="ar"/>
                <w14:textFill>
                  <w14:solidFill>
                    <w14:schemeClr w14:val="tx1"/>
                  </w14:solidFill>
                </w14:textFill>
              </w:rPr>
              <w:t>后，管道送入厂区转化装置加热炉前的燃料气分离器中，分离后送至天然气加热炉燃烧</w:t>
            </w:r>
            <w:r>
              <w:rPr>
                <w:rFonts w:hint="eastAsia" w:cs="Times New Roman"/>
                <w:bCs/>
                <w:color w:val="000000" w:themeColor="text1"/>
                <w:sz w:val="24"/>
                <w:lang w:eastAsia="zh-CN" w:bidi="ar"/>
                <w14:textFill>
                  <w14:solidFill>
                    <w14:schemeClr w14:val="tx1"/>
                  </w14:solidFill>
                </w14:textFill>
              </w:rPr>
              <w:t>（</w:t>
            </w:r>
            <w:r>
              <w:rPr>
                <w:rFonts w:hint="eastAsia" w:cs="Times New Roman"/>
                <w:bCs/>
                <w:color w:val="000000" w:themeColor="text1"/>
                <w:sz w:val="24"/>
                <w:lang w:val="en-US" w:eastAsia="zh-CN" w:bidi="ar"/>
                <w14:textFill>
                  <w14:solidFill>
                    <w14:schemeClr w14:val="tx1"/>
                  </w14:solidFill>
                </w14:textFill>
              </w:rPr>
              <w:t>依托燃烧炉设置有低氮燃烧+SCR脱硝系统</w:t>
            </w:r>
            <w:r>
              <w:rPr>
                <w:rFonts w:hint="eastAsia" w:cs="Times New Roman"/>
                <w:bCs/>
                <w:color w:val="000000" w:themeColor="text1"/>
                <w:sz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lang w:bidi="ar"/>
                <w14:textFill>
                  <w14:solidFill>
                    <w14:schemeClr w14:val="tx1"/>
                  </w14:solidFill>
                </w14:textFill>
              </w:rPr>
              <w:t>，经1根60m排气筒排放；排放的废气种类不属于目前需要进行管控的废气污染物类型，无相应排放标准。</w:t>
            </w:r>
          </w:p>
          <w:p w14:paraId="6677933E">
            <w:pPr>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eastAsia" w:cs="Times New Roman"/>
                <w:bCs/>
                <w:color w:val="000000" w:themeColor="text1"/>
                <w:sz w:val="24"/>
                <w:lang w:val="en-US" w:eastAsia="zh-CN" w:bidi="ar"/>
                <w14:textFill>
                  <w14:solidFill>
                    <w14:schemeClr w14:val="tx1"/>
                  </w14:solidFill>
                </w14:textFill>
              </w:rPr>
              <w:t>加热炉</w:t>
            </w:r>
            <w:r>
              <w:rPr>
                <w:rFonts w:hint="default" w:ascii="Times New Roman" w:hAnsi="Times New Roman" w:eastAsia="宋体" w:cs="Times New Roman"/>
                <w:bCs/>
                <w:color w:val="000000" w:themeColor="text1"/>
                <w:sz w:val="24"/>
                <w:lang w:bidi="ar"/>
                <w14:textFill>
                  <w14:solidFill>
                    <w14:schemeClr w14:val="tx1"/>
                  </w14:solidFill>
                </w14:textFill>
              </w:rPr>
              <w:t>相关构造及处理处理流程见下图</w:t>
            </w:r>
            <w:r>
              <w:rPr>
                <w:rFonts w:hint="default" w:ascii="Times New Roman" w:hAnsi="Times New Roman" w:eastAsia="宋体" w:cs="Times New Roman"/>
                <w:b/>
                <w:color w:val="000000" w:themeColor="text1"/>
                <w:sz w:val="24"/>
                <w:lang w:bidi="ar"/>
                <w14:textFill>
                  <w14:solidFill>
                    <w14:schemeClr w14:val="tx1"/>
                  </w14:solidFill>
                </w14:textFill>
              </w:rPr>
              <w:t>：</w:t>
            </w:r>
            <w:r>
              <w:rPr>
                <w:rFonts w:hint="default" w:ascii="Times New Roman" w:hAnsi="Times New Roman" w:eastAsia="宋体" w:cs="Times New Roman"/>
                <w:b/>
                <w:color w:val="000000" w:themeColor="text1"/>
                <w:sz w:val="24"/>
                <w:lang w:bidi="ar"/>
                <w14:textFill>
                  <w14:solidFill>
                    <w14:schemeClr w14:val="tx1"/>
                  </w14:solidFill>
                </w14:textFill>
              </w:rPr>
              <w:br w:type="textWrapping"/>
            </w: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325110" cy="3503295"/>
                  <wp:effectExtent l="0" t="0" r="8890" b="190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22"/>
                          <a:stretch>
                            <a:fillRect/>
                          </a:stretch>
                        </pic:blipFill>
                        <pic:spPr>
                          <a:xfrm>
                            <a:off x="0" y="0"/>
                            <a:ext cx="5325110" cy="3503295"/>
                          </a:xfrm>
                          <a:prstGeom prst="rect">
                            <a:avLst/>
                          </a:prstGeom>
                        </pic:spPr>
                      </pic:pic>
                    </a:graphicData>
                  </a:graphic>
                </wp:inline>
              </w:drawing>
            </w:r>
          </w:p>
          <w:p w14:paraId="61FCBC05">
            <w:pPr>
              <w:spacing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 xml:space="preserve">图4-1 </w:t>
            </w:r>
            <w:r>
              <w:rPr>
                <w:rFonts w:hint="eastAsia" w:cs="Times New Roman"/>
                <w:b/>
                <w:bCs/>
                <w:color w:val="000000" w:themeColor="text1"/>
                <w:lang w:val="en-US" w:eastAsia="zh-CN"/>
                <w14:textFill>
                  <w14:solidFill>
                    <w14:schemeClr w14:val="tx1"/>
                  </w14:solidFill>
                </w14:textFill>
              </w:rPr>
              <w:t>锅炉加热炉</w:t>
            </w:r>
            <w:r>
              <w:rPr>
                <w:rFonts w:hint="default" w:ascii="Times New Roman" w:hAnsi="Times New Roman" w:eastAsia="宋体" w:cs="Times New Roman"/>
                <w:b/>
                <w:bCs/>
                <w:color w:val="000000" w:themeColor="text1"/>
                <w14:textFill>
                  <w14:solidFill>
                    <w14:schemeClr w14:val="tx1"/>
                  </w14:solidFill>
                </w14:textFill>
              </w:rPr>
              <w:t>工艺流程图</w:t>
            </w:r>
          </w:p>
          <w:p w14:paraId="1973806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现有</w:t>
            </w:r>
            <w:r>
              <w:rPr>
                <w:rFonts w:hint="eastAsia" w:cs="Times New Roman"/>
                <w:color w:val="000000" w:themeColor="text1"/>
                <w:sz w:val="24"/>
                <w:lang w:val="en-US" w:eastAsia="zh-CN"/>
                <w14:textFill>
                  <w14:solidFill>
                    <w14:schemeClr w14:val="tx1"/>
                  </w14:solidFill>
                </w14:textFill>
              </w:rPr>
              <w:t>加热炉</w:t>
            </w:r>
            <w:r>
              <w:rPr>
                <w:rFonts w:hint="default" w:ascii="Times New Roman" w:hAnsi="Times New Roman" w:eastAsia="宋体" w:cs="Times New Roman"/>
                <w:color w:val="000000" w:themeColor="text1"/>
                <w:sz w:val="24"/>
                <w14:textFill>
                  <w14:solidFill>
                    <w14:schemeClr w14:val="tx1"/>
                  </w14:solidFill>
                </w14:textFill>
              </w:rPr>
              <w:t>废气处理情况见下表：</w:t>
            </w:r>
          </w:p>
          <w:p w14:paraId="5ED837B6">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 xml:space="preserve">表4-1 </w:t>
            </w:r>
            <w:r>
              <w:rPr>
                <w:rFonts w:hint="eastAsia" w:cs="Times New Roman"/>
                <w:b/>
                <w:bCs/>
                <w:color w:val="000000" w:themeColor="text1"/>
                <w:szCs w:val="21"/>
                <w:lang w:val="en-US" w:eastAsia="zh-CN"/>
                <w14:textFill>
                  <w14:solidFill>
                    <w14:schemeClr w14:val="tx1"/>
                  </w14:solidFill>
                </w14:textFill>
              </w:rPr>
              <w:t xml:space="preserve"> 加热炉燃料使用</w:t>
            </w:r>
            <w:r>
              <w:rPr>
                <w:rFonts w:hint="default" w:ascii="Times New Roman" w:hAnsi="Times New Roman" w:eastAsia="宋体" w:cs="Times New Roman"/>
                <w:b/>
                <w:bCs/>
                <w:color w:val="000000" w:themeColor="text1"/>
                <w:szCs w:val="21"/>
                <w14:textFill>
                  <w14:solidFill>
                    <w14:schemeClr w14:val="tx1"/>
                  </w14:solidFill>
                </w14:textFill>
              </w:rPr>
              <w:t>情况一览表</w:t>
            </w:r>
          </w:p>
          <w:tbl>
            <w:tblPr>
              <w:tblStyle w:val="474"/>
              <w:tblW w:w="8382"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806"/>
              <w:gridCol w:w="2963"/>
              <w:gridCol w:w="2724"/>
              <w:gridCol w:w="1889"/>
            </w:tblGrid>
            <w:tr w14:paraId="3C3F935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806" w:type="dxa"/>
                  <w:tcBorders>
                    <w:bottom w:val="single" w:color="auto" w:sz="4" w:space="0"/>
                  </w:tcBorders>
                  <w:vAlign w:val="center"/>
                </w:tcPr>
                <w:p w14:paraId="40CB3D9A">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序号</w:t>
                  </w:r>
                </w:p>
              </w:tc>
              <w:tc>
                <w:tcPr>
                  <w:tcW w:w="2963" w:type="dxa"/>
                  <w:tcBorders>
                    <w:bottom w:val="single" w:color="auto" w:sz="4" w:space="0"/>
                  </w:tcBorders>
                  <w:vAlign w:val="center"/>
                </w:tcPr>
                <w:p w14:paraId="273AF41B">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燃料名称</w:t>
                  </w:r>
                </w:p>
              </w:tc>
              <w:tc>
                <w:tcPr>
                  <w:tcW w:w="2724" w:type="dxa"/>
                  <w:tcBorders>
                    <w:bottom w:val="single" w:color="auto" w:sz="4" w:space="0"/>
                  </w:tcBorders>
                  <w:vAlign w:val="center"/>
                </w:tcPr>
                <w:p w14:paraId="1205C65B">
                  <w:pPr>
                    <w:jc w:val="center"/>
                    <w:rPr>
                      <w:rFonts w:hint="default" w:ascii="Times New Roman" w:hAnsi="Times New Roman" w:eastAsia="宋体" w:cs="Times New Roman"/>
                      <w:color w:val="000000" w:themeColor="text1"/>
                      <w:szCs w:val="21"/>
                      <w:lang w:val="en-US" w:eastAsia="en-US"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燃料成分</w:t>
                  </w:r>
                </w:p>
              </w:tc>
              <w:tc>
                <w:tcPr>
                  <w:tcW w:w="1889" w:type="dxa"/>
                  <w:tcBorders>
                    <w:bottom w:val="single" w:color="auto" w:sz="4" w:space="0"/>
                  </w:tcBorders>
                  <w:vAlign w:val="center"/>
                </w:tcPr>
                <w:p w14:paraId="26685DC5">
                  <w:pPr>
                    <w:jc w:val="center"/>
                    <w:rPr>
                      <w:rFonts w:hint="eastAsia" w:ascii="Times New Roman" w:hAnsi="Times New Roman" w:eastAsia="宋体" w:cs="Times New Roman"/>
                      <w:color w:val="000000" w:themeColor="text1"/>
                      <w:szCs w:val="21"/>
                      <w:lang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使用量</w:t>
                  </w:r>
                </w:p>
              </w:tc>
            </w:tr>
            <w:tr w14:paraId="2979355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806" w:type="dxa"/>
                  <w:vAlign w:val="center"/>
                </w:tcPr>
                <w:p w14:paraId="571D7FA1">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1</w:t>
                  </w:r>
                </w:p>
              </w:tc>
              <w:tc>
                <w:tcPr>
                  <w:tcW w:w="2963" w:type="dxa"/>
                  <w:vAlign w:val="center"/>
                </w:tcPr>
                <w:p w14:paraId="2C257DF2">
                  <w:pPr>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天然气</w:t>
                  </w:r>
                </w:p>
              </w:tc>
              <w:tc>
                <w:tcPr>
                  <w:tcW w:w="2724" w:type="dxa"/>
                  <w:vAlign w:val="center"/>
                </w:tcPr>
                <w:p w14:paraId="14C49AD0">
                  <w:pPr>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CH</w:t>
                  </w:r>
                  <w:r>
                    <w:rPr>
                      <w:rFonts w:hint="default" w:ascii="Times New Roman" w:hAnsi="Times New Roman" w:eastAsia="宋体" w:cs="Times New Roman"/>
                      <w:color w:val="000000" w:themeColor="text1"/>
                      <w:szCs w:val="21"/>
                      <w:vertAlign w:val="subscript"/>
                      <w:lang w:eastAsia="en-US" w:bidi="ar"/>
                      <w14:textFill>
                        <w14:solidFill>
                          <w14:schemeClr w14:val="tx1"/>
                        </w14:solidFill>
                      </w14:textFill>
                    </w:rPr>
                    <w:t>4</w:t>
                  </w:r>
                  <w:r>
                    <w:rPr>
                      <w:rFonts w:hint="eastAsia" w:cs="Times New Roman"/>
                      <w:color w:val="000000" w:themeColor="text1"/>
                      <w:szCs w:val="21"/>
                      <w:lang w:eastAsia="zh-CN" w:bidi="ar"/>
                      <w14:textFill>
                        <w14:solidFill>
                          <w14:schemeClr w14:val="tx1"/>
                        </w14:solidFill>
                      </w14:textFill>
                    </w:rPr>
                    <w:t>、C</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lang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6</w:t>
                  </w:r>
                  <w:r>
                    <w:rPr>
                      <w:rFonts w:hint="eastAsia" w:cs="Times New Roman"/>
                      <w:color w:val="000000" w:themeColor="text1"/>
                      <w:szCs w:val="21"/>
                      <w:lang w:eastAsia="zh-CN" w:bidi="ar"/>
                      <w14:textFill>
                        <w14:solidFill>
                          <w14:schemeClr w14:val="tx1"/>
                        </w14:solidFill>
                      </w14:textFill>
                    </w:rPr>
                    <w:t>、C</w:t>
                  </w:r>
                  <w:r>
                    <w:rPr>
                      <w:rFonts w:hint="eastAsia" w:cs="Times New Roman"/>
                      <w:color w:val="000000" w:themeColor="text1"/>
                      <w:szCs w:val="21"/>
                      <w:vertAlign w:val="subscript"/>
                      <w:lang w:val="en-US" w:eastAsia="zh-CN" w:bidi="ar"/>
                      <w14:textFill>
                        <w14:solidFill>
                          <w14:schemeClr w14:val="tx1"/>
                        </w14:solidFill>
                      </w14:textFill>
                    </w:rPr>
                    <w:t>3</w:t>
                  </w:r>
                  <w:r>
                    <w:rPr>
                      <w:rFonts w:hint="eastAsia" w:cs="Times New Roman"/>
                      <w:color w:val="000000" w:themeColor="text1"/>
                      <w:szCs w:val="21"/>
                      <w:lang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8</w:t>
                  </w:r>
                  <w:r>
                    <w:rPr>
                      <w:rFonts w:hint="eastAsia" w:cs="Times New Roman"/>
                      <w:color w:val="000000" w:themeColor="text1"/>
                      <w:szCs w:val="21"/>
                      <w:lang w:val="en-US" w:eastAsia="zh-CN" w:bidi="ar"/>
                      <w14:textFill>
                        <w14:solidFill>
                          <w14:schemeClr w14:val="tx1"/>
                        </w14:solidFill>
                      </w14:textFill>
                    </w:rPr>
                    <w:t>、</w:t>
                  </w:r>
                  <w:r>
                    <w:rPr>
                      <w:rFonts w:hint="eastAsia" w:cs="Times New Roman"/>
                      <w:color w:val="000000" w:themeColor="text1"/>
                      <w:szCs w:val="21"/>
                      <w:lang w:eastAsia="zh-CN" w:bidi="ar"/>
                      <w14:textFill>
                        <w14:solidFill>
                          <w14:schemeClr w14:val="tx1"/>
                        </w14:solidFill>
                      </w14:textFill>
                    </w:rPr>
                    <w:t>C</w:t>
                  </w:r>
                  <w:r>
                    <w:rPr>
                      <w:rFonts w:hint="eastAsia" w:cs="Times New Roman"/>
                      <w:color w:val="000000" w:themeColor="text1"/>
                      <w:szCs w:val="21"/>
                      <w:vertAlign w:val="subscript"/>
                      <w:lang w:val="en-US" w:eastAsia="zh-CN" w:bidi="ar"/>
                      <w14:textFill>
                        <w14:solidFill>
                          <w14:schemeClr w14:val="tx1"/>
                        </w14:solidFill>
                      </w14:textFill>
                    </w:rPr>
                    <w:t>4</w:t>
                  </w:r>
                  <w:r>
                    <w:rPr>
                      <w:rFonts w:hint="eastAsia" w:cs="Times New Roman"/>
                      <w:color w:val="000000" w:themeColor="text1"/>
                      <w:szCs w:val="21"/>
                      <w:lang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10</w:t>
                  </w:r>
                  <w:r>
                    <w:rPr>
                      <w:rFonts w:hint="eastAsia" w:cs="Times New Roman"/>
                      <w:color w:val="000000" w:themeColor="text1"/>
                      <w:szCs w:val="21"/>
                      <w:vertAlign w:val="baseline"/>
                      <w:lang w:val="en-US" w:eastAsia="zh-CN" w:bidi="ar"/>
                      <w14:textFill>
                        <w14:solidFill>
                          <w14:schemeClr w14:val="tx1"/>
                        </w14:solidFill>
                      </w14:textFill>
                    </w:rPr>
                    <w:t>等</w:t>
                  </w:r>
                </w:p>
              </w:tc>
              <w:tc>
                <w:tcPr>
                  <w:tcW w:w="1889" w:type="dxa"/>
                  <w:vAlign w:val="center"/>
                </w:tcPr>
                <w:p w14:paraId="7603E369">
                  <w:pPr>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2569.2Nm</w:t>
                  </w:r>
                  <w:r>
                    <w:rPr>
                      <w:rFonts w:hint="default" w:ascii="Times New Roman" w:hAnsi="Times New Roman" w:eastAsia="宋体" w:cs="Times New Roman"/>
                      <w:color w:val="000000" w:themeColor="text1"/>
                      <w:szCs w:val="21"/>
                      <w:vertAlign w:val="superscript"/>
                      <w:lang w:eastAsia="en-US" w:bidi="ar"/>
                      <w14:textFill>
                        <w14:solidFill>
                          <w14:schemeClr w14:val="tx1"/>
                        </w14:solidFill>
                      </w14:textFill>
                    </w:rPr>
                    <w:t>3</w:t>
                  </w:r>
                  <w:r>
                    <w:rPr>
                      <w:rFonts w:hint="default" w:ascii="Times New Roman" w:hAnsi="Times New Roman" w:eastAsia="宋体" w:cs="Times New Roman"/>
                      <w:color w:val="000000" w:themeColor="text1"/>
                      <w:szCs w:val="21"/>
                      <w:lang w:eastAsia="en-US" w:bidi="ar"/>
                      <w14:textFill>
                        <w14:solidFill>
                          <w14:schemeClr w14:val="tx1"/>
                        </w14:solidFill>
                      </w14:textFill>
                    </w:rPr>
                    <w:t>/h</w:t>
                  </w:r>
                </w:p>
              </w:tc>
            </w:tr>
            <w:tr w14:paraId="24CB6A6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806" w:type="dxa"/>
                  <w:tcBorders>
                    <w:bottom w:val="single" w:color="auto" w:sz="4" w:space="0"/>
                  </w:tcBorders>
                  <w:vAlign w:val="center"/>
                </w:tcPr>
                <w:p w14:paraId="31BE23AB">
                  <w:pPr>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2</w:t>
                  </w:r>
                </w:p>
              </w:tc>
              <w:tc>
                <w:tcPr>
                  <w:tcW w:w="2963" w:type="dxa"/>
                  <w:vAlign w:val="center"/>
                </w:tcPr>
                <w:p w14:paraId="1A5201C8">
                  <w:pPr>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H</w:t>
                  </w:r>
                  <w:r>
                    <w:rPr>
                      <w:rFonts w:hint="default" w:ascii="Times New Roman" w:hAnsi="Times New Roman" w:eastAsia="宋体" w:cs="Times New Roman"/>
                      <w:color w:val="000000" w:themeColor="text1"/>
                      <w:szCs w:val="21"/>
                      <w:vertAlign w:val="subscript"/>
                      <w:lang w:eastAsia="zh-CN" w:bidi="ar"/>
                      <w14:textFill>
                        <w14:solidFill>
                          <w14:schemeClr w14:val="tx1"/>
                        </w14:solidFill>
                      </w14:textFill>
                    </w:rPr>
                    <w:t>2</w:t>
                  </w:r>
                  <w:r>
                    <w:rPr>
                      <w:rFonts w:hint="default" w:ascii="Times New Roman" w:hAnsi="Times New Roman" w:eastAsia="宋体" w:cs="Times New Roman"/>
                      <w:color w:val="000000" w:themeColor="text1"/>
                      <w:szCs w:val="21"/>
                      <w:lang w:eastAsia="zh-CN" w:bidi="ar"/>
                      <w14:textFill>
                        <w14:solidFill>
                          <w14:schemeClr w14:val="tx1"/>
                        </w14:solidFill>
                      </w14:textFill>
                    </w:rPr>
                    <w:t>/CO分离装置深冷分离富氮气/甲烷气</w:t>
                  </w:r>
                  <w:r>
                    <w:rPr>
                      <w:rFonts w:hint="eastAsia" w:cs="Times New Roman"/>
                      <w:color w:val="000000" w:themeColor="text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zCs w:val="21"/>
                      <w:lang w:eastAsia="zh-CN" w:bidi="ar"/>
                      <w14:textFill>
                        <w14:solidFill>
                          <w14:schemeClr w14:val="tx1"/>
                        </w14:solidFill>
                      </w14:textFill>
                    </w:rPr>
                    <w:t>氢气</w:t>
                  </w:r>
                </w:p>
              </w:tc>
              <w:tc>
                <w:tcPr>
                  <w:tcW w:w="2724" w:type="dxa"/>
                  <w:vAlign w:val="center"/>
                </w:tcPr>
                <w:p w14:paraId="6324C6FE">
                  <w:pPr>
                    <w:jc w:val="center"/>
                    <w:rPr>
                      <w:rFonts w:hint="default" w:ascii="Times New Roman" w:hAnsi="Times New Roman" w:eastAsia="宋体" w:cs="Times New Roman"/>
                      <w:color w:val="000000" w:themeColor="text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CH</w:t>
                  </w:r>
                  <w:r>
                    <w:rPr>
                      <w:rFonts w:hint="default" w:ascii="Times New Roman" w:hAnsi="Times New Roman" w:eastAsia="宋体" w:cs="Times New Roman"/>
                      <w:color w:val="000000" w:themeColor="text1"/>
                      <w:szCs w:val="21"/>
                      <w:vertAlign w:val="subscript"/>
                      <w:lang w:eastAsia="en-US" w:bidi="ar"/>
                      <w14:textFill>
                        <w14:solidFill>
                          <w14:schemeClr w14:val="tx1"/>
                        </w14:solidFill>
                      </w14:textFill>
                    </w:rPr>
                    <w:t>4</w:t>
                  </w:r>
                  <w:r>
                    <w:rPr>
                      <w:rFonts w:hint="default" w:ascii="Times New Roman" w:hAnsi="Times New Roman" w:eastAsia="宋体" w:cs="Times New Roman"/>
                      <w:color w:val="000000" w:themeColor="text1"/>
                      <w:szCs w:val="21"/>
                      <w:lang w:eastAsia="en-US"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N</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vertAlign w:val="baseline"/>
                      <w:lang w:val="en-US"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2</w:t>
                  </w:r>
                </w:p>
              </w:tc>
              <w:tc>
                <w:tcPr>
                  <w:tcW w:w="1889" w:type="dxa"/>
                  <w:vAlign w:val="center"/>
                </w:tcPr>
                <w:p w14:paraId="6204D08A">
                  <w:pPr>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7669.2Nm</w:t>
                  </w:r>
                  <w:r>
                    <w:rPr>
                      <w:rFonts w:hint="default" w:ascii="Times New Roman" w:hAnsi="Times New Roman" w:eastAsia="宋体" w:cs="Times New Roman"/>
                      <w:color w:val="000000" w:themeColor="text1"/>
                      <w:szCs w:val="21"/>
                      <w:vertAlign w:val="superscript"/>
                      <w:lang w:eastAsia="en-US" w:bidi="ar"/>
                      <w14:textFill>
                        <w14:solidFill>
                          <w14:schemeClr w14:val="tx1"/>
                        </w14:solidFill>
                      </w14:textFill>
                    </w:rPr>
                    <w:t>3</w:t>
                  </w:r>
                  <w:r>
                    <w:rPr>
                      <w:rFonts w:hint="default" w:ascii="Times New Roman" w:hAnsi="Times New Roman" w:eastAsia="宋体" w:cs="Times New Roman"/>
                      <w:color w:val="000000" w:themeColor="text1"/>
                      <w:szCs w:val="21"/>
                      <w:lang w:eastAsia="en-US" w:bidi="ar"/>
                      <w14:textFill>
                        <w14:solidFill>
                          <w14:schemeClr w14:val="tx1"/>
                        </w14:solidFill>
                      </w14:textFill>
                    </w:rPr>
                    <w:t>/h</w:t>
                  </w:r>
                </w:p>
              </w:tc>
            </w:tr>
            <w:tr w14:paraId="222ACC6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6" w:hRule="atLeast"/>
                <w:jc w:val="center"/>
              </w:trPr>
              <w:tc>
                <w:tcPr>
                  <w:tcW w:w="806" w:type="dxa"/>
                  <w:tcBorders>
                    <w:top w:val="single" w:color="auto" w:sz="4" w:space="0"/>
                  </w:tcBorders>
                  <w:vAlign w:val="center"/>
                </w:tcPr>
                <w:p w14:paraId="09067FCE">
                  <w:pPr>
                    <w:jc w:val="cente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cs="Times New Roman"/>
                      <w:b/>
                      <w:bCs/>
                      <w:color w:val="000000" w:themeColor="text1"/>
                      <w:szCs w:val="21"/>
                      <w:lang w:val="en-US" w:eastAsia="zh-CN" w:bidi="ar"/>
                      <w14:textFill>
                        <w14:solidFill>
                          <w14:schemeClr w14:val="tx1"/>
                        </w14:solidFill>
                      </w14:textFill>
                    </w:rPr>
                    <w:t>3</w:t>
                  </w:r>
                </w:p>
              </w:tc>
              <w:tc>
                <w:tcPr>
                  <w:tcW w:w="2963" w:type="dxa"/>
                  <w:tcBorders>
                    <w:top w:val="single" w:color="auto" w:sz="4" w:space="0"/>
                  </w:tcBorders>
                  <w:vAlign w:val="center"/>
                </w:tcPr>
                <w:p w14:paraId="66160E59">
                  <w:pPr>
                    <w:jc w:val="cente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1"/>
                      <w:lang w:val="en-US" w:eastAsia="zh-CN" w:bidi="ar"/>
                      <w14:textFill>
                        <w14:solidFill>
                          <w14:schemeClr w14:val="tx1"/>
                        </w14:solidFill>
                      </w14:textFill>
                    </w:rPr>
                    <w:t>脱轻塔分离废气</w:t>
                  </w:r>
                  <w:r>
                    <w:rPr>
                      <w:rFonts w:hint="eastAsia" w:cs="Times New Roman"/>
                      <w:b/>
                      <w:bCs/>
                      <w:color w:val="000000" w:themeColor="text1"/>
                      <w:szCs w:val="21"/>
                      <w:lang w:val="en-US" w:eastAsia="zh-CN" w:bidi="ar"/>
                      <w14:textFill>
                        <w14:solidFill>
                          <w14:schemeClr w14:val="tx1"/>
                        </w14:solidFill>
                      </w14:textFill>
                    </w:rPr>
                    <w:t>（本项目）</w:t>
                  </w:r>
                </w:p>
              </w:tc>
              <w:tc>
                <w:tcPr>
                  <w:tcW w:w="2724" w:type="dxa"/>
                  <w:tcBorders>
                    <w:top w:val="single" w:color="auto" w:sz="4" w:space="0"/>
                  </w:tcBorders>
                  <w:vAlign w:val="center"/>
                </w:tcPr>
                <w:p w14:paraId="1B7495BE">
                  <w:pPr>
                    <w:jc w:val="center"/>
                    <w:rPr>
                      <w:rFonts w:hint="default" w:ascii="Times New Roman" w:hAnsi="Times New Roman" w:eastAsia="宋体" w:cs="Times New Roman"/>
                      <w:b/>
                      <w:bCs/>
                      <w:color w:val="000000" w:themeColor="text1"/>
                      <w:szCs w:val="21"/>
                      <w:lang w:eastAsia="en-US" w:bidi="ar"/>
                      <w14:textFill>
                        <w14:solidFill>
                          <w14:schemeClr w14:val="tx1"/>
                        </w14:solidFill>
                      </w14:textFill>
                    </w:rPr>
                  </w:pPr>
                  <w:r>
                    <w:rPr>
                      <w:rFonts w:hint="default" w:ascii="Times New Roman" w:hAnsi="Times New Roman" w:eastAsia="宋体" w:cs="Times New Roman"/>
                      <w:b/>
                      <w:bCs/>
                      <w:color w:val="000000" w:themeColor="text1"/>
                      <w:szCs w:val="21"/>
                      <w:lang w:eastAsia="en-US" w:bidi="ar"/>
                      <w14:textFill>
                        <w14:solidFill>
                          <w14:schemeClr w14:val="tx1"/>
                        </w14:solidFill>
                      </w14:textFill>
                    </w:rPr>
                    <w:t>CO</w:t>
                  </w:r>
                  <w:r>
                    <w:rPr>
                      <w:rFonts w:hint="default" w:ascii="Times New Roman" w:hAnsi="Times New Roman" w:eastAsia="宋体" w:cs="Times New Roman"/>
                      <w:b/>
                      <w:bCs/>
                      <w:color w:val="000000" w:themeColor="text1"/>
                      <w:szCs w:val="21"/>
                      <w:vertAlign w:val="subscript"/>
                      <w:lang w:eastAsia="en-US" w:bidi="ar"/>
                      <w14:textFill>
                        <w14:solidFill>
                          <w14:schemeClr w14:val="tx1"/>
                        </w14:solidFill>
                      </w14:textFill>
                    </w:rPr>
                    <w:t>2</w:t>
                  </w:r>
                  <w:r>
                    <w:rPr>
                      <w:rFonts w:hint="default" w:ascii="Times New Roman" w:hAnsi="Times New Roman" w:eastAsia="宋体" w:cs="Times New Roman"/>
                      <w:b/>
                      <w:bCs/>
                      <w:color w:val="000000" w:themeColor="text1"/>
                      <w:szCs w:val="21"/>
                      <w:lang w:eastAsia="en-US" w:bidi="ar"/>
                      <w14:textFill>
                        <w14:solidFill>
                          <w14:schemeClr w14:val="tx1"/>
                        </w14:solidFill>
                      </w14:textFill>
                    </w:rPr>
                    <w:t>、H</w:t>
                  </w:r>
                  <w:r>
                    <w:rPr>
                      <w:rFonts w:hint="default" w:ascii="Times New Roman" w:hAnsi="Times New Roman" w:eastAsia="宋体" w:cs="Times New Roman"/>
                      <w:b/>
                      <w:bCs/>
                      <w:color w:val="000000" w:themeColor="text1"/>
                      <w:szCs w:val="21"/>
                      <w:vertAlign w:val="subscript"/>
                      <w:lang w:eastAsia="en-US" w:bidi="ar"/>
                      <w14:textFill>
                        <w14:solidFill>
                          <w14:schemeClr w14:val="tx1"/>
                        </w14:solidFill>
                      </w14:textFill>
                    </w:rPr>
                    <w:t>2</w:t>
                  </w:r>
                  <w:r>
                    <w:rPr>
                      <w:rFonts w:hint="default" w:ascii="Times New Roman" w:hAnsi="Times New Roman" w:eastAsia="宋体" w:cs="Times New Roman"/>
                      <w:b/>
                      <w:bCs/>
                      <w:color w:val="000000" w:themeColor="text1"/>
                      <w:szCs w:val="21"/>
                      <w:lang w:eastAsia="en-US" w:bidi="ar"/>
                      <w14:textFill>
                        <w14:solidFill>
                          <w14:schemeClr w14:val="tx1"/>
                        </w14:solidFill>
                      </w14:textFill>
                    </w:rPr>
                    <w:t>、N</w:t>
                  </w:r>
                  <w:r>
                    <w:rPr>
                      <w:rFonts w:hint="default" w:ascii="Times New Roman" w:hAnsi="Times New Roman" w:eastAsia="宋体" w:cs="Times New Roman"/>
                      <w:b/>
                      <w:bCs/>
                      <w:color w:val="000000" w:themeColor="text1"/>
                      <w:szCs w:val="21"/>
                      <w:vertAlign w:val="subscript"/>
                      <w:lang w:eastAsia="en-US" w:bidi="ar"/>
                      <w14:textFill>
                        <w14:solidFill>
                          <w14:schemeClr w14:val="tx1"/>
                        </w14:solidFill>
                      </w14:textFill>
                    </w:rPr>
                    <w:t>2</w:t>
                  </w:r>
                  <w:r>
                    <w:rPr>
                      <w:rFonts w:hint="default" w:ascii="Times New Roman" w:hAnsi="Times New Roman" w:eastAsia="宋体" w:cs="Times New Roman"/>
                      <w:b/>
                      <w:bCs/>
                      <w:color w:val="000000" w:themeColor="text1"/>
                      <w:szCs w:val="21"/>
                      <w:lang w:eastAsia="en-US" w:bidi="ar"/>
                      <w14:textFill>
                        <w14:solidFill>
                          <w14:schemeClr w14:val="tx1"/>
                        </w14:solidFill>
                      </w14:textFill>
                    </w:rPr>
                    <w:t>、CO、CH</w:t>
                  </w:r>
                  <w:r>
                    <w:rPr>
                      <w:rFonts w:hint="default" w:ascii="Times New Roman" w:hAnsi="Times New Roman" w:eastAsia="宋体" w:cs="Times New Roman"/>
                      <w:b/>
                      <w:bCs/>
                      <w:color w:val="000000" w:themeColor="text1"/>
                      <w:szCs w:val="21"/>
                      <w:vertAlign w:val="subscript"/>
                      <w:lang w:eastAsia="en-US" w:bidi="ar"/>
                      <w14:textFill>
                        <w14:solidFill>
                          <w14:schemeClr w14:val="tx1"/>
                        </w14:solidFill>
                      </w14:textFill>
                    </w:rPr>
                    <w:t>4</w:t>
                  </w:r>
                </w:p>
              </w:tc>
              <w:tc>
                <w:tcPr>
                  <w:tcW w:w="1889" w:type="dxa"/>
                  <w:tcBorders>
                    <w:top w:val="single" w:color="auto" w:sz="4" w:space="0"/>
                  </w:tcBorders>
                  <w:vAlign w:val="center"/>
                </w:tcPr>
                <w:p w14:paraId="02BBF726">
                  <w:pPr>
                    <w:jc w:val="center"/>
                    <w:rPr>
                      <w:rFonts w:hint="default" w:ascii="Times New Roman" w:hAnsi="Times New Roman" w:eastAsia="宋体" w:cs="Times New Roman"/>
                      <w:b/>
                      <w:bCs/>
                      <w:color w:val="000000" w:themeColor="text1"/>
                      <w:szCs w:val="21"/>
                      <w:lang w:val="en-US" w:eastAsia="zh-CN" w:bidi="ar"/>
                      <w14:textFill>
                        <w14:solidFill>
                          <w14:schemeClr w14:val="tx1"/>
                        </w14:solidFill>
                      </w14:textFill>
                    </w:rPr>
                  </w:pPr>
                  <w:r>
                    <w:rPr>
                      <w:rFonts w:hint="eastAsia" w:cs="Times New Roman"/>
                      <w:b/>
                      <w:bCs/>
                      <w:color w:val="000000" w:themeColor="text1"/>
                      <w:szCs w:val="21"/>
                      <w:lang w:val="en-US" w:eastAsia="zh-CN" w:bidi="ar"/>
                      <w14:textFill>
                        <w14:solidFill>
                          <w14:schemeClr w14:val="tx1"/>
                        </w14:solidFill>
                      </w14:textFill>
                    </w:rPr>
                    <w:t>109</w:t>
                  </w:r>
                  <w:r>
                    <w:rPr>
                      <w:rFonts w:hint="default" w:ascii="Times New Roman" w:hAnsi="Times New Roman" w:eastAsia="宋体" w:cs="Times New Roman"/>
                      <w:b/>
                      <w:bCs/>
                      <w:color w:val="000000" w:themeColor="text1"/>
                      <w:szCs w:val="21"/>
                      <w:lang w:eastAsia="en-US" w:bidi="ar"/>
                      <w14:textFill>
                        <w14:solidFill>
                          <w14:schemeClr w14:val="tx1"/>
                        </w14:solidFill>
                      </w14:textFill>
                    </w:rPr>
                    <w:t>Nm</w:t>
                  </w:r>
                  <w:r>
                    <w:rPr>
                      <w:rFonts w:hint="default" w:ascii="Times New Roman" w:hAnsi="Times New Roman" w:eastAsia="宋体" w:cs="Times New Roman"/>
                      <w:b/>
                      <w:bCs/>
                      <w:color w:val="000000" w:themeColor="text1"/>
                      <w:szCs w:val="21"/>
                      <w:vertAlign w:val="superscript"/>
                      <w:lang w:eastAsia="en-US" w:bidi="ar"/>
                      <w14:textFill>
                        <w14:solidFill>
                          <w14:schemeClr w14:val="tx1"/>
                        </w14:solidFill>
                      </w14:textFill>
                    </w:rPr>
                    <w:t>3</w:t>
                  </w:r>
                  <w:r>
                    <w:rPr>
                      <w:rFonts w:hint="default" w:ascii="Times New Roman" w:hAnsi="Times New Roman" w:eastAsia="宋体" w:cs="Times New Roman"/>
                      <w:b/>
                      <w:bCs/>
                      <w:color w:val="000000" w:themeColor="text1"/>
                      <w:szCs w:val="21"/>
                      <w:lang w:eastAsia="en-US" w:bidi="ar"/>
                      <w14:textFill>
                        <w14:solidFill>
                          <w14:schemeClr w14:val="tx1"/>
                        </w14:solidFill>
                      </w14:textFill>
                    </w:rPr>
                    <w:t>/h</w:t>
                  </w:r>
                </w:p>
              </w:tc>
            </w:tr>
          </w:tbl>
          <w:p w14:paraId="4EFFC6B3">
            <w:pPr>
              <w:ind w:firstLine="482" w:firstLineChars="200"/>
              <w:jc w:val="both"/>
              <w:rPr>
                <w:rFonts w:hint="eastAsia" w:cs="Times New Roman"/>
                <w:b/>
                <w:bCs/>
                <w:color w:val="000000" w:themeColor="text1"/>
                <w:sz w:val="24"/>
                <w:lang w:val="en-US" w:eastAsia="zh-CN"/>
                <w14:textFill>
                  <w14:solidFill>
                    <w14:schemeClr w14:val="tx1"/>
                  </w14:solidFill>
                </w14:textFill>
              </w:rPr>
            </w:pPr>
          </w:p>
          <w:p w14:paraId="14665BCE">
            <w:pPr>
              <w:spacing w:line="360" w:lineRule="auto"/>
              <w:ind w:firstLine="480" w:firstLineChars="200"/>
              <w:jc w:val="both"/>
              <w:rPr>
                <w:rFonts w:hint="eastAsia"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从上表可看出，进入</w:t>
            </w:r>
            <w:r>
              <w:rPr>
                <w:rFonts w:hint="eastAsia" w:ascii="Times New Roman" w:hAnsi="Times New Roman" w:cs="Times New Roman"/>
                <w:color w:val="000000" w:themeColor="text1"/>
                <w:sz w:val="24"/>
                <w:szCs w:val="24"/>
                <w:lang w:val="en-US" w:eastAsia="zh-CN"/>
                <w14:textFill>
                  <w14:solidFill>
                    <w14:schemeClr w14:val="tx1"/>
                  </w14:solidFill>
                </w14:textFill>
              </w:rPr>
              <w:t>加热炉</w:t>
            </w:r>
            <w:r>
              <w:rPr>
                <w:rFonts w:hint="default" w:ascii="Times New Roman" w:hAnsi="Times New Roman" w:eastAsia="宋体" w:cs="Times New Roman"/>
                <w:color w:val="000000" w:themeColor="text1"/>
                <w:sz w:val="24"/>
                <w:szCs w:val="24"/>
                <w14:textFill>
                  <w14:solidFill>
                    <w14:schemeClr w14:val="tx1"/>
                  </w14:solidFill>
                </w14:textFill>
              </w:rPr>
              <w:t>的</w:t>
            </w:r>
            <w:r>
              <w:rPr>
                <w:rFonts w:hint="eastAsia" w:ascii="Times New Roman" w:hAnsi="Times New Roman" w:cs="Times New Roman"/>
                <w:color w:val="000000" w:themeColor="text1"/>
                <w:sz w:val="24"/>
                <w:szCs w:val="24"/>
                <w:lang w:val="en-US" w:eastAsia="zh-CN"/>
                <w14:textFill>
                  <w14:solidFill>
                    <w14:schemeClr w14:val="tx1"/>
                  </w14:solidFill>
                </w14:textFill>
              </w:rPr>
              <w:t>燃料</w:t>
            </w:r>
            <w:r>
              <w:rPr>
                <w:rFonts w:hint="default" w:ascii="Times New Roman" w:hAnsi="Times New Roman" w:eastAsia="宋体" w:cs="Times New Roman"/>
                <w:color w:val="000000" w:themeColor="text1"/>
                <w:sz w:val="24"/>
                <w:szCs w:val="24"/>
                <w14:textFill>
                  <w14:solidFill>
                    <w14:schemeClr w14:val="tx1"/>
                  </w14:solidFill>
                </w14:textFill>
              </w:rPr>
              <w:t>种类以C、H、O、N构成的常见废气种类为主，</w:t>
            </w:r>
            <w:r>
              <w:rPr>
                <w:rFonts w:hint="default" w:ascii="Times New Roman" w:hAnsi="Times New Roman" w:eastAsia="宋体" w:cs="Times New Roman"/>
                <w:b/>
                <w:bCs/>
                <w:color w:val="000000" w:themeColor="text1"/>
                <w:sz w:val="24"/>
                <w:szCs w:val="24"/>
                <w14:textFill>
                  <w14:solidFill>
                    <w14:schemeClr w14:val="tx1"/>
                  </w14:solidFill>
                </w14:textFill>
              </w:rPr>
              <w:t>不存在与本项目不相容的</w:t>
            </w:r>
            <w:r>
              <w:rPr>
                <w:rFonts w:hint="eastAsia" w:ascii="Times New Roman" w:hAnsi="Times New Roman" w:cs="Times New Roman"/>
                <w:b/>
                <w:bCs/>
                <w:color w:val="000000" w:themeColor="text1"/>
                <w:sz w:val="24"/>
                <w:szCs w:val="24"/>
                <w:lang w:val="en-US" w:eastAsia="zh-CN"/>
                <w14:textFill>
                  <w14:solidFill>
                    <w14:schemeClr w14:val="tx1"/>
                  </w14:solidFill>
                </w14:textFill>
              </w:rPr>
              <w:t>燃料</w:t>
            </w:r>
            <w:r>
              <w:rPr>
                <w:rFonts w:hint="default" w:ascii="Times New Roman" w:hAnsi="Times New Roman" w:eastAsia="宋体" w:cs="Times New Roman"/>
                <w:b/>
                <w:bCs/>
                <w:color w:val="000000" w:themeColor="text1"/>
                <w:sz w:val="24"/>
                <w:szCs w:val="24"/>
                <w14:textFill>
                  <w14:solidFill>
                    <w14:schemeClr w14:val="tx1"/>
                  </w14:solidFill>
                </w14:textFill>
              </w:rPr>
              <w:t>种类，本项目废气进入</w:t>
            </w:r>
            <w:r>
              <w:rPr>
                <w:rFonts w:hint="eastAsia" w:ascii="Times New Roman" w:hAnsi="Times New Roman" w:cs="Times New Roman"/>
                <w:b/>
                <w:bCs/>
                <w:color w:val="000000" w:themeColor="text1"/>
                <w:sz w:val="24"/>
                <w:szCs w:val="24"/>
                <w:lang w:val="en-US" w:eastAsia="zh-CN"/>
                <w14:textFill>
                  <w14:solidFill>
                    <w14:schemeClr w14:val="tx1"/>
                  </w14:solidFill>
                </w14:textFill>
              </w:rPr>
              <w:t>天然气加热炉</w:t>
            </w:r>
            <w:r>
              <w:rPr>
                <w:rFonts w:hint="default" w:ascii="Times New Roman" w:hAnsi="Times New Roman" w:eastAsia="宋体" w:cs="Times New Roman"/>
                <w:b/>
                <w:bCs/>
                <w:color w:val="000000" w:themeColor="text1"/>
                <w:sz w:val="24"/>
                <w:szCs w:val="24"/>
                <w14:textFill>
                  <w14:solidFill>
                    <w14:schemeClr w14:val="tx1"/>
                  </w14:solidFill>
                </w14:textFill>
              </w:rPr>
              <w:t>不会造成炉体腐蚀等负面作用</w:t>
            </w:r>
            <w:r>
              <w:rPr>
                <w:rFonts w:hint="default" w:ascii="Times New Roman" w:hAnsi="Times New Roman" w:eastAsia="宋体" w:cs="Times New Roman"/>
                <w:color w:val="000000" w:themeColor="text1"/>
                <w:sz w:val="24"/>
                <w:szCs w:val="24"/>
                <w14:textFill>
                  <w14:solidFill>
                    <w14:schemeClr w14:val="tx1"/>
                  </w14:solidFill>
                </w14:textFill>
              </w:rPr>
              <w:t>，不会对</w:t>
            </w:r>
            <w:r>
              <w:rPr>
                <w:rFonts w:hint="eastAsia" w:ascii="Times New Roman" w:hAnsi="Times New Roman" w:cs="Times New Roman"/>
                <w:color w:val="000000" w:themeColor="text1"/>
                <w:sz w:val="24"/>
                <w:szCs w:val="24"/>
                <w:lang w:val="en-US" w:eastAsia="zh-CN"/>
                <w14:textFill>
                  <w14:solidFill>
                    <w14:schemeClr w14:val="tx1"/>
                  </w14:solidFill>
                </w14:textFill>
              </w:rPr>
              <w:t>加热</w:t>
            </w:r>
            <w:r>
              <w:rPr>
                <w:rFonts w:hint="default" w:ascii="Times New Roman" w:hAnsi="Times New Roman" w:eastAsia="宋体" w:cs="Times New Roman"/>
                <w:color w:val="000000" w:themeColor="text1"/>
                <w:sz w:val="24"/>
                <w:szCs w:val="24"/>
                <w14:textFill>
                  <w14:solidFill>
                    <w14:schemeClr w14:val="tx1"/>
                  </w14:solidFill>
                </w14:textFill>
              </w:rPr>
              <w:t>炉</w:t>
            </w:r>
            <w:r>
              <w:rPr>
                <w:rFonts w:hint="eastAsia" w:ascii="Times New Roman" w:hAnsi="Times New Roman" w:cs="Times New Roman"/>
                <w:color w:val="000000" w:themeColor="text1"/>
                <w:sz w:val="24"/>
                <w:szCs w:val="24"/>
                <w:lang w:val="en-US" w:eastAsia="zh-CN"/>
                <w14:textFill>
                  <w14:solidFill>
                    <w14:schemeClr w14:val="tx1"/>
                  </w14:solidFill>
                </w14:textFill>
              </w:rPr>
              <w:t>稳定运行</w:t>
            </w:r>
            <w:r>
              <w:rPr>
                <w:rFonts w:hint="default" w:ascii="Times New Roman" w:hAnsi="Times New Roman" w:eastAsia="宋体" w:cs="Times New Roman"/>
                <w:color w:val="000000" w:themeColor="text1"/>
                <w:sz w:val="24"/>
                <w:szCs w:val="24"/>
                <w14:textFill>
                  <w14:solidFill>
                    <w14:schemeClr w14:val="tx1"/>
                  </w14:solidFill>
                </w14:textFill>
              </w:rPr>
              <w:t>产生影响。</w:t>
            </w:r>
          </w:p>
          <w:p w14:paraId="3F357BEF">
            <w:pPr>
              <w:spacing w:line="360" w:lineRule="auto"/>
              <w:ind w:firstLine="480" w:firstLineChars="200"/>
              <w:jc w:val="both"/>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本次项目脱轻塔废气依托加热炉处理前后污染物排放情况见下表：</w:t>
            </w:r>
          </w:p>
          <w:p w14:paraId="21482274">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eastAsia" w:cs="Times New Roman"/>
                <w:b/>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 xml:space="preserve"> </w:t>
            </w:r>
            <w:r>
              <w:rPr>
                <w:rFonts w:hint="eastAsia" w:cs="Times New Roman"/>
                <w:b/>
                <w:bCs/>
                <w:color w:val="000000" w:themeColor="text1"/>
                <w:szCs w:val="21"/>
                <w:lang w:val="en-US" w:eastAsia="zh-CN"/>
                <w14:textFill>
                  <w14:solidFill>
                    <w14:schemeClr w14:val="tx1"/>
                  </w14:solidFill>
                </w14:textFill>
              </w:rPr>
              <w:t xml:space="preserve"> 加热炉污染物依托前后排放情况</w:t>
            </w:r>
            <w:r>
              <w:rPr>
                <w:rFonts w:hint="default" w:ascii="Times New Roman" w:hAnsi="Times New Roman" w:eastAsia="宋体" w:cs="Times New Roman"/>
                <w:b/>
                <w:bCs/>
                <w:color w:val="000000" w:themeColor="text1"/>
                <w:szCs w:val="21"/>
                <w14:textFill>
                  <w14:solidFill>
                    <w14:schemeClr w14:val="tx1"/>
                  </w14:solidFill>
                </w14:textFill>
              </w:rPr>
              <w:t>一览表</w:t>
            </w:r>
          </w:p>
          <w:tbl>
            <w:tblPr>
              <w:tblStyle w:val="474"/>
              <w:tblW w:w="8382"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806"/>
              <w:gridCol w:w="2536"/>
              <w:gridCol w:w="2550"/>
              <w:gridCol w:w="2490"/>
            </w:tblGrid>
            <w:tr w14:paraId="3FF88F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806" w:type="dxa"/>
                  <w:tcBorders>
                    <w:bottom w:val="single" w:color="auto" w:sz="4" w:space="0"/>
                  </w:tcBorders>
                  <w:vAlign w:val="center"/>
                </w:tcPr>
                <w:p w14:paraId="4F47F30A">
                  <w:pPr>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序号</w:t>
                  </w:r>
                </w:p>
              </w:tc>
              <w:tc>
                <w:tcPr>
                  <w:tcW w:w="2536" w:type="dxa"/>
                  <w:tcBorders>
                    <w:bottom w:val="single" w:color="auto" w:sz="4" w:space="0"/>
                  </w:tcBorders>
                  <w:vAlign w:val="center"/>
                </w:tcPr>
                <w:p w14:paraId="63D4D3BF">
                  <w:pPr>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污染物名称</w:t>
                  </w:r>
                </w:p>
              </w:tc>
              <w:tc>
                <w:tcPr>
                  <w:tcW w:w="2550" w:type="dxa"/>
                  <w:tcBorders>
                    <w:bottom w:val="single" w:color="auto" w:sz="4" w:space="0"/>
                  </w:tcBorders>
                  <w:vAlign w:val="center"/>
                </w:tcPr>
                <w:p w14:paraId="4EA4D080">
                  <w:pPr>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依托前排放量t/a</w:t>
                  </w:r>
                </w:p>
              </w:tc>
              <w:tc>
                <w:tcPr>
                  <w:tcW w:w="2490" w:type="dxa"/>
                  <w:tcBorders>
                    <w:bottom w:val="single" w:color="auto" w:sz="4" w:space="0"/>
                  </w:tcBorders>
                  <w:vAlign w:val="center"/>
                </w:tcPr>
                <w:p w14:paraId="02116F0C">
                  <w:pPr>
                    <w:jc w:val="center"/>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依托后排放量t/a</w:t>
                  </w:r>
                </w:p>
              </w:tc>
            </w:tr>
            <w:tr w14:paraId="73A8E1C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6" w:type="dxa"/>
                  <w:vAlign w:val="center"/>
                </w:tcPr>
                <w:p w14:paraId="4471FD4A">
                  <w:pPr>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w:t>
                  </w:r>
                </w:p>
              </w:tc>
              <w:tc>
                <w:tcPr>
                  <w:tcW w:w="2536" w:type="dxa"/>
                  <w:vAlign w:val="center"/>
                </w:tcPr>
                <w:p w14:paraId="653A468F">
                  <w:pPr>
                    <w:widowControl/>
                    <w:spacing w:line="240" w:lineRule="exact"/>
                    <w:ind w:left="-105" w:leftChars="-50" w:right="-105" w:rightChars="-50"/>
                    <w:jc w:val="center"/>
                    <w:textAlignment w:val="center"/>
                    <w:rPr>
                      <w:rFonts w:hint="default" w:ascii="Times New Roman" w:hAnsi="Times New Roman" w:eastAsia="宋体" w:cs="Times New Roman"/>
                      <w:color w:val="000000" w:themeColor="text1"/>
                      <w:sz w:val="21"/>
                      <w:szCs w:val="21"/>
                      <w:lang w:eastAsia="en-US" w:bidi="ar"/>
                      <w14:textFill>
                        <w14:solidFill>
                          <w14:schemeClr w14:val="tx1"/>
                        </w14:solidFill>
                      </w14:textFill>
                    </w:rPr>
                  </w:pPr>
                  <w:r>
                    <w:rPr>
                      <w:color w:val="000000" w:themeColor="text1"/>
                      <w:kern w:val="0"/>
                      <w:sz w:val="21"/>
                      <w:szCs w:val="21"/>
                      <w:lang w:bidi="ar"/>
                      <w14:textFill>
                        <w14:solidFill>
                          <w14:schemeClr w14:val="tx1"/>
                        </w14:solidFill>
                      </w14:textFill>
                    </w:rPr>
                    <w:t>SO</w:t>
                  </w:r>
                  <w:r>
                    <w:rPr>
                      <w:color w:val="000000" w:themeColor="text1"/>
                      <w:kern w:val="0"/>
                      <w:sz w:val="21"/>
                      <w:szCs w:val="21"/>
                      <w:vertAlign w:val="subscript"/>
                      <w:lang w:bidi="ar"/>
                      <w14:textFill>
                        <w14:solidFill>
                          <w14:schemeClr w14:val="tx1"/>
                        </w14:solidFill>
                      </w14:textFill>
                    </w:rPr>
                    <w:t>2</w:t>
                  </w:r>
                </w:p>
              </w:tc>
              <w:tc>
                <w:tcPr>
                  <w:tcW w:w="2550" w:type="dxa"/>
                  <w:vAlign w:val="center"/>
                </w:tcPr>
                <w:p w14:paraId="0F68CD1C">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c>
                <w:tcPr>
                  <w:tcW w:w="2490" w:type="dxa"/>
                  <w:vAlign w:val="center"/>
                </w:tcPr>
                <w:p w14:paraId="23A670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r>
            <w:tr w14:paraId="4618842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6" w:type="dxa"/>
                  <w:tcBorders>
                    <w:bottom w:val="single" w:color="auto" w:sz="4" w:space="0"/>
                  </w:tcBorders>
                  <w:vAlign w:val="center"/>
                </w:tcPr>
                <w:p w14:paraId="34C5809D">
                  <w:pPr>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2</w:t>
                  </w:r>
                </w:p>
              </w:tc>
              <w:tc>
                <w:tcPr>
                  <w:tcW w:w="2536" w:type="dxa"/>
                  <w:vAlign w:val="center"/>
                </w:tcPr>
                <w:p w14:paraId="6ECEB32D">
                  <w:pPr>
                    <w:widowControl/>
                    <w:spacing w:line="240" w:lineRule="exact"/>
                    <w:ind w:left="-105" w:leftChars="-50" w:right="-105" w:rightChars="-50"/>
                    <w:jc w:val="center"/>
                    <w:textAlignment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color w:val="000000" w:themeColor="text1"/>
                      <w:kern w:val="0"/>
                      <w:sz w:val="21"/>
                      <w:szCs w:val="21"/>
                      <w:lang w:bidi="ar"/>
                      <w14:textFill>
                        <w14:solidFill>
                          <w14:schemeClr w14:val="tx1"/>
                        </w14:solidFill>
                      </w14:textFill>
                    </w:rPr>
                    <w:t>NO</w:t>
                  </w:r>
                  <w:r>
                    <w:rPr>
                      <w:color w:val="000000" w:themeColor="text1"/>
                      <w:kern w:val="0"/>
                      <w:sz w:val="21"/>
                      <w:szCs w:val="21"/>
                      <w:vertAlign w:val="subscript"/>
                      <w:lang w:bidi="ar"/>
                      <w14:textFill>
                        <w14:solidFill>
                          <w14:schemeClr w14:val="tx1"/>
                        </w14:solidFill>
                      </w14:textFill>
                    </w:rPr>
                    <w:t>X</w:t>
                  </w:r>
                </w:p>
              </w:tc>
              <w:tc>
                <w:tcPr>
                  <w:tcW w:w="2550" w:type="dxa"/>
                  <w:vAlign w:val="center"/>
                </w:tcPr>
                <w:p w14:paraId="540ACBC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30.65 </w:t>
                  </w:r>
                </w:p>
              </w:tc>
              <w:tc>
                <w:tcPr>
                  <w:tcW w:w="2490" w:type="dxa"/>
                  <w:vAlign w:val="center"/>
                </w:tcPr>
                <w:p w14:paraId="0C3A8E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30.65 </w:t>
                  </w:r>
                </w:p>
              </w:tc>
            </w:tr>
            <w:tr w14:paraId="1AE5146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6" w:hRule="atLeast"/>
                <w:jc w:val="center"/>
              </w:trPr>
              <w:tc>
                <w:tcPr>
                  <w:tcW w:w="806" w:type="dxa"/>
                  <w:tcBorders>
                    <w:top w:val="single" w:color="auto" w:sz="4" w:space="0"/>
                  </w:tcBorders>
                  <w:vAlign w:val="center"/>
                </w:tcPr>
                <w:p w14:paraId="3C0AA0F0">
                  <w:pPr>
                    <w:jc w:val="center"/>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rFonts w:hint="eastAsia" w:cs="Times New Roman"/>
                      <w:b w:val="0"/>
                      <w:bCs w:val="0"/>
                      <w:color w:val="000000" w:themeColor="text1"/>
                      <w:sz w:val="21"/>
                      <w:szCs w:val="21"/>
                      <w:lang w:val="en-US" w:eastAsia="zh-CN" w:bidi="ar"/>
                      <w14:textFill>
                        <w14:solidFill>
                          <w14:schemeClr w14:val="tx1"/>
                        </w14:solidFill>
                      </w14:textFill>
                    </w:rPr>
                    <w:t>3</w:t>
                  </w:r>
                </w:p>
              </w:tc>
              <w:tc>
                <w:tcPr>
                  <w:tcW w:w="2536" w:type="dxa"/>
                  <w:tcBorders>
                    <w:top w:val="single" w:color="auto" w:sz="4" w:space="0"/>
                  </w:tcBorders>
                  <w:vAlign w:val="center"/>
                </w:tcPr>
                <w:p w14:paraId="74DD7808">
                  <w:pPr>
                    <w:widowControl/>
                    <w:spacing w:line="240" w:lineRule="exact"/>
                    <w:ind w:left="-105" w:leftChars="-50" w:right="-105" w:rightChars="-50"/>
                    <w:jc w:val="center"/>
                    <w:textAlignment w:val="center"/>
                    <w:rPr>
                      <w:rFonts w:hint="eastAsia" w:ascii="Times New Roman" w:hAnsi="Times New Roman" w:eastAsia="宋体" w:cs="Times New Roman"/>
                      <w:b/>
                      <w:bCs/>
                      <w:color w:val="000000" w:themeColor="text1"/>
                      <w:sz w:val="21"/>
                      <w:szCs w:val="21"/>
                      <w:lang w:val="en-US" w:eastAsia="zh-CN" w:bidi="ar"/>
                      <w14:textFill>
                        <w14:solidFill>
                          <w14:schemeClr w14:val="tx1"/>
                        </w14:solidFill>
                      </w14:textFill>
                    </w:rPr>
                  </w:pPr>
                  <w:r>
                    <w:rPr>
                      <w:color w:val="000000" w:themeColor="text1"/>
                      <w:kern w:val="0"/>
                      <w:sz w:val="21"/>
                      <w:szCs w:val="21"/>
                      <w:lang w:bidi="ar"/>
                      <w14:textFill>
                        <w14:solidFill>
                          <w14:schemeClr w14:val="tx1"/>
                        </w14:solidFill>
                      </w14:textFill>
                    </w:rPr>
                    <w:t>颗粒物</w:t>
                  </w:r>
                </w:p>
              </w:tc>
              <w:tc>
                <w:tcPr>
                  <w:tcW w:w="2550" w:type="dxa"/>
                  <w:tcBorders>
                    <w:top w:val="single" w:color="auto" w:sz="4" w:space="0"/>
                  </w:tcBorders>
                  <w:vAlign w:val="center"/>
                </w:tcPr>
                <w:p w14:paraId="12287AC8">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lang w:eastAsia="en-US"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2490" w:type="dxa"/>
                  <w:tcBorders>
                    <w:top w:val="single" w:color="auto" w:sz="4" w:space="0"/>
                  </w:tcBorders>
                  <w:vAlign w:val="center"/>
                </w:tcPr>
                <w:p w14:paraId="70B051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7.94</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bl>
          <w:p w14:paraId="6E873524">
            <w:pPr>
              <w:spacing w:line="360" w:lineRule="auto"/>
              <w:jc w:val="both"/>
              <w:rPr>
                <w:rFonts w:hint="default" w:cs="Times New Roman"/>
                <w:b w:val="0"/>
                <w:bCs w:val="0"/>
                <w:color w:val="000000" w:themeColor="text1"/>
                <w:sz w:val="24"/>
                <w:lang w:val="en-US" w:eastAsia="zh-CN"/>
                <w14:textFill>
                  <w14:solidFill>
                    <w14:schemeClr w14:val="tx1"/>
                  </w14:solidFill>
                </w14:textFill>
              </w:rPr>
            </w:pPr>
          </w:p>
          <w:p w14:paraId="4EE1AA13">
            <w:pPr>
              <w:spacing w:line="360" w:lineRule="auto"/>
              <w:ind w:firstLine="480" w:firstLineChars="200"/>
              <w:jc w:val="both"/>
              <w:rPr>
                <w:rFonts w:hint="default"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本项目脱轻塔分离废气量为109Nm</w:t>
            </w:r>
            <w:r>
              <w:rPr>
                <w:rFonts w:hint="eastAsia" w:cs="Times New Roman"/>
                <w:b w:val="0"/>
                <w:bCs w:val="0"/>
                <w:color w:val="000000" w:themeColor="text1"/>
                <w:sz w:val="24"/>
                <w:vertAlign w:val="superscript"/>
                <w:lang w:val="en-US" w:eastAsia="zh-CN"/>
                <w14:textFill>
                  <w14:solidFill>
                    <w14:schemeClr w14:val="tx1"/>
                  </w14:solidFill>
                </w14:textFill>
              </w:rPr>
              <w:t>3</w:t>
            </w:r>
            <w:r>
              <w:rPr>
                <w:rFonts w:hint="eastAsia" w:cs="Times New Roman"/>
                <w:b w:val="0"/>
                <w:bCs w:val="0"/>
                <w:color w:val="000000" w:themeColor="text1"/>
                <w:sz w:val="24"/>
                <w:lang w:val="en-US" w:eastAsia="zh-CN"/>
                <w14:textFill>
                  <w14:solidFill>
                    <w14:schemeClr w14:val="tx1"/>
                  </w14:solidFill>
                </w14:textFill>
              </w:rPr>
              <w:t>/h，废气成分为</w:t>
            </w:r>
            <w:r>
              <w:rPr>
                <w:rFonts w:hint="default" w:cs="Times New Roman"/>
                <w:b w:val="0"/>
                <w:bCs w:val="0"/>
                <w:color w:val="000000" w:themeColor="text1"/>
                <w:sz w:val="24"/>
                <w:lang w:val="en-US" w:eastAsia="en-US"/>
                <w14:textFill>
                  <w14:solidFill>
                    <w14:schemeClr w14:val="tx1"/>
                  </w14:solidFill>
                </w14:textFill>
              </w:rPr>
              <w:t>CO</w:t>
            </w:r>
            <w:r>
              <w:rPr>
                <w:rFonts w:hint="default" w:cs="Times New Roman"/>
                <w:b w:val="0"/>
                <w:bCs w:val="0"/>
                <w:color w:val="000000" w:themeColor="text1"/>
                <w:sz w:val="24"/>
                <w:vertAlign w:val="subscript"/>
                <w:lang w:val="en-US" w:eastAsia="en-US"/>
                <w14:textFill>
                  <w14:solidFill>
                    <w14:schemeClr w14:val="tx1"/>
                  </w14:solidFill>
                </w14:textFill>
              </w:rPr>
              <w:t>2</w:t>
            </w:r>
            <w:r>
              <w:rPr>
                <w:rFonts w:hint="default" w:cs="Times New Roman"/>
                <w:b w:val="0"/>
                <w:bCs w:val="0"/>
                <w:color w:val="000000" w:themeColor="text1"/>
                <w:sz w:val="24"/>
                <w:lang w:val="en-US" w:eastAsia="en-US"/>
                <w14:textFill>
                  <w14:solidFill>
                    <w14:schemeClr w14:val="tx1"/>
                  </w14:solidFill>
                </w14:textFill>
              </w:rPr>
              <w:t>、H</w:t>
            </w:r>
            <w:r>
              <w:rPr>
                <w:rFonts w:hint="default" w:cs="Times New Roman"/>
                <w:b w:val="0"/>
                <w:bCs w:val="0"/>
                <w:color w:val="000000" w:themeColor="text1"/>
                <w:sz w:val="24"/>
                <w:vertAlign w:val="subscript"/>
                <w:lang w:val="en-US" w:eastAsia="en-US"/>
                <w14:textFill>
                  <w14:solidFill>
                    <w14:schemeClr w14:val="tx1"/>
                  </w14:solidFill>
                </w14:textFill>
              </w:rPr>
              <w:t>2</w:t>
            </w:r>
            <w:r>
              <w:rPr>
                <w:rFonts w:hint="default" w:cs="Times New Roman"/>
                <w:b w:val="0"/>
                <w:bCs w:val="0"/>
                <w:color w:val="000000" w:themeColor="text1"/>
                <w:sz w:val="24"/>
                <w:lang w:val="en-US" w:eastAsia="en-US"/>
                <w14:textFill>
                  <w14:solidFill>
                    <w14:schemeClr w14:val="tx1"/>
                  </w14:solidFill>
                </w14:textFill>
              </w:rPr>
              <w:t>、N</w:t>
            </w:r>
            <w:r>
              <w:rPr>
                <w:rFonts w:hint="default" w:cs="Times New Roman"/>
                <w:b w:val="0"/>
                <w:bCs w:val="0"/>
                <w:color w:val="000000" w:themeColor="text1"/>
                <w:sz w:val="24"/>
                <w:vertAlign w:val="subscript"/>
                <w:lang w:val="en-US" w:eastAsia="en-US"/>
                <w14:textFill>
                  <w14:solidFill>
                    <w14:schemeClr w14:val="tx1"/>
                  </w14:solidFill>
                </w14:textFill>
              </w:rPr>
              <w:t>2</w:t>
            </w:r>
            <w:r>
              <w:rPr>
                <w:rFonts w:hint="default" w:cs="Times New Roman"/>
                <w:b w:val="0"/>
                <w:bCs w:val="0"/>
                <w:color w:val="000000" w:themeColor="text1"/>
                <w:sz w:val="24"/>
                <w:lang w:val="en-US" w:eastAsia="en-US"/>
                <w14:textFill>
                  <w14:solidFill>
                    <w14:schemeClr w14:val="tx1"/>
                  </w14:solidFill>
                </w14:textFill>
              </w:rPr>
              <w:t>、CO、CH</w:t>
            </w:r>
            <w:r>
              <w:rPr>
                <w:rFonts w:hint="default" w:cs="Times New Roman"/>
                <w:b w:val="0"/>
                <w:bCs w:val="0"/>
                <w:color w:val="000000" w:themeColor="text1"/>
                <w:sz w:val="24"/>
                <w:vertAlign w:val="subscript"/>
                <w:lang w:val="en-US" w:eastAsia="en-US"/>
                <w14:textFill>
                  <w14:solidFill>
                    <w14:schemeClr w14:val="tx1"/>
                  </w14:solidFill>
                </w14:textFill>
              </w:rPr>
              <w:t>4</w:t>
            </w:r>
            <w:r>
              <w:rPr>
                <w:rFonts w:hint="eastAsia" w:cs="Times New Roman"/>
                <w:b w:val="0"/>
                <w:bCs w:val="0"/>
                <w:color w:val="000000" w:themeColor="text1"/>
                <w:sz w:val="24"/>
                <w:lang w:val="en-US" w:eastAsia="zh-CN"/>
                <w14:textFill>
                  <w14:solidFill>
                    <w14:schemeClr w14:val="tx1"/>
                  </w14:solidFill>
                </w14:textFill>
              </w:rPr>
              <w:t>，经天然气加热炉燃烧后不会产生SO</w:t>
            </w:r>
            <w:r>
              <w:rPr>
                <w:rFonts w:hint="eastAsia" w:cs="Times New Roman"/>
                <w:b w:val="0"/>
                <w:bCs w:val="0"/>
                <w:color w:val="000000" w:themeColor="text1"/>
                <w:sz w:val="24"/>
                <w:vertAlign w:val="subscript"/>
                <w:lang w:val="en-US" w:eastAsia="zh-CN"/>
                <w14:textFill>
                  <w14:solidFill>
                    <w14:schemeClr w14:val="tx1"/>
                  </w14:solidFill>
                </w14:textFill>
              </w:rPr>
              <w:t>2</w:t>
            </w:r>
            <w:r>
              <w:rPr>
                <w:rFonts w:hint="eastAsia" w:cs="Times New Roman"/>
                <w:b w:val="0"/>
                <w:bCs w:val="0"/>
                <w:color w:val="000000" w:themeColor="text1"/>
                <w:sz w:val="24"/>
                <w:lang w:val="en-US" w:eastAsia="zh-CN"/>
                <w14:textFill>
                  <w14:solidFill>
                    <w14:schemeClr w14:val="tx1"/>
                  </w14:solidFill>
                </w14:textFill>
              </w:rPr>
              <w:t>、NO</w:t>
            </w:r>
            <w:r>
              <w:rPr>
                <w:rFonts w:hint="eastAsia" w:cs="Times New Roman"/>
                <w:b w:val="0"/>
                <w:bCs w:val="0"/>
                <w:color w:val="000000" w:themeColor="text1"/>
                <w:sz w:val="24"/>
                <w:vertAlign w:val="subscript"/>
                <w:lang w:val="en-US" w:eastAsia="zh-CN"/>
                <w14:textFill>
                  <w14:solidFill>
                    <w14:schemeClr w14:val="tx1"/>
                  </w14:solidFill>
                </w14:textFill>
              </w:rPr>
              <w:t>X</w:t>
            </w:r>
            <w:r>
              <w:rPr>
                <w:rFonts w:hint="eastAsia" w:cs="Times New Roman"/>
                <w:b w:val="0"/>
                <w:bCs w:val="0"/>
                <w:color w:val="000000" w:themeColor="text1"/>
                <w:sz w:val="24"/>
                <w:lang w:val="en-US" w:eastAsia="zh-CN"/>
                <w14:textFill>
                  <w14:solidFill>
                    <w14:schemeClr w14:val="tx1"/>
                  </w14:solidFill>
                </w14:textFill>
              </w:rPr>
              <w:t>及颗粒物，也无其他新污染物产生，SO</w:t>
            </w:r>
            <w:r>
              <w:rPr>
                <w:rFonts w:hint="eastAsia" w:cs="Times New Roman"/>
                <w:b w:val="0"/>
                <w:bCs w:val="0"/>
                <w:color w:val="000000" w:themeColor="text1"/>
                <w:sz w:val="24"/>
                <w:vertAlign w:val="subscript"/>
                <w:lang w:val="en-US" w:eastAsia="zh-CN"/>
                <w14:textFill>
                  <w14:solidFill>
                    <w14:schemeClr w14:val="tx1"/>
                  </w14:solidFill>
                </w14:textFill>
              </w:rPr>
              <w:t>2</w:t>
            </w:r>
            <w:r>
              <w:rPr>
                <w:rFonts w:hint="eastAsia" w:cs="Times New Roman"/>
                <w:b w:val="0"/>
                <w:bCs w:val="0"/>
                <w:color w:val="000000" w:themeColor="text1"/>
                <w:sz w:val="24"/>
                <w:lang w:val="en-US" w:eastAsia="zh-CN"/>
                <w14:textFill>
                  <w14:solidFill>
                    <w14:schemeClr w14:val="tx1"/>
                  </w14:solidFill>
                </w14:textFill>
              </w:rPr>
              <w:t>、NO</w:t>
            </w:r>
            <w:r>
              <w:rPr>
                <w:rFonts w:hint="eastAsia" w:cs="Times New Roman"/>
                <w:b w:val="0"/>
                <w:bCs w:val="0"/>
                <w:color w:val="000000" w:themeColor="text1"/>
                <w:sz w:val="24"/>
                <w:vertAlign w:val="subscript"/>
                <w:lang w:val="en-US" w:eastAsia="zh-CN"/>
                <w14:textFill>
                  <w14:solidFill>
                    <w14:schemeClr w14:val="tx1"/>
                  </w14:solidFill>
                </w14:textFill>
              </w:rPr>
              <w:t>X</w:t>
            </w:r>
            <w:r>
              <w:rPr>
                <w:rFonts w:hint="eastAsia" w:cs="Times New Roman"/>
                <w:b w:val="0"/>
                <w:bCs w:val="0"/>
                <w:color w:val="000000" w:themeColor="text1"/>
                <w:sz w:val="24"/>
                <w:lang w:val="en-US" w:eastAsia="zh-CN"/>
                <w14:textFill>
                  <w14:solidFill>
                    <w14:schemeClr w14:val="tx1"/>
                  </w14:solidFill>
                </w14:textFill>
              </w:rPr>
              <w:t>及颗粒物排放量不会发生变化，依托可行。</w:t>
            </w:r>
          </w:p>
          <w:p w14:paraId="1703F8BC">
            <w:pPr>
              <w:pStyle w:val="42"/>
              <w:widowControl w:val="0"/>
              <w:autoSpaceDE w:val="0"/>
              <w:autoSpaceDN w:val="0"/>
              <w:adjustRightInd w:val="0"/>
              <w:spacing w:before="0" w:beforeAutospacing="0" w:after="0" w:afterAutospacing="0" w:line="360" w:lineRule="auto"/>
              <w:ind w:firstLine="482" w:firstLineChars="200"/>
              <w:rPr>
                <w:rFonts w:hint="default" w:ascii="Times New Roman" w:hAnsi="Times New Roman" w:cs="Times New Roman"/>
                <w:b/>
                <w:bCs/>
                <w:color w:val="000000" w:themeColor="text1"/>
                <w:szCs w:val="24"/>
                <w:lang w:val="en-US" w:eastAsia="zh-CN" w:bidi="ar"/>
                <w14:textFill>
                  <w14:solidFill>
                    <w14:schemeClr w14:val="tx1"/>
                  </w14:solidFill>
                </w14:textFill>
              </w:rPr>
            </w:pPr>
            <w:r>
              <w:rPr>
                <w:rFonts w:hint="eastAsia" w:ascii="Times New Roman" w:hAnsi="Times New Roman" w:cs="Times New Roman"/>
                <w:b/>
                <w:bCs/>
                <w:color w:val="000000" w:themeColor="text1"/>
                <w:szCs w:val="24"/>
                <w:lang w:val="en-US" w:eastAsia="zh-CN" w:bidi="ar"/>
                <w14:textFill>
                  <w14:solidFill>
                    <w14:schemeClr w14:val="tx1"/>
                  </w14:solidFill>
                </w14:textFill>
              </w:rPr>
              <w:t>2、全厂CO</w:t>
            </w:r>
            <w:r>
              <w:rPr>
                <w:rFonts w:hint="eastAsia" w:ascii="Times New Roman" w:hAnsi="Times New Roman" w:cs="Times New Roman"/>
                <w:b/>
                <w:bCs/>
                <w:color w:val="000000" w:themeColor="text1"/>
                <w:szCs w:val="24"/>
                <w:vertAlign w:val="subscript"/>
                <w:lang w:val="en-US" w:eastAsia="zh-CN" w:bidi="ar"/>
                <w14:textFill>
                  <w14:solidFill>
                    <w14:schemeClr w14:val="tx1"/>
                  </w14:solidFill>
                </w14:textFill>
              </w:rPr>
              <w:t>2</w:t>
            </w:r>
            <w:r>
              <w:rPr>
                <w:rFonts w:hint="eastAsia" w:ascii="Times New Roman" w:hAnsi="Times New Roman" w:cs="Times New Roman"/>
                <w:b/>
                <w:bCs/>
                <w:color w:val="000000" w:themeColor="text1"/>
                <w:szCs w:val="24"/>
                <w:lang w:val="en-US" w:eastAsia="zh-CN" w:bidi="ar"/>
                <w14:textFill>
                  <w14:solidFill>
                    <w14:schemeClr w14:val="tx1"/>
                  </w14:solidFill>
                </w14:textFill>
              </w:rPr>
              <w:t>排放变化情况</w:t>
            </w:r>
          </w:p>
          <w:p w14:paraId="2CA6FE5B">
            <w:pPr>
              <w:pStyle w:val="42"/>
              <w:widowControl w:val="0"/>
              <w:autoSpaceDE w:val="0"/>
              <w:autoSpaceDN w:val="0"/>
              <w:adjustRightInd w:val="0"/>
              <w:spacing w:before="0" w:beforeAutospacing="0" w:after="0" w:afterAutospacing="0" w:line="360" w:lineRule="auto"/>
              <w:ind w:firstLine="480" w:firstLineChars="200"/>
              <w:rPr>
                <w:rFonts w:hint="default" w:ascii="Times New Roman" w:hAnsi="Times New Roman" w:cs="Times New Roman"/>
                <w:b w:val="0"/>
                <w:bCs w:val="0"/>
                <w:color w:val="000000" w:themeColor="text1"/>
                <w:szCs w:val="24"/>
                <w:lang w:val="en-US" w:eastAsia="zh-CN" w:bidi="ar"/>
                <w14:textFill>
                  <w14:solidFill>
                    <w14:schemeClr w14:val="tx1"/>
                  </w14:solidFill>
                </w14:textFill>
              </w:rPr>
            </w:pPr>
            <w:r>
              <w:rPr>
                <w:rFonts w:hint="eastAsia" w:ascii="Times New Roman" w:hAnsi="Times New Roman" w:cs="Times New Roman"/>
                <w:b w:val="0"/>
                <w:bCs w:val="0"/>
                <w:color w:val="000000" w:themeColor="text1"/>
                <w:szCs w:val="24"/>
                <w:lang w:val="en-US" w:eastAsia="zh-CN" w:bidi="ar"/>
                <w14:textFill>
                  <w14:solidFill>
                    <w14:schemeClr w14:val="tx1"/>
                  </w14:solidFill>
                </w14:textFill>
              </w:rPr>
              <w:t>本项目实施前后全厂CO</w:t>
            </w:r>
            <w:r>
              <w:rPr>
                <w:rFonts w:hint="eastAsia" w:ascii="Times New Roman" w:hAnsi="Times New Roman" w:cs="Times New Roman"/>
                <w:b w:val="0"/>
                <w:bCs w:val="0"/>
                <w:color w:val="000000" w:themeColor="text1"/>
                <w:szCs w:val="24"/>
                <w:vertAlign w:val="subscript"/>
                <w:lang w:val="en-US" w:eastAsia="zh-CN" w:bidi="ar"/>
                <w14:textFill>
                  <w14:solidFill>
                    <w14:schemeClr w14:val="tx1"/>
                  </w14:solidFill>
                </w14:textFill>
              </w:rPr>
              <w:t>2</w:t>
            </w:r>
            <w:r>
              <w:rPr>
                <w:rFonts w:hint="eastAsia" w:ascii="Times New Roman" w:hAnsi="Times New Roman" w:cs="Times New Roman"/>
                <w:b w:val="0"/>
                <w:bCs w:val="0"/>
                <w:color w:val="000000" w:themeColor="text1"/>
                <w:szCs w:val="24"/>
                <w:lang w:val="en-US" w:eastAsia="zh-CN" w:bidi="ar"/>
                <w14:textFill>
                  <w14:solidFill>
                    <w14:schemeClr w14:val="tx1"/>
                  </w14:solidFill>
                </w14:textFill>
              </w:rPr>
              <w:t>排放变化情况见下表。</w:t>
            </w:r>
          </w:p>
          <w:p w14:paraId="1C4CB923">
            <w:pPr>
              <w:jc w:val="center"/>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eastAsia"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 xml:space="preserve"> </w:t>
            </w:r>
            <w:r>
              <w:rPr>
                <w:rFonts w:hint="eastAsia" w:cs="Times New Roman"/>
                <w:b/>
                <w:bCs/>
                <w:color w:val="000000" w:themeColor="text1"/>
                <w:szCs w:val="21"/>
                <w:lang w:val="en-US" w:eastAsia="zh-CN"/>
                <w14:textFill>
                  <w14:solidFill>
                    <w14:schemeClr w14:val="tx1"/>
                  </w14:solidFill>
                </w14:textFill>
              </w:rPr>
              <w:t xml:space="preserve"> 本项目实施前后全厂CO</w:t>
            </w:r>
            <w:r>
              <w:rPr>
                <w:rFonts w:hint="eastAsia" w:cs="Times New Roman"/>
                <w:b/>
                <w:bCs/>
                <w:color w:val="000000" w:themeColor="text1"/>
                <w:szCs w:val="21"/>
                <w:vertAlign w:val="subscript"/>
                <w:lang w:val="en-US" w:eastAsia="zh-CN"/>
                <w14:textFill>
                  <w14:solidFill>
                    <w14:schemeClr w14:val="tx1"/>
                  </w14:solidFill>
                </w14:textFill>
              </w:rPr>
              <w:t>2</w:t>
            </w:r>
            <w:r>
              <w:rPr>
                <w:rFonts w:hint="eastAsia" w:cs="Times New Roman"/>
                <w:b/>
                <w:bCs/>
                <w:color w:val="000000" w:themeColor="text1"/>
                <w:szCs w:val="21"/>
                <w:lang w:val="en-US" w:eastAsia="zh-CN"/>
                <w14:textFill>
                  <w14:solidFill>
                    <w14:schemeClr w14:val="tx1"/>
                  </w14:solidFill>
                </w14:textFill>
              </w:rPr>
              <w:t>排放情况</w:t>
            </w:r>
            <w:r>
              <w:rPr>
                <w:rFonts w:hint="default" w:ascii="Times New Roman" w:hAnsi="Times New Roman" w:eastAsia="宋体" w:cs="Times New Roman"/>
                <w:b/>
                <w:bCs/>
                <w:color w:val="000000" w:themeColor="text1"/>
                <w:szCs w:val="21"/>
                <w14:textFill>
                  <w14:solidFill>
                    <w14:schemeClr w14:val="tx1"/>
                  </w14:solidFill>
                </w14:textFill>
              </w:rPr>
              <w:t>一览表</w:t>
            </w:r>
          </w:p>
          <w:tbl>
            <w:tblPr>
              <w:tblStyle w:val="474"/>
              <w:tblW w:w="8382"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806"/>
              <w:gridCol w:w="2536"/>
              <w:gridCol w:w="2550"/>
              <w:gridCol w:w="2490"/>
            </w:tblGrid>
            <w:tr w14:paraId="0271D60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5" w:hRule="atLeast"/>
                <w:jc w:val="center"/>
              </w:trPr>
              <w:tc>
                <w:tcPr>
                  <w:tcW w:w="806" w:type="dxa"/>
                  <w:tcBorders>
                    <w:bottom w:val="single" w:color="auto" w:sz="4" w:space="0"/>
                  </w:tcBorders>
                  <w:vAlign w:val="center"/>
                </w:tcPr>
                <w:p w14:paraId="6BA5F32C">
                  <w:pPr>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序号</w:t>
                  </w:r>
                </w:p>
              </w:tc>
              <w:tc>
                <w:tcPr>
                  <w:tcW w:w="2536" w:type="dxa"/>
                  <w:tcBorders>
                    <w:bottom w:val="single" w:color="auto" w:sz="4" w:space="0"/>
                  </w:tcBorders>
                  <w:vAlign w:val="center"/>
                </w:tcPr>
                <w:p w14:paraId="79A3E116">
                  <w:pPr>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污染物名称</w:t>
                  </w:r>
                </w:p>
              </w:tc>
              <w:tc>
                <w:tcPr>
                  <w:tcW w:w="2550" w:type="dxa"/>
                  <w:tcBorders>
                    <w:bottom w:val="single" w:color="auto" w:sz="4" w:space="0"/>
                  </w:tcBorders>
                  <w:vAlign w:val="center"/>
                </w:tcPr>
                <w:p w14:paraId="4F1DCF88">
                  <w:pPr>
                    <w:jc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实施前排放量t/a</w:t>
                  </w:r>
                </w:p>
              </w:tc>
              <w:tc>
                <w:tcPr>
                  <w:tcW w:w="2490" w:type="dxa"/>
                  <w:tcBorders>
                    <w:bottom w:val="single" w:color="auto" w:sz="4" w:space="0"/>
                  </w:tcBorders>
                  <w:vAlign w:val="center"/>
                </w:tcPr>
                <w:p w14:paraId="57C2E40F">
                  <w:pPr>
                    <w:jc w:val="center"/>
                    <w:rPr>
                      <w:rFonts w:hint="eastAsia" w:ascii="Times New Roman" w:hAnsi="Times New Roman" w:eastAsia="宋体" w:cs="Times New Roman"/>
                      <w:color w:val="000000" w:themeColor="text1"/>
                      <w:sz w:val="21"/>
                      <w:szCs w:val="21"/>
                      <w:lang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实施后排放量t/a</w:t>
                  </w:r>
                </w:p>
              </w:tc>
            </w:tr>
            <w:tr w14:paraId="5AF5BBB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06" w:type="dxa"/>
                  <w:vAlign w:val="center"/>
                </w:tcPr>
                <w:p w14:paraId="59ECF1A5">
                  <w:pPr>
                    <w:jc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1</w:t>
                  </w:r>
                </w:p>
              </w:tc>
              <w:tc>
                <w:tcPr>
                  <w:tcW w:w="2536" w:type="dxa"/>
                  <w:vAlign w:val="center"/>
                </w:tcPr>
                <w:p w14:paraId="5FF4EE44">
                  <w:pPr>
                    <w:widowControl/>
                    <w:spacing w:line="240" w:lineRule="exact"/>
                    <w:ind w:left="-105" w:leftChars="-50" w:right="-105" w:rightChars="-50"/>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CO</w:t>
                  </w:r>
                  <w:r>
                    <w:rPr>
                      <w:rFonts w:hint="eastAsia"/>
                      <w:color w:val="000000" w:themeColor="text1"/>
                      <w:kern w:val="0"/>
                      <w:sz w:val="21"/>
                      <w:szCs w:val="21"/>
                      <w:vertAlign w:val="subscript"/>
                      <w:lang w:val="en-US" w:eastAsia="zh-CN" w:bidi="ar"/>
                      <w14:textFill>
                        <w14:solidFill>
                          <w14:schemeClr w14:val="tx1"/>
                        </w14:solidFill>
                      </w14:textFill>
                    </w:rPr>
                    <w:t>2</w:t>
                  </w:r>
                </w:p>
              </w:tc>
              <w:tc>
                <w:tcPr>
                  <w:tcW w:w="2550" w:type="dxa"/>
                  <w:vAlign w:val="center"/>
                </w:tcPr>
                <w:p w14:paraId="37BBA20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130012.58</w:t>
                  </w:r>
                </w:p>
              </w:tc>
              <w:tc>
                <w:tcPr>
                  <w:tcW w:w="2490" w:type="dxa"/>
                  <w:vAlign w:val="center"/>
                </w:tcPr>
                <w:p w14:paraId="480061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en-US"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60012.58 </w:t>
                  </w:r>
                </w:p>
              </w:tc>
            </w:tr>
          </w:tbl>
          <w:p w14:paraId="4D1CFC04">
            <w:pPr>
              <w:pStyle w:val="42"/>
              <w:widowControl w:val="0"/>
              <w:autoSpaceDE w:val="0"/>
              <w:autoSpaceDN w:val="0"/>
              <w:adjustRightInd w:val="0"/>
              <w:spacing w:before="0" w:beforeAutospacing="0" w:after="0" w:afterAutospacing="0" w:line="360" w:lineRule="auto"/>
              <w:ind w:firstLine="482" w:firstLineChars="200"/>
              <w:rPr>
                <w:rFonts w:hint="eastAsia" w:ascii="Times New Roman" w:hAnsi="Times New Roman" w:cs="Times New Roman"/>
                <w:b/>
                <w:bCs/>
                <w:color w:val="000000" w:themeColor="text1"/>
                <w:szCs w:val="24"/>
                <w:lang w:val="en-US" w:eastAsia="zh-CN" w:bidi="ar"/>
                <w14:textFill>
                  <w14:solidFill>
                    <w14:schemeClr w14:val="tx1"/>
                  </w14:solidFill>
                </w14:textFill>
              </w:rPr>
            </w:pPr>
          </w:p>
          <w:p w14:paraId="4BBC58EC">
            <w:pPr>
              <w:pStyle w:val="42"/>
              <w:widowControl w:val="0"/>
              <w:autoSpaceDE w:val="0"/>
              <w:autoSpaceDN w:val="0"/>
              <w:adjustRightInd w:val="0"/>
              <w:spacing w:before="0" w:beforeAutospacing="0" w:after="0" w:afterAutospacing="0" w:line="360" w:lineRule="auto"/>
              <w:ind w:firstLine="482" w:firstLineChars="200"/>
              <w:rPr>
                <w:rFonts w:hint="default" w:ascii="Times New Roman" w:hAnsi="Times New Roman" w:eastAsia="宋体" w:cs="Times New Roman"/>
                <w:b/>
                <w:bCs/>
                <w:color w:val="000000" w:themeColor="text1"/>
                <w:szCs w:val="24"/>
                <w:lang w:val="en-US" w:eastAsia="zh-CN" w:bidi="ar"/>
                <w14:textFill>
                  <w14:solidFill>
                    <w14:schemeClr w14:val="tx1"/>
                  </w14:solidFill>
                </w14:textFill>
              </w:rPr>
            </w:pPr>
            <w:r>
              <w:rPr>
                <w:rFonts w:hint="eastAsia" w:ascii="Times New Roman" w:hAnsi="Times New Roman" w:cs="Times New Roman"/>
                <w:b/>
                <w:bCs/>
                <w:color w:val="000000" w:themeColor="text1"/>
                <w:szCs w:val="24"/>
                <w:lang w:val="en-US" w:eastAsia="zh-CN" w:bidi="ar"/>
                <w14:textFill>
                  <w14:solidFill>
                    <w14:schemeClr w14:val="tx1"/>
                  </w14:solidFill>
                </w14:textFill>
              </w:rPr>
              <w:t>3、非正常情况</w:t>
            </w:r>
          </w:p>
          <w:p w14:paraId="0C20F5BC">
            <w:pPr>
              <w:pStyle w:val="457"/>
              <w:ind w:firstLine="48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本项目的非正常工况主要是污染物排放控制措施达不到应有效率，造成生产区废气未经净化直接排放，其排放情况如下表所示。</w:t>
            </w:r>
          </w:p>
          <w:p w14:paraId="4B354F5C">
            <w:pPr>
              <w:keepNext/>
              <w:keepLines/>
              <w:ind w:left="-425"/>
              <w:jc w:val="center"/>
              <w:textAlignment w:val="baseline"/>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w:t>
            </w:r>
            <w:r>
              <w:rPr>
                <w:rFonts w:hint="eastAsia" w:cs="Times New Roman"/>
                <w:b/>
                <w:color w:val="000000" w:themeColor="text1"/>
                <w:szCs w:val="21"/>
                <w:lang w:val="en-US" w:eastAsia="zh-CN"/>
                <w14:textFill>
                  <w14:solidFill>
                    <w14:schemeClr w14:val="tx1"/>
                  </w14:solidFill>
                </w14:textFill>
              </w:rPr>
              <w:t>4</w:t>
            </w:r>
            <w:r>
              <w:rPr>
                <w:rFonts w:hint="default" w:ascii="Times New Roman" w:hAnsi="Times New Roman" w:eastAsia="宋体" w:cs="Times New Roman"/>
                <w:b/>
                <w:color w:val="000000" w:themeColor="text1"/>
                <w:szCs w:val="21"/>
                <w14:textFill>
                  <w14:solidFill>
                    <w14:schemeClr w14:val="tx1"/>
                  </w14:solidFill>
                </w14:textFill>
              </w:rPr>
              <w:t xml:space="preserve">  非正常工况下污染物排放情况一览表</w:t>
            </w:r>
          </w:p>
          <w:tbl>
            <w:tblPr>
              <w:tblStyle w:val="48"/>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42"/>
              <w:gridCol w:w="682"/>
              <w:gridCol w:w="989"/>
              <w:gridCol w:w="729"/>
              <w:gridCol w:w="996"/>
              <w:gridCol w:w="1200"/>
              <w:gridCol w:w="1009"/>
              <w:gridCol w:w="1152"/>
              <w:gridCol w:w="427"/>
            </w:tblGrid>
            <w:tr w14:paraId="32B4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62" w:type="dxa"/>
                  <w:vMerge w:val="restart"/>
                  <w:vAlign w:val="center"/>
                </w:tcPr>
                <w:p w14:paraId="3DB253CF">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产污工序</w:t>
                  </w:r>
                </w:p>
              </w:tc>
              <w:tc>
                <w:tcPr>
                  <w:tcW w:w="742" w:type="dxa"/>
                  <w:vMerge w:val="restart"/>
                  <w:vAlign w:val="center"/>
                </w:tcPr>
                <w:p w14:paraId="04CF9122">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682" w:type="dxa"/>
                  <w:vMerge w:val="restart"/>
                  <w:vAlign w:val="center"/>
                </w:tcPr>
                <w:p w14:paraId="52CFB3D0">
                  <w:pPr>
                    <w:keepNext/>
                    <w:keepLines/>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产生量（kg/h）</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989" w:type="dxa"/>
                  <w:vMerge w:val="restart"/>
                  <w:vAlign w:val="center"/>
                </w:tcPr>
                <w:p w14:paraId="1A6A00B6">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非正常情况设置</w:t>
                  </w:r>
                </w:p>
              </w:tc>
              <w:tc>
                <w:tcPr>
                  <w:tcW w:w="729" w:type="dxa"/>
                  <w:vMerge w:val="restart"/>
                  <w:vAlign w:val="center"/>
                </w:tcPr>
                <w:p w14:paraId="4E83FDAB">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持续时间及频率</w:t>
                  </w:r>
                </w:p>
              </w:tc>
              <w:tc>
                <w:tcPr>
                  <w:tcW w:w="2196" w:type="dxa"/>
                  <w:gridSpan w:val="2"/>
                  <w:vAlign w:val="center"/>
                </w:tcPr>
                <w:p w14:paraId="2F9B5CA0">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有组织排放</w:t>
                  </w:r>
                </w:p>
              </w:tc>
              <w:tc>
                <w:tcPr>
                  <w:tcW w:w="2161" w:type="dxa"/>
                  <w:gridSpan w:val="2"/>
                  <w:vAlign w:val="center"/>
                </w:tcPr>
                <w:p w14:paraId="659D3DC4">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c>
                <w:tcPr>
                  <w:tcW w:w="427" w:type="dxa"/>
                  <w:vMerge w:val="restart"/>
                  <w:vAlign w:val="center"/>
                </w:tcPr>
                <w:p w14:paraId="085E02F0">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14:paraId="3707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462" w:type="dxa"/>
                  <w:vMerge w:val="continue"/>
                  <w:vAlign w:val="center"/>
                </w:tcPr>
                <w:p w14:paraId="0EB1EC0F">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42" w:type="dxa"/>
                  <w:vMerge w:val="continue"/>
                  <w:vAlign w:val="center"/>
                </w:tcPr>
                <w:p w14:paraId="083D2E2D">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82" w:type="dxa"/>
                  <w:vMerge w:val="continue"/>
                  <w:vAlign w:val="center"/>
                </w:tcPr>
                <w:p w14:paraId="7E33B657">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89" w:type="dxa"/>
                  <w:vMerge w:val="continue"/>
                  <w:vAlign w:val="center"/>
                </w:tcPr>
                <w:p w14:paraId="330DB1CF">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29" w:type="dxa"/>
                  <w:vMerge w:val="continue"/>
                  <w:vAlign w:val="center"/>
                </w:tcPr>
                <w:p w14:paraId="5857675C">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96" w:type="dxa"/>
                  <w:vAlign w:val="center"/>
                </w:tcPr>
                <w:p w14:paraId="61CA9FE9">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排放速率（kg/h）</w:t>
                  </w:r>
                </w:p>
              </w:tc>
              <w:tc>
                <w:tcPr>
                  <w:tcW w:w="1200" w:type="dxa"/>
                  <w:vAlign w:val="center"/>
                </w:tcPr>
                <w:p w14:paraId="656E55C9">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1009" w:type="dxa"/>
                  <w:vAlign w:val="center"/>
                </w:tcPr>
                <w:p w14:paraId="42BECFD0">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排放速率（kg/h）</w:t>
                  </w:r>
                </w:p>
              </w:tc>
              <w:tc>
                <w:tcPr>
                  <w:tcW w:w="1152" w:type="dxa"/>
                  <w:vAlign w:val="center"/>
                </w:tcPr>
                <w:p w14:paraId="40433B4B">
                  <w:pPr>
                    <w:keepNext/>
                    <w:keepLines/>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c>
              <w:tc>
                <w:tcPr>
                  <w:tcW w:w="427" w:type="dxa"/>
                  <w:vMerge w:val="continue"/>
                  <w:vAlign w:val="center"/>
                </w:tcPr>
                <w:p w14:paraId="32482A44">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29B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dxa"/>
                  <w:vMerge w:val="restart"/>
                  <w:vAlign w:val="center"/>
                </w:tcPr>
                <w:p w14:paraId="6DFD8800">
                  <w:pPr>
                    <w:pStyle w:val="461"/>
                    <w:ind w:left="0" w:leftChars="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天然气燃烧炉</w:t>
                  </w:r>
                </w:p>
              </w:tc>
              <w:tc>
                <w:tcPr>
                  <w:tcW w:w="742" w:type="dxa"/>
                  <w:vAlign w:val="center"/>
                </w:tcPr>
                <w:p w14:paraId="7A0ECA17">
                  <w:pPr>
                    <w:widowControl/>
                    <w:spacing w:line="240" w:lineRule="exact"/>
                    <w:ind w:left="-105" w:leftChars="-50" w:right="-105" w:rightChars="-50"/>
                    <w:jc w:val="center"/>
                    <w:textAlignment w:val="center"/>
                    <w:rPr>
                      <w:rFonts w:hint="default" w:ascii="Times New Roman" w:hAnsi="Times New Roman" w:eastAsia="宋体" w:cs="Times New Roman"/>
                      <w:color w:val="000000" w:themeColor="text1"/>
                      <w:kern w:val="2"/>
                      <w:sz w:val="21"/>
                      <w:szCs w:val="21"/>
                      <w:lang w:val="en-US" w:eastAsia="en-US" w:bidi="ar"/>
                      <w14:textFill>
                        <w14:solidFill>
                          <w14:schemeClr w14:val="tx1"/>
                        </w14:solidFill>
                      </w14:textFill>
                    </w:rPr>
                  </w:pPr>
                  <w:r>
                    <w:rPr>
                      <w:color w:val="000000" w:themeColor="text1"/>
                      <w:kern w:val="0"/>
                      <w:sz w:val="21"/>
                      <w:szCs w:val="21"/>
                      <w:lang w:bidi="ar"/>
                      <w14:textFill>
                        <w14:solidFill>
                          <w14:schemeClr w14:val="tx1"/>
                        </w14:solidFill>
                      </w14:textFill>
                    </w:rPr>
                    <w:t>SO</w:t>
                  </w:r>
                  <w:r>
                    <w:rPr>
                      <w:color w:val="000000" w:themeColor="text1"/>
                      <w:kern w:val="0"/>
                      <w:sz w:val="21"/>
                      <w:szCs w:val="21"/>
                      <w:vertAlign w:val="subscript"/>
                      <w:lang w:bidi="ar"/>
                      <w14:textFill>
                        <w14:solidFill>
                          <w14:schemeClr w14:val="tx1"/>
                        </w14:solidFill>
                      </w14:textFill>
                    </w:rPr>
                    <w:t>2</w:t>
                  </w:r>
                </w:p>
              </w:tc>
              <w:tc>
                <w:tcPr>
                  <w:tcW w:w="682" w:type="dxa"/>
                  <w:vAlign w:val="center"/>
                </w:tcPr>
                <w:p w14:paraId="21E92A6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 </w:t>
                  </w:r>
                </w:p>
              </w:tc>
              <w:tc>
                <w:tcPr>
                  <w:tcW w:w="989" w:type="dxa"/>
                  <w:vMerge w:val="restart"/>
                  <w:vAlign w:val="center"/>
                </w:tcPr>
                <w:p w14:paraId="02A127EC">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低氮燃烧+SCR脱硝</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故障</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NOx</w:t>
                  </w:r>
                  <w:r>
                    <w:rPr>
                      <w:rFonts w:hint="default" w:ascii="Times New Roman" w:hAnsi="Times New Roman" w:eastAsia="宋体" w:cs="Times New Roman"/>
                      <w:color w:val="000000" w:themeColor="text1"/>
                      <w:sz w:val="21"/>
                      <w:szCs w:val="21"/>
                      <w14:textFill>
                        <w14:solidFill>
                          <w14:schemeClr w14:val="tx1"/>
                        </w14:solidFill>
                      </w14:textFill>
                    </w:rPr>
                    <w:t>处理效率为0</w:t>
                  </w:r>
                </w:p>
              </w:tc>
              <w:tc>
                <w:tcPr>
                  <w:tcW w:w="729" w:type="dxa"/>
                  <w:vMerge w:val="restart"/>
                  <w:vAlign w:val="center"/>
                </w:tcPr>
                <w:p w14:paraId="0E15121C">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1次/a，1h/次</w:t>
                  </w:r>
                </w:p>
              </w:tc>
              <w:tc>
                <w:tcPr>
                  <w:tcW w:w="996" w:type="dxa"/>
                  <w:vAlign w:val="center"/>
                </w:tcPr>
                <w:p w14:paraId="500B99F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 </w:t>
                  </w:r>
                </w:p>
              </w:tc>
              <w:tc>
                <w:tcPr>
                  <w:tcW w:w="1200" w:type="dxa"/>
                  <w:vAlign w:val="center"/>
                </w:tcPr>
                <w:p w14:paraId="6F3EEB1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0.6 </w:t>
                  </w:r>
                </w:p>
              </w:tc>
              <w:tc>
                <w:tcPr>
                  <w:tcW w:w="1009" w:type="dxa"/>
                  <w:vAlign w:val="center"/>
                </w:tcPr>
                <w:p w14:paraId="51261394">
                  <w:pPr>
                    <w:keepNext/>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2" w:type="dxa"/>
                  <w:vAlign w:val="center"/>
                </w:tcPr>
                <w:p w14:paraId="7830C742">
                  <w:pPr>
                    <w:keepNext/>
                    <w:keepLine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427" w:type="dxa"/>
                  <w:vAlign w:val="center"/>
                </w:tcPr>
                <w:p w14:paraId="22272604">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14C6E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62" w:type="dxa"/>
                  <w:vMerge w:val="continue"/>
                  <w:vAlign w:val="center"/>
                </w:tcPr>
                <w:p w14:paraId="1A8A7A42">
                  <w:pPr>
                    <w:pStyle w:val="461"/>
                    <w:ind w:left="0" w:leftChars="0" w:firstLine="0" w:firstLineChars="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42" w:type="dxa"/>
                  <w:vAlign w:val="center"/>
                </w:tcPr>
                <w:p w14:paraId="0A369CA1">
                  <w:pPr>
                    <w:widowControl/>
                    <w:spacing w:line="240" w:lineRule="exact"/>
                    <w:ind w:left="-105" w:leftChars="-50" w:right="-105" w:rightChars="-5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color w:val="000000" w:themeColor="text1"/>
                      <w:kern w:val="0"/>
                      <w:sz w:val="21"/>
                      <w:szCs w:val="21"/>
                      <w:lang w:bidi="ar"/>
                      <w14:textFill>
                        <w14:solidFill>
                          <w14:schemeClr w14:val="tx1"/>
                        </w14:solidFill>
                      </w14:textFill>
                    </w:rPr>
                    <w:t>NO</w:t>
                  </w:r>
                  <w:r>
                    <w:rPr>
                      <w:color w:val="000000" w:themeColor="text1"/>
                      <w:kern w:val="0"/>
                      <w:sz w:val="21"/>
                      <w:szCs w:val="21"/>
                      <w:vertAlign w:val="subscript"/>
                      <w:lang w:bidi="ar"/>
                      <w14:textFill>
                        <w14:solidFill>
                          <w14:schemeClr w14:val="tx1"/>
                        </w14:solidFill>
                      </w14:textFill>
                    </w:rPr>
                    <w:t>X</w:t>
                  </w:r>
                </w:p>
              </w:tc>
              <w:tc>
                <w:tcPr>
                  <w:tcW w:w="682" w:type="dxa"/>
                  <w:vAlign w:val="center"/>
                </w:tcPr>
                <w:p w14:paraId="1C23C21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19.16 </w:t>
                  </w:r>
                </w:p>
              </w:tc>
              <w:tc>
                <w:tcPr>
                  <w:tcW w:w="989" w:type="dxa"/>
                  <w:vMerge w:val="continue"/>
                  <w:vAlign w:val="center"/>
                </w:tcPr>
                <w:p w14:paraId="295A5147">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9" w:type="dxa"/>
                  <w:vMerge w:val="continue"/>
                  <w:vAlign w:val="center"/>
                </w:tcPr>
                <w:p w14:paraId="0821C74B">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6" w:type="dxa"/>
                  <w:vAlign w:val="center"/>
                </w:tcPr>
                <w:p w14:paraId="59EBC03B">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19.16 </w:t>
                  </w:r>
                </w:p>
              </w:tc>
              <w:tc>
                <w:tcPr>
                  <w:tcW w:w="1200" w:type="dxa"/>
                  <w:vAlign w:val="center"/>
                </w:tcPr>
                <w:p w14:paraId="68823252">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228.0 </w:t>
                  </w:r>
                </w:p>
              </w:tc>
              <w:tc>
                <w:tcPr>
                  <w:tcW w:w="1009" w:type="dxa"/>
                  <w:vAlign w:val="center"/>
                </w:tcPr>
                <w:p w14:paraId="39A4BFD2">
                  <w:pPr>
                    <w:keepNext/>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2" w:type="dxa"/>
                  <w:vAlign w:val="center"/>
                </w:tcPr>
                <w:p w14:paraId="0450C00A">
                  <w:pPr>
                    <w:keepNext/>
                    <w:keepLine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p>
              </w:tc>
              <w:tc>
                <w:tcPr>
                  <w:tcW w:w="427" w:type="dxa"/>
                  <w:vAlign w:val="center"/>
                </w:tcPr>
                <w:p w14:paraId="2149F0DA">
                  <w:pPr>
                    <w:keepNext/>
                    <w:keepLines/>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超标</w:t>
                  </w:r>
                </w:p>
              </w:tc>
            </w:tr>
            <w:tr w14:paraId="5D51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62" w:type="dxa"/>
                  <w:vMerge w:val="continue"/>
                  <w:vAlign w:val="center"/>
                </w:tcPr>
                <w:p w14:paraId="36FA5348">
                  <w:pPr>
                    <w:pStyle w:val="461"/>
                    <w:ind w:left="0" w:leftChars="0" w:firstLine="0" w:firstLineChars="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42" w:type="dxa"/>
                  <w:vAlign w:val="center"/>
                </w:tcPr>
                <w:p w14:paraId="20686C44">
                  <w:pPr>
                    <w:widowControl/>
                    <w:spacing w:line="240" w:lineRule="exact"/>
                    <w:ind w:left="-105" w:leftChars="-50" w:right="-105" w:rightChars="-50"/>
                    <w:jc w:val="center"/>
                    <w:textAlignment w:val="center"/>
                    <w:rPr>
                      <w:rFonts w:hint="default" w:ascii="Times New Roman" w:hAnsi="Times New Roman" w:eastAsia="宋体" w:cs="Times New Roman"/>
                      <w:b/>
                      <w:bCs/>
                      <w:color w:val="000000" w:themeColor="text1"/>
                      <w:kern w:val="2"/>
                      <w:sz w:val="21"/>
                      <w:szCs w:val="21"/>
                      <w:lang w:val="en-US" w:eastAsia="zh-CN" w:bidi="ar"/>
                      <w14:textFill>
                        <w14:solidFill>
                          <w14:schemeClr w14:val="tx1"/>
                        </w14:solidFill>
                      </w14:textFill>
                    </w:rPr>
                  </w:pPr>
                  <w:r>
                    <w:rPr>
                      <w:color w:val="000000" w:themeColor="text1"/>
                      <w:kern w:val="0"/>
                      <w:sz w:val="21"/>
                      <w:szCs w:val="21"/>
                      <w:lang w:bidi="ar"/>
                      <w14:textFill>
                        <w14:solidFill>
                          <w14:schemeClr w14:val="tx1"/>
                        </w14:solidFill>
                      </w14:textFill>
                    </w:rPr>
                    <w:t>颗粒物</w:t>
                  </w:r>
                </w:p>
              </w:tc>
              <w:tc>
                <w:tcPr>
                  <w:tcW w:w="682" w:type="dxa"/>
                  <w:vAlign w:val="center"/>
                </w:tcPr>
                <w:p w14:paraId="797658D5">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989" w:type="dxa"/>
                  <w:vMerge w:val="continue"/>
                  <w:vAlign w:val="center"/>
                </w:tcPr>
                <w:p w14:paraId="01C6E0AF">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9" w:type="dxa"/>
                  <w:vMerge w:val="continue"/>
                  <w:vAlign w:val="center"/>
                </w:tcPr>
                <w:p w14:paraId="50A8A768">
                  <w:pPr>
                    <w:keepNext/>
                    <w:keepLines/>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96" w:type="dxa"/>
                  <w:vAlign w:val="center"/>
                </w:tcPr>
                <w:p w14:paraId="10C1387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1200" w:type="dxa"/>
                  <w:vAlign w:val="center"/>
                </w:tcPr>
                <w:p w14:paraId="64CE56AF">
                  <w:pPr>
                    <w:keepNext w:val="0"/>
                    <w:keepLines w:val="0"/>
                    <w:widowControl/>
                    <w:suppressLineNumbers w:val="0"/>
                    <w:jc w:val="center"/>
                    <w:textAlignment w:val="center"/>
                    <w:rPr>
                      <w:rFonts w:hint="eastAsia"/>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w:t>
                  </w:r>
                </w:p>
              </w:tc>
              <w:tc>
                <w:tcPr>
                  <w:tcW w:w="1009" w:type="dxa"/>
                  <w:vAlign w:val="center"/>
                </w:tcPr>
                <w:p w14:paraId="6DDE567B">
                  <w:pPr>
                    <w:keepNext/>
                    <w:keepLines/>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152" w:type="dxa"/>
                  <w:vAlign w:val="center"/>
                </w:tcPr>
                <w:p w14:paraId="3D8CD523">
                  <w:pPr>
                    <w:keepNext/>
                    <w:keepLine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427" w:type="dxa"/>
                  <w:vAlign w:val="center"/>
                </w:tcPr>
                <w:p w14:paraId="07526FBD">
                  <w:pPr>
                    <w:keepNext/>
                    <w:keepLines/>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2DE3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8" w:type="dxa"/>
                  <w:gridSpan w:val="10"/>
                  <w:vAlign w:val="center"/>
                </w:tcPr>
                <w:p w14:paraId="1F51340D">
                  <w:pPr>
                    <w:keepNext/>
                    <w:keepLines/>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*：来自主体工程环评数据。</w:t>
                  </w:r>
                </w:p>
              </w:tc>
            </w:tr>
          </w:tbl>
          <w:p w14:paraId="3FDB4EFA">
            <w:pPr>
              <w:pStyle w:val="42"/>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000000" w:themeColor="text1"/>
                <w:kern w:val="2"/>
                <w:szCs w:val="24"/>
                <w14:textFill>
                  <w14:solidFill>
                    <w14:schemeClr w14:val="tx1"/>
                  </w14:solidFill>
                </w14:textFill>
              </w:rPr>
            </w:pPr>
          </w:p>
          <w:p w14:paraId="7E421BE3">
            <w:pPr>
              <w:pStyle w:val="42"/>
              <w:widowControl w:val="0"/>
              <w:autoSpaceDE w:val="0"/>
              <w:autoSpaceDN w:val="0"/>
              <w:adjustRightInd w:val="0"/>
              <w:spacing w:before="0" w:beforeAutospacing="0" w:after="0" w:afterAutospacing="0" w:line="360" w:lineRule="auto"/>
              <w:ind w:firstLine="480" w:firstLineChars="200"/>
              <w:rPr>
                <w:rFonts w:hint="eastAsia" w:ascii="Times New Roman" w:hAnsi="Times New Roman" w:cs="Times New Roman"/>
                <w:b/>
                <w:bCs/>
                <w:color w:val="000000" w:themeColor="text1"/>
                <w:szCs w:val="24"/>
                <w:lang w:val="en-US" w:eastAsia="zh-CN" w:bidi="ar"/>
                <w14:textFill>
                  <w14:solidFill>
                    <w14:schemeClr w14:val="tx1"/>
                  </w14:solidFill>
                </w14:textFill>
              </w:rPr>
            </w:pP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由上表可知，非正常工况下，</w:t>
            </w:r>
            <w:r>
              <w:rPr>
                <w:rFonts w:hint="eastAsia" w:ascii="Times New Roman" w:hAnsi="Times New Roman" w:cs="Times New Roman"/>
                <w:bCs/>
                <w:color w:val="000000" w:themeColor="text1"/>
                <w:kern w:val="2"/>
                <w:szCs w:val="24"/>
                <w:lang w:val="en-US" w:eastAsia="zh-CN"/>
                <w14:textFill>
                  <w14:solidFill>
                    <w14:schemeClr w14:val="tx1"/>
                  </w14:solidFill>
                </w14:textFill>
              </w:rPr>
              <w:t>在</w:t>
            </w:r>
            <w:r>
              <w:rPr>
                <w:rFonts w:hint="default" w:ascii="Times New Roman" w:hAnsi="Times New Roman" w:eastAsia="宋体" w:cs="Times New Roman"/>
                <w:color w:val="000000" w:themeColor="text1"/>
                <w:szCs w:val="21"/>
                <w14:textFill>
                  <w14:solidFill>
                    <w14:schemeClr w14:val="tx1"/>
                  </w14:solidFill>
                </w14:textFill>
              </w:rPr>
              <w:t>低氮燃烧+SCR脱硝</w:t>
            </w:r>
            <w:r>
              <w:rPr>
                <w:rFonts w:hint="eastAsia" w:ascii="Times New Roman" w:hAnsi="Times New Roman" w:cs="Times New Roman"/>
                <w:color w:val="000000" w:themeColor="text1"/>
                <w:szCs w:val="21"/>
                <w:lang w:val="en-US" w:eastAsia="zh-CN"/>
                <w14:textFill>
                  <w14:solidFill>
                    <w14:schemeClr w14:val="tx1"/>
                  </w14:solidFill>
                </w14:textFill>
              </w:rPr>
              <w:t>系统</w:t>
            </w:r>
            <w:r>
              <w:rPr>
                <w:rFonts w:hint="eastAsia" w:ascii="Times New Roman" w:hAnsi="Times New Roman" w:eastAsia="宋体" w:cs="Times New Roman"/>
                <w:color w:val="000000" w:themeColor="text1"/>
                <w:szCs w:val="21"/>
                <w:lang w:val="en-US" w:eastAsia="zh-CN"/>
                <w14:textFill>
                  <w14:solidFill>
                    <w14:schemeClr w14:val="tx1"/>
                  </w14:solidFill>
                </w14:textFill>
              </w:rPr>
              <w:t>故障</w:t>
            </w:r>
            <w:r>
              <w:rPr>
                <w:rFonts w:hint="eastAsia" w:ascii="Times New Roman" w:hAnsi="Times New Roman" w:cs="Times New Roman"/>
                <w:color w:val="000000" w:themeColor="text1"/>
                <w:szCs w:val="21"/>
                <w:lang w:val="en-US" w:eastAsia="zh-CN"/>
                <w14:textFill>
                  <w14:solidFill>
                    <w14:schemeClr w14:val="tx1"/>
                  </w14:solidFill>
                </w14:textFill>
              </w:rPr>
              <w:t>，NOx抑制</w:t>
            </w: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效率为0时</w:t>
            </w:r>
            <w:r>
              <w:rPr>
                <w:rFonts w:hint="eastAsia" w:ascii="Times New Roman" w:hAnsi="Times New Roman" w:eastAsia="宋体" w:cs="Times New Roman"/>
                <w:bCs/>
                <w:color w:val="000000" w:themeColor="text1"/>
                <w:kern w:val="2"/>
                <w:szCs w:val="24"/>
                <w:lang w:val="en-US" w:eastAsia="zh-CN"/>
                <w14:textFill>
                  <w14:solidFill>
                    <w14:schemeClr w14:val="tx1"/>
                  </w14:solidFill>
                </w14:textFill>
              </w:rPr>
              <w:t>NOx</w:t>
            </w: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排放浓度显著增高，</w:t>
            </w:r>
            <w:r>
              <w:rPr>
                <w:rFonts w:hint="eastAsia" w:ascii="Times New Roman" w:hAnsi="Times New Roman" w:cs="Times New Roman"/>
                <w:bCs/>
                <w:color w:val="000000" w:themeColor="text1"/>
                <w:kern w:val="2"/>
                <w:szCs w:val="24"/>
                <w:lang w:val="en-US" w:eastAsia="zh-CN"/>
                <w14:textFill>
                  <w14:solidFill>
                    <w14:schemeClr w14:val="tx1"/>
                  </w14:solidFill>
                </w14:textFill>
              </w:rPr>
              <w:t>并</w:t>
            </w: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超标排放，本环评要求需定期对</w:t>
            </w:r>
            <w:r>
              <w:rPr>
                <w:rFonts w:hint="eastAsia" w:ascii="Times New Roman" w:hAnsi="Times New Roman" w:eastAsia="宋体" w:cs="Times New Roman"/>
                <w:bCs/>
                <w:color w:val="000000" w:themeColor="text1"/>
                <w:kern w:val="2"/>
                <w:szCs w:val="24"/>
                <w:lang w:val="en-US" w:eastAsia="zh-CN"/>
                <w14:textFill>
                  <w14:solidFill>
                    <w14:schemeClr w14:val="tx1"/>
                  </w14:solidFill>
                </w14:textFill>
              </w:rPr>
              <w:t>天然气燃烧炉脱硝设施</w:t>
            </w: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进行检修，防止因环保设备故障导致废气</w:t>
            </w:r>
            <w:r>
              <w:rPr>
                <w:rFonts w:hint="eastAsia" w:ascii="Times New Roman" w:hAnsi="Times New Roman" w:eastAsia="宋体" w:cs="Times New Roman"/>
                <w:bCs/>
                <w:color w:val="000000" w:themeColor="text1"/>
                <w:kern w:val="2"/>
                <w:szCs w:val="24"/>
                <w:lang w:val="en-US" w:eastAsia="zh-CN"/>
                <w14:textFill>
                  <w14:solidFill>
                    <w14:schemeClr w14:val="tx1"/>
                  </w14:solidFill>
                </w14:textFill>
              </w:rPr>
              <w:t>超标</w:t>
            </w:r>
            <w:r>
              <w:rPr>
                <w:rFonts w:hint="default" w:ascii="Times New Roman" w:hAnsi="Times New Roman" w:eastAsia="宋体" w:cs="Times New Roman"/>
                <w:bCs/>
                <w:color w:val="000000" w:themeColor="text1"/>
                <w:kern w:val="2"/>
                <w:szCs w:val="24"/>
                <w:lang w:val="en-US" w:eastAsia="zh-CN"/>
                <w14:textFill>
                  <w14:solidFill>
                    <w14:schemeClr w14:val="tx1"/>
                  </w14:solidFill>
                </w14:textFill>
              </w:rPr>
              <w:t>排放，从而对区域大气环境造成影响</w:t>
            </w:r>
            <w:r>
              <w:rPr>
                <w:rFonts w:hint="eastAsia" w:ascii="Times New Roman" w:hAnsi="Times New Roman" w:eastAsia="宋体" w:cs="Times New Roman"/>
                <w:bCs/>
                <w:color w:val="000000" w:themeColor="text1"/>
                <w:kern w:val="2"/>
                <w:szCs w:val="24"/>
                <w:lang w:val="en-US" w:eastAsia="zh-CN"/>
                <w14:textFill>
                  <w14:solidFill>
                    <w14:schemeClr w14:val="tx1"/>
                  </w14:solidFill>
                </w14:textFill>
              </w:rPr>
              <w:t>。</w:t>
            </w:r>
          </w:p>
          <w:p w14:paraId="4C58B791">
            <w:pPr>
              <w:pStyle w:val="42"/>
              <w:widowControl w:val="0"/>
              <w:autoSpaceDE w:val="0"/>
              <w:autoSpaceDN w:val="0"/>
              <w:adjustRightInd w:val="0"/>
              <w:spacing w:before="0" w:beforeAutospacing="0" w:after="0" w:afterAutospacing="0" w:line="360" w:lineRule="auto"/>
              <w:ind w:firstLine="482" w:firstLineChars="200"/>
              <w:rPr>
                <w:rFonts w:hint="default" w:ascii="Times New Roman" w:hAnsi="Times New Roman" w:eastAsia="宋体" w:cs="Times New Roman"/>
                <w:b/>
                <w:bCs/>
                <w:color w:val="000000" w:themeColor="text1"/>
                <w:szCs w:val="24"/>
                <w:lang w:bidi="ar"/>
                <w14:textFill>
                  <w14:solidFill>
                    <w14:schemeClr w14:val="tx1"/>
                  </w14:solidFill>
                </w14:textFill>
              </w:rPr>
            </w:pPr>
            <w:r>
              <w:rPr>
                <w:rFonts w:hint="eastAsia" w:ascii="Times New Roman" w:hAnsi="Times New Roman" w:cs="Times New Roman"/>
                <w:b/>
                <w:bCs/>
                <w:color w:val="000000" w:themeColor="text1"/>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szCs w:val="24"/>
                <w:lang w:bidi="ar"/>
                <w14:textFill>
                  <w14:solidFill>
                    <w14:schemeClr w14:val="tx1"/>
                  </w14:solidFill>
                </w14:textFill>
              </w:rPr>
              <w:t>、监测计划</w:t>
            </w:r>
          </w:p>
          <w:p w14:paraId="48D3AE84">
            <w:pPr>
              <w:pStyle w:val="42"/>
              <w:widowControl w:val="0"/>
              <w:autoSpaceDE w:val="0"/>
              <w:autoSpaceDN w:val="0"/>
              <w:adjustRightInd w:val="0"/>
              <w:spacing w:before="0" w:beforeAutospacing="0" w:after="0" w:afterAutospacing="0" w:line="360" w:lineRule="auto"/>
              <w:ind w:firstLine="480" w:firstLineChars="200"/>
              <w:rPr>
                <w:rFonts w:hint="eastAsia" w:ascii="Times New Roman" w:hAnsi="Times New Roman" w:cs="Times New Roman"/>
                <w:color w:val="000000" w:themeColor="text1"/>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Cs w:val="24"/>
                <w:lang w:bidi="ar"/>
                <w14:textFill>
                  <w14:solidFill>
                    <w14:schemeClr w14:val="tx1"/>
                  </w14:solidFill>
                </w14:textFill>
              </w:rPr>
              <w:t>本项目的实施不会改变全厂废气监测计划，</w:t>
            </w:r>
            <w:r>
              <w:rPr>
                <w:rFonts w:hint="eastAsia" w:ascii="Times New Roman" w:hAnsi="Times New Roman" w:cs="Times New Roman"/>
                <w:color w:val="000000" w:themeColor="text1"/>
                <w:szCs w:val="24"/>
                <w:lang w:val="en-US" w:eastAsia="zh-CN" w:bidi="ar"/>
                <w14:textFill>
                  <w14:solidFill>
                    <w14:schemeClr w14:val="tx1"/>
                  </w14:solidFill>
                </w14:textFill>
              </w:rPr>
              <w:t>按照主体工程环评执行。</w:t>
            </w:r>
          </w:p>
          <w:p w14:paraId="6302E52A">
            <w:pPr>
              <w:pStyle w:val="42"/>
              <w:widowControl w:val="0"/>
              <w:autoSpaceDE w:val="0"/>
              <w:autoSpaceDN w:val="0"/>
              <w:adjustRightInd w:val="0"/>
              <w:spacing w:before="0" w:beforeAutospacing="0" w:after="0" w:afterAutospacing="0" w:line="360" w:lineRule="auto"/>
              <w:ind w:firstLine="482" w:firstLineChars="200"/>
              <w:rPr>
                <w:rFonts w:hint="default" w:ascii="Times New Roman" w:hAnsi="Times New Roman" w:eastAsia="宋体" w:cs="Times New Roman"/>
                <w:b/>
                <w:bCs/>
                <w:color w:val="000000" w:themeColor="text1"/>
                <w:szCs w:val="24"/>
                <w:lang w:val="en-US" w:eastAsia="zh-CN" w:bidi="ar"/>
                <w14:textFill>
                  <w14:solidFill>
                    <w14:schemeClr w14:val="tx1"/>
                  </w14:solidFill>
                </w14:textFill>
              </w:rPr>
            </w:pPr>
            <w:r>
              <w:rPr>
                <w:rFonts w:hint="eastAsia" w:ascii="Times New Roman" w:hAnsi="Times New Roman" w:cs="Times New Roman"/>
                <w:b/>
                <w:bCs/>
                <w:color w:val="000000" w:themeColor="text1"/>
                <w:szCs w:val="24"/>
                <w:lang w:val="en-US" w:eastAsia="zh-CN" w:bidi="ar"/>
                <w14:textFill>
                  <w14:solidFill>
                    <w14:schemeClr w14:val="tx1"/>
                  </w14:solidFill>
                </w14:textFill>
              </w:rPr>
              <w:t>5</w:t>
            </w:r>
            <w:r>
              <w:rPr>
                <w:rFonts w:hint="default" w:ascii="Times New Roman" w:hAnsi="Times New Roman" w:eastAsia="宋体" w:cs="Times New Roman"/>
                <w:b/>
                <w:bCs/>
                <w:color w:val="000000" w:themeColor="text1"/>
                <w:szCs w:val="24"/>
                <w:lang w:bidi="ar"/>
                <w14:textFill>
                  <w14:solidFill>
                    <w14:schemeClr w14:val="tx1"/>
                  </w14:solidFill>
                </w14:textFill>
              </w:rPr>
              <w:t>、</w:t>
            </w:r>
            <w:r>
              <w:rPr>
                <w:rFonts w:hint="eastAsia" w:ascii="Times New Roman" w:hAnsi="Times New Roman" w:cs="Times New Roman"/>
                <w:b/>
                <w:bCs/>
                <w:color w:val="000000" w:themeColor="text1"/>
                <w:szCs w:val="24"/>
                <w:lang w:val="en-US" w:eastAsia="zh-CN" w:bidi="ar"/>
                <w14:textFill>
                  <w14:solidFill>
                    <w14:schemeClr w14:val="tx1"/>
                  </w14:solidFill>
                </w14:textFill>
              </w:rPr>
              <w:t>环境正效益分析</w:t>
            </w:r>
          </w:p>
          <w:p w14:paraId="49980AB6">
            <w:pPr>
              <w:pStyle w:val="457"/>
              <w:spacing w:line="360" w:lineRule="auto"/>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本项目原料气目前为直排，</w:t>
            </w:r>
            <w:r>
              <w:rPr>
                <w:rFonts w:hint="eastAsia" w:cs="Times New Roman"/>
                <w:color w:val="000000" w:themeColor="text1"/>
                <w:lang w:val="en-US" w:eastAsia="zh-CN"/>
                <w14:textFill>
                  <w14:solidFill>
                    <w14:schemeClr w14:val="tx1"/>
                  </w14:solidFill>
                </w14:textFill>
              </w:rPr>
              <w:t>直接排放量130012.58</w:t>
            </w:r>
            <w:r>
              <w:rPr>
                <w:rFonts w:hint="default" w:ascii="Times New Roman" w:hAnsi="Times New Roman" w:eastAsia="宋体" w:cs="Times New Roman"/>
                <w:color w:val="000000" w:themeColor="text1"/>
                <w14:textFill>
                  <w14:solidFill>
                    <w14:schemeClr w14:val="tx1"/>
                  </w14:solidFill>
                </w14:textFill>
              </w:rPr>
              <w:t>t/a</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eastAsia="宋体" w:cs="Times New Roman"/>
                <w:color w:val="000000" w:themeColor="text1"/>
                <w14:textFill>
                  <w14:solidFill>
                    <w14:schemeClr w14:val="tx1"/>
                  </w14:solidFill>
                </w14:textFill>
              </w:rPr>
              <w:t>实施后减少CO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排放量7</w:t>
            </w:r>
            <w:r>
              <w:rPr>
                <w:rFonts w:hint="eastAsia" w:cs="Times New Roman"/>
                <w:color w:val="000000" w:themeColor="text1"/>
                <w:lang w:val="en-US" w:eastAsia="zh-CN"/>
                <w14:textFill>
                  <w14:solidFill>
                    <w14:schemeClr w14:val="tx1"/>
                  </w14:solidFill>
                </w14:textFill>
              </w:rPr>
              <w:t>0000</w:t>
            </w:r>
            <w:r>
              <w:rPr>
                <w:rFonts w:hint="default" w:ascii="Times New Roman" w:hAnsi="Times New Roman" w:eastAsia="宋体" w:cs="Times New Roman"/>
                <w:color w:val="000000" w:themeColor="text1"/>
                <w14:textFill>
                  <w14:solidFill>
                    <w14:schemeClr w14:val="tx1"/>
                  </w14:solidFill>
                </w14:textFill>
              </w:rPr>
              <w:t>t/a，</w:t>
            </w:r>
            <w:r>
              <w:rPr>
                <w:rFonts w:hint="eastAsia" w:cs="Times New Roman"/>
                <w:color w:val="000000" w:themeColor="text1"/>
                <w:lang w:val="en-US" w:eastAsia="zh-CN"/>
                <w14:textFill>
                  <w14:solidFill>
                    <w14:schemeClr w14:val="tx1"/>
                  </w14:solidFill>
                </w14:textFill>
              </w:rPr>
              <w:t>从控制温室气体和节能降碳方面</w:t>
            </w:r>
            <w:r>
              <w:rPr>
                <w:rFonts w:hint="default" w:ascii="Times New Roman" w:hAnsi="Times New Roman" w:eastAsia="宋体" w:cs="Times New Roman"/>
                <w:color w:val="000000" w:themeColor="text1"/>
                <w14:textFill>
                  <w14:solidFill>
                    <w14:schemeClr w14:val="tx1"/>
                  </w14:solidFill>
                </w14:textFill>
              </w:rPr>
              <w:t>具有</w:t>
            </w:r>
            <w:r>
              <w:rPr>
                <w:rFonts w:hint="eastAsia" w:cs="Times New Roman"/>
                <w:color w:val="000000" w:themeColor="text1"/>
                <w:lang w:val="en-US" w:eastAsia="zh-CN"/>
                <w14:textFill>
                  <w14:solidFill>
                    <w14:schemeClr w14:val="tx1"/>
                  </w14:solidFill>
                </w14:textFill>
              </w:rPr>
              <w:t>较大</w:t>
            </w:r>
            <w:r>
              <w:rPr>
                <w:rFonts w:hint="default" w:ascii="Times New Roman" w:hAnsi="Times New Roman" w:eastAsia="宋体" w:cs="Times New Roman"/>
                <w:color w:val="000000" w:themeColor="text1"/>
                <w14:textFill>
                  <w14:solidFill>
                    <w14:schemeClr w14:val="tx1"/>
                  </w14:solidFill>
                </w14:textFill>
              </w:rPr>
              <w:t>的环境正效益</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为达州市“碳中和碳达峰”绿色发展作出积极贡献。</w:t>
            </w:r>
          </w:p>
          <w:p w14:paraId="65901BF4">
            <w:pPr>
              <w:widowControl/>
              <w:spacing w:line="360" w:lineRule="auto"/>
              <w:ind w:firstLine="482" w:firstLineChars="200"/>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bidi="ar"/>
                <w14:textFill>
                  <w14:solidFill>
                    <w14:schemeClr w14:val="tx1"/>
                  </w14:solidFill>
                </w14:textFill>
              </w:rPr>
              <w:t>4.2.2废水</w:t>
            </w:r>
          </w:p>
          <w:p w14:paraId="3143D7B9">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通过前述用</w:t>
            </w:r>
            <w:r>
              <w:rPr>
                <w:rFonts w:hint="default" w:ascii="Times New Roman" w:hAnsi="Times New Roman" w:eastAsia="宋体" w:cs="Times New Roman"/>
                <w:color w:val="000000" w:themeColor="text1"/>
                <w:lang w:val="en-US" w:eastAsia="zh-CN"/>
                <w14:textFill>
                  <w14:solidFill>
                    <w14:schemeClr w14:val="tx1"/>
                  </w14:solidFill>
                </w14:textFill>
              </w:rPr>
              <w:t>排</w:t>
            </w:r>
            <w:r>
              <w:rPr>
                <w:rFonts w:hint="default" w:ascii="Times New Roman" w:hAnsi="Times New Roman" w:eastAsia="宋体" w:cs="Times New Roman"/>
                <w:color w:val="000000" w:themeColor="text1"/>
                <w14:textFill>
                  <w14:solidFill>
                    <w14:schemeClr w14:val="tx1"/>
                  </w14:solidFill>
                </w14:textFill>
              </w:rPr>
              <w:t>水量分析，</w:t>
            </w:r>
            <w:r>
              <w:rPr>
                <w:rStyle w:val="59"/>
                <w:rFonts w:hint="default" w:ascii="Times New Roman" w:hAnsi="Times New Roman" w:eastAsia="宋体" w:cs="Times New Roman"/>
                <w:color w:val="000000" w:themeColor="text1"/>
                <w:kern w:val="0"/>
                <w:sz w:val="24"/>
                <w:szCs w:val="24"/>
                <w14:textFill>
                  <w14:solidFill>
                    <w14:schemeClr w14:val="tx1"/>
                  </w14:solidFill>
                </w14:textFill>
              </w:rPr>
              <w:t>本项目涉及新增劳动定员</w:t>
            </w:r>
            <w:r>
              <w:rPr>
                <w:rStyle w:val="59"/>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8人，新增员工生活污水和原料气分离冷凝水</w:t>
            </w:r>
            <w:r>
              <w:rPr>
                <w:rStyle w:val="59"/>
                <w:rFonts w:hint="eastAsia" w:cs="Times New Roman"/>
                <w:color w:val="000000" w:themeColor="text1"/>
                <w:kern w:val="0"/>
                <w:sz w:val="24"/>
                <w:szCs w:val="24"/>
                <w:lang w:val="en-US" w:eastAsia="zh-CN"/>
                <w14:textFill>
                  <w14:solidFill>
                    <w14:schemeClr w14:val="tx1"/>
                  </w14:solidFill>
                </w14:textFill>
              </w:rPr>
              <w:t>共计</w:t>
            </w:r>
            <w:r>
              <w:rPr>
                <w:rStyle w:val="59"/>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375.01m</w:t>
            </w:r>
            <w:r>
              <w:rPr>
                <w:rStyle w:val="59"/>
                <w:rFonts w:hint="default" w:ascii="Times New Roman" w:hAnsi="Times New Roman" w:eastAsia="宋体" w:cs="Times New Roman"/>
                <w:color w:val="000000" w:themeColor="text1"/>
                <w:kern w:val="0"/>
                <w:sz w:val="24"/>
                <w:szCs w:val="24"/>
                <w:vertAlign w:val="superscript"/>
                <w:lang w:val="en-US" w:eastAsia="zh-CN"/>
                <w14:textFill>
                  <w14:solidFill>
                    <w14:schemeClr w14:val="tx1"/>
                  </w14:solidFill>
                </w14:textFill>
              </w:rPr>
              <w:t>3</w:t>
            </w:r>
            <w:r>
              <w:rPr>
                <w:rStyle w:val="59"/>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/a</w:t>
            </w:r>
            <w:r>
              <w:rPr>
                <w:rStyle w:val="59"/>
                <w:rFonts w:hint="default" w:ascii="Times New Roman" w:hAnsi="Times New Roman" w:eastAsia="宋体" w:cs="Times New Roman"/>
                <w:color w:val="000000" w:themeColor="text1"/>
                <w:kern w:val="0"/>
                <w:sz w:val="24"/>
                <w:szCs w:val="24"/>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原料气冷凝水通过装置区冷凝水管道重力排入地面新建收集坑（1口，2.5m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），从收集坑通过地下管线排放至初期雨水池，再抽至污水处理站和生活污水处理</w:t>
            </w:r>
            <w:r>
              <w:rPr>
                <w:rStyle w:val="59"/>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达到《石油化学工业污染物排放标准》（GB 31571-2015）标准、《污水综合排放标准》（GB8978-1996）三级标准和园区污水接管标准后经园区污水管网送至园区污水处理厂处理后，达《城镇污水处理厂污染物排放标准》（GB18918-2002）一级A标准后，尾水排入后河</w:t>
            </w:r>
            <w:r>
              <w:rPr>
                <w:rFonts w:hint="default" w:ascii="Times New Roman" w:hAnsi="Times New Roman" w:eastAsia="宋体" w:cs="Times New Roman"/>
                <w:color w:val="000000" w:themeColor="text1"/>
                <w14:textFill>
                  <w14:solidFill>
                    <w14:schemeClr w14:val="tx1"/>
                  </w14:solidFill>
                </w14:textFill>
              </w:rPr>
              <w:t>。</w:t>
            </w:r>
          </w:p>
          <w:p w14:paraId="17904DB5">
            <w:pPr>
              <w:pStyle w:val="457"/>
              <w:spacing w:line="360" w:lineRule="auto"/>
              <w:ind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w:t>
            </w:r>
            <w:r>
              <w:rPr>
                <w:rFonts w:hint="eastAsia" w:cs="Times New Roman"/>
                <w:color w:val="000000" w:themeColor="text1"/>
                <w:lang w:val="en-US" w:eastAsia="zh-CN"/>
                <w14:textFill>
                  <w14:solidFill>
                    <w14:schemeClr w14:val="tx1"/>
                  </w14:solidFill>
                </w14:textFill>
              </w:rPr>
              <w:t>改建</w:t>
            </w:r>
            <w:r>
              <w:rPr>
                <w:rFonts w:hint="default" w:ascii="Times New Roman" w:hAnsi="Times New Roman" w:eastAsia="宋体" w:cs="Times New Roman"/>
                <w:color w:val="000000" w:themeColor="text1"/>
                <w14:textFill>
                  <w14:solidFill>
                    <w14:schemeClr w14:val="tx1"/>
                  </w14:solidFill>
                </w14:textFill>
              </w:rPr>
              <w:t>新增管线冲洗，每年停车检修结束后开车时进行，平均每年冲洗1次，单次冲洗时间为8h，用水量为85m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，排放量约68m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次</w:t>
            </w:r>
            <w:r>
              <w:rPr>
                <w:rFonts w:hint="default" w:ascii="Times New Roman" w:hAnsi="Times New Roman" w:eastAsia="宋体" w:cs="Times New Roman"/>
                <w:color w:val="000000" w:themeColor="text1"/>
                <w14:textFill>
                  <w14:solidFill>
                    <w14:schemeClr w14:val="tx1"/>
                  </w14:solidFill>
                </w14:textFill>
              </w:rPr>
              <w:t>，废水主要含少量悬浮物（SS），废水</w:t>
            </w:r>
            <w:r>
              <w:rPr>
                <w:rFonts w:hint="eastAsia" w:cs="Times New Roman"/>
                <w:color w:val="000000" w:themeColor="text1"/>
                <w:lang w:val="en-US" w:eastAsia="zh-CN"/>
                <w14:textFill>
                  <w14:solidFill>
                    <w14:schemeClr w14:val="tx1"/>
                  </w14:solidFill>
                </w14:textFill>
              </w:rPr>
              <w:t>通过管线</w:t>
            </w:r>
            <w:r>
              <w:rPr>
                <w:rFonts w:hint="default" w:ascii="Times New Roman" w:hAnsi="Times New Roman" w:eastAsia="宋体" w:cs="Times New Roman"/>
                <w:color w:val="000000" w:themeColor="text1"/>
                <w14:textFill>
                  <w14:solidFill>
                    <w14:schemeClr w14:val="tx1"/>
                  </w14:solidFill>
                </w14:textFill>
              </w:rPr>
              <w:t>排入</w:t>
            </w:r>
            <w:r>
              <w:rPr>
                <w:rFonts w:hint="default" w:ascii="Times New Roman" w:hAnsi="Times New Roman" w:eastAsia="宋体" w:cs="Times New Roman"/>
                <w:color w:val="000000" w:themeColor="text1"/>
                <w:szCs w:val="21"/>
                <w14:textFill>
                  <w14:solidFill>
                    <w14:schemeClr w14:val="tx1"/>
                  </w14:solidFill>
                </w14:textFill>
              </w:rPr>
              <w:t>回用水站（1座，400m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/h）处理，处理达到《循环冷却水用再生水水质标准》（HG/T3923-2007）回用于循环水站，浓水送园区污水处理厂处理。</w:t>
            </w:r>
          </w:p>
          <w:p w14:paraId="0CFB58EA">
            <w:pPr>
              <w:widowControl/>
              <w:spacing w:line="360" w:lineRule="auto"/>
              <w:ind w:firstLine="480" w:firstLineChars="200"/>
              <w:rPr>
                <w:rStyle w:val="59"/>
                <w:rFonts w:hint="eastAsia" w:cs="Times New Roman"/>
                <w:b w:val="0"/>
                <w:bCs w:val="0"/>
                <w:color w:val="000000" w:themeColor="text1"/>
                <w:kern w:val="0"/>
                <w:sz w:val="24"/>
                <w:szCs w:val="24"/>
                <w:lang w:val="en-US" w:eastAsia="zh-CN"/>
                <w14:textFill>
                  <w14:solidFill>
                    <w14:schemeClr w14:val="tx1"/>
                  </w14:solidFill>
                </w14:textFill>
              </w:rPr>
            </w:pPr>
            <w:r>
              <w:rPr>
                <w:rFonts w:hint="eastAsia" w:cs="Times New Roman"/>
                <w:b w:val="0"/>
                <w:bCs w:val="0"/>
                <w:color w:val="000000" w:themeColor="text1"/>
                <w:kern w:val="0"/>
                <w:sz w:val="24"/>
                <w:lang w:val="en-US" w:eastAsia="zh-CN" w:bidi="ar"/>
                <w14:textFill>
                  <w14:solidFill>
                    <w14:schemeClr w14:val="tx1"/>
                  </w14:solidFill>
                </w14:textFill>
              </w:rPr>
              <w:t>依托</w:t>
            </w:r>
            <w:r>
              <w:rPr>
                <w:rStyle w:val="59"/>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污水处理站</w:t>
            </w:r>
            <w:r>
              <w:rPr>
                <w:rStyle w:val="59"/>
                <w:rFonts w:hint="eastAsia" w:cs="Times New Roman"/>
                <w:b w:val="0"/>
                <w:bCs w:val="0"/>
                <w:color w:val="000000" w:themeColor="text1"/>
                <w:kern w:val="0"/>
                <w:sz w:val="24"/>
                <w:szCs w:val="24"/>
                <w:lang w:val="en-US" w:eastAsia="zh-CN"/>
                <w14:textFill>
                  <w14:solidFill>
                    <w14:schemeClr w14:val="tx1"/>
                  </w14:solidFill>
                </w14:textFill>
              </w:rPr>
              <w:t>可行性分析：厂区建成2×200m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/h污水处理站，采用“高浓度废水调节池+预酸化池+高效脱氮反应器+沉淀池+初混池+综合调节池+涡凹气浮+AO+二沉池+高效沉淀池+臭氧氧化”处理后排入园区污水处理厂，主体工程核算污水最大排放量380m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/h，本次技改新增生活污水、冷凝水排放量0.0469m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/h，从处理能力和处理余量方面均依托可行。</w:t>
            </w:r>
          </w:p>
          <w:p w14:paraId="5276F350">
            <w:pPr>
              <w:widowControl/>
              <w:spacing w:line="360" w:lineRule="auto"/>
              <w:ind w:firstLine="480" w:firstLineChars="200"/>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eastAsia" w:cs="Times New Roman"/>
                <w:b w:val="0"/>
                <w:bCs w:val="0"/>
                <w:color w:val="000000" w:themeColor="text1"/>
                <w:kern w:val="0"/>
                <w:sz w:val="24"/>
                <w:lang w:val="en-US" w:eastAsia="zh-CN" w:bidi="ar"/>
                <w14:textFill>
                  <w14:solidFill>
                    <w14:schemeClr w14:val="tx1"/>
                  </w14:solidFill>
                </w14:textFill>
              </w:rPr>
              <w:t>依托</w:t>
            </w:r>
            <w:r>
              <w:rPr>
                <w:rStyle w:val="59"/>
                <w:rFonts w:hint="eastAsia" w:cs="Times New Roman"/>
                <w:b w:val="0"/>
                <w:bCs w:val="0"/>
                <w:color w:val="000000" w:themeColor="text1"/>
                <w:kern w:val="0"/>
                <w:sz w:val="24"/>
                <w:szCs w:val="24"/>
                <w:lang w:val="en-US" w:eastAsia="zh-CN"/>
                <w14:textFill>
                  <w14:solidFill>
                    <w14:schemeClr w14:val="tx1"/>
                  </w14:solidFill>
                </w14:textFill>
              </w:rPr>
              <w:t>回用</w:t>
            </w:r>
            <w:r>
              <w:rPr>
                <w:rStyle w:val="59"/>
                <w:rFonts w:hint="default" w:ascii="Times New Roman" w:hAnsi="Times New Roman" w:eastAsia="宋体" w:cs="Times New Roman"/>
                <w:b w:val="0"/>
                <w:bCs w:val="0"/>
                <w:color w:val="000000" w:themeColor="text1"/>
                <w:kern w:val="0"/>
                <w:sz w:val="24"/>
                <w:szCs w:val="24"/>
                <w:lang w:val="en-US" w:eastAsia="zh-CN"/>
                <w14:textFill>
                  <w14:solidFill>
                    <w14:schemeClr w14:val="tx1"/>
                  </w14:solidFill>
                </w14:textFill>
              </w:rPr>
              <w:t>水站</w:t>
            </w:r>
            <w:r>
              <w:rPr>
                <w:rStyle w:val="59"/>
                <w:rFonts w:hint="eastAsia" w:cs="Times New Roman"/>
                <w:b w:val="0"/>
                <w:bCs w:val="0"/>
                <w:color w:val="000000" w:themeColor="text1"/>
                <w:kern w:val="0"/>
                <w:sz w:val="24"/>
                <w:szCs w:val="24"/>
                <w:lang w:val="en-US" w:eastAsia="zh-CN"/>
                <w14:textFill>
                  <w14:solidFill>
                    <w14:schemeClr w14:val="tx1"/>
                  </w14:solidFill>
                </w14:textFill>
              </w:rPr>
              <w:t>可行性分析：厂区建成400m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回用水站，采用“废水提升泵→高密池→高密产水池→超滤给水泵→多介质过滤器→自清洗过滤器→回用水站超滤装置→超滤产水箱→回用水反渗透给水泵→保安过滤器→反渗透高压泵→回用水反渗透装置→反渗透产水箱→循环水站补水”处理，主体工程核算回用水最大排放量328.8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/h，本次技改新增回用水排放量0.068m</w:t>
            </w:r>
            <w:r>
              <w:rPr>
                <w:rStyle w:val="59"/>
                <w:rFonts w:hint="eastAsia" w:cs="Times New Roman"/>
                <w:b w:val="0"/>
                <w:bCs w:val="0"/>
                <w:color w:val="000000" w:themeColor="text1"/>
                <w:kern w:val="0"/>
                <w:sz w:val="24"/>
                <w:szCs w:val="24"/>
                <w:vertAlign w:val="superscript"/>
                <w:lang w:val="en-US" w:eastAsia="zh-CN"/>
                <w14:textFill>
                  <w14:solidFill>
                    <w14:schemeClr w14:val="tx1"/>
                  </w14:solidFill>
                </w14:textFill>
              </w:rPr>
              <w:t>3</w:t>
            </w:r>
            <w:r>
              <w:rPr>
                <w:rStyle w:val="59"/>
                <w:rFonts w:hint="eastAsia" w:cs="Times New Roman"/>
                <w:b w:val="0"/>
                <w:bCs w:val="0"/>
                <w:color w:val="000000" w:themeColor="text1"/>
                <w:kern w:val="0"/>
                <w:sz w:val="24"/>
                <w:szCs w:val="24"/>
                <w:lang w:val="en-US" w:eastAsia="zh-CN"/>
                <w14:textFill>
                  <w14:solidFill>
                    <w14:schemeClr w14:val="tx1"/>
                  </w14:solidFill>
                </w14:textFill>
              </w:rPr>
              <w:t>/h，水质简单（含少量SS），从处理能力和处理余量方面均依托可行。</w:t>
            </w:r>
          </w:p>
          <w:p w14:paraId="2A0F4CDF">
            <w:pPr>
              <w:widowControl/>
              <w:spacing w:line="360" w:lineRule="auto"/>
              <w:ind w:firstLine="482" w:firstLineChars="200"/>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bidi="ar"/>
                <w14:textFill>
                  <w14:solidFill>
                    <w14:schemeClr w14:val="tx1"/>
                  </w14:solidFill>
                </w14:textFill>
              </w:rPr>
              <w:t>4.2.3噪声</w:t>
            </w:r>
          </w:p>
          <w:p w14:paraId="7D2617D0">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 xml:space="preserve">（1）噪声产生情况 </w:t>
            </w:r>
          </w:p>
          <w:p w14:paraId="7530B554">
            <w:pPr>
              <w:pStyle w:val="42"/>
              <w:widowControl w:val="0"/>
              <w:autoSpaceDE w:val="0"/>
              <w:autoSpaceDN w:val="0"/>
              <w:adjustRightInd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项目运营期的噪声以设备噪声为主，噪声均为室外声源，主要来源于</w:t>
            </w:r>
            <w:r>
              <w:rPr>
                <w:rFonts w:hint="default" w:ascii="Times New Roman" w:hAnsi="Times New Roman" w:eastAsia="宋体" w:cs="Times New Roman"/>
                <w:color w:val="000000" w:themeColor="text1"/>
                <w:szCs w:val="21"/>
                <w14:textFill>
                  <w14:solidFill>
                    <w14:schemeClr w14:val="tx1"/>
                  </w14:solidFill>
                </w14:textFill>
              </w:rPr>
              <w:t>原料预冷器、预冷分离器、脱重塔、主冷凝器、脱轻塔</w:t>
            </w:r>
            <w:r>
              <w:rPr>
                <w:rFonts w:hint="default" w:ascii="Times New Roman" w:hAnsi="Times New Roman" w:eastAsia="宋体" w:cs="Times New Roman"/>
                <w:color w:val="000000" w:themeColor="text1"/>
                <w14:textFill>
                  <w14:solidFill>
                    <w14:schemeClr w14:val="tx1"/>
                  </w14:solidFill>
                </w14:textFill>
              </w:rPr>
              <w:t>等设备运行噪声，主要产噪设备见下表。</w:t>
            </w:r>
          </w:p>
        </w:tc>
      </w:tr>
    </w:tbl>
    <w:p w14:paraId="5910F0F5">
      <w:pPr>
        <w:pStyle w:val="14"/>
        <w:rPr>
          <w:rFonts w:hint="default" w:ascii="Times New Roman" w:hAnsi="Times New Roman" w:eastAsia="宋体" w:cs="Times New Roman"/>
          <w:color w:val="000000" w:themeColor="text1"/>
          <w14:textFill>
            <w14:solidFill>
              <w14:schemeClr w14:val="tx1"/>
            </w14:solidFill>
          </w14:textFill>
        </w:rPr>
      </w:pPr>
    </w:p>
    <w:p w14:paraId="00B5FA6C">
      <w:pPr>
        <w:pStyle w:val="42"/>
        <w:adjustRightInd w:val="0"/>
        <w:snapToGrid w:val="0"/>
        <w:spacing w:before="0" w:beforeAutospacing="0" w:after="0" w:afterAutospacing="0"/>
        <w:jc w:val="center"/>
        <w:rPr>
          <w:rFonts w:hint="default" w:ascii="Times New Roman" w:hAnsi="Times New Roman" w:eastAsia="宋体" w:cs="Times New Roman"/>
          <w:bCs/>
          <w:color w:val="000000" w:themeColor="text1"/>
          <w14:textFill>
            <w14:solidFill>
              <w14:schemeClr w14:val="tx1"/>
            </w14:solidFill>
          </w14:textFill>
        </w:rPr>
        <w:sectPr>
          <w:headerReference r:id="rId10" w:type="default"/>
          <w:footerReference r:id="rId11" w:type="default"/>
          <w:pgSz w:w="11906" w:h="16838"/>
          <w:pgMar w:top="1701" w:right="1531" w:bottom="1701" w:left="1531" w:header="851" w:footer="850" w:gutter="0"/>
          <w:cols w:space="0" w:num="1"/>
          <w:docGrid w:linePitch="312" w:charSpace="0"/>
        </w:sectPr>
      </w:pPr>
    </w:p>
    <w:p w14:paraId="7CC2884A">
      <w:pPr>
        <w:widowControl/>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表4-</w:t>
      </w: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eastAsia="宋体" w:cs="Times New Roman"/>
          <w:b/>
          <w:bCs/>
          <w:color w:val="000000" w:themeColor="text1"/>
          <w14:textFill>
            <w14:solidFill>
              <w14:schemeClr w14:val="tx1"/>
            </w14:solidFill>
          </w14:textFill>
        </w:rPr>
        <w:t xml:space="preserve">  项目运营期主要设备噪声源强调查清单（室外声源）</w:t>
      </w:r>
    </w:p>
    <w:tbl>
      <w:tblPr>
        <w:tblStyle w:val="474"/>
        <w:tblW w:w="13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1515"/>
        <w:gridCol w:w="1132"/>
        <w:gridCol w:w="1132"/>
        <w:gridCol w:w="1133"/>
        <w:gridCol w:w="1828"/>
        <w:gridCol w:w="3312"/>
        <w:gridCol w:w="2742"/>
      </w:tblGrid>
      <w:tr w14:paraId="339AF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Merge w:val="restart"/>
            <w:vAlign w:val="center"/>
          </w:tcPr>
          <w:p w14:paraId="549E6E3E">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序号</w:t>
            </w:r>
          </w:p>
        </w:tc>
        <w:tc>
          <w:tcPr>
            <w:tcW w:w="1515" w:type="dxa"/>
            <w:vMerge w:val="restart"/>
            <w:tcBorders>
              <w:right w:val="single" w:color="auto" w:sz="4" w:space="0"/>
            </w:tcBorders>
            <w:vAlign w:val="center"/>
          </w:tcPr>
          <w:p w14:paraId="216FE9F0">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声源名称</w:t>
            </w:r>
          </w:p>
        </w:tc>
        <w:tc>
          <w:tcPr>
            <w:tcW w:w="3397" w:type="dxa"/>
            <w:gridSpan w:val="3"/>
            <w:tcBorders>
              <w:left w:val="single" w:color="auto" w:sz="4" w:space="0"/>
              <w:bottom w:val="single" w:color="auto" w:sz="4" w:space="0"/>
            </w:tcBorders>
            <w:vAlign w:val="center"/>
          </w:tcPr>
          <w:p w14:paraId="5992A634">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空间相对位置/m</w:t>
            </w:r>
          </w:p>
        </w:tc>
        <w:tc>
          <w:tcPr>
            <w:tcW w:w="1828" w:type="dxa"/>
            <w:vMerge w:val="restart"/>
            <w:vAlign w:val="center"/>
          </w:tcPr>
          <w:p w14:paraId="618ED51A">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声功率级/dB（A）</w:t>
            </w:r>
          </w:p>
        </w:tc>
        <w:tc>
          <w:tcPr>
            <w:tcW w:w="3312" w:type="dxa"/>
            <w:vMerge w:val="restart"/>
            <w:vAlign w:val="center"/>
          </w:tcPr>
          <w:p w14:paraId="21E734F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声源控制措施</w:t>
            </w:r>
          </w:p>
        </w:tc>
        <w:tc>
          <w:tcPr>
            <w:tcW w:w="2742" w:type="dxa"/>
            <w:vMerge w:val="restart"/>
            <w:vAlign w:val="center"/>
          </w:tcPr>
          <w:p w14:paraId="3ECB4947">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运行时段</w:t>
            </w:r>
          </w:p>
        </w:tc>
      </w:tr>
      <w:tr w14:paraId="59C0B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Merge w:val="continue"/>
            <w:vAlign w:val="center"/>
          </w:tcPr>
          <w:p w14:paraId="216296B7">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p>
        </w:tc>
        <w:tc>
          <w:tcPr>
            <w:tcW w:w="1515" w:type="dxa"/>
            <w:vMerge w:val="continue"/>
            <w:tcBorders>
              <w:right w:val="single" w:color="auto" w:sz="4" w:space="0"/>
            </w:tcBorders>
            <w:vAlign w:val="center"/>
          </w:tcPr>
          <w:p w14:paraId="7177BA7C">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p>
        </w:tc>
        <w:tc>
          <w:tcPr>
            <w:tcW w:w="1132" w:type="dxa"/>
            <w:tcBorders>
              <w:top w:val="single" w:color="auto" w:sz="4" w:space="0"/>
              <w:left w:val="single" w:color="auto" w:sz="4" w:space="0"/>
              <w:right w:val="single" w:color="auto" w:sz="4" w:space="0"/>
            </w:tcBorders>
            <w:vAlign w:val="center"/>
          </w:tcPr>
          <w:p w14:paraId="2559527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X</w:t>
            </w:r>
          </w:p>
        </w:tc>
        <w:tc>
          <w:tcPr>
            <w:tcW w:w="1132" w:type="dxa"/>
            <w:tcBorders>
              <w:top w:val="single" w:color="auto" w:sz="4" w:space="0"/>
              <w:left w:val="single" w:color="auto" w:sz="4" w:space="0"/>
              <w:right w:val="single" w:color="auto" w:sz="4" w:space="0"/>
            </w:tcBorders>
            <w:vAlign w:val="center"/>
          </w:tcPr>
          <w:p w14:paraId="34AA797F">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Y</w:t>
            </w:r>
          </w:p>
        </w:tc>
        <w:tc>
          <w:tcPr>
            <w:tcW w:w="1133" w:type="dxa"/>
            <w:tcBorders>
              <w:top w:val="single" w:color="auto" w:sz="4" w:space="0"/>
              <w:left w:val="single" w:color="auto" w:sz="4" w:space="0"/>
            </w:tcBorders>
            <w:vAlign w:val="center"/>
          </w:tcPr>
          <w:p w14:paraId="1483A25E">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Z</w:t>
            </w:r>
          </w:p>
        </w:tc>
        <w:tc>
          <w:tcPr>
            <w:tcW w:w="1828" w:type="dxa"/>
            <w:vMerge w:val="continue"/>
            <w:vAlign w:val="center"/>
          </w:tcPr>
          <w:p w14:paraId="184A008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p>
        </w:tc>
        <w:tc>
          <w:tcPr>
            <w:tcW w:w="3312" w:type="dxa"/>
            <w:vMerge w:val="continue"/>
            <w:vAlign w:val="center"/>
          </w:tcPr>
          <w:p w14:paraId="2DAED16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p>
        </w:tc>
        <w:tc>
          <w:tcPr>
            <w:tcW w:w="2742" w:type="dxa"/>
            <w:vMerge w:val="continue"/>
            <w:vAlign w:val="center"/>
          </w:tcPr>
          <w:p w14:paraId="49E8A1A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p>
        </w:tc>
      </w:tr>
      <w:tr w14:paraId="35858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Align w:val="center"/>
          </w:tcPr>
          <w:p w14:paraId="0162B2E4">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1</w:t>
            </w:r>
          </w:p>
        </w:tc>
        <w:tc>
          <w:tcPr>
            <w:tcW w:w="1515" w:type="dxa"/>
            <w:tcBorders>
              <w:right w:val="single" w:color="auto" w:sz="4" w:space="0"/>
            </w:tcBorders>
            <w:vAlign w:val="center"/>
          </w:tcPr>
          <w:p w14:paraId="74371D93">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原料预冷器</w:t>
            </w:r>
          </w:p>
        </w:tc>
        <w:tc>
          <w:tcPr>
            <w:tcW w:w="1132" w:type="dxa"/>
            <w:tcBorders>
              <w:left w:val="single" w:color="auto" w:sz="4" w:space="0"/>
              <w:right w:val="single" w:color="auto" w:sz="4" w:space="0"/>
            </w:tcBorders>
            <w:vAlign w:val="center"/>
          </w:tcPr>
          <w:p w14:paraId="54AFDD15">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260</w:t>
            </w:r>
          </w:p>
        </w:tc>
        <w:tc>
          <w:tcPr>
            <w:tcW w:w="1132" w:type="dxa"/>
            <w:tcBorders>
              <w:left w:val="single" w:color="auto" w:sz="4" w:space="0"/>
              <w:right w:val="single" w:color="auto" w:sz="4" w:space="0"/>
            </w:tcBorders>
            <w:vAlign w:val="center"/>
          </w:tcPr>
          <w:p w14:paraId="01479F0B">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716</w:t>
            </w:r>
          </w:p>
        </w:tc>
        <w:tc>
          <w:tcPr>
            <w:tcW w:w="1133" w:type="dxa"/>
            <w:tcBorders>
              <w:left w:val="single" w:color="auto" w:sz="4" w:space="0"/>
            </w:tcBorders>
            <w:vAlign w:val="center"/>
          </w:tcPr>
          <w:p w14:paraId="76DE0033">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2.5</w:t>
            </w:r>
          </w:p>
        </w:tc>
        <w:tc>
          <w:tcPr>
            <w:tcW w:w="1828" w:type="dxa"/>
            <w:vAlign w:val="center"/>
          </w:tcPr>
          <w:p w14:paraId="32294CE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75</w:t>
            </w:r>
          </w:p>
        </w:tc>
        <w:tc>
          <w:tcPr>
            <w:tcW w:w="3312" w:type="dxa"/>
            <w:vAlign w:val="center"/>
          </w:tcPr>
          <w:p w14:paraId="15E30E6C">
            <w:pPr>
              <w:autoSpaceDE w:val="0"/>
              <w:ind w:left="42" w:leftChars="20" w:right="42" w:rightChars="20"/>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vAlign w:val="center"/>
          </w:tcPr>
          <w:p w14:paraId="2DD753C8">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793C6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Align w:val="center"/>
          </w:tcPr>
          <w:p w14:paraId="30BB82B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2</w:t>
            </w:r>
          </w:p>
        </w:tc>
        <w:tc>
          <w:tcPr>
            <w:tcW w:w="1515" w:type="dxa"/>
            <w:tcBorders>
              <w:right w:val="single" w:color="auto" w:sz="4" w:space="0"/>
            </w:tcBorders>
            <w:vAlign w:val="center"/>
          </w:tcPr>
          <w:p w14:paraId="0E22D055">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预冷分离器</w:t>
            </w:r>
          </w:p>
        </w:tc>
        <w:tc>
          <w:tcPr>
            <w:tcW w:w="1132" w:type="dxa"/>
            <w:tcBorders>
              <w:left w:val="single" w:color="auto" w:sz="4" w:space="0"/>
              <w:right w:val="single" w:color="auto" w:sz="4" w:space="0"/>
            </w:tcBorders>
            <w:vAlign w:val="center"/>
          </w:tcPr>
          <w:p w14:paraId="7CD00A55">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265</w:t>
            </w:r>
          </w:p>
        </w:tc>
        <w:tc>
          <w:tcPr>
            <w:tcW w:w="1132" w:type="dxa"/>
            <w:tcBorders>
              <w:left w:val="single" w:color="auto" w:sz="4" w:space="0"/>
              <w:right w:val="single" w:color="auto" w:sz="4" w:space="0"/>
            </w:tcBorders>
            <w:vAlign w:val="center"/>
          </w:tcPr>
          <w:p w14:paraId="71BECBDD">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718</w:t>
            </w:r>
          </w:p>
        </w:tc>
        <w:tc>
          <w:tcPr>
            <w:tcW w:w="1133" w:type="dxa"/>
            <w:tcBorders>
              <w:left w:val="single" w:color="auto" w:sz="4" w:space="0"/>
            </w:tcBorders>
            <w:vAlign w:val="center"/>
          </w:tcPr>
          <w:p w14:paraId="4CE929BC">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3.8</w:t>
            </w:r>
          </w:p>
        </w:tc>
        <w:tc>
          <w:tcPr>
            <w:tcW w:w="1828" w:type="dxa"/>
            <w:vAlign w:val="center"/>
          </w:tcPr>
          <w:p w14:paraId="0E1245E9">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75</w:t>
            </w:r>
          </w:p>
        </w:tc>
        <w:tc>
          <w:tcPr>
            <w:tcW w:w="3312" w:type="dxa"/>
            <w:vAlign w:val="center"/>
          </w:tcPr>
          <w:p w14:paraId="2DE7507B">
            <w:pPr>
              <w:autoSpaceDE w:val="0"/>
              <w:ind w:left="42" w:leftChars="20" w:right="42" w:rightChars="20"/>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vAlign w:val="center"/>
          </w:tcPr>
          <w:p w14:paraId="0D1ED67A">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6F7A7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Align w:val="center"/>
          </w:tcPr>
          <w:p w14:paraId="43D79F2B">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3</w:t>
            </w:r>
          </w:p>
        </w:tc>
        <w:tc>
          <w:tcPr>
            <w:tcW w:w="1515" w:type="dxa"/>
            <w:tcBorders>
              <w:right w:val="single" w:color="auto" w:sz="4" w:space="0"/>
            </w:tcBorders>
            <w:vAlign w:val="center"/>
          </w:tcPr>
          <w:p w14:paraId="0F45A3B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脱重塔</w:t>
            </w:r>
          </w:p>
        </w:tc>
        <w:tc>
          <w:tcPr>
            <w:tcW w:w="1132" w:type="dxa"/>
            <w:tcBorders>
              <w:left w:val="single" w:color="auto" w:sz="4" w:space="0"/>
              <w:right w:val="single" w:color="auto" w:sz="4" w:space="0"/>
            </w:tcBorders>
            <w:vAlign w:val="center"/>
          </w:tcPr>
          <w:p w14:paraId="4A60EA45">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258</w:t>
            </w:r>
          </w:p>
        </w:tc>
        <w:tc>
          <w:tcPr>
            <w:tcW w:w="1132" w:type="dxa"/>
            <w:tcBorders>
              <w:left w:val="single" w:color="auto" w:sz="4" w:space="0"/>
              <w:right w:val="single" w:color="auto" w:sz="4" w:space="0"/>
            </w:tcBorders>
            <w:vAlign w:val="center"/>
          </w:tcPr>
          <w:p w14:paraId="406350EB">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702</w:t>
            </w:r>
          </w:p>
        </w:tc>
        <w:tc>
          <w:tcPr>
            <w:tcW w:w="1133" w:type="dxa"/>
            <w:tcBorders>
              <w:left w:val="single" w:color="auto" w:sz="4" w:space="0"/>
            </w:tcBorders>
            <w:vAlign w:val="center"/>
          </w:tcPr>
          <w:p w14:paraId="2B133980">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4.0</w:t>
            </w:r>
          </w:p>
        </w:tc>
        <w:tc>
          <w:tcPr>
            <w:tcW w:w="1828" w:type="dxa"/>
            <w:vAlign w:val="center"/>
          </w:tcPr>
          <w:p w14:paraId="73FC92F0">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70</w:t>
            </w:r>
          </w:p>
        </w:tc>
        <w:tc>
          <w:tcPr>
            <w:tcW w:w="3312" w:type="dxa"/>
            <w:vAlign w:val="center"/>
          </w:tcPr>
          <w:p w14:paraId="1CDF6779">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基础减振、距离衰减</w:t>
            </w:r>
          </w:p>
        </w:tc>
        <w:tc>
          <w:tcPr>
            <w:tcW w:w="2742" w:type="dxa"/>
            <w:vAlign w:val="center"/>
          </w:tcPr>
          <w:p w14:paraId="33B11178">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04109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Align w:val="center"/>
          </w:tcPr>
          <w:p w14:paraId="79DFE8A3">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4</w:t>
            </w:r>
          </w:p>
        </w:tc>
        <w:tc>
          <w:tcPr>
            <w:tcW w:w="1515" w:type="dxa"/>
            <w:tcBorders>
              <w:right w:val="single" w:color="auto" w:sz="4" w:space="0"/>
            </w:tcBorders>
            <w:vAlign w:val="center"/>
          </w:tcPr>
          <w:p w14:paraId="5C52FEFF">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主冷凝器</w:t>
            </w:r>
          </w:p>
        </w:tc>
        <w:tc>
          <w:tcPr>
            <w:tcW w:w="1132" w:type="dxa"/>
            <w:tcBorders>
              <w:left w:val="single" w:color="auto" w:sz="4" w:space="0"/>
              <w:right w:val="single" w:color="auto" w:sz="4" w:space="0"/>
            </w:tcBorders>
            <w:vAlign w:val="center"/>
          </w:tcPr>
          <w:p w14:paraId="17666C25">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265</w:t>
            </w:r>
          </w:p>
        </w:tc>
        <w:tc>
          <w:tcPr>
            <w:tcW w:w="1132" w:type="dxa"/>
            <w:tcBorders>
              <w:left w:val="single" w:color="auto" w:sz="4" w:space="0"/>
              <w:right w:val="single" w:color="auto" w:sz="4" w:space="0"/>
            </w:tcBorders>
            <w:vAlign w:val="center"/>
          </w:tcPr>
          <w:p w14:paraId="3A2385E3">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727</w:t>
            </w:r>
          </w:p>
        </w:tc>
        <w:tc>
          <w:tcPr>
            <w:tcW w:w="1133" w:type="dxa"/>
            <w:tcBorders>
              <w:left w:val="single" w:color="auto" w:sz="4" w:space="0"/>
            </w:tcBorders>
            <w:vAlign w:val="center"/>
          </w:tcPr>
          <w:p w14:paraId="2FC7B191">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3.0</w:t>
            </w:r>
          </w:p>
        </w:tc>
        <w:tc>
          <w:tcPr>
            <w:tcW w:w="1828" w:type="dxa"/>
            <w:vAlign w:val="center"/>
          </w:tcPr>
          <w:p w14:paraId="7572D1FA">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75</w:t>
            </w:r>
          </w:p>
        </w:tc>
        <w:tc>
          <w:tcPr>
            <w:tcW w:w="3312" w:type="dxa"/>
            <w:vAlign w:val="center"/>
          </w:tcPr>
          <w:p w14:paraId="619D8D74">
            <w:pPr>
              <w:autoSpaceDE w:val="0"/>
              <w:ind w:left="42" w:leftChars="20" w:right="42" w:rightChars="20"/>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vAlign w:val="center"/>
          </w:tcPr>
          <w:p w14:paraId="3138BD28">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46D9F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 w:hRule="atLeast"/>
          <w:jc w:val="center"/>
        </w:trPr>
        <w:tc>
          <w:tcPr>
            <w:tcW w:w="723" w:type="dxa"/>
            <w:tcBorders>
              <w:bottom w:val="single" w:color="auto" w:sz="4" w:space="0"/>
            </w:tcBorders>
            <w:vAlign w:val="center"/>
          </w:tcPr>
          <w:p w14:paraId="11E4FCCE">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5</w:t>
            </w:r>
          </w:p>
        </w:tc>
        <w:tc>
          <w:tcPr>
            <w:tcW w:w="1515" w:type="dxa"/>
            <w:tcBorders>
              <w:bottom w:val="single" w:color="auto" w:sz="4" w:space="0"/>
              <w:right w:val="single" w:color="auto" w:sz="4" w:space="0"/>
            </w:tcBorders>
            <w:vAlign w:val="center"/>
          </w:tcPr>
          <w:p w14:paraId="1681146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脱轻塔</w:t>
            </w:r>
          </w:p>
        </w:tc>
        <w:tc>
          <w:tcPr>
            <w:tcW w:w="1132" w:type="dxa"/>
            <w:tcBorders>
              <w:left w:val="single" w:color="auto" w:sz="4" w:space="0"/>
              <w:bottom w:val="single" w:color="auto" w:sz="4" w:space="0"/>
              <w:right w:val="single" w:color="auto" w:sz="4" w:space="0"/>
            </w:tcBorders>
            <w:vAlign w:val="center"/>
          </w:tcPr>
          <w:p w14:paraId="0040FAF9">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270</w:t>
            </w:r>
          </w:p>
        </w:tc>
        <w:tc>
          <w:tcPr>
            <w:tcW w:w="1132" w:type="dxa"/>
            <w:tcBorders>
              <w:left w:val="single" w:color="auto" w:sz="4" w:space="0"/>
              <w:bottom w:val="single" w:color="auto" w:sz="4" w:space="0"/>
              <w:right w:val="single" w:color="auto" w:sz="4" w:space="0"/>
            </w:tcBorders>
            <w:vAlign w:val="center"/>
          </w:tcPr>
          <w:p w14:paraId="5C1D51E4">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738</w:t>
            </w:r>
          </w:p>
        </w:tc>
        <w:tc>
          <w:tcPr>
            <w:tcW w:w="1133" w:type="dxa"/>
            <w:tcBorders>
              <w:left w:val="single" w:color="auto" w:sz="4" w:space="0"/>
              <w:bottom w:val="single" w:color="auto" w:sz="4" w:space="0"/>
            </w:tcBorders>
            <w:vAlign w:val="center"/>
          </w:tcPr>
          <w:p w14:paraId="493D5EBB">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4.0</w:t>
            </w:r>
          </w:p>
        </w:tc>
        <w:tc>
          <w:tcPr>
            <w:tcW w:w="1828" w:type="dxa"/>
            <w:tcBorders>
              <w:bottom w:val="single" w:color="auto" w:sz="4" w:space="0"/>
            </w:tcBorders>
            <w:vAlign w:val="center"/>
          </w:tcPr>
          <w:p w14:paraId="1B8F015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75</w:t>
            </w:r>
          </w:p>
        </w:tc>
        <w:tc>
          <w:tcPr>
            <w:tcW w:w="3312" w:type="dxa"/>
            <w:tcBorders>
              <w:bottom w:val="single" w:color="auto" w:sz="4" w:space="0"/>
            </w:tcBorders>
            <w:vAlign w:val="center"/>
          </w:tcPr>
          <w:p w14:paraId="5448A537">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基础减振、距离衰减</w:t>
            </w:r>
          </w:p>
        </w:tc>
        <w:tc>
          <w:tcPr>
            <w:tcW w:w="2742" w:type="dxa"/>
            <w:tcBorders>
              <w:bottom w:val="single" w:color="auto" w:sz="4" w:space="0"/>
            </w:tcBorders>
            <w:vAlign w:val="center"/>
          </w:tcPr>
          <w:p w14:paraId="5077AFB2">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06403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 w:hRule="atLeast"/>
          <w:jc w:val="center"/>
        </w:trPr>
        <w:tc>
          <w:tcPr>
            <w:tcW w:w="723" w:type="dxa"/>
            <w:tcBorders>
              <w:top w:val="single" w:color="auto" w:sz="4" w:space="0"/>
              <w:bottom w:val="single" w:color="auto" w:sz="4" w:space="0"/>
            </w:tcBorders>
            <w:vAlign w:val="center"/>
          </w:tcPr>
          <w:p w14:paraId="641E1C3A">
            <w:pPr>
              <w:autoSpaceDE w:val="0"/>
              <w:ind w:left="42" w:leftChars="20" w:right="42" w:rightChars="20"/>
              <w:jc w:val="center"/>
              <w:rPr>
                <w:rFonts w:hint="default" w:ascii="Times New Roman" w:hAnsi="Times New Roman" w:eastAsia="宋体" w:cs="Times New Roman"/>
                <w:color w:val="000000" w:themeColor="text1"/>
                <w:kern w:val="2"/>
                <w:sz w:val="21"/>
                <w:szCs w:val="21"/>
                <w:lang w:val="en-US"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6</w:t>
            </w:r>
          </w:p>
        </w:tc>
        <w:tc>
          <w:tcPr>
            <w:tcW w:w="1515" w:type="dxa"/>
            <w:tcBorders>
              <w:top w:val="single" w:color="auto" w:sz="4" w:space="0"/>
              <w:bottom w:val="single" w:color="auto" w:sz="4" w:space="0"/>
              <w:right w:val="single" w:color="auto" w:sz="4" w:space="0"/>
            </w:tcBorders>
            <w:vAlign w:val="center"/>
          </w:tcPr>
          <w:p w14:paraId="42F0BFC9">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过冷器</w:t>
            </w:r>
          </w:p>
        </w:tc>
        <w:tc>
          <w:tcPr>
            <w:tcW w:w="1132" w:type="dxa"/>
            <w:tcBorders>
              <w:top w:val="single" w:color="auto" w:sz="4" w:space="0"/>
              <w:left w:val="single" w:color="auto" w:sz="4" w:space="0"/>
              <w:bottom w:val="single" w:color="auto" w:sz="4" w:space="0"/>
              <w:right w:val="single" w:color="auto" w:sz="4" w:space="0"/>
            </w:tcBorders>
            <w:vAlign w:val="center"/>
          </w:tcPr>
          <w:p w14:paraId="3CF26BFC">
            <w:pPr>
              <w:autoSpaceDE w:val="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271</w:t>
            </w:r>
          </w:p>
        </w:tc>
        <w:tc>
          <w:tcPr>
            <w:tcW w:w="1132" w:type="dxa"/>
            <w:tcBorders>
              <w:top w:val="single" w:color="auto" w:sz="4" w:space="0"/>
              <w:left w:val="single" w:color="auto" w:sz="4" w:space="0"/>
              <w:bottom w:val="single" w:color="auto" w:sz="4" w:space="0"/>
              <w:right w:val="single" w:color="auto" w:sz="4" w:space="0"/>
            </w:tcBorders>
            <w:vAlign w:val="center"/>
          </w:tcPr>
          <w:p w14:paraId="6460C1A0">
            <w:pPr>
              <w:autoSpaceDE w:val="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740</w:t>
            </w:r>
          </w:p>
        </w:tc>
        <w:tc>
          <w:tcPr>
            <w:tcW w:w="1133" w:type="dxa"/>
            <w:tcBorders>
              <w:top w:val="single" w:color="auto" w:sz="4" w:space="0"/>
              <w:left w:val="single" w:color="auto" w:sz="4" w:space="0"/>
              <w:bottom w:val="single" w:color="auto" w:sz="4" w:space="0"/>
            </w:tcBorders>
            <w:vAlign w:val="center"/>
          </w:tcPr>
          <w:p w14:paraId="6E01AFAA">
            <w:pPr>
              <w:autoSpaceDE w:val="0"/>
              <w:ind w:left="42" w:leftChars="20" w:right="42" w:rightChars="2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3.2</w:t>
            </w:r>
          </w:p>
        </w:tc>
        <w:tc>
          <w:tcPr>
            <w:tcW w:w="1828" w:type="dxa"/>
            <w:tcBorders>
              <w:top w:val="single" w:color="auto" w:sz="4" w:space="0"/>
              <w:bottom w:val="single" w:color="auto" w:sz="4" w:space="0"/>
            </w:tcBorders>
            <w:vAlign w:val="center"/>
          </w:tcPr>
          <w:p w14:paraId="6B8B0336">
            <w:pPr>
              <w:autoSpaceDE w:val="0"/>
              <w:ind w:left="42" w:leftChars="20" w:right="42" w:rightChars="20"/>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75</w:t>
            </w:r>
          </w:p>
        </w:tc>
        <w:tc>
          <w:tcPr>
            <w:tcW w:w="3312" w:type="dxa"/>
            <w:tcBorders>
              <w:top w:val="single" w:color="auto" w:sz="4" w:space="0"/>
              <w:bottom w:val="single" w:color="auto" w:sz="4" w:space="0"/>
            </w:tcBorders>
            <w:vAlign w:val="center"/>
          </w:tcPr>
          <w:p w14:paraId="51879D72">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基础减振、距离衰减</w:t>
            </w:r>
          </w:p>
        </w:tc>
        <w:tc>
          <w:tcPr>
            <w:tcW w:w="2742" w:type="dxa"/>
            <w:tcBorders>
              <w:top w:val="single" w:color="auto" w:sz="4" w:space="0"/>
              <w:bottom w:val="single" w:color="auto" w:sz="4" w:space="0"/>
            </w:tcBorders>
            <w:vAlign w:val="center"/>
          </w:tcPr>
          <w:p w14:paraId="4D529A59">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11ABE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jc w:val="center"/>
        </w:trPr>
        <w:tc>
          <w:tcPr>
            <w:tcW w:w="723" w:type="dxa"/>
            <w:tcBorders>
              <w:top w:val="single" w:color="auto" w:sz="4" w:space="0"/>
            </w:tcBorders>
            <w:vAlign w:val="center"/>
          </w:tcPr>
          <w:p w14:paraId="6CF20A80">
            <w:pPr>
              <w:autoSpaceDE w:val="0"/>
              <w:ind w:left="42" w:leftChars="20" w:right="42" w:rightChars="20"/>
              <w:jc w:val="center"/>
              <w:rPr>
                <w:rFonts w:hint="default" w:ascii="Times New Roman" w:hAnsi="Times New Roman" w:eastAsia="宋体" w:cs="Times New Roman"/>
                <w:color w:val="000000" w:themeColor="text1"/>
                <w:kern w:val="2"/>
                <w:sz w:val="21"/>
                <w:szCs w:val="21"/>
                <w:lang w:val="en-US"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w:t>
            </w:r>
          </w:p>
        </w:tc>
        <w:tc>
          <w:tcPr>
            <w:tcW w:w="1515" w:type="dxa"/>
            <w:tcBorders>
              <w:top w:val="single" w:color="auto" w:sz="4" w:space="0"/>
              <w:right w:val="single" w:color="auto" w:sz="4" w:space="0"/>
            </w:tcBorders>
            <w:vAlign w:val="center"/>
          </w:tcPr>
          <w:p w14:paraId="78A4B3B8">
            <w:pPr>
              <w:autoSpaceDE w:val="0"/>
              <w:ind w:left="42" w:leftChars="20" w:right="42" w:rightChars="20"/>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水冷分离器</w:t>
            </w:r>
          </w:p>
        </w:tc>
        <w:tc>
          <w:tcPr>
            <w:tcW w:w="1132" w:type="dxa"/>
            <w:tcBorders>
              <w:top w:val="single" w:color="auto" w:sz="4" w:space="0"/>
              <w:left w:val="single" w:color="auto" w:sz="4" w:space="0"/>
              <w:right w:val="single" w:color="auto" w:sz="4" w:space="0"/>
            </w:tcBorders>
            <w:vAlign w:val="center"/>
          </w:tcPr>
          <w:p w14:paraId="29FB59CF">
            <w:pPr>
              <w:autoSpaceDE w:val="0"/>
              <w:ind w:left="42" w:leftChars="20" w:right="42" w:rightChars="2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262</w:t>
            </w:r>
          </w:p>
        </w:tc>
        <w:tc>
          <w:tcPr>
            <w:tcW w:w="1132" w:type="dxa"/>
            <w:tcBorders>
              <w:top w:val="single" w:color="auto" w:sz="4" w:space="0"/>
              <w:left w:val="single" w:color="auto" w:sz="4" w:space="0"/>
              <w:right w:val="single" w:color="auto" w:sz="4" w:space="0"/>
            </w:tcBorders>
            <w:vAlign w:val="center"/>
          </w:tcPr>
          <w:p w14:paraId="4728D21F">
            <w:pPr>
              <w:autoSpaceDE w:val="0"/>
              <w:ind w:left="42" w:leftChars="20" w:right="42" w:rightChars="2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716</w:t>
            </w:r>
          </w:p>
        </w:tc>
        <w:tc>
          <w:tcPr>
            <w:tcW w:w="1133" w:type="dxa"/>
            <w:tcBorders>
              <w:top w:val="single" w:color="auto" w:sz="4" w:space="0"/>
              <w:left w:val="single" w:color="auto" w:sz="4" w:space="0"/>
            </w:tcBorders>
            <w:vAlign w:val="center"/>
          </w:tcPr>
          <w:p w14:paraId="7ABCBAC8">
            <w:pPr>
              <w:autoSpaceDE w:val="0"/>
              <w:ind w:left="42" w:leftChars="20" w:right="42" w:rightChars="2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2.5</w:t>
            </w:r>
          </w:p>
        </w:tc>
        <w:tc>
          <w:tcPr>
            <w:tcW w:w="1828" w:type="dxa"/>
            <w:tcBorders>
              <w:top w:val="single" w:color="auto" w:sz="4" w:space="0"/>
            </w:tcBorders>
            <w:vAlign w:val="center"/>
          </w:tcPr>
          <w:p w14:paraId="355E823F">
            <w:pPr>
              <w:autoSpaceDE w:val="0"/>
              <w:ind w:left="42" w:leftChars="20" w:right="42" w:rightChars="20"/>
              <w:jc w:val="center"/>
              <w:rPr>
                <w:rFonts w:hint="default"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75</w:t>
            </w:r>
          </w:p>
        </w:tc>
        <w:tc>
          <w:tcPr>
            <w:tcW w:w="3312" w:type="dxa"/>
            <w:tcBorders>
              <w:top w:val="single" w:color="auto" w:sz="4" w:space="0"/>
            </w:tcBorders>
            <w:vAlign w:val="center"/>
          </w:tcPr>
          <w:p w14:paraId="7BD12D5D">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tcBorders>
              <w:top w:val="single" w:color="auto" w:sz="4" w:space="0"/>
            </w:tcBorders>
            <w:vAlign w:val="center"/>
          </w:tcPr>
          <w:p w14:paraId="12C95C41">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00289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23" w:type="dxa"/>
            <w:vAlign w:val="center"/>
          </w:tcPr>
          <w:p w14:paraId="5DFA7FFD">
            <w:pPr>
              <w:autoSpaceDE w:val="0"/>
              <w:ind w:left="42" w:leftChars="20" w:right="42" w:rightChars="20"/>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8</w:t>
            </w:r>
          </w:p>
        </w:tc>
        <w:tc>
          <w:tcPr>
            <w:tcW w:w="1515" w:type="dxa"/>
            <w:tcBorders>
              <w:right w:val="single" w:color="auto" w:sz="4" w:space="0"/>
            </w:tcBorders>
            <w:vAlign w:val="center"/>
          </w:tcPr>
          <w:p w14:paraId="10A82B10">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冰机1</w:t>
            </w:r>
          </w:p>
        </w:tc>
        <w:tc>
          <w:tcPr>
            <w:tcW w:w="1132" w:type="dxa"/>
            <w:tcBorders>
              <w:left w:val="single" w:color="auto" w:sz="4" w:space="0"/>
              <w:right w:val="single" w:color="auto" w:sz="4" w:space="0"/>
            </w:tcBorders>
            <w:vAlign w:val="center"/>
          </w:tcPr>
          <w:p w14:paraId="1D547340">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272</w:t>
            </w:r>
          </w:p>
        </w:tc>
        <w:tc>
          <w:tcPr>
            <w:tcW w:w="1132" w:type="dxa"/>
            <w:tcBorders>
              <w:left w:val="single" w:color="auto" w:sz="4" w:space="0"/>
              <w:right w:val="single" w:color="auto" w:sz="4" w:space="0"/>
            </w:tcBorders>
            <w:vAlign w:val="center"/>
          </w:tcPr>
          <w:p w14:paraId="6C538D72">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740</w:t>
            </w:r>
          </w:p>
        </w:tc>
        <w:tc>
          <w:tcPr>
            <w:tcW w:w="1133" w:type="dxa"/>
            <w:tcBorders>
              <w:left w:val="single" w:color="auto" w:sz="4" w:space="0"/>
            </w:tcBorders>
            <w:vAlign w:val="center"/>
          </w:tcPr>
          <w:p w14:paraId="11C35602">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0.5</w:t>
            </w:r>
          </w:p>
        </w:tc>
        <w:tc>
          <w:tcPr>
            <w:tcW w:w="1828" w:type="dxa"/>
            <w:vAlign w:val="center"/>
          </w:tcPr>
          <w:p w14:paraId="6F0F7F39">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70</w:t>
            </w:r>
          </w:p>
        </w:tc>
        <w:tc>
          <w:tcPr>
            <w:tcW w:w="3312" w:type="dxa"/>
            <w:vAlign w:val="center"/>
          </w:tcPr>
          <w:p w14:paraId="13E887D2">
            <w:pPr>
              <w:autoSpaceDE w:val="0"/>
              <w:ind w:left="42" w:leftChars="20" w:right="42" w:rightChars="20"/>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vAlign w:val="center"/>
          </w:tcPr>
          <w:p w14:paraId="75ABAAA9">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7F8E5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 w:hRule="atLeast"/>
          <w:jc w:val="center"/>
        </w:trPr>
        <w:tc>
          <w:tcPr>
            <w:tcW w:w="723" w:type="dxa"/>
            <w:tcBorders>
              <w:bottom w:val="single" w:color="auto" w:sz="4" w:space="0"/>
            </w:tcBorders>
            <w:vAlign w:val="center"/>
          </w:tcPr>
          <w:p w14:paraId="6CF47D96">
            <w:pPr>
              <w:autoSpaceDE w:val="0"/>
              <w:ind w:left="42" w:leftChars="20" w:right="42" w:rightChars="20"/>
              <w:jc w:val="center"/>
              <w:rPr>
                <w:rFonts w:hint="eastAsia"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9</w:t>
            </w:r>
          </w:p>
        </w:tc>
        <w:tc>
          <w:tcPr>
            <w:tcW w:w="1515" w:type="dxa"/>
            <w:tcBorders>
              <w:bottom w:val="single" w:color="auto" w:sz="4" w:space="0"/>
              <w:right w:val="single" w:color="auto" w:sz="4" w:space="0"/>
            </w:tcBorders>
            <w:vAlign w:val="center"/>
          </w:tcPr>
          <w:p w14:paraId="484FBB1F">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冰机2</w:t>
            </w:r>
          </w:p>
        </w:tc>
        <w:tc>
          <w:tcPr>
            <w:tcW w:w="1132" w:type="dxa"/>
            <w:tcBorders>
              <w:left w:val="single" w:color="auto" w:sz="4" w:space="0"/>
              <w:bottom w:val="single" w:color="auto" w:sz="4" w:space="0"/>
              <w:right w:val="single" w:color="auto" w:sz="4" w:space="0"/>
            </w:tcBorders>
            <w:vAlign w:val="center"/>
          </w:tcPr>
          <w:p w14:paraId="3F3D0238">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272</w:t>
            </w:r>
          </w:p>
        </w:tc>
        <w:tc>
          <w:tcPr>
            <w:tcW w:w="1132" w:type="dxa"/>
            <w:tcBorders>
              <w:left w:val="single" w:color="auto" w:sz="4" w:space="0"/>
              <w:bottom w:val="single" w:color="auto" w:sz="4" w:space="0"/>
              <w:right w:val="single" w:color="auto" w:sz="4" w:space="0"/>
            </w:tcBorders>
            <w:vAlign w:val="center"/>
          </w:tcPr>
          <w:p w14:paraId="1DE01AD5">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742</w:t>
            </w:r>
          </w:p>
        </w:tc>
        <w:tc>
          <w:tcPr>
            <w:tcW w:w="1133" w:type="dxa"/>
            <w:tcBorders>
              <w:left w:val="single" w:color="auto" w:sz="4" w:space="0"/>
              <w:bottom w:val="single" w:color="auto" w:sz="4" w:space="0"/>
            </w:tcBorders>
            <w:vAlign w:val="center"/>
          </w:tcPr>
          <w:p w14:paraId="789C0489">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0.5</w:t>
            </w:r>
          </w:p>
        </w:tc>
        <w:tc>
          <w:tcPr>
            <w:tcW w:w="1828" w:type="dxa"/>
            <w:tcBorders>
              <w:bottom w:val="single" w:color="auto" w:sz="4" w:space="0"/>
            </w:tcBorders>
            <w:vAlign w:val="center"/>
          </w:tcPr>
          <w:p w14:paraId="4D9FC51B">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70</w:t>
            </w:r>
          </w:p>
        </w:tc>
        <w:tc>
          <w:tcPr>
            <w:tcW w:w="3312" w:type="dxa"/>
            <w:tcBorders>
              <w:bottom w:val="single" w:color="auto" w:sz="4" w:space="0"/>
            </w:tcBorders>
            <w:vAlign w:val="center"/>
          </w:tcPr>
          <w:p w14:paraId="34028047">
            <w:pPr>
              <w:autoSpaceDE w:val="0"/>
              <w:ind w:left="42" w:leftChars="20" w:right="42" w:rightChars="20"/>
              <w:jc w:val="center"/>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tcBorders>
              <w:bottom w:val="single" w:color="auto" w:sz="4" w:space="0"/>
            </w:tcBorders>
            <w:vAlign w:val="center"/>
          </w:tcPr>
          <w:p w14:paraId="328DABBC">
            <w:pPr>
              <w:autoSpaceDE w:val="0"/>
              <w:ind w:left="42" w:leftChars="20" w:right="42" w:rightChars="20"/>
              <w:jc w:val="center"/>
              <w:rPr>
                <w:rFonts w:hint="default" w:ascii="Times New Roman" w:hAnsi="Times New Roman" w:eastAsia="宋体" w:cs="Times New Roman"/>
                <w:color w:val="000000" w:themeColor="text1"/>
                <w:szCs w:val="21"/>
                <w:lang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03C73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 w:hRule="atLeast"/>
          <w:jc w:val="center"/>
        </w:trPr>
        <w:tc>
          <w:tcPr>
            <w:tcW w:w="723" w:type="dxa"/>
            <w:tcBorders>
              <w:top w:val="single" w:color="auto" w:sz="4" w:space="0"/>
            </w:tcBorders>
            <w:vAlign w:val="center"/>
          </w:tcPr>
          <w:p w14:paraId="04BCE9E7">
            <w:pPr>
              <w:autoSpaceDE w:val="0"/>
              <w:ind w:left="42" w:leftChars="20" w:right="42" w:rightChars="20"/>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10</w:t>
            </w:r>
          </w:p>
        </w:tc>
        <w:tc>
          <w:tcPr>
            <w:tcW w:w="1515" w:type="dxa"/>
            <w:tcBorders>
              <w:top w:val="single" w:color="auto" w:sz="4" w:space="0"/>
              <w:right w:val="single" w:color="auto" w:sz="4" w:space="0"/>
            </w:tcBorders>
            <w:vAlign w:val="center"/>
          </w:tcPr>
          <w:p w14:paraId="134FA143">
            <w:pPr>
              <w:widowControl/>
              <w:jc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CO</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装车泵</w:t>
            </w:r>
          </w:p>
        </w:tc>
        <w:tc>
          <w:tcPr>
            <w:tcW w:w="1132" w:type="dxa"/>
            <w:tcBorders>
              <w:top w:val="single" w:color="auto" w:sz="4" w:space="0"/>
              <w:left w:val="single" w:color="auto" w:sz="4" w:space="0"/>
              <w:right w:val="single" w:color="auto" w:sz="4" w:space="0"/>
            </w:tcBorders>
            <w:vAlign w:val="center"/>
          </w:tcPr>
          <w:p w14:paraId="0EE364BE">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245</w:t>
            </w:r>
          </w:p>
        </w:tc>
        <w:tc>
          <w:tcPr>
            <w:tcW w:w="1132" w:type="dxa"/>
            <w:tcBorders>
              <w:top w:val="single" w:color="auto" w:sz="4" w:space="0"/>
              <w:left w:val="single" w:color="auto" w:sz="4" w:space="0"/>
              <w:right w:val="single" w:color="auto" w:sz="4" w:space="0"/>
            </w:tcBorders>
            <w:vAlign w:val="center"/>
          </w:tcPr>
          <w:p w14:paraId="038177CE">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735</w:t>
            </w:r>
          </w:p>
        </w:tc>
        <w:tc>
          <w:tcPr>
            <w:tcW w:w="1133" w:type="dxa"/>
            <w:tcBorders>
              <w:top w:val="single" w:color="auto" w:sz="4" w:space="0"/>
              <w:left w:val="single" w:color="auto" w:sz="4" w:space="0"/>
            </w:tcBorders>
            <w:vAlign w:val="center"/>
          </w:tcPr>
          <w:p w14:paraId="6D0B0285">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w:t>
            </w:r>
          </w:p>
        </w:tc>
        <w:tc>
          <w:tcPr>
            <w:tcW w:w="1828" w:type="dxa"/>
            <w:tcBorders>
              <w:top w:val="single" w:color="auto" w:sz="4" w:space="0"/>
            </w:tcBorders>
            <w:vAlign w:val="center"/>
          </w:tcPr>
          <w:p w14:paraId="49EA798F">
            <w:pPr>
              <w:autoSpaceDE w:val="0"/>
              <w:ind w:left="42" w:leftChars="20" w:right="42" w:rightChars="20"/>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75</w:t>
            </w:r>
          </w:p>
        </w:tc>
        <w:tc>
          <w:tcPr>
            <w:tcW w:w="3312" w:type="dxa"/>
            <w:tcBorders>
              <w:top w:val="single" w:color="auto" w:sz="4" w:space="0"/>
            </w:tcBorders>
            <w:vAlign w:val="center"/>
          </w:tcPr>
          <w:p w14:paraId="15054032">
            <w:pPr>
              <w:autoSpaceDE w:val="0"/>
              <w:ind w:left="42" w:leftChars="20" w:right="42" w:rightChars="2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基础减振、柔性连接、距离衰减</w:t>
            </w:r>
          </w:p>
        </w:tc>
        <w:tc>
          <w:tcPr>
            <w:tcW w:w="2742" w:type="dxa"/>
            <w:tcBorders>
              <w:top w:val="single" w:color="auto" w:sz="4" w:space="0"/>
            </w:tcBorders>
            <w:vAlign w:val="center"/>
          </w:tcPr>
          <w:p w14:paraId="49DE2648">
            <w:pPr>
              <w:autoSpaceDE w:val="0"/>
              <w:ind w:left="42" w:leftChars="20" w:right="42" w:rightChars="20"/>
              <w:jc w:val="center"/>
              <w:rPr>
                <w:rFonts w:hint="default" w:ascii="Times New Roman" w:hAnsi="Times New Roman" w:eastAsia="宋体" w:cs="Times New Roman"/>
                <w:color w:val="000000" w:themeColor="text1"/>
                <w:kern w:val="2"/>
                <w:sz w:val="21"/>
                <w:szCs w:val="21"/>
                <w:lang w:val="en-US" w:eastAsia="en-US" w:bidi="ar"/>
                <w14:textFill>
                  <w14:solidFill>
                    <w14:schemeClr w14:val="tx1"/>
                  </w14:solidFill>
                </w14:textFill>
              </w:rPr>
            </w:pPr>
            <w:r>
              <w:rPr>
                <w:rFonts w:hint="default" w:ascii="Times New Roman" w:hAnsi="Times New Roman" w:eastAsia="宋体" w:cs="Times New Roman"/>
                <w:color w:val="000000" w:themeColor="text1"/>
                <w:szCs w:val="21"/>
                <w:lang w:eastAsia="en-US" w:bidi="ar"/>
                <w14:textFill>
                  <w14:solidFill>
                    <w14:schemeClr w14:val="tx1"/>
                  </w14:solidFill>
                </w14:textFill>
              </w:rPr>
              <w:t>昼间、夜间</w:t>
            </w:r>
          </w:p>
        </w:tc>
      </w:tr>
      <w:tr w14:paraId="28A1C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3517" w:type="dxa"/>
            <w:gridSpan w:val="8"/>
            <w:vAlign w:val="center"/>
          </w:tcPr>
          <w:p w14:paraId="78BF189A">
            <w:pPr>
              <w:autoSpaceDE w:val="0"/>
              <w:ind w:left="42" w:leftChars="20" w:right="42" w:rightChars="20"/>
              <w:jc w:val="left"/>
              <w:rPr>
                <w:rFonts w:hint="default" w:ascii="Times New Roman" w:hAnsi="Times New Roman" w:eastAsia="宋体" w:cs="Times New Roman"/>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Cs w:val="21"/>
                <w:lang w:eastAsia="zh-CN" w:bidi="ar"/>
                <w14:textFill>
                  <w14:solidFill>
                    <w14:schemeClr w14:val="tx1"/>
                  </w14:solidFill>
                </w14:textFill>
              </w:rPr>
              <w:t>表中坐标以全厂厂界（107°40′40.444″，31°30′49.194″）为坐标原点，正东向为X轴正方向，正北向为Y轴正方向。</w:t>
            </w:r>
          </w:p>
        </w:tc>
      </w:tr>
    </w:tbl>
    <w:p w14:paraId="2CC3405F">
      <w:pPr>
        <w:rPr>
          <w:rFonts w:hint="default" w:ascii="Times New Roman" w:hAnsi="Times New Roman" w:eastAsia="宋体" w:cs="Times New Roman"/>
          <w:color w:val="000000" w:themeColor="text1"/>
          <w14:textFill>
            <w14:solidFill>
              <w14:schemeClr w14:val="tx1"/>
            </w14:solidFill>
          </w14:textFill>
        </w:rPr>
        <w:sectPr>
          <w:pgSz w:w="16838" w:h="11906" w:orient="landscape"/>
          <w:pgMar w:top="1531" w:right="1701" w:bottom="1531" w:left="1701" w:header="851" w:footer="850" w:gutter="0"/>
          <w:cols w:space="0" w:num="1"/>
          <w:docGrid w:linePitch="312" w:charSpace="0"/>
        </w:sectPr>
      </w:pPr>
    </w:p>
    <w:tbl>
      <w:tblPr>
        <w:tblStyle w:val="48"/>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115"/>
      </w:tblGrid>
      <w:tr w14:paraId="3B8B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7" w:hRule="atLeast"/>
          <w:jc w:val="center"/>
        </w:trPr>
        <w:tc>
          <w:tcPr>
            <w:tcW w:w="411" w:type="dxa"/>
            <w:vAlign w:val="center"/>
          </w:tcPr>
          <w:p w14:paraId="557A51D8">
            <w:pPr>
              <w:rPr>
                <w:rFonts w:hint="default" w:ascii="Times New Roman" w:hAnsi="Times New Roman" w:eastAsia="宋体" w:cs="Times New Roman"/>
                <w:color w:val="000000" w:themeColor="text1"/>
                <w14:textFill>
                  <w14:solidFill>
                    <w14:schemeClr w14:val="tx1"/>
                  </w14:solidFill>
                </w14:textFill>
              </w:rPr>
            </w:pPr>
          </w:p>
        </w:tc>
        <w:tc>
          <w:tcPr>
            <w:tcW w:w="9115" w:type="dxa"/>
          </w:tcPr>
          <w:p w14:paraId="27D5D45C">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（2）拟采取的治理措施</w:t>
            </w:r>
          </w:p>
          <w:p w14:paraId="42E3E656">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为有效降低设备噪声，项目在运营期采取以下治理措施：</w:t>
            </w:r>
          </w:p>
          <w:p w14:paraId="178C8AB2">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①选用低噪声设备，进行基础减震，从声源上降低设备本身噪声；</w:t>
            </w:r>
          </w:p>
          <w:p w14:paraId="4B8ECE0C">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②对气流管线连接处采取柔性连接；</w:t>
            </w:r>
          </w:p>
          <w:p w14:paraId="70CAAB2C">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③加强设备的维护，确保设备处于良好的运转状态，杜绝因设备不正常运转时产生的高噪声现象；</w:t>
            </w:r>
          </w:p>
          <w:p w14:paraId="655ACDB7">
            <w:pPr>
              <w:autoSpaceDE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④加强生产管理，规范员工操作，避免不必要的噪声产生。</w:t>
            </w:r>
          </w:p>
          <w:p w14:paraId="6D0B2042">
            <w:pPr>
              <w:autoSpaceDE w:val="0"/>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采取上述措施后，厂界噪声能够达到《工业企业厂界环境噪声排放标准》（GB12348-2008）中3类标准要求。</w:t>
            </w:r>
          </w:p>
          <w:p w14:paraId="44A48B3F">
            <w:pPr>
              <w:pStyle w:val="26"/>
              <w:spacing w:after="0" w:line="360" w:lineRule="auto"/>
              <w:ind w:left="0" w:leftChars="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3、厂界达标情况分析</w:t>
            </w:r>
          </w:p>
          <w:p w14:paraId="02F7DD91">
            <w:pPr>
              <w:pStyle w:val="493"/>
              <w:ind w:firstLine="482"/>
              <w:jc w:val="both"/>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（1）预测模式</w:t>
            </w:r>
          </w:p>
          <w:p w14:paraId="4AEAF9DF">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本次评价采用《环境影响评价技术导则 声环境》（HJ2.4-2021）中工业噪声预测计算模式对厂界噪声进行预测评价，预测方法：</w:t>
            </w:r>
          </w:p>
          <w:p w14:paraId="3CB25339">
            <w:pPr>
              <w:pStyle w:val="114"/>
              <w:spacing w:line="360" w:lineRule="auto"/>
              <w:ind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A、选用单个室外点声源在预测点的声级计算</w:t>
            </w:r>
          </w:p>
          <w:p w14:paraId="41A0D373">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若已知声源的倍频带声压级L</w:t>
            </w:r>
            <w:r>
              <w:rPr>
                <w:rFonts w:hint="default" w:ascii="Times New Roman" w:hAnsi="Times New Roman" w:eastAsia="宋体" w:cs="Times New Roman"/>
                <w:color w:val="000000" w:themeColor="text1"/>
                <w:vertAlign w:val="subscript"/>
                <w14:textFill>
                  <w14:solidFill>
                    <w14:schemeClr w14:val="tx1"/>
                  </w14:solidFill>
                </w14:textFill>
              </w:rPr>
              <w:t>p</w:t>
            </w:r>
            <w:r>
              <w:rPr>
                <w:rFonts w:hint="default" w:ascii="Times New Roman" w:hAnsi="Times New Roman" w:eastAsia="宋体" w:cs="Times New Roman"/>
                <w:color w:val="000000" w:themeColor="text1"/>
                <w14:textFill>
                  <w14:solidFill>
                    <w14:schemeClr w14:val="tx1"/>
                  </w14:solidFill>
                </w14:textFill>
              </w:rPr>
              <w:t>（r</w:t>
            </w:r>
            <w:r>
              <w:rPr>
                <w:rFonts w:hint="default" w:ascii="Times New Roman" w:hAnsi="Times New Roman" w:eastAsia="宋体" w:cs="Times New Roman"/>
                <w:color w:val="000000" w:themeColor="text1"/>
                <w:vertAlign w:val="subscript"/>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）时，相同方向预测点位置的倍频带声压级Lp（r）按下式计算：</w:t>
            </w:r>
          </w:p>
          <w:p w14:paraId="3687319D">
            <w:pPr>
              <w:pStyle w:val="114"/>
              <w:spacing w:line="360" w:lineRule="auto"/>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position w:val="-14"/>
                <w14:textFill>
                  <w14:solidFill>
                    <w14:schemeClr w14:val="tx1"/>
                  </w14:solidFill>
                </w14:textFill>
              </w:rPr>
              <w:object>
                <v:shape id="_x0000_i1027" o:spt="75" type="#_x0000_t75" style="height:18.75pt;width:90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14:paraId="4886747E">
            <w:pPr>
              <w:pStyle w:val="114"/>
              <w:spacing w:line="360" w:lineRule="auto"/>
              <w:jc w:val="center"/>
              <w:rPr>
                <w:rFonts w:hint="default" w:ascii="Times New Roman" w:hAnsi="Times New Roman" w:eastAsia="宋体" w:cs="Times New Roman"/>
                <w:i/>
                <w:iCs/>
                <w:color w:val="000000" w:themeColor="text1"/>
                <w14:textFill>
                  <w14:solidFill>
                    <w14:schemeClr w14:val="tx1"/>
                  </w14:solidFill>
                </w14:textFill>
              </w:rPr>
            </w:pPr>
            <w:r>
              <w:rPr>
                <w:rFonts w:hint="default" w:ascii="Times New Roman" w:hAnsi="Times New Roman" w:eastAsia="宋体" w:cs="Times New Roman"/>
                <w:i/>
                <w:iCs/>
                <w:color w:val="000000" w:themeColor="text1"/>
                <w:position w:val="-14"/>
                <w14:textFill>
                  <w14:solidFill>
                    <w14:schemeClr w14:val="tx1"/>
                  </w14:solidFill>
                </w14:textFill>
              </w:rPr>
              <w:object>
                <v:shape id="_x0000_i1028" o:spt="75" type="#_x0000_t75" style="height:18.75pt;width:158.2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p>
          <w:p w14:paraId="43CC9050">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14:textFill>
                  <w14:solidFill>
                    <w14:schemeClr w14:val="tx1"/>
                  </w14:solidFill>
                </w14:textFill>
              </w:rPr>
              <w:t>——倍频带衰减，dB；</w:t>
            </w:r>
          </w:p>
          <w:p w14:paraId="3AFF15E5">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div</w:t>
            </w:r>
            <w:r>
              <w:rPr>
                <w:rFonts w:hint="default" w:ascii="Times New Roman" w:hAnsi="Times New Roman" w:eastAsia="宋体" w:cs="Times New Roman"/>
                <w:color w:val="000000" w:themeColor="text1"/>
                <w14:textFill>
                  <w14:solidFill>
                    <w14:schemeClr w14:val="tx1"/>
                  </w14:solidFill>
                </w14:textFill>
              </w:rPr>
              <w:t>——几何发散引起的倍频带衰减，dB；</w:t>
            </w:r>
          </w:p>
          <w:p w14:paraId="5CF5CF34">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atm</w:t>
            </w:r>
            <w:r>
              <w:rPr>
                <w:rFonts w:hint="default" w:ascii="Times New Roman" w:hAnsi="Times New Roman" w:eastAsia="宋体" w:cs="Times New Roman"/>
                <w:color w:val="000000" w:themeColor="text1"/>
                <w14:textFill>
                  <w14:solidFill>
                    <w14:schemeClr w14:val="tx1"/>
                  </w14:solidFill>
                </w14:textFill>
              </w:rPr>
              <w:t>——大气吸收引起的倍频带衰减，dB；</w:t>
            </w:r>
          </w:p>
          <w:p w14:paraId="6999F057">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gr</w:t>
            </w:r>
            <w:r>
              <w:rPr>
                <w:rFonts w:hint="default" w:ascii="Times New Roman" w:hAnsi="Times New Roman" w:eastAsia="宋体" w:cs="Times New Roman"/>
                <w:color w:val="000000" w:themeColor="text1"/>
                <w14:textFill>
                  <w14:solidFill>
                    <w14:schemeClr w14:val="tx1"/>
                  </w14:solidFill>
                </w14:textFill>
              </w:rPr>
              <w:t>——地面效应引起的倍频带衰减，dB；</w:t>
            </w:r>
          </w:p>
          <w:p w14:paraId="626682AF">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bar</w:t>
            </w:r>
            <w:r>
              <w:rPr>
                <w:rFonts w:hint="default" w:ascii="Times New Roman" w:hAnsi="Times New Roman" w:eastAsia="宋体" w:cs="Times New Roman"/>
                <w:color w:val="000000" w:themeColor="text1"/>
                <w14:textFill>
                  <w14:solidFill>
                    <w14:schemeClr w14:val="tx1"/>
                  </w14:solidFill>
                </w14:textFill>
              </w:rPr>
              <w:t>——声屏障引起的倍频带衰减，dB；</w:t>
            </w:r>
          </w:p>
          <w:p w14:paraId="1703531D">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misc</w:t>
            </w:r>
            <w:r>
              <w:rPr>
                <w:rFonts w:hint="default" w:ascii="Times New Roman" w:hAnsi="Times New Roman" w:eastAsia="宋体" w:cs="Times New Roman"/>
                <w:color w:val="000000" w:themeColor="text1"/>
                <w14:textFill>
                  <w14:solidFill>
                    <w14:schemeClr w14:val="tx1"/>
                  </w14:solidFill>
                </w14:textFill>
              </w:rPr>
              <w:t>——其他多方面效应引起的倍频带衰减，dB。</w:t>
            </w:r>
          </w:p>
          <w:p w14:paraId="0F88E105">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本项目所在</w:t>
            </w:r>
            <w:r>
              <w:rPr>
                <w:rFonts w:hint="eastAsia" w:ascii="Times New Roman" w:hAnsi="Times New Roman" w:cs="Times New Roman"/>
                <w:color w:val="000000" w:themeColor="text1"/>
                <w:lang w:val="en-US" w:eastAsia="zh-CN"/>
                <w14:textFill>
                  <w14:solidFill>
                    <w14:schemeClr w14:val="tx1"/>
                  </w14:solidFill>
                </w14:textFill>
              </w:rPr>
              <w:t>厂区</w:t>
            </w:r>
            <w:r>
              <w:rPr>
                <w:rFonts w:hint="default" w:ascii="Times New Roman" w:hAnsi="Times New Roman" w:eastAsia="宋体" w:cs="Times New Roman"/>
                <w:color w:val="000000" w:themeColor="text1"/>
                <w14:textFill>
                  <w14:solidFill>
                    <w14:schemeClr w14:val="tx1"/>
                  </w14:solidFill>
                </w14:textFill>
              </w:rPr>
              <w:t>地势平坦，本次评价只考虑几何发散（</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div</w:t>
            </w:r>
            <w:r>
              <w:rPr>
                <w:rFonts w:hint="default" w:ascii="Times New Roman" w:hAnsi="Times New Roman" w:eastAsia="宋体" w:cs="Times New Roman"/>
                <w:color w:val="000000" w:themeColor="text1"/>
                <w14:textFill>
                  <w14:solidFill>
                    <w14:schemeClr w14:val="tx1"/>
                  </w14:solidFill>
                </w14:textFill>
              </w:rPr>
              <w:t>）、大气吸收（</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atm</w:t>
            </w:r>
            <w:r>
              <w:rPr>
                <w:rFonts w:hint="default" w:ascii="Times New Roman" w:hAnsi="Times New Roman" w:eastAsia="宋体" w:cs="Times New Roman"/>
                <w:color w:val="000000" w:themeColor="text1"/>
                <w14:textFill>
                  <w14:solidFill>
                    <w14:schemeClr w14:val="tx1"/>
                  </w14:solidFill>
                </w14:textFill>
              </w:rPr>
              <w:t>）和声屏障（</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bar</w:t>
            </w:r>
            <w:r>
              <w:rPr>
                <w:rFonts w:hint="default" w:ascii="Times New Roman" w:hAnsi="Times New Roman" w:eastAsia="宋体" w:cs="Times New Roman"/>
                <w:color w:val="000000" w:themeColor="text1"/>
                <w14:textFill>
                  <w14:solidFill>
                    <w14:schemeClr w14:val="tx1"/>
                  </w14:solidFill>
                </w14:textFill>
              </w:rPr>
              <w:t>）引起的衰减，不考虑地面效应（</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gr</w:t>
            </w:r>
            <w:r>
              <w:rPr>
                <w:rFonts w:hint="default" w:ascii="Times New Roman" w:hAnsi="Times New Roman" w:eastAsia="宋体" w:cs="Times New Roman"/>
                <w:color w:val="000000" w:themeColor="text1"/>
                <w14:textFill>
                  <w14:solidFill>
                    <w14:schemeClr w14:val="tx1"/>
                  </w14:solidFill>
                </w14:textFill>
              </w:rPr>
              <w:t>）和其他多方面（</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misc</w:t>
            </w:r>
            <w:r>
              <w:rPr>
                <w:rFonts w:hint="default" w:ascii="Times New Roman" w:hAnsi="Times New Roman" w:eastAsia="宋体" w:cs="Times New Roman"/>
                <w:color w:val="000000" w:themeColor="text1"/>
                <w14:textFill>
                  <w14:solidFill>
                    <w14:schemeClr w14:val="tx1"/>
                  </w14:solidFill>
                </w14:textFill>
              </w:rPr>
              <w:t>）引起的衰减。本项目声源为指向性声源且处于半自由声场，几何发散衰减（</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div</w:t>
            </w:r>
            <w:r>
              <w:rPr>
                <w:rFonts w:hint="default" w:ascii="Times New Roman" w:hAnsi="Times New Roman" w:eastAsia="宋体" w:cs="Times New Roman"/>
                <w:color w:val="000000" w:themeColor="text1"/>
                <w14:textFill>
                  <w14:solidFill>
                    <w14:schemeClr w14:val="tx1"/>
                  </w14:solidFill>
                </w14:textFill>
              </w:rPr>
              <w:t>）按下式计算：</w:t>
            </w:r>
          </w:p>
          <w:p w14:paraId="4D8248F5">
            <w:pPr>
              <w:pStyle w:val="114"/>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12"/>
                <w14:textFill>
                  <w14:solidFill>
                    <w14:schemeClr w14:val="tx1"/>
                  </w14:solidFill>
                </w14:textFill>
              </w:rPr>
              <w:object>
                <v:shape id="_x0000_i1029" o:spt="75" type="#_x0000_t75" style="height:18pt;width:84.7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14:paraId="4B9F9FF2">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大气吸收引起的衰减（</w:t>
            </w:r>
            <w:r>
              <w:rPr>
                <w:rFonts w:hint="default" w:ascii="Times New Roman" w:hAnsi="Times New Roman" w:eastAsia="宋体" w:cs="Times New Roman"/>
                <w:i/>
                <w:iCs/>
                <w:color w:val="000000" w:themeColor="text1"/>
                <w14:textFill>
                  <w14:solidFill>
                    <w14:schemeClr w14:val="tx1"/>
                  </w14:solidFill>
                </w14:textFill>
              </w:rPr>
              <w:t>A</w:t>
            </w:r>
            <w:r>
              <w:rPr>
                <w:rFonts w:hint="default" w:ascii="Times New Roman" w:hAnsi="Times New Roman" w:eastAsia="宋体" w:cs="Times New Roman"/>
                <w:color w:val="000000" w:themeColor="text1"/>
                <w:vertAlign w:val="subscript"/>
                <w14:textFill>
                  <w14:solidFill>
                    <w14:schemeClr w14:val="tx1"/>
                  </w14:solidFill>
                </w14:textFill>
              </w:rPr>
              <w:t>atm</w:t>
            </w:r>
            <w:r>
              <w:rPr>
                <w:rFonts w:hint="default" w:ascii="Times New Roman" w:hAnsi="Times New Roman" w:eastAsia="宋体" w:cs="Times New Roman"/>
                <w:color w:val="000000" w:themeColor="text1"/>
                <w14:textFill>
                  <w14:solidFill>
                    <w14:schemeClr w14:val="tx1"/>
                  </w14:solidFill>
                </w14:textFill>
              </w:rPr>
              <w:t>）按下式计算：</w:t>
            </w:r>
          </w:p>
          <w:p w14:paraId="655CC627">
            <w:pPr>
              <w:pStyle w:val="114"/>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24"/>
                <w14:textFill>
                  <w14:solidFill>
                    <w14:schemeClr w14:val="tx1"/>
                  </w14:solidFill>
                </w14:textFill>
              </w:rPr>
              <w:object>
                <v:shape id="_x0000_i1030" o:spt="75" type="#_x0000_t75" style="height:30.75pt;width:75.7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p>
          <w:p w14:paraId="7D1DB5E3">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式中，a——温度、湿度和声波频率的函数，根据建设项目所在区域常年平均气温和湿度选择相应的大气吸收衰减系数。</w:t>
            </w:r>
          </w:p>
          <w:p w14:paraId="0634B6B0">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由于本项目</w:t>
            </w:r>
            <w:r>
              <w:rPr>
                <w:rFonts w:hint="eastAsia" w:ascii="Times New Roman" w:hAnsi="Times New Roman" w:cs="Times New Roman"/>
                <w:color w:val="000000" w:themeColor="text1"/>
                <w:lang w:val="en-US" w:eastAsia="zh-CN"/>
                <w14:textFill>
                  <w14:solidFill>
                    <w14:schemeClr w14:val="tx1"/>
                  </w14:solidFill>
                </w14:textFill>
              </w:rPr>
              <w:t>室外声源</w:t>
            </w:r>
            <w:r>
              <w:rPr>
                <w:rFonts w:hint="default" w:ascii="Times New Roman" w:hAnsi="Times New Roman" w:eastAsia="宋体" w:cs="Times New Roman"/>
                <w:color w:val="000000" w:themeColor="text1"/>
                <w14:textFill>
                  <w14:solidFill>
                    <w14:schemeClr w14:val="tx1"/>
                  </w14:solidFill>
                </w14:textFill>
              </w:rPr>
              <w:t>只能根据类比资料获得声源的A声级，根据《环境影响评价技术导则 声环境》（HJ2.4-2021），在不能取得声源倍频带声功率级或倍频带声压级，只能获得A声功率级或A声级时，可选中心频率为500Hz的倍频带作估算。</w:t>
            </w:r>
          </w:p>
          <w:p w14:paraId="711367C5">
            <w:pPr>
              <w:pStyle w:val="114"/>
              <w:spacing w:line="360" w:lineRule="auto"/>
              <w:ind w:firstLine="482"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B、噪声贡献值计算</w:t>
            </w:r>
          </w:p>
          <w:p w14:paraId="7EC1CE58">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设第i个室外声源在预测点产生的A声级为</w:t>
            </w:r>
            <w:r>
              <w:rPr>
                <w:rFonts w:hint="default" w:ascii="Times New Roman" w:hAnsi="Times New Roman" w:eastAsia="宋体" w:cs="Times New Roman"/>
                <w:i/>
                <w:iCs/>
                <w:color w:val="000000" w:themeColor="text1"/>
                <w14:textFill>
                  <w14:solidFill>
                    <w14:schemeClr w14:val="tx1"/>
                  </w14:solidFill>
                </w14:textFill>
              </w:rPr>
              <w:t>L</w:t>
            </w:r>
            <w:r>
              <w:rPr>
                <w:rFonts w:hint="default" w:ascii="Times New Roman" w:hAnsi="Times New Roman" w:eastAsia="宋体" w:cs="Times New Roman"/>
                <w:color w:val="000000" w:themeColor="text1"/>
                <w:vertAlign w:val="subscript"/>
                <w14:textFill>
                  <w14:solidFill>
                    <w14:schemeClr w14:val="tx1"/>
                  </w14:solidFill>
                </w14:textFill>
              </w:rPr>
              <w:t>Ai</w:t>
            </w:r>
            <w:r>
              <w:rPr>
                <w:rFonts w:hint="default" w:ascii="Times New Roman" w:hAnsi="Times New Roman" w:eastAsia="宋体" w:cs="Times New Roman"/>
                <w:color w:val="000000" w:themeColor="text1"/>
                <w14:textFill>
                  <w14:solidFill>
                    <w14:schemeClr w14:val="tx1"/>
                  </w14:solidFill>
                </w14:textFill>
              </w:rPr>
              <w:t>，在T时间内该声源工作时间为t</w:t>
            </w:r>
            <w:r>
              <w:rPr>
                <w:rFonts w:hint="default" w:ascii="Times New Roman" w:hAnsi="Times New Roman" w:eastAsia="宋体" w:cs="Times New Roman"/>
                <w:color w:val="000000" w:themeColor="text1"/>
                <w:vertAlign w:val="subscript"/>
                <w14:textFill>
                  <w14:solidFill>
                    <w14:schemeClr w14:val="tx1"/>
                  </w14:solidFill>
                </w14:textFill>
              </w:rPr>
              <w:t>i</w:t>
            </w:r>
            <w:r>
              <w:rPr>
                <w:rFonts w:hint="default" w:ascii="Times New Roman" w:hAnsi="Times New Roman" w:eastAsia="宋体" w:cs="Times New Roman"/>
                <w:color w:val="000000" w:themeColor="text1"/>
                <w14:textFill>
                  <w14:solidFill>
                    <w14:schemeClr w14:val="tx1"/>
                  </w14:solidFill>
                </w14:textFill>
              </w:rPr>
              <w:t>，则声源对预测点产生的贡献值（L</w:t>
            </w:r>
            <w:r>
              <w:rPr>
                <w:rFonts w:hint="default" w:ascii="Times New Roman" w:hAnsi="Times New Roman" w:eastAsia="宋体" w:cs="Times New Roman"/>
                <w:color w:val="000000" w:themeColor="text1"/>
                <w:vertAlign w:val="subscript"/>
                <w14:textFill>
                  <w14:solidFill>
                    <w14:schemeClr w14:val="tx1"/>
                  </w14:solidFill>
                </w14:textFill>
              </w:rPr>
              <w:t>eqg</w:t>
            </w:r>
            <w:r>
              <w:rPr>
                <w:rFonts w:hint="default" w:ascii="Times New Roman" w:hAnsi="Times New Roman" w:eastAsia="宋体" w:cs="Times New Roman"/>
                <w:color w:val="000000" w:themeColor="text1"/>
                <w14:textFill>
                  <w14:solidFill>
                    <w14:schemeClr w14:val="tx1"/>
                  </w14:solidFill>
                </w14:textFill>
              </w:rPr>
              <w:t>）为：</w:t>
            </w:r>
          </w:p>
          <w:p w14:paraId="661E881C">
            <w:pPr>
              <w:pStyle w:val="114"/>
              <w:spacing w:line="36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position w:val="-28"/>
                <w14:textFill>
                  <w14:solidFill>
                    <w14:schemeClr w14:val="tx1"/>
                  </w14:solidFill>
                </w14:textFill>
              </w:rPr>
              <w:object>
                <v:shape id="_x0000_i1031" o:spt="75" type="#_x0000_t75" style="height:33.75pt;width:126.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p>
          <w:p w14:paraId="63388423">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式中，t</w:t>
            </w:r>
            <w:r>
              <w:rPr>
                <w:rFonts w:hint="default" w:ascii="Times New Roman" w:hAnsi="Times New Roman" w:eastAsia="宋体" w:cs="Times New Roman"/>
                <w:color w:val="000000" w:themeColor="text1"/>
                <w:vertAlign w:val="subscript"/>
                <w14:textFill>
                  <w14:solidFill>
                    <w14:schemeClr w14:val="tx1"/>
                  </w14:solidFill>
                </w14:textFill>
              </w:rPr>
              <w:t>i</w:t>
            </w:r>
            <w:r>
              <w:rPr>
                <w:rFonts w:hint="default" w:ascii="Times New Roman" w:hAnsi="Times New Roman" w:eastAsia="宋体" w:cs="Times New Roman"/>
                <w:color w:val="000000" w:themeColor="text1"/>
                <w14:textFill>
                  <w14:solidFill>
                    <w14:schemeClr w14:val="tx1"/>
                  </w14:solidFill>
                </w14:textFill>
              </w:rPr>
              <w:t>——在</w:t>
            </w:r>
            <w:r>
              <w:rPr>
                <w:rFonts w:hint="default" w:ascii="Times New Roman" w:hAnsi="Times New Roman" w:eastAsia="宋体" w:cs="Times New Roman"/>
                <w:i/>
                <w:iCs/>
                <w:color w:val="000000" w:themeColor="text1"/>
                <w14:textFill>
                  <w14:solidFill>
                    <w14:schemeClr w14:val="tx1"/>
                  </w14:solidFill>
                </w14:textFill>
              </w:rPr>
              <w:t>T</w:t>
            </w:r>
            <w:r>
              <w:rPr>
                <w:rFonts w:hint="default" w:ascii="Times New Roman" w:hAnsi="Times New Roman" w:eastAsia="宋体" w:cs="Times New Roman"/>
                <w:color w:val="000000" w:themeColor="text1"/>
                <w14:textFill>
                  <w14:solidFill>
                    <w14:schemeClr w14:val="tx1"/>
                  </w14:solidFill>
                </w14:textFill>
              </w:rPr>
              <w:t>时间内</w:t>
            </w:r>
            <w:r>
              <w:rPr>
                <w:rFonts w:hint="default" w:ascii="Times New Roman" w:hAnsi="Times New Roman" w:eastAsia="宋体" w:cs="Times New Roman"/>
                <w:i/>
                <w:iCs/>
                <w:color w:val="000000" w:themeColor="text1"/>
                <w14:textFill>
                  <w14:solidFill>
                    <w14:schemeClr w14:val="tx1"/>
                  </w14:solidFill>
                </w14:textFill>
              </w:rPr>
              <w:t>i</w:t>
            </w:r>
            <w:r>
              <w:rPr>
                <w:rFonts w:hint="default" w:ascii="Times New Roman" w:hAnsi="Times New Roman" w:eastAsia="宋体" w:cs="Times New Roman"/>
                <w:color w:val="000000" w:themeColor="text1"/>
                <w14:textFill>
                  <w14:solidFill>
                    <w14:schemeClr w14:val="tx1"/>
                  </w14:solidFill>
                </w14:textFill>
              </w:rPr>
              <w:t>声源工作时间，s；</w:t>
            </w:r>
          </w:p>
          <w:p w14:paraId="2CDFAB9F">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T</w:t>
            </w:r>
            <w:r>
              <w:rPr>
                <w:rFonts w:hint="default" w:ascii="Times New Roman" w:hAnsi="Times New Roman" w:eastAsia="宋体" w:cs="Times New Roman"/>
                <w:color w:val="000000" w:themeColor="text1"/>
                <w14:textFill>
                  <w14:solidFill>
                    <w14:schemeClr w14:val="tx1"/>
                  </w14:solidFill>
                </w14:textFill>
              </w:rPr>
              <w:t>——用于计算等效声级的时间，s；</w:t>
            </w:r>
          </w:p>
          <w:p w14:paraId="4C936DB1">
            <w:pPr>
              <w:pStyle w:val="114"/>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i/>
                <w:iCs/>
                <w:color w:val="000000" w:themeColor="text1"/>
                <w14:textFill>
                  <w14:solidFill>
                    <w14:schemeClr w14:val="tx1"/>
                  </w14:solidFill>
                </w14:textFill>
              </w:rPr>
              <w:t>N</w:t>
            </w:r>
            <w:r>
              <w:rPr>
                <w:rFonts w:hint="default" w:ascii="Times New Roman" w:hAnsi="Times New Roman" w:eastAsia="宋体" w:cs="Times New Roman"/>
                <w:color w:val="000000" w:themeColor="text1"/>
                <w14:textFill>
                  <w14:solidFill>
                    <w14:schemeClr w14:val="tx1"/>
                  </w14:solidFill>
                </w14:textFill>
              </w:rPr>
              <w:t>——室外声源个数。</w:t>
            </w:r>
          </w:p>
          <w:p w14:paraId="561833BA">
            <w:pPr>
              <w:pStyle w:val="26"/>
              <w:spacing w:after="0" w:line="360" w:lineRule="auto"/>
              <w:ind w:left="0" w:leftChars="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C、预测结果</w:t>
            </w:r>
          </w:p>
          <w:p w14:paraId="47468B1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根据噪声衰减公式对各设备噪声在不同距离的衰减量进行计算，得出本次技改后全厂厂界噪声值。各预测点噪声预测结果见下表。</w:t>
            </w:r>
          </w:p>
          <w:p w14:paraId="66F70C2C">
            <w:pPr>
              <w:keepNext/>
              <w:keepLines/>
              <w:jc w:val="center"/>
              <w:textAlignment w:val="baseline"/>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w:t>
            </w:r>
            <w:r>
              <w:rPr>
                <w:rFonts w:hint="eastAsia" w:cs="Times New Roman"/>
                <w:b/>
                <w:color w:val="000000" w:themeColor="text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Cs w:val="21"/>
                <w14:textFill>
                  <w14:solidFill>
                    <w14:schemeClr w14:val="tx1"/>
                  </w14:solidFill>
                </w14:textFill>
              </w:rPr>
              <w:t xml:space="preserve">  </w:t>
            </w:r>
            <w:r>
              <w:rPr>
                <w:rFonts w:hint="eastAsia" w:cs="Times New Roman"/>
                <w:b/>
                <w:color w:val="000000" w:themeColor="text1"/>
                <w:szCs w:val="21"/>
                <w:lang w:val="en-US" w:eastAsia="zh-CN"/>
                <w14:textFill>
                  <w14:solidFill>
                    <w14:schemeClr w14:val="tx1"/>
                  </w14:solidFill>
                </w14:textFill>
              </w:rPr>
              <w:t>企业</w:t>
            </w:r>
            <w:r>
              <w:rPr>
                <w:rFonts w:hint="default" w:ascii="Times New Roman" w:hAnsi="Times New Roman" w:eastAsia="宋体" w:cs="Times New Roman"/>
                <w:b/>
                <w:color w:val="000000" w:themeColor="text1"/>
                <w:szCs w:val="21"/>
                <w14:textFill>
                  <w14:solidFill>
                    <w14:schemeClr w14:val="tx1"/>
                  </w14:solidFill>
                </w14:textFill>
              </w:rPr>
              <w:t>厂界噪声达标预测结果一览表   单位：dB</w:t>
            </w:r>
            <w:r>
              <w:rPr>
                <w:rFonts w:hint="eastAsia" w:cs="Times New Roman"/>
                <w:b/>
                <w:color w:val="000000" w:themeColor="text1"/>
                <w:szCs w:val="21"/>
                <w:lang w:eastAsia="zh-CN"/>
                <w14:textFill>
                  <w14:solidFill>
                    <w14:schemeClr w14:val="tx1"/>
                  </w14:solidFill>
                </w14:textFill>
              </w:rPr>
              <w:t>（</w:t>
            </w:r>
            <w:r>
              <w:rPr>
                <w:rFonts w:hint="eastAsia" w:cs="Times New Roman"/>
                <w:b/>
                <w:color w:val="000000" w:themeColor="text1"/>
                <w:szCs w:val="21"/>
                <w:lang w:val="en-US" w:eastAsia="zh-CN"/>
                <w14:textFill>
                  <w14:solidFill>
                    <w14:schemeClr w14:val="tx1"/>
                  </w14:solidFill>
                </w14:textFill>
              </w:rPr>
              <w:t>A</w:t>
            </w:r>
            <w:r>
              <w:rPr>
                <w:rFonts w:hint="eastAsia" w:cs="Times New Roman"/>
                <w:b/>
                <w:color w:val="000000" w:themeColor="text1"/>
                <w:szCs w:val="21"/>
                <w:lang w:eastAsia="zh-CN"/>
                <w14:textFill>
                  <w14:solidFill>
                    <w14:schemeClr w14:val="tx1"/>
                  </w14:solidFill>
                </w14:textFill>
              </w:rPr>
              <w:t>）</w:t>
            </w:r>
          </w:p>
          <w:tbl>
            <w:tblPr>
              <w:tblStyle w:val="48"/>
              <w:tblW w:w="484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37"/>
              <w:gridCol w:w="668"/>
              <w:gridCol w:w="1007"/>
              <w:gridCol w:w="1079"/>
              <w:gridCol w:w="737"/>
              <w:gridCol w:w="710"/>
              <w:gridCol w:w="675"/>
              <w:gridCol w:w="804"/>
              <w:gridCol w:w="1170"/>
              <w:gridCol w:w="1226"/>
            </w:tblGrid>
            <w:tr w14:paraId="76F456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42" w:hRule="atLeast"/>
                <w:jc w:val="center"/>
              </w:trPr>
              <w:tc>
                <w:tcPr>
                  <w:tcW w:w="311" w:type="pct"/>
                  <w:vMerge w:val="restart"/>
                  <w:vAlign w:val="center"/>
                </w:tcPr>
                <w:p w14:paraId="67AFE0B1">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编号</w:t>
                  </w:r>
                </w:p>
              </w:tc>
              <w:tc>
                <w:tcPr>
                  <w:tcW w:w="387" w:type="pct"/>
                  <w:vMerge w:val="restart"/>
                  <w:vAlign w:val="center"/>
                </w:tcPr>
                <w:p w14:paraId="30B0BD25">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位置</w:t>
                  </w:r>
                </w:p>
              </w:tc>
              <w:tc>
                <w:tcPr>
                  <w:tcW w:w="1210" w:type="pct"/>
                  <w:gridSpan w:val="2"/>
                  <w:tcBorders>
                    <w:bottom w:val="single" w:color="auto" w:sz="4" w:space="0"/>
                    <w:right w:val="single" w:color="auto" w:sz="4" w:space="0"/>
                  </w:tcBorders>
                  <w:vAlign w:val="center"/>
                </w:tcPr>
                <w:p w14:paraId="7BFA83F0">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贡献值</w:t>
                  </w:r>
                </w:p>
              </w:tc>
              <w:tc>
                <w:tcPr>
                  <w:tcW w:w="840" w:type="pct"/>
                  <w:gridSpan w:val="2"/>
                  <w:vAlign w:val="center"/>
                </w:tcPr>
                <w:p w14:paraId="199BC741">
                  <w:pPr>
                    <w:pStyle w:val="491"/>
                    <w:rPr>
                      <w:rFonts w:hint="eastAsia"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主体环评</w:t>
                  </w:r>
                  <w:r>
                    <w:rPr>
                      <w:rFonts w:hint="default" w:ascii="Times New Roman" w:hAnsi="Times New Roman" w:eastAsia="宋体" w:cs="Times New Roman"/>
                      <w:b/>
                      <w:bCs/>
                      <w:color w:val="000000" w:themeColor="text1"/>
                      <w:szCs w:val="21"/>
                      <w14:textFill>
                        <w14:solidFill>
                          <w14:schemeClr w14:val="tx1"/>
                        </w14:solidFill>
                      </w14:textFill>
                    </w:rPr>
                    <w:t>噪声</w:t>
                  </w:r>
                  <w:r>
                    <w:rPr>
                      <w:rFonts w:hint="eastAsia" w:cs="Times New Roman"/>
                      <w:b/>
                      <w:bCs/>
                      <w:color w:val="000000" w:themeColor="text1"/>
                      <w:szCs w:val="21"/>
                      <w:lang w:val="en-US" w:eastAsia="zh-CN"/>
                      <w14:textFill>
                        <w14:solidFill>
                          <w14:schemeClr w14:val="tx1"/>
                        </w14:solidFill>
                      </w14:textFill>
                    </w:rPr>
                    <w:t>预测</w:t>
                  </w:r>
                  <w:r>
                    <w:rPr>
                      <w:rFonts w:hint="default" w:ascii="Times New Roman" w:hAnsi="Times New Roman" w:eastAsia="宋体" w:cs="Times New Roman"/>
                      <w:b/>
                      <w:bCs/>
                      <w:color w:val="000000" w:themeColor="text1"/>
                      <w:szCs w:val="21"/>
                      <w14:textFill>
                        <w14:solidFill>
                          <w14:schemeClr w14:val="tx1"/>
                        </w14:solidFill>
                      </w14:textFill>
                    </w:rPr>
                    <w:t>值</w:t>
                  </w:r>
                  <w:r>
                    <w:rPr>
                      <w:rFonts w:hint="eastAsia" w:cs="Times New Roman"/>
                      <w:b/>
                      <w:bCs/>
                      <w:color w:val="000000" w:themeColor="text1"/>
                      <w:szCs w:val="21"/>
                      <w:lang w:val="en-US" w:eastAsia="zh-CN"/>
                      <w14:textFill>
                        <w14:solidFill>
                          <w14:schemeClr w14:val="tx1"/>
                        </w14:solidFill>
                      </w14:textFill>
                    </w:rPr>
                    <w:t>*</w:t>
                  </w:r>
                </w:p>
              </w:tc>
              <w:tc>
                <w:tcPr>
                  <w:tcW w:w="858" w:type="pct"/>
                  <w:gridSpan w:val="2"/>
                  <w:vAlign w:val="center"/>
                </w:tcPr>
                <w:p w14:paraId="3C111072">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叠加后</w:t>
                  </w:r>
                  <w:r>
                    <w:rPr>
                      <w:rFonts w:hint="default" w:ascii="Times New Roman" w:hAnsi="Times New Roman" w:eastAsia="宋体" w:cs="Times New Roman"/>
                      <w:b/>
                      <w:bCs/>
                      <w:color w:val="000000" w:themeColor="text1"/>
                      <w:szCs w:val="21"/>
                      <w14:textFill>
                        <w14:solidFill>
                          <w14:schemeClr w14:val="tx1"/>
                        </w14:solidFill>
                      </w14:textFill>
                    </w:rPr>
                    <w:t>噪声</w:t>
                  </w:r>
                  <w:r>
                    <w:rPr>
                      <w:rFonts w:hint="eastAsia" w:cs="Times New Roman"/>
                      <w:b/>
                      <w:bCs/>
                      <w:color w:val="000000" w:themeColor="text1"/>
                      <w:szCs w:val="21"/>
                      <w:lang w:val="en-US" w:eastAsia="zh-CN"/>
                      <w14:textFill>
                        <w14:solidFill>
                          <w14:schemeClr w14:val="tx1"/>
                        </w14:solidFill>
                      </w14:textFill>
                    </w:rPr>
                    <w:t>预测</w:t>
                  </w:r>
                  <w:r>
                    <w:rPr>
                      <w:rFonts w:hint="default" w:ascii="Times New Roman" w:hAnsi="Times New Roman" w:eastAsia="宋体" w:cs="Times New Roman"/>
                      <w:b/>
                      <w:bCs/>
                      <w:color w:val="000000" w:themeColor="text1"/>
                      <w:szCs w:val="21"/>
                      <w14:textFill>
                        <w14:solidFill>
                          <w14:schemeClr w14:val="tx1"/>
                        </w14:solidFill>
                      </w14:textFill>
                    </w:rPr>
                    <w:t>值</w:t>
                  </w:r>
                </w:p>
              </w:tc>
              <w:tc>
                <w:tcPr>
                  <w:tcW w:w="679" w:type="pct"/>
                  <w:vMerge w:val="restart"/>
                  <w:vAlign w:val="center"/>
                </w:tcPr>
                <w:p w14:paraId="3893CAF9">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标准值</w:t>
                  </w:r>
                </w:p>
              </w:tc>
              <w:tc>
                <w:tcPr>
                  <w:tcW w:w="711" w:type="pct"/>
                  <w:vMerge w:val="restart"/>
                  <w:vAlign w:val="center"/>
                </w:tcPr>
                <w:p w14:paraId="0698AC5B">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达标情况</w:t>
                  </w:r>
                </w:p>
              </w:tc>
            </w:tr>
            <w:tr w14:paraId="75C57B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311" w:type="pct"/>
                  <w:vMerge w:val="continue"/>
                  <w:vAlign w:val="center"/>
                </w:tcPr>
                <w:p w14:paraId="48CE3104">
                  <w:pPr>
                    <w:pStyle w:val="491"/>
                    <w:rPr>
                      <w:rFonts w:hint="default" w:ascii="Times New Roman" w:hAnsi="Times New Roman" w:eastAsia="宋体" w:cs="Times New Roman"/>
                      <w:b/>
                      <w:bCs/>
                      <w:color w:val="000000" w:themeColor="text1"/>
                      <w:szCs w:val="21"/>
                      <w14:textFill>
                        <w14:solidFill>
                          <w14:schemeClr w14:val="tx1"/>
                        </w14:solidFill>
                      </w14:textFill>
                    </w:rPr>
                  </w:pPr>
                </w:p>
              </w:tc>
              <w:tc>
                <w:tcPr>
                  <w:tcW w:w="387" w:type="pct"/>
                  <w:vMerge w:val="continue"/>
                  <w:vAlign w:val="center"/>
                </w:tcPr>
                <w:p w14:paraId="6C63B334">
                  <w:pPr>
                    <w:pStyle w:val="491"/>
                    <w:rPr>
                      <w:rFonts w:hint="default" w:ascii="Times New Roman" w:hAnsi="Times New Roman" w:eastAsia="宋体" w:cs="Times New Roman"/>
                      <w:b/>
                      <w:bCs/>
                      <w:color w:val="000000" w:themeColor="text1"/>
                      <w:szCs w:val="21"/>
                      <w14:textFill>
                        <w14:solidFill>
                          <w14:schemeClr w14:val="tx1"/>
                        </w14:solidFill>
                      </w14:textFill>
                    </w:rPr>
                  </w:pPr>
                </w:p>
              </w:tc>
              <w:tc>
                <w:tcPr>
                  <w:tcW w:w="584" w:type="pct"/>
                  <w:tcBorders>
                    <w:top w:val="single" w:color="auto" w:sz="4" w:space="0"/>
                    <w:right w:val="single" w:color="auto" w:sz="4" w:space="0"/>
                  </w:tcBorders>
                  <w:vAlign w:val="center"/>
                </w:tcPr>
                <w:p w14:paraId="260DB7A4">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昼间</w:t>
                  </w:r>
                </w:p>
              </w:tc>
              <w:tc>
                <w:tcPr>
                  <w:tcW w:w="626" w:type="pct"/>
                  <w:tcBorders>
                    <w:top w:val="single" w:color="auto" w:sz="4" w:space="0"/>
                    <w:left w:val="single" w:color="auto" w:sz="4" w:space="0"/>
                    <w:right w:val="single" w:color="auto" w:sz="4" w:space="0"/>
                  </w:tcBorders>
                  <w:vAlign w:val="center"/>
                </w:tcPr>
                <w:p w14:paraId="5FAF18EC">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夜间</w:t>
                  </w:r>
                </w:p>
              </w:tc>
              <w:tc>
                <w:tcPr>
                  <w:tcW w:w="427" w:type="pct"/>
                  <w:tcBorders>
                    <w:right w:val="single" w:color="auto" w:sz="4" w:space="0"/>
                  </w:tcBorders>
                  <w:vAlign w:val="center"/>
                </w:tcPr>
                <w:p w14:paraId="3254CC70">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昼间</w:t>
                  </w:r>
                </w:p>
              </w:tc>
              <w:tc>
                <w:tcPr>
                  <w:tcW w:w="412" w:type="pct"/>
                  <w:tcBorders>
                    <w:left w:val="single" w:color="auto" w:sz="4" w:space="0"/>
                  </w:tcBorders>
                  <w:vAlign w:val="center"/>
                </w:tcPr>
                <w:p w14:paraId="20F3CDA8">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夜间</w:t>
                  </w:r>
                </w:p>
              </w:tc>
              <w:tc>
                <w:tcPr>
                  <w:tcW w:w="391" w:type="pct"/>
                  <w:vAlign w:val="center"/>
                </w:tcPr>
                <w:p w14:paraId="1F38F57C">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昼间</w:t>
                  </w:r>
                </w:p>
              </w:tc>
              <w:tc>
                <w:tcPr>
                  <w:tcW w:w="466" w:type="pct"/>
                  <w:vAlign w:val="center"/>
                </w:tcPr>
                <w:p w14:paraId="1F1ADBDF">
                  <w:pPr>
                    <w:pStyle w:val="491"/>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夜间</w:t>
                  </w:r>
                </w:p>
              </w:tc>
              <w:tc>
                <w:tcPr>
                  <w:tcW w:w="679" w:type="pct"/>
                  <w:vMerge w:val="continue"/>
                  <w:vAlign w:val="center"/>
                </w:tcPr>
                <w:p w14:paraId="692EA78B">
                  <w:pPr>
                    <w:pStyle w:val="491"/>
                    <w:rPr>
                      <w:rFonts w:hint="default" w:ascii="Times New Roman" w:hAnsi="Times New Roman" w:eastAsia="宋体" w:cs="Times New Roman"/>
                      <w:b/>
                      <w:bCs/>
                      <w:color w:val="000000" w:themeColor="text1"/>
                      <w:szCs w:val="21"/>
                      <w14:textFill>
                        <w14:solidFill>
                          <w14:schemeClr w14:val="tx1"/>
                        </w14:solidFill>
                      </w14:textFill>
                    </w:rPr>
                  </w:pPr>
                </w:p>
              </w:tc>
              <w:tc>
                <w:tcPr>
                  <w:tcW w:w="711" w:type="pct"/>
                  <w:vMerge w:val="continue"/>
                  <w:vAlign w:val="center"/>
                </w:tcPr>
                <w:p w14:paraId="0711F97E">
                  <w:pPr>
                    <w:pStyle w:val="491"/>
                    <w:rPr>
                      <w:rFonts w:hint="default" w:ascii="Times New Roman" w:hAnsi="Times New Roman" w:eastAsia="宋体" w:cs="Times New Roman"/>
                      <w:b/>
                      <w:bCs/>
                      <w:color w:val="000000" w:themeColor="text1"/>
                      <w:szCs w:val="21"/>
                      <w14:textFill>
                        <w14:solidFill>
                          <w14:schemeClr w14:val="tx1"/>
                        </w14:solidFill>
                      </w14:textFill>
                    </w:rPr>
                  </w:pPr>
                </w:p>
              </w:tc>
            </w:tr>
            <w:tr w14:paraId="40142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247" w:hRule="atLeast"/>
                <w:jc w:val="center"/>
              </w:trPr>
              <w:tc>
                <w:tcPr>
                  <w:tcW w:w="311" w:type="pct"/>
                  <w:vAlign w:val="center"/>
                </w:tcPr>
                <w:p w14:paraId="19AB146F">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387" w:type="pct"/>
                  <w:vAlign w:val="center"/>
                </w:tcPr>
                <w:p w14:paraId="1472F1A2">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东厂界</w:t>
                  </w:r>
                </w:p>
              </w:tc>
              <w:tc>
                <w:tcPr>
                  <w:tcW w:w="584" w:type="pct"/>
                  <w:tcBorders>
                    <w:bottom w:val="single" w:color="auto" w:sz="4" w:space="0"/>
                    <w:right w:val="single" w:color="auto" w:sz="4" w:space="0"/>
                  </w:tcBorders>
                  <w:vAlign w:val="center"/>
                </w:tcPr>
                <w:p w14:paraId="2BB12F11">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14.74</w:t>
                  </w:r>
                </w:p>
              </w:tc>
              <w:tc>
                <w:tcPr>
                  <w:tcW w:w="626" w:type="pct"/>
                  <w:tcBorders>
                    <w:left w:val="single" w:color="auto" w:sz="4" w:space="0"/>
                    <w:bottom w:val="single" w:color="auto" w:sz="4" w:space="0"/>
                    <w:right w:val="single" w:color="auto" w:sz="4" w:space="0"/>
                  </w:tcBorders>
                  <w:vAlign w:val="center"/>
                </w:tcPr>
                <w:p w14:paraId="3BB5F75B">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14.74</w:t>
                  </w:r>
                </w:p>
              </w:tc>
              <w:tc>
                <w:tcPr>
                  <w:tcW w:w="427" w:type="pct"/>
                  <w:tcBorders>
                    <w:right w:val="single" w:color="auto" w:sz="4" w:space="0"/>
                  </w:tcBorders>
                  <w:vAlign w:val="center"/>
                </w:tcPr>
                <w:p w14:paraId="06ED03DA">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36.76</w:t>
                  </w:r>
                </w:p>
              </w:tc>
              <w:tc>
                <w:tcPr>
                  <w:tcW w:w="412" w:type="pct"/>
                  <w:tcBorders>
                    <w:left w:val="single" w:color="auto" w:sz="4" w:space="0"/>
                  </w:tcBorders>
                  <w:vAlign w:val="center"/>
                </w:tcPr>
                <w:p w14:paraId="23F16F6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36.76</w:t>
                  </w:r>
                </w:p>
              </w:tc>
              <w:tc>
                <w:tcPr>
                  <w:tcW w:w="391" w:type="pct"/>
                  <w:vAlign w:val="center"/>
                </w:tcPr>
                <w:p w14:paraId="3A8A09B6">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36.79</w:t>
                  </w:r>
                </w:p>
              </w:tc>
              <w:tc>
                <w:tcPr>
                  <w:tcW w:w="466" w:type="pct"/>
                  <w:vAlign w:val="center"/>
                </w:tcPr>
                <w:p w14:paraId="5EC63C99">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36.79</w:t>
                  </w:r>
                </w:p>
              </w:tc>
              <w:tc>
                <w:tcPr>
                  <w:tcW w:w="679" w:type="pct"/>
                  <w:vMerge w:val="restart"/>
                  <w:vAlign w:val="center"/>
                </w:tcPr>
                <w:p w14:paraId="09987B93">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昼间65</w:t>
                  </w:r>
                </w:p>
                <w:p w14:paraId="3BA398D9">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夜间55</w:t>
                  </w:r>
                </w:p>
              </w:tc>
              <w:tc>
                <w:tcPr>
                  <w:tcW w:w="711" w:type="pct"/>
                  <w:vAlign w:val="center"/>
                </w:tcPr>
                <w:p w14:paraId="2DC6B7D7">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7BE420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311" w:type="pct"/>
                  <w:vAlign w:val="center"/>
                </w:tcPr>
                <w:p w14:paraId="254BB06F">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387" w:type="pct"/>
                  <w:vAlign w:val="center"/>
                </w:tcPr>
                <w:p w14:paraId="0738E784">
                  <w:pPr>
                    <w:pStyle w:val="491"/>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东</w:t>
                  </w:r>
                  <w:r>
                    <w:rPr>
                      <w:rFonts w:hint="default" w:ascii="Times New Roman" w:hAnsi="Times New Roman" w:eastAsia="宋体" w:cs="Times New Roman"/>
                      <w:color w:val="000000" w:themeColor="text1"/>
                      <w:szCs w:val="21"/>
                      <w14:textFill>
                        <w14:solidFill>
                          <w14:schemeClr w14:val="tx1"/>
                        </w14:solidFill>
                      </w14:textFill>
                    </w:rPr>
                    <w:t>南厂界</w:t>
                  </w:r>
                </w:p>
              </w:tc>
              <w:tc>
                <w:tcPr>
                  <w:tcW w:w="584" w:type="pct"/>
                  <w:tcBorders>
                    <w:top w:val="single" w:color="auto" w:sz="4" w:space="0"/>
                    <w:bottom w:val="single" w:color="auto" w:sz="4" w:space="0"/>
                    <w:right w:val="single" w:color="auto" w:sz="4" w:space="0"/>
                  </w:tcBorders>
                  <w:vAlign w:val="center"/>
                </w:tcPr>
                <w:p w14:paraId="1C6D7666">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13.28</w:t>
                  </w:r>
                </w:p>
              </w:tc>
              <w:tc>
                <w:tcPr>
                  <w:tcW w:w="626" w:type="pct"/>
                  <w:tcBorders>
                    <w:top w:val="single" w:color="auto" w:sz="4" w:space="0"/>
                    <w:left w:val="single" w:color="auto" w:sz="4" w:space="0"/>
                    <w:bottom w:val="single" w:color="auto" w:sz="4" w:space="0"/>
                    <w:right w:val="single" w:color="auto" w:sz="4" w:space="0"/>
                  </w:tcBorders>
                  <w:vAlign w:val="center"/>
                </w:tcPr>
                <w:p w14:paraId="6E64472F">
                  <w:pPr>
                    <w:pStyle w:val="491"/>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13.28</w:t>
                  </w:r>
                </w:p>
              </w:tc>
              <w:tc>
                <w:tcPr>
                  <w:tcW w:w="427" w:type="pct"/>
                  <w:tcBorders>
                    <w:bottom w:val="single" w:color="auto" w:sz="4" w:space="0"/>
                    <w:right w:val="single" w:color="auto" w:sz="4" w:space="0"/>
                  </w:tcBorders>
                  <w:vAlign w:val="center"/>
                </w:tcPr>
                <w:p w14:paraId="40C7A33C">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47.15</w:t>
                  </w:r>
                </w:p>
              </w:tc>
              <w:tc>
                <w:tcPr>
                  <w:tcW w:w="412" w:type="pct"/>
                  <w:tcBorders>
                    <w:left w:val="single" w:color="auto" w:sz="4" w:space="0"/>
                  </w:tcBorders>
                  <w:vAlign w:val="center"/>
                </w:tcPr>
                <w:p w14:paraId="2BB46D2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47.15</w:t>
                  </w:r>
                </w:p>
              </w:tc>
              <w:tc>
                <w:tcPr>
                  <w:tcW w:w="391" w:type="pct"/>
                  <w:vAlign w:val="center"/>
                </w:tcPr>
                <w:p w14:paraId="2D396469">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47.15</w:t>
                  </w:r>
                </w:p>
              </w:tc>
              <w:tc>
                <w:tcPr>
                  <w:tcW w:w="466" w:type="pct"/>
                  <w:vAlign w:val="center"/>
                </w:tcPr>
                <w:p w14:paraId="21EF3EB4">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47.15</w:t>
                  </w:r>
                </w:p>
              </w:tc>
              <w:tc>
                <w:tcPr>
                  <w:tcW w:w="679" w:type="pct"/>
                  <w:vMerge w:val="continue"/>
                  <w:vAlign w:val="center"/>
                </w:tcPr>
                <w:p w14:paraId="53EB253E">
                  <w:pPr>
                    <w:pStyle w:val="491"/>
                    <w:rPr>
                      <w:rFonts w:hint="default" w:ascii="Times New Roman" w:hAnsi="Times New Roman" w:eastAsia="宋体" w:cs="Times New Roman"/>
                      <w:color w:val="000000" w:themeColor="text1"/>
                      <w:szCs w:val="21"/>
                      <w14:textFill>
                        <w14:solidFill>
                          <w14:schemeClr w14:val="tx1"/>
                        </w14:solidFill>
                      </w14:textFill>
                    </w:rPr>
                  </w:pPr>
                </w:p>
              </w:tc>
              <w:tc>
                <w:tcPr>
                  <w:tcW w:w="711" w:type="pct"/>
                  <w:vAlign w:val="center"/>
                </w:tcPr>
                <w:p w14:paraId="6F2C6AA7">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1A9F46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47" w:hRule="atLeast"/>
                <w:jc w:val="center"/>
              </w:trPr>
              <w:tc>
                <w:tcPr>
                  <w:tcW w:w="311" w:type="pct"/>
                  <w:vAlign w:val="center"/>
                </w:tcPr>
                <w:p w14:paraId="26A6F1CB">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387" w:type="pct"/>
                  <w:vAlign w:val="center"/>
                </w:tcPr>
                <w:p w14:paraId="43BF1203">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西厂界</w:t>
                  </w:r>
                </w:p>
              </w:tc>
              <w:tc>
                <w:tcPr>
                  <w:tcW w:w="584" w:type="pct"/>
                  <w:tcBorders>
                    <w:top w:val="single" w:color="auto" w:sz="4" w:space="0"/>
                    <w:bottom w:val="single" w:color="auto" w:sz="4" w:space="0"/>
                    <w:right w:val="single" w:color="auto" w:sz="4" w:space="0"/>
                  </w:tcBorders>
                  <w:vAlign w:val="center"/>
                </w:tcPr>
                <w:p w14:paraId="5BC60567">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14.38</w:t>
                  </w:r>
                </w:p>
              </w:tc>
              <w:tc>
                <w:tcPr>
                  <w:tcW w:w="626" w:type="pct"/>
                  <w:tcBorders>
                    <w:top w:val="single" w:color="auto" w:sz="4" w:space="0"/>
                    <w:left w:val="single" w:color="auto" w:sz="4" w:space="0"/>
                    <w:bottom w:val="single" w:color="auto" w:sz="4" w:space="0"/>
                    <w:right w:val="single" w:color="auto" w:sz="4" w:space="0"/>
                  </w:tcBorders>
                  <w:vAlign w:val="center"/>
                </w:tcPr>
                <w:p w14:paraId="5419C309">
                  <w:pPr>
                    <w:pStyle w:val="491"/>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14.38</w:t>
                  </w:r>
                </w:p>
              </w:tc>
              <w:tc>
                <w:tcPr>
                  <w:tcW w:w="427" w:type="pct"/>
                  <w:tcBorders>
                    <w:top w:val="single" w:color="auto" w:sz="4" w:space="0"/>
                    <w:right w:val="single" w:color="auto" w:sz="4" w:space="0"/>
                  </w:tcBorders>
                  <w:vAlign w:val="center"/>
                </w:tcPr>
                <w:p w14:paraId="6B026CFC">
                  <w:pPr>
                    <w:widowControl/>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43.41</w:t>
                  </w:r>
                </w:p>
              </w:tc>
              <w:tc>
                <w:tcPr>
                  <w:tcW w:w="412" w:type="pct"/>
                  <w:tcBorders>
                    <w:left w:val="single" w:color="auto" w:sz="4" w:space="0"/>
                  </w:tcBorders>
                  <w:vAlign w:val="center"/>
                </w:tcPr>
                <w:p w14:paraId="3B9420D8">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43.41</w:t>
                  </w:r>
                </w:p>
              </w:tc>
              <w:tc>
                <w:tcPr>
                  <w:tcW w:w="391" w:type="pct"/>
                  <w:vAlign w:val="center"/>
                </w:tcPr>
                <w:p w14:paraId="73A62942">
                  <w:pPr>
                    <w:widowControl/>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43.42</w:t>
                  </w:r>
                </w:p>
              </w:tc>
              <w:tc>
                <w:tcPr>
                  <w:tcW w:w="466" w:type="pct"/>
                  <w:vAlign w:val="center"/>
                </w:tcPr>
                <w:p w14:paraId="7E8D3723">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43.42</w:t>
                  </w:r>
                </w:p>
              </w:tc>
              <w:tc>
                <w:tcPr>
                  <w:tcW w:w="679" w:type="pct"/>
                  <w:vMerge w:val="continue"/>
                  <w:vAlign w:val="center"/>
                </w:tcPr>
                <w:p w14:paraId="6E965867">
                  <w:pPr>
                    <w:pStyle w:val="491"/>
                    <w:rPr>
                      <w:rFonts w:hint="default" w:ascii="Times New Roman" w:hAnsi="Times New Roman" w:eastAsia="宋体" w:cs="Times New Roman"/>
                      <w:color w:val="000000" w:themeColor="text1"/>
                      <w:szCs w:val="21"/>
                      <w14:textFill>
                        <w14:solidFill>
                          <w14:schemeClr w14:val="tx1"/>
                        </w14:solidFill>
                      </w14:textFill>
                    </w:rPr>
                  </w:pPr>
                </w:p>
              </w:tc>
              <w:tc>
                <w:tcPr>
                  <w:tcW w:w="711" w:type="pct"/>
                  <w:vAlign w:val="center"/>
                </w:tcPr>
                <w:p w14:paraId="38BEEBEA">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7E9B45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55" w:hRule="atLeast"/>
                <w:jc w:val="center"/>
              </w:trPr>
              <w:tc>
                <w:tcPr>
                  <w:tcW w:w="311" w:type="pct"/>
                  <w:vAlign w:val="center"/>
                </w:tcPr>
                <w:p w14:paraId="390C2243">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387" w:type="pct"/>
                  <w:vAlign w:val="center"/>
                </w:tcPr>
                <w:p w14:paraId="37382E7C">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北厂界</w:t>
                  </w:r>
                </w:p>
              </w:tc>
              <w:tc>
                <w:tcPr>
                  <w:tcW w:w="584" w:type="pct"/>
                  <w:tcBorders>
                    <w:top w:val="single" w:color="auto" w:sz="4" w:space="0"/>
                    <w:bottom w:val="single" w:color="auto" w:sz="4" w:space="0"/>
                    <w:right w:val="single" w:color="auto" w:sz="4" w:space="0"/>
                  </w:tcBorders>
                  <w:vAlign w:val="center"/>
                </w:tcPr>
                <w:p w14:paraId="75DFE925">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24.52</w:t>
                  </w:r>
                </w:p>
              </w:tc>
              <w:tc>
                <w:tcPr>
                  <w:tcW w:w="626" w:type="pct"/>
                  <w:tcBorders>
                    <w:top w:val="single" w:color="auto" w:sz="4" w:space="0"/>
                    <w:left w:val="single" w:color="auto" w:sz="4" w:space="0"/>
                    <w:bottom w:val="single" w:color="auto" w:sz="4" w:space="0"/>
                    <w:right w:val="single" w:color="auto" w:sz="4" w:space="0"/>
                  </w:tcBorders>
                  <w:vAlign w:val="center"/>
                </w:tcPr>
                <w:p w14:paraId="4A2A01DA">
                  <w:pPr>
                    <w:pStyle w:val="491"/>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24.52</w:t>
                  </w:r>
                </w:p>
              </w:tc>
              <w:tc>
                <w:tcPr>
                  <w:tcW w:w="427" w:type="pct"/>
                  <w:tcBorders>
                    <w:right w:val="single" w:color="auto" w:sz="4" w:space="0"/>
                  </w:tcBorders>
                  <w:vAlign w:val="center"/>
                </w:tcPr>
                <w:p w14:paraId="50AB0E5B">
                  <w:pPr>
                    <w:pStyle w:val="491"/>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44.87</w:t>
                  </w:r>
                </w:p>
              </w:tc>
              <w:tc>
                <w:tcPr>
                  <w:tcW w:w="412" w:type="pct"/>
                  <w:tcBorders>
                    <w:left w:val="single" w:color="auto" w:sz="4" w:space="0"/>
                  </w:tcBorders>
                  <w:vAlign w:val="center"/>
                </w:tcPr>
                <w:p w14:paraId="0FBFDCBC">
                  <w:pPr>
                    <w:pStyle w:val="491"/>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44.91</w:t>
                  </w:r>
                </w:p>
              </w:tc>
              <w:tc>
                <w:tcPr>
                  <w:tcW w:w="391" w:type="pct"/>
                  <w:vAlign w:val="center"/>
                </w:tcPr>
                <w:p w14:paraId="43111E61">
                  <w:pPr>
                    <w:pStyle w:val="491"/>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44.91</w:t>
                  </w:r>
                </w:p>
              </w:tc>
              <w:tc>
                <w:tcPr>
                  <w:tcW w:w="466" w:type="pct"/>
                  <w:vAlign w:val="center"/>
                </w:tcPr>
                <w:p w14:paraId="0370F3C1">
                  <w:pPr>
                    <w:pStyle w:val="491"/>
                    <w:rPr>
                      <w:rFonts w:hint="default" w:ascii="Times New Roman" w:hAnsi="Times New Roman" w:eastAsia="宋体"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44.91</w:t>
                  </w:r>
                </w:p>
              </w:tc>
              <w:tc>
                <w:tcPr>
                  <w:tcW w:w="679" w:type="pct"/>
                  <w:vMerge w:val="continue"/>
                  <w:vAlign w:val="center"/>
                </w:tcPr>
                <w:p w14:paraId="41A778EC">
                  <w:pPr>
                    <w:pStyle w:val="491"/>
                    <w:rPr>
                      <w:rFonts w:hint="default" w:ascii="Times New Roman" w:hAnsi="Times New Roman" w:eastAsia="宋体" w:cs="Times New Roman"/>
                      <w:color w:val="000000" w:themeColor="text1"/>
                      <w:szCs w:val="21"/>
                      <w14:textFill>
                        <w14:solidFill>
                          <w14:schemeClr w14:val="tx1"/>
                        </w14:solidFill>
                      </w14:textFill>
                    </w:rPr>
                  </w:pPr>
                </w:p>
              </w:tc>
              <w:tc>
                <w:tcPr>
                  <w:tcW w:w="711" w:type="pct"/>
                  <w:vAlign w:val="center"/>
                </w:tcPr>
                <w:p w14:paraId="7C127298">
                  <w:pPr>
                    <w:pStyle w:val="491"/>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达标</w:t>
                  </w:r>
                </w:p>
              </w:tc>
            </w:tr>
            <w:tr w14:paraId="380FB6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55" w:hRule="atLeast"/>
                <w:jc w:val="center"/>
              </w:trPr>
              <w:tc>
                <w:tcPr>
                  <w:tcW w:w="5000" w:type="pct"/>
                  <w:gridSpan w:val="10"/>
                  <w:vAlign w:val="center"/>
                </w:tcPr>
                <w:p w14:paraId="01F24E5F">
                  <w:pPr>
                    <w:pStyle w:val="491"/>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*：取自主体工程环评厂界噪声预测结果。</w:t>
                  </w:r>
                </w:p>
              </w:tc>
            </w:tr>
          </w:tbl>
          <w:p w14:paraId="10017BE1">
            <w:pPr>
              <w:pStyle w:val="26"/>
              <w:spacing w:after="0" w:line="360" w:lineRule="auto"/>
              <w:ind w:left="0" w:leftChars="0"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由预测结果可知，营运期在采取环评提出的噪声控制措施后，企业厂界各预测点预测值均满足《工业企业厂界环境噪声排放标准》（GB12348-2008）3类标准，可实现达标排放。</w:t>
            </w:r>
          </w:p>
          <w:p w14:paraId="0BD6D676">
            <w:pPr>
              <w:pStyle w:val="26"/>
              <w:spacing w:after="0" w:line="360" w:lineRule="auto"/>
              <w:ind w:left="0" w:leftChars="0"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4、监测要求</w:t>
            </w:r>
          </w:p>
          <w:p w14:paraId="7DFC629A">
            <w:pPr>
              <w:pStyle w:val="26"/>
              <w:spacing w:after="0" w:line="360" w:lineRule="auto"/>
              <w:ind w:left="0" w:leftChars="0" w:firstLine="480" w:firstLineChars="20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本项目的实施不会改变全厂噪声监测计划，按照主体工程环评执行。</w:t>
            </w:r>
          </w:p>
          <w:p w14:paraId="024D5FD1">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4.2.4地下水、土壤</w:t>
            </w:r>
          </w:p>
          <w:p w14:paraId="29466832">
            <w:pPr>
              <w:autoSpaceDE w:val="0"/>
              <w:spacing w:line="360" w:lineRule="auto"/>
              <w:ind w:firstLine="480"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本项目利用正</w:t>
            </w:r>
            <w:r>
              <w:rPr>
                <w:rFonts w:hint="eastAsia" w:cs="Times New Roman"/>
                <w:color w:val="000000" w:themeColor="text1"/>
                <w:sz w:val="24"/>
                <w:lang w:val="en-US" w:eastAsia="zh-CN" w:bidi="ar"/>
                <w14:textFill>
                  <w14:solidFill>
                    <w14:schemeClr w14:val="tx1"/>
                  </w14:solidFill>
                </w14:textFill>
              </w:rPr>
              <w:t>达</w:t>
            </w:r>
            <w:r>
              <w:rPr>
                <w:rFonts w:hint="default" w:ascii="Times New Roman" w:hAnsi="Times New Roman" w:eastAsia="宋体" w:cs="Times New Roman"/>
                <w:color w:val="000000" w:themeColor="text1"/>
                <w:sz w:val="24"/>
                <w:lang w:bidi="ar"/>
                <w14:textFill>
                  <w14:solidFill>
                    <w14:schemeClr w14:val="tx1"/>
                  </w14:solidFill>
                </w14:textFill>
              </w:rPr>
              <w:t>凯已建厂区地面安装设备从事生产活动，</w:t>
            </w:r>
            <w:r>
              <w:rPr>
                <w:rFonts w:hint="eastAsia" w:cs="Times New Roman"/>
                <w:color w:val="000000" w:themeColor="text1"/>
                <w:sz w:val="24"/>
                <w:lang w:val="en-US" w:eastAsia="zh-CN" w:bidi="ar"/>
                <w14:textFill>
                  <w14:solidFill>
                    <w14:schemeClr w14:val="tx1"/>
                  </w14:solidFill>
                </w14:textFill>
              </w:rPr>
              <w:t>生产区</w:t>
            </w:r>
            <w:r>
              <w:rPr>
                <w:rFonts w:hint="default" w:ascii="Times New Roman" w:hAnsi="Times New Roman" w:eastAsia="宋体" w:cs="Times New Roman"/>
                <w:color w:val="000000" w:themeColor="text1"/>
                <w:sz w:val="24"/>
                <w:lang w:bidi="ar"/>
                <w14:textFill>
                  <w14:solidFill>
                    <w14:schemeClr w14:val="tx1"/>
                  </w14:solidFill>
                </w14:textFill>
              </w:rPr>
              <w:t>已经采取</w:t>
            </w:r>
            <w:r>
              <w:rPr>
                <w:rFonts w:hint="eastAsia" w:cs="Times New Roman"/>
                <w:color w:val="000000" w:themeColor="text1"/>
                <w:sz w:val="24"/>
                <w:lang w:val="en-US" w:eastAsia="zh-CN" w:bidi="ar"/>
                <w14:textFill>
                  <w14:solidFill>
                    <w14:schemeClr w14:val="tx1"/>
                  </w14:solidFill>
                </w14:textFill>
              </w:rPr>
              <w:t>重点防渗措施</w:t>
            </w:r>
            <w:r>
              <w:rPr>
                <w:rFonts w:hint="eastAsia" w:cs="Times New Roman"/>
                <w:color w:val="000000" w:themeColor="text1"/>
                <w:sz w:val="24"/>
                <w:lang w:eastAsia="zh-CN" w:bidi="ar"/>
                <w14:textFill>
                  <w14:solidFill>
                    <w14:schemeClr w14:val="tx1"/>
                  </w14:solidFill>
                </w14:textFill>
              </w:rPr>
              <w:t>（土工膜（厚度2mm）+抗渗混凝土（厚度150mm），抗渗等级不小于P8，土工膜选用HDPE膜，总防渗系数≤1.0×10</w:t>
            </w:r>
            <w:r>
              <w:rPr>
                <w:rFonts w:hint="eastAsia" w:cs="Times New Roman"/>
                <w:color w:val="000000" w:themeColor="text1"/>
                <w:sz w:val="24"/>
                <w:vertAlign w:val="superscript"/>
                <w:lang w:eastAsia="zh-CN" w:bidi="ar"/>
                <w14:textFill>
                  <w14:solidFill>
                    <w14:schemeClr w14:val="tx1"/>
                  </w14:solidFill>
                </w14:textFill>
              </w:rPr>
              <w:t>-10</w:t>
            </w:r>
            <w:r>
              <w:rPr>
                <w:rFonts w:hint="eastAsia" w:cs="Times New Roman"/>
                <w:color w:val="000000" w:themeColor="text1"/>
                <w:sz w:val="24"/>
                <w:lang w:eastAsia="zh-CN" w:bidi="ar"/>
                <w14:textFill>
                  <w14:solidFill>
                    <w14:schemeClr w14:val="tx1"/>
                  </w14:solidFill>
                </w14:textFill>
              </w:rPr>
              <w:t>cm/s）</w:t>
            </w:r>
            <w:r>
              <w:rPr>
                <w:rFonts w:hint="default" w:ascii="Times New Roman" w:hAnsi="Times New Roman" w:eastAsia="宋体" w:cs="Times New Roman"/>
                <w:color w:val="000000" w:themeColor="text1"/>
                <w:sz w:val="24"/>
                <w:lang w:bidi="ar"/>
                <w14:textFill>
                  <w14:solidFill>
                    <w14:schemeClr w14:val="tx1"/>
                  </w14:solidFill>
                </w14:textFill>
              </w:rPr>
              <w:t>，本项目</w:t>
            </w:r>
            <w:r>
              <w:rPr>
                <w:rFonts w:hint="eastAsia" w:cs="Times New Roman"/>
                <w:color w:val="000000" w:themeColor="text1"/>
                <w:sz w:val="24"/>
                <w:lang w:val="en-US" w:eastAsia="zh-CN" w:bidi="ar"/>
                <w14:textFill>
                  <w14:solidFill>
                    <w14:schemeClr w14:val="tx1"/>
                  </w14:solidFill>
                </w14:textFill>
              </w:rPr>
              <w:t>各类管线及液氨储罐均为地上式，泄漏可被及时发现</w:t>
            </w:r>
            <w:r>
              <w:rPr>
                <w:rFonts w:hint="default" w:ascii="Times New Roman" w:hAnsi="Times New Roman" w:eastAsia="宋体" w:cs="Times New Roman"/>
                <w:color w:val="000000" w:themeColor="text1"/>
                <w:sz w:val="24"/>
                <w:lang w:bidi="ar"/>
                <w14:textFill>
                  <w14:solidFill>
                    <w14:schemeClr w14:val="tx1"/>
                  </w14:solidFill>
                </w14:textFill>
              </w:rPr>
              <w:t>，</w:t>
            </w:r>
            <w:r>
              <w:rPr>
                <w:rFonts w:hint="eastAsia" w:cs="Times New Roman"/>
                <w:color w:val="000000" w:themeColor="text1"/>
                <w:sz w:val="24"/>
                <w:lang w:val="en-US" w:eastAsia="zh-CN" w:bidi="ar"/>
                <w14:textFill>
                  <w14:solidFill>
                    <w14:schemeClr w14:val="tx1"/>
                  </w14:solidFill>
                </w14:textFill>
              </w:rPr>
              <w:t>重点防渗</w:t>
            </w:r>
            <w:r>
              <w:rPr>
                <w:rFonts w:hint="default" w:ascii="Times New Roman" w:hAnsi="Times New Roman" w:eastAsia="宋体" w:cs="Times New Roman"/>
                <w:color w:val="000000" w:themeColor="text1"/>
                <w:sz w:val="24"/>
                <w:lang w:bidi="ar"/>
                <w14:textFill>
                  <w14:solidFill>
                    <w14:schemeClr w14:val="tx1"/>
                  </w14:solidFill>
                </w14:textFill>
              </w:rPr>
              <w:t>可满足要求，无需新增防渗措施。</w:t>
            </w:r>
          </w:p>
          <w:p w14:paraId="46A89E26">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4.2.5固体废物</w:t>
            </w:r>
          </w:p>
          <w:p w14:paraId="0EC80724">
            <w:pPr>
              <w:pStyle w:val="493"/>
              <w:ind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在每年开车前进行管线空气吹扫，吹扫废渣产生量约0.005t/a，主要成分为</w:t>
            </w:r>
            <w:r>
              <w:rPr>
                <w:rFonts w:hint="eastAsia" w:cs="Times New Roman"/>
                <w:color w:val="000000" w:themeColor="text1"/>
                <w:lang w:val="en-US" w:eastAsia="zh-CN"/>
                <w14:textFill>
                  <w14:solidFill>
                    <w14:schemeClr w14:val="tx1"/>
                  </w14:solidFill>
                </w14:textFill>
              </w:rPr>
              <w:t>金属渣</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属于一般固废，与主厂区产生的吹扫渣一并外售物资回收部门</w:t>
            </w:r>
            <w:r>
              <w:rPr>
                <w:rFonts w:hint="default" w:ascii="Times New Roman" w:hAnsi="Times New Roman" w:eastAsia="宋体" w:cs="Times New Roman"/>
                <w:color w:val="000000" w:themeColor="text1"/>
                <w14:textFill>
                  <w14:solidFill>
                    <w14:schemeClr w14:val="tx1"/>
                  </w14:solidFill>
                </w14:textFill>
              </w:rPr>
              <w:t>。</w:t>
            </w:r>
          </w:p>
          <w:p w14:paraId="71024EAC">
            <w:pPr>
              <w:pStyle w:val="457"/>
              <w:spacing w:line="360" w:lineRule="auto"/>
              <w:ind w:firstLine="482"/>
              <w:rPr>
                <w:rFonts w:hint="eastAsia" w:cs="Times New Roman"/>
                <w:color w:val="000000" w:themeColor="text1"/>
                <w:lang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本次新增8名工作人员，生活垃圾量按0.5kg/人/d计，则新增生活垃圾产生量为4kg/d，约1.332t/a，</w:t>
            </w:r>
            <w:r>
              <w:rPr>
                <w:rFonts w:hint="default" w:ascii="Times New Roman" w:hAnsi="Times New Roman" w:eastAsia="宋体" w:cs="Times New Roman"/>
                <w:color w:val="000000" w:themeColor="text1"/>
                <w14:textFill>
                  <w14:solidFill>
                    <w14:schemeClr w14:val="tx1"/>
                  </w14:solidFill>
                </w14:textFill>
              </w:rPr>
              <w:t>收集后交由环卫部门处理</w:t>
            </w:r>
            <w:r>
              <w:rPr>
                <w:rFonts w:hint="eastAsia" w:cs="Times New Roman"/>
                <w:color w:val="000000" w:themeColor="text1"/>
                <w:lang w:eastAsia="zh-CN"/>
                <w14:textFill>
                  <w14:solidFill>
                    <w14:schemeClr w14:val="tx1"/>
                  </w14:solidFill>
                </w14:textFill>
              </w:rPr>
              <w:t>。</w:t>
            </w:r>
          </w:p>
          <w:p w14:paraId="37C43610">
            <w:pPr>
              <w:pStyle w:val="457"/>
              <w:spacing w:line="360" w:lineRule="auto"/>
              <w:ind w:firstLine="482"/>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在设备检修过程中会产生少量的废机油、废含油抹布，产生量约0.001t/a，依托厂区已建危废暂存间暂存，交由有危废处理资质单位处理。</w:t>
            </w:r>
          </w:p>
          <w:p w14:paraId="4FF378A2">
            <w:pPr>
              <w:pStyle w:val="457"/>
              <w:spacing w:line="360" w:lineRule="auto"/>
              <w:ind w:firstLine="482"/>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现有危废暂存间</w:t>
            </w:r>
            <w:r>
              <w:rPr>
                <w:rFonts w:hint="eastAsia" w:cs="Times New Roman"/>
                <w:b w:val="0"/>
                <w:bCs w:val="0"/>
                <w:color w:val="000000" w:themeColor="text1"/>
                <w:sz w:val="24"/>
                <w:szCs w:val="24"/>
                <w:lang w:val="en-US" w:eastAsia="zh-CN"/>
                <w14:textFill>
                  <w14:solidFill>
                    <w14:schemeClr w14:val="tx1"/>
                  </w14:solidFill>
                </w14:textFill>
              </w:rPr>
              <w:t>建设情况：目前厂区已经建成危废暂存间一座，建筑面积451m</w:t>
            </w:r>
            <w:r>
              <w:rPr>
                <w:rFonts w:hint="eastAsia" w:cs="Times New Roman"/>
                <w:b w:val="0"/>
                <w:bCs w:val="0"/>
                <w:color w:val="000000" w:themeColor="text1"/>
                <w:sz w:val="24"/>
                <w:szCs w:val="24"/>
                <w:vertAlign w:val="superscript"/>
                <w:lang w:val="en-US" w:eastAsia="zh-CN"/>
                <w14:textFill>
                  <w14:solidFill>
                    <w14:schemeClr w14:val="tx1"/>
                  </w14:solidFill>
                </w14:textFill>
              </w:rPr>
              <w:t>2</w:t>
            </w:r>
            <w:r>
              <w:rPr>
                <w:rFonts w:hint="eastAsia" w:cs="Times New Roman"/>
                <w:b w:val="0"/>
                <w:bCs w:val="0"/>
                <w:color w:val="000000" w:themeColor="text1"/>
                <w:sz w:val="24"/>
                <w:szCs w:val="24"/>
                <w:lang w:val="en-US" w:eastAsia="zh-CN"/>
                <w14:textFill>
                  <w14:solidFill>
                    <w14:schemeClr w14:val="tx1"/>
                  </w14:solidFill>
                </w14:textFill>
              </w:rPr>
              <w:t>，已经采取HDPE膜（厚度2mm）+抗渗混凝土（厚度150mm），抗渗等级不小于P8，</w:t>
            </w:r>
            <w:r>
              <w:rPr>
                <w:color w:val="000000" w:themeColor="text1"/>
                <w:spacing w:val="-2"/>
                <w:sz w:val="24"/>
                <w:szCs w:val="24"/>
                <w14:textFill>
                  <w14:solidFill>
                    <w14:schemeClr w14:val="tx1"/>
                  </w14:solidFill>
                </w14:textFill>
              </w:rPr>
              <w:t>防渗系数≤1.0×10</w:t>
            </w:r>
            <w:r>
              <w:rPr>
                <w:color w:val="000000" w:themeColor="text1"/>
                <w:spacing w:val="-2"/>
                <w:sz w:val="24"/>
                <w:szCs w:val="24"/>
                <w:vertAlign w:val="superscript"/>
                <w14:textFill>
                  <w14:solidFill>
                    <w14:schemeClr w14:val="tx1"/>
                  </w14:solidFill>
                </w14:textFill>
              </w:rPr>
              <w:t>-10</w:t>
            </w:r>
            <w:r>
              <w:rPr>
                <w:color w:val="000000" w:themeColor="text1"/>
                <w:spacing w:val="-2"/>
                <w:sz w:val="24"/>
                <w:szCs w:val="24"/>
                <w14:textFill>
                  <w14:solidFill>
                    <w14:schemeClr w14:val="tx1"/>
                  </w14:solidFill>
                </w14:textFill>
              </w:rPr>
              <w:t>cm/s</w:t>
            </w:r>
            <w:r>
              <w:rPr>
                <w:rFonts w:hint="eastAsia"/>
                <w:color w:val="000000" w:themeColor="text1"/>
                <w:spacing w:val="-2"/>
                <w:sz w:val="24"/>
                <w:szCs w:val="24"/>
                <w:lang w:eastAsia="zh-CN"/>
                <w14:textFill>
                  <w14:solidFill>
                    <w14:schemeClr w14:val="tx1"/>
                  </w14:solidFill>
                </w14:textFill>
              </w:rPr>
              <w:t>，</w:t>
            </w:r>
            <w:r>
              <w:rPr>
                <w:rFonts w:hint="eastAsia"/>
                <w:color w:val="000000" w:themeColor="text1"/>
                <w:spacing w:val="-2"/>
                <w:sz w:val="24"/>
                <w:szCs w:val="24"/>
                <w:lang w:val="en-US" w:eastAsia="zh-CN"/>
                <w14:textFill>
                  <w14:solidFill>
                    <w14:schemeClr w14:val="tx1"/>
                  </w14:solidFill>
                </w14:textFill>
              </w:rPr>
              <w:t>本项目仅产生少量</w:t>
            </w:r>
            <w:r>
              <w:rPr>
                <w:rFonts w:hint="eastAsia" w:cs="Times New Roman"/>
                <w:color w:val="000000" w:themeColor="text1"/>
                <w:lang w:val="en-US" w:eastAsia="zh-CN"/>
                <w14:textFill>
                  <w14:solidFill>
                    <w14:schemeClr w14:val="tx1"/>
                  </w14:solidFill>
                </w14:textFill>
              </w:rPr>
              <w:t>废机油和废含油抹布，可以依托现有危废暂存间进行暂存。</w:t>
            </w:r>
          </w:p>
          <w:p w14:paraId="1663BE36">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4.2.6生态</w:t>
            </w:r>
          </w:p>
          <w:p w14:paraId="42BFAE3E">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项目所在地受人为活动影响深远，属于</w:t>
            </w:r>
            <w:r>
              <w:rPr>
                <w:rFonts w:hint="eastAsia" w:cs="Times New Roman"/>
                <w:color w:val="000000" w:themeColor="text1"/>
                <w:lang w:val="en-US" w:eastAsia="zh-CN"/>
                <w14:textFill>
                  <w14:solidFill>
                    <w14:schemeClr w14:val="tx1"/>
                  </w14:solidFill>
                </w14:textFill>
              </w:rPr>
              <w:t>城镇</w:t>
            </w:r>
            <w:r>
              <w:rPr>
                <w:rFonts w:hint="default" w:ascii="Times New Roman" w:hAnsi="Times New Roman" w:eastAsia="宋体" w:cs="Times New Roman"/>
                <w:color w:val="000000" w:themeColor="text1"/>
                <w14:textFill>
                  <w14:solidFill>
                    <w14:schemeClr w14:val="tx1"/>
                  </w14:solidFill>
                </w14:textFill>
              </w:rPr>
              <w:t>生态环境，区域内人类活动频繁，周边不涉及生态敏感目标。本项目位于工业园区内，在现有厂区内进行技改，不涉及拆迁和安置，对生态环境无明显影响。本项目实施后减少CO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排放量7万t/a，对周边生态环境具有一定的正效益。</w:t>
            </w:r>
          </w:p>
          <w:p w14:paraId="5CFD43DF">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4.2.7污染物排放三本账</w:t>
            </w:r>
          </w:p>
          <w:p w14:paraId="73480401">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通过产排污分析，项目污染物排放三本账见下表。</w:t>
            </w:r>
          </w:p>
          <w:p w14:paraId="392106E5">
            <w:pPr>
              <w:keepNext/>
              <w:keepLines/>
              <w:jc w:val="center"/>
              <w:textAlignment w:val="baseline"/>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w:t>
            </w:r>
            <w:r>
              <w:rPr>
                <w:rFonts w:hint="eastAsia" w:cs="Times New Roman"/>
                <w:b/>
                <w:color w:val="000000" w:themeColor="text1"/>
                <w:szCs w:val="21"/>
                <w:lang w:val="en-US" w:eastAsia="zh-CN"/>
                <w14:textFill>
                  <w14:solidFill>
                    <w14:schemeClr w14:val="tx1"/>
                  </w14:solidFill>
                </w14:textFill>
              </w:rPr>
              <w:t>7</w:t>
            </w:r>
            <w:r>
              <w:rPr>
                <w:rFonts w:hint="default" w:ascii="Times New Roman" w:hAnsi="Times New Roman" w:eastAsia="宋体" w:cs="Times New Roman"/>
                <w:b/>
                <w:color w:val="000000" w:themeColor="text1"/>
                <w:szCs w:val="21"/>
                <w14:textFill>
                  <w14:solidFill>
                    <w14:schemeClr w14:val="tx1"/>
                  </w14:solidFill>
                </w14:textFill>
              </w:rPr>
              <w:t xml:space="preserve">  污染物排放三本账一览表</w:t>
            </w:r>
            <w:r>
              <w:rPr>
                <w:rFonts w:hint="eastAsia" w:cs="Times New Roman"/>
                <w:b/>
                <w:color w:val="000000" w:themeColor="text1"/>
                <w:szCs w:val="21"/>
                <w:lang w:val="en-US" w:eastAsia="zh-CN"/>
                <w14:textFill>
                  <w14:solidFill>
                    <w14:schemeClr w14:val="tx1"/>
                  </w14:solidFill>
                </w14:textFill>
              </w:rPr>
              <w:t xml:space="preserve">     t/a</w:t>
            </w:r>
          </w:p>
          <w:tbl>
            <w:tblPr>
              <w:tblStyle w:val="48"/>
              <w:tblW w:w="89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2218"/>
              <w:gridCol w:w="1050"/>
              <w:gridCol w:w="1049"/>
              <w:gridCol w:w="996"/>
              <w:gridCol w:w="921"/>
              <w:gridCol w:w="1179"/>
              <w:gridCol w:w="788"/>
            </w:tblGrid>
            <w:tr w14:paraId="0934E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36" w:type="dxa"/>
                  <w:tcBorders>
                    <w:top w:val="single" w:color="auto" w:sz="8" w:space="0"/>
                    <w:left w:val="single" w:color="auto" w:sz="8" w:space="0"/>
                    <w:bottom w:val="single" w:color="auto" w:sz="4" w:space="0"/>
                    <w:right w:val="single" w:color="auto" w:sz="4" w:space="0"/>
                  </w:tcBorders>
                  <w:tcMar>
                    <w:left w:w="28" w:type="dxa"/>
                    <w:right w:w="28" w:type="dxa"/>
                  </w:tcMar>
                  <w:vAlign w:val="center"/>
                </w:tcPr>
                <w:p w14:paraId="220FCE1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项目</w:t>
                  </w:r>
                </w:p>
                <w:p w14:paraId="4F79470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分类</w:t>
                  </w:r>
                </w:p>
              </w:tc>
              <w:tc>
                <w:tcPr>
                  <w:tcW w:w="2218"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751C9B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污染物名称</w:t>
                  </w:r>
                </w:p>
              </w:tc>
              <w:tc>
                <w:tcPr>
                  <w:tcW w:w="105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7AA5C1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现有工程</w:t>
                  </w:r>
                </w:p>
                <w:p w14:paraId="4BF4B10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排放量</w:t>
                  </w:r>
                </w:p>
              </w:tc>
              <w:tc>
                <w:tcPr>
                  <w:tcW w:w="104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34C5B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在建工程</w:t>
                  </w:r>
                </w:p>
                <w:p w14:paraId="131EB57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排放量</w:t>
                  </w:r>
                </w:p>
              </w:tc>
              <w:tc>
                <w:tcPr>
                  <w:tcW w:w="996"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2D4299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本项目</w:t>
                  </w:r>
                </w:p>
                <w:p w14:paraId="08F100A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排放量</w:t>
                  </w:r>
                </w:p>
              </w:tc>
              <w:tc>
                <w:tcPr>
                  <w:tcW w:w="92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CA6E9B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16"/>
                      <w:kern w:val="21"/>
                      <w:sz w:val="21"/>
                      <w:szCs w:val="21"/>
                      <w:lang w:bidi="ar"/>
                      <w14:textFill>
                        <w14:solidFill>
                          <w14:schemeClr w14:val="tx1"/>
                        </w14:solidFill>
                      </w14:textFill>
                    </w:rPr>
                    <w:t>以新带老削减量</w:t>
                  </w:r>
                </w:p>
              </w:tc>
              <w:tc>
                <w:tcPr>
                  <w:tcW w:w="117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2B6F4C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16"/>
                      <w:kern w:val="21"/>
                      <w:sz w:val="21"/>
                      <w:szCs w:val="21"/>
                      <w:lang w:bidi="ar"/>
                      <w14:textFill>
                        <w14:solidFill>
                          <w14:schemeClr w14:val="tx1"/>
                        </w14:solidFill>
                      </w14:textFill>
                    </w:rPr>
                    <w:t>本项目建成后</w:t>
                  </w:r>
                </w:p>
                <w:p w14:paraId="6327AD9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16"/>
                      <w:kern w:val="21"/>
                      <w:sz w:val="21"/>
                      <w:szCs w:val="21"/>
                      <w:lang w:bidi="ar"/>
                      <w14:textFill>
                        <w14:solidFill>
                          <w14:schemeClr w14:val="tx1"/>
                        </w14:solidFill>
                      </w14:textFill>
                    </w:rPr>
                    <w:t>全厂排放量</w:t>
                  </w:r>
                </w:p>
              </w:tc>
              <w:tc>
                <w:tcPr>
                  <w:tcW w:w="788"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4F7497E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b/>
                      <w:bCs/>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bCs/>
                      <w:color w:val="000000" w:themeColor="text1"/>
                      <w:spacing w:val="-6"/>
                      <w:kern w:val="21"/>
                      <w:sz w:val="21"/>
                      <w:szCs w:val="21"/>
                      <w:lang w:bidi="ar"/>
                      <w14:textFill>
                        <w14:solidFill>
                          <w14:schemeClr w14:val="tx1"/>
                        </w14:solidFill>
                      </w14:textFill>
                    </w:rPr>
                    <w:t>变化量</w:t>
                  </w:r>
                </w:p>
              </w:tc>
            </w:tr>
            <w:tr w14:paraId="5C03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36" w:type="dxa"/>
                  <w:vMerge w:val="restart"/>
                  <w:tcBorders>
                    <w:top w:val="single" w:color="auto" w:sz="8" w:space="0"/>
                    <w:left w:val="single" w:color="auto" w:sz="8" w:space="0"/>
                    <w:right w:val="single" w:color="auto" w:sz="4" w:space="0"/>
                  </w:tcBorders>
                  <w:tcMar>
                    <w:left w:w="28" w:type="dxa"/>
                    <w:right w:w="28" w:type="dxa"/>
                  </w:tcMar>
                  <w:vAlign w:val="center"/>
                </w:tcPr>
                <w:p w14:paraId="2DF1B65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废气</w:t>
                  </w:r>
                </w:p>
              </w:tc>
              <w:tc>
                <w:tcPr>
                  <w:tcW w:w="2218"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CAC351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SO</w:t>
                  </w:r>
                  <w:r>
                    <w:rPr>
                      <w:rFonts w:hint="default" w:ascii="Times New Roman" w:hAnsi="Times New Roman" w:eastAsia="宋体" w:cs="Times New Roman"/>
                      <w:color w:val="000000" w:themeColor="text1"/>
                      <w:spacing w:val="-6"/>
                      <w:kern w:val="21"/>
                      <w:sz w:val="21"/>
                      <w:szCs w:val="21"/>
                      <w:vertAlign w:val="subscript"/>
                      <w:lang w:bidi="ar"/>
                      <w14:textFill>
                        <w14:solidFill>
                          <w14:schemeClr w14:val="tx1"/>
                        </w14:solidFill>
                      </w14:textFill>
                    </w:rPr>
                    <w:t>2</w:t>
                  </w:r>
                </w:p>
              </w:tc>
              <w:tc>
                <w:tcPr>
                  <w:tcW w:w="105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678CA46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6</w:t>
                  </w:r>
                </w:p>
              </w:tc>
              <w:tc>
                <w:tcPr>
                  <w:tcW w:w="104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3D209E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FCBE18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B1DD51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983E99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6</w:t>
                  </w:r>
                </w:p>
              </w:tc>
              <w:tc>
                <w:tcPr>
                  <w:tcW w:w="788"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707B7FC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1F1B1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736" w:type="dxa"/>
                  <w:vMerge w:val="continue"/>
                  <w:tcBorders>
                    <w:left w:val="single" w:color="auto" w:sz="8" w:space="0"/>
                    <w:right w:val="single" w:color="auto" w:sz="4" w:space="0"/>
                  </w:tcBorders>
                  <w:tcMar>
                    <w:left w:w="28" w:type="dxa"/>
                    <w:right w:w="28" w:type="dxa"/>
                  </w:tcMar>
                  <w:vAlign w:val="center"/>
                </w:tcPr>
                <w:p w14:paraId="3C5E596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50E83F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NOx</w:t>
                  </w:r>
                </w:p>
              </w:tc>
              <w:tc>
                <w:tcPr>
                  <w:tcW w:w="10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DCCBE6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98.15</w:t>
                  </w:r>
                </w:p>
              </w:tc>
              <w:tc>
                <w:tcPr>
                  <w:tcW w:w="104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292E9A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3DA337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A2555E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898B09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98.15</w:t>
                  </w:r>
                </w:p>
              </w:tc>
              <w:tc>
                <w:tcPr>
                  <w:tcW w:w="788"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402C0B1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2D9A9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736" w:type="dxa"/>
                  <w:vMerge w:val="continue"/>
                  <w:tcBorders>
                    <w:left w:val="single" w:color="auto" w:sz="8" w:space="0"/>
                    <w:right w:val="single" w:color="auto" w:sz="4" w:space="0"/>
                  </w:tcBorders>
                  <w:tcMar>
                    <w:left w:w="28" w:type="dxa"/>
                    <w:right w:w="28" w:type="dxa"/>
                  </w:tcMar>
                  <w:vAlign w:val="center"/>
                </w:tcPr>
                <w:p w14:paraId="1441982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0719D2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颗粒物</w:t>
                  </w:r>
                </w:p>
              </w:tc>
              <w:tc>
                <w:tcPr>
                  <w:tcW w:w="10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F5EDC9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25.</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6</w:t>
                  </w:r>
                </w:p>
              </w:tc>
              <w:tc>
                <w:tcPr>
                  <w:tcW w:w="104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8BB350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DA917E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9123DF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11163A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25.</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6</w:t>
                  </w:r>
                </w:p>
              </w:tc>
              <w:tc>
                <w:tcPr>
                  <w:tcW w:w="788"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40F5C6C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71340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36" w:type="dxa"/>
                  <w:vMerge w:val="continue"/>
                  <w:tcBorders>
                    <w:left w:val="single" w:color="auto" w:sz="8" w:space="0"/>
                    <w:right w:val="single" w:color="auto" w:sz="4" w:space="0"/>
                  </w:tcBorders>
                  <w:tcMar>
                    <w:left w:w="28" w:type="dxa"/>
                    <w:right w:w="28" w:type="dxa"/>
                  </w:tcMar>
                  <w:vAlign w:val="center"/>
                </w:tcPr>
                <w:p w14:paraId="275EE9F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8D897C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VOCs</w:t>
                  </w:r>
                </w:p>
              </w:tc>
              <w:tc>
                <w:tcPr>
                  <w:tcW w:w="10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EC1A37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37.91</w:t>
                  </w:r>
                </w:p>
              </w:tc>
              <w:tc>
                <w:tcPr>
                  <w:tcW w:w="104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9E8708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F3CE39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E3C082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368FDF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37.91</w:t>
                  </w:r>
                </w:p>
              </w:tc>
              <w:tc>
                <w:tcPr>
                  <w:tcW w:w="788"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5D2B1EA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17AE1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36" w:type="dxa"/>
                  <w:vMerge w:val="continue"/>
                  <w:tcBorders>
                    <w:left w:val="single" w:color="auto" w:sz="8" w:space="0"/>
                    <w:right w:val="single" w:color="auto" w:sz="4" w:space="0"/>
                  </w:tcBorders>
                  <w:tcMar>
                    <w:left w:w="28" w:type="dxa"/>
                    <w:right w:w="28" w:type="dxa"/>
                  </w:tcMar>
                  <w:vAlign w:val="center"/>
                </w:tcPr>
                <w:p w14:paraId="3262828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7A688B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CO</w:t>
                  </w:r>
                </w:p>
              </w:tc>
              <w:tc>
                <w:tcPr>
                  <w:tcW w:w="10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127FE5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575.27</w:t>
                  </w:r>
                </w:p>
              </w:tc>
              <w:tc>
                <w:tcPr>
                  <w:tcW w:w="104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430286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73ED11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78B1A3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93B4D9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575.27</w:t>
                  </w:r>
                </w:p>
              </w:tc>
              <w:tc>
                <w:tcPr>
                  <w:tcW w:w="788"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7DF84D5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2BC60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36" w:type="dxa"/>
                  <w:vMerge w:val="continue"/>
                  <w:tcBorders>
                    <w:left w:val="single" w:color="auto" w:sz="8" w:space="0"/>
                    <w:right w:val="single" w:color="auto" w:sz="4" w:space="0"/>
                  </w:tcBorders>
                  <w:tcMar>
                    <w:left w:w="28" w:type="dxa"/>
                    <w:right w:w="28" w:type="dxa"/>
                  </w:tcMar>
                  <w:vAlign w:val="center"/>
                </w:tcPr>
                <w:p w14:paraId="4E537C4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5CC471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CO</w:t>
                  </w:r>
                  <w:r>
                    <w:rPr>
                      <w:rFonts w:hint="default" w:ascii="Times New Roman" w:hAnsi="Times New Roman" w:eastAsia="宋体" w:cs="Times New Roman"/>
                      <w:color w:val="000000" w:themeColor="text1"/>
                      <w:spacing w:val="-6"/>
                      <w:kern w:val="21"/>
                      <w:sz w:val="21"/>
                      <w:szCs w:val="21"/>
                      <w:vertAlign w:val="subscript"/>
                      <w:lang w:bidi="ar"/>
                      <w14:textFill>
                        <w14:solidFill>
                          <w14:schemeClr w14:val="tx1"/>
                        </w14:solidFill>
                      </w14:textFill>
                    </w:rPr>
                    <w:t>2</w:t>
                  </w:r>
                </w:p>
              </w:tc>
              <w:tc>
                <w:tcPr>
                  <w:tcW w:w="10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B8C6D7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130012.58</w:t>
                  </w:r>
                </w:p>
              </w:tc>
              <w:tc>
                <w:tcPr>
                  <w:tcW w:w="104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9FE465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2DB343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7208E5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70000</w:t>
                  </w:r>
                </w:p>
              </w:tc>
              <w:tc>
                <w:tcPr>
                  <w:tcW w:w="11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CE9520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60012.58</w:t>
                  </w:r>
                </w:p>
              </w:tc>
              <w:tc>
                <w:tcPr>
                  <w:tcW w:w="788"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647F03D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70000</w:t>
                  </w:r>
                </w:p>
              </w:tc>
            </w:tr>
            <w:tr w14:paraId="1BC98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36" w:type="dxa"/>
                  <w:vMerge w:val="restart"/>
                  <w:tcBorders>
                    <w:top w:val="single" w:color="auto" w:sz="4" w:space="0"/>
                    <w:left w:val="single" w:color="auto" w:sz="8" w:space="0"/>
                    <w:right w:val="single" w:color="auto" w:sz="4" w:space="0"/>
                  </w:tcBorders>
                  <w:vAlign w:val="center"/>
                </w:tcPr>
                <w:p w14:paraId="6120C9C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废水</w:t>
                  </w:r>
                </w:p>
              </w:tc>
              <w:tc>
                <w:tcPr>
                  <w:tcW w:w="2218" w:type="dxa"/>
                  <w:tcBorders>
                    <w:top w:val="single" w:color="auto" w:sz="4" w:space="0"/>
                    <w:left w:val="single" w:color="auto" w:sz="4" w:space="0"/>
                    <w:bottom w:val="single" w:color="auto" w:sz="4" w:space="0"/>
                    <w:right w:val="single" w:color="auto" w:sz="4" w:space="0"/>
                  </w:tcBorders>
                  <w:vAlign w:val="center"/>
                </w:tcPr>
                <w:p w14:paraId="2EC859B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废水总量</w:t>
                  </w:r>
                </w:p>
              </w:tc>
              <w:tc>
                <w:tcPr>
                  <w:tcW w:w="1050" w:type="dxa"/>
                  <w:tcBorders>
                    <w:top w:val="single" w:color="auto" w:sz="4" w:space="0"/>
                    <w:left w:val="single" w:color="auto" w:sz="4" w:space="0"/>
                    <w:bottom w:val="single" w:color="auto" w:sz="4" w:space="0"/>
                    <w:right w:val="single" w:color="auto" w:sz="4" w:space="0"/>
                  </w:tcBorders>
                  <w:vAlign w:val="center"/>
                </w:tcPr>
                <w:p w14:paraId="109A6115">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3</w:t>
                  </w:r>
                  <w: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t>040</w:t>
                  </w:r>
                  <w:r>
                    <w:rPr>
                      <w:rFonts w:hint="default" w:ascii="Times New Roman" w:hAnsi="Times New Roman" w:cs="Times New Roman" w:eastAsiaTheme="minorEastAsia"/>
                      <w:color w:val="000000" w:themeColor="text1"/>
                      <w:kern w:val="21"/>
                      <w:sz w:val="21"/>
                      <w:szCs w:val="21"/>
                      <w14:textFill>
                        <w14:solidFill>
                          <w14:schemeClr w14:val="tx1"/>
                        </w14:solidFill>
                      </w14:textFill>
                    </w:rPr>
                    <w:t>000</w:t>
                  </w:r>
                </w:p>
              </w:tc>
              <w:tc>
                <w:tcPr>
                  <w:tcW w:w="1049" w:type="dxa"/>
                  <w:tcBorders>
                    <w:top w:val="single" w:color="auto" w:sz="4" w:space="0"/>
                    <w:left w:val="single" w:color="auto" w:sz="4" w:space="0"/>
                    <w:bottom w:val="single" w:color="auto" w:sz="4" w:space="0"/>
                    <w:right w:val="single" w:color="auto" w:sz="4" w:space="0"/>
                  </w:tcBorders>
                  <w:vAlign w:val="center"/>
                </w:tcPr>
                <w:p w14:paraId="10455BC2">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kern w:val="21"/>
                      <w:sz w:val="21"/>
                      <w:szCs w:val="21"/>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4EA81125">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bidi="ar"/>
                      <w14:textFill>
                        <w14:solidFill>
                          <w14:schemeClr w14:val="tx1"/>
                        </w14:solidFill>
                      </w14:textFill>
                    </w:rPr>
                    <w:t>375.01</w:t>
                  </w:r>
                </w:p>
              </w:tc>
              <w:tc>
                <w:tcPr>
                  <w:tcW w:w="921" w:type="dxa"/>
                  <w:tcBorders>
                    <w:top w:val="single" w:color="auto" w:sz="4" w:space="0"/>
                    <w:left w:val="single" w:color="auto" w:sz="4" w:space="0"/>
                    <w:bottom w:val="single" w:color="auto" w:sz="4" w:space="0"/>
                    <w:right w:val="single" w:color="auto" w:sz="4" w:space="0"/>
                  </w:tcBorders>
                  <w:vAlign w:val="center"/>
                </w:tcPr>
                <w:p w14:paraId="65A3F8B1">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119ED60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3040375.01</w:t>
                  </w:r>
                </w:p>
              </w:tc>
              <w:tc>
                <w:tcPr>
                  <w:tcW w:w="788" w:type="dxa"/>
                  <w:tcBorders>
                    <w:top w:val="single" w:color="auto" w:sz="4" w:space="0"/>
                    <w:left w:val="single" w:color="auto" w:sz="4" w:space="0"/>
                    <w:bottom w:val="single" w:color="auto" w:sz="4" w:space="0"/>
                    <w:right w:val="single" w:color="auto" w:sz="8" w:space="0"/>
                  </w:tcBorders>
                  <w:vAlign w:val="center"/>
                </w:tcPr>
                <w:p w14:paraId="1E728DF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+375.01</w:t>
                  </w:r>
                </w:p>
              </w:tc>
            </w:tr>
            <w:tr w14:paraId="7ADE07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36" w:type="dxa"/>
                  <w:vMerge w:val="continue"/>
                  <w:tcBorders>
                    <w:left w:val="single" w:color="auto" w:sz="8" w:space="0"/>
                    <w:bottom w:val="single" w:color="auto" w:sz="4" w:space="0"/>
                    <w:right w:val="single" w:color="auto" w:sz="4" w:space="0"/>
                  </w:tcBorders>
                  <w:vAlign w:val="center"/>
                </w:tcPr>
                <w:p w14:paraId="4EB3BB4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vAlign w:val="center"/>
                </w:tcPr>
                <w:p w14:paraId="7446B2A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COD</w:t>
                  </w:r>
                </w:p>
              </w:tc>
              <w:tc>
                <w:tcPr>
                  <w:tcW w:w="1050" w:type="dxa"/>
                  <w:tcBorders>
                    <w:top w:val="single" w:color="auto" w:sz="4" w:space="0"/>
                    <w:left w:val="single" w:color="auto" w:sz="4" w:space="0"/>
                    <w:bottom w:val="single" w:color="auto" w:sz="4" w:space="0"/>
                    <w:right w:val="single" w:color="auto" w:sz="4" w:space="0"/>
                  </w:tcBorders>
                  <w:vAlign w:val="center"/>
                </w:tcPr>
                <w:p w14:paraId="7B56D2AF">
                  <w:pPr>
                    <w:adjustRightInd w:val="0"/>
                    <w:snapToGrid w:val="0"/>
                    <w:jc w:val="center"/>
                    <w:rPr>
                      <w:rFonts w:hint="default" w:ascii="Times New Roman" w:hAnsi="Times New Roman" w:cs="Times New Roman" w:eastAsiaTheme="minorEastAsia"/>
                      <w:color w:val="000000" w:themeColor="text1"/>
                      <w:kern w:val="21"/>
                      <w:sz w:val="21"/>
                      <w:szCs w:val="21"/>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21"/>
                      <w:sz w:val="21"/>
                      <w:szCs w:val="21"/>
                      <w:lang w:val="en-US" w:eastAsia="zh-CN" w:bidi="ar"/>
                      <w14:textFill>
                        <w14:solidFill>
                          <w14:schemeClr w14:val="tx1"/>
                        </w14:solidFill>
                      </w14:textFill>
                    </w:rPr>
                    <w:t>608.0</w:t>
                  </w:r>
                </w:p>
              </w:tc>
              <w:tc>
                <w:tcPr>
                  <w:tcW w:w="1049" w:type="dxa"/>
                  <w:tcBorders>
                    <w:top w:val="single" w:color="auto" w:sz="4" w:space="0"/>
                    <w:left w:val="single" w:color="auto" w:sz="4" w:space="0"/>
                    <w:bottom w:val="single" w:color="auto" w:sz="4" w:space="0"/>
                    <w:right w:val="single" w:color="auto" w:sz="4" w:space="0"/>
                  </w:tcBorders>
                  <w:vAlign w:val="center"/>
                </w:tcPr>
                <w:p w14:paraId="3FA328B1">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54D627C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t>0.1875</w:t>
                  </w:r>
                </w:p>
              </w:tc>
              <w:tc>
                <w:tcPr>
                  <w:tcW w:w="921" w:type="dxa"/>
                  <w:tcBorders>
                    <w:top w:val="single" w:color="auto" w:sz="4" w:space="0"/>
                    <w:left w:val="single" w:color="auto" w:sz="4" w:space="0"/>
                    <w:bottom w:val="single" w:color="auto" w:sz="4" w:space="0"/>
                    <w:right w:val="single" w:color="auto" w:sz="4" w:space="0"/>
                  </w:tcBorders>
                  <w:vAlign w:val="center"/>
                </w:tcPr>
                <w:p w14:paraId="3B4A95AB">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70802F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608.1875</w:t>
                  </w:r>
                </w:p>
              </w:tc>
              <w:tc>
                <w:tcPr>
                  <w:tcW w:w="788" w:type="dxa"/>
                  <w:tcBorders>
                    <w:top w:val="single" w:color="auto" w:sz="4" w:space="0"/>
                    <w:left w:val="single" w:color="auto" w:sz="4" w:space="0"/>
                    <w:bottom w:val="single" w:color="auto" w:sz="4" w:space="0"/>
                    <w:right w:val="single" w:color="auto" w:sz="8" w:space="0"/>
                  </w:tcBorders>
                  <w:vAlign w:val="center"/>
                </w:tcPr>
                <w:p w14:paraId="3B9447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+0.1875</w:t>
                  </w:r>
                </w:p>
              </w:tc>
            </w:tr>
            <w:tr w14:paraId="470E1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36" w:type="dxa"/>
                  <w:vMerge w:val="continue"/>
                  <w:tcBorders>
                    <w:top w:val="single" w:color="auto" w:sz="4" w:space="0"/>
                    <w:left w:val="single" w:color="auto" w:sz="8" w:space="0"/>
                    <w:bottom w:val="single" w:color="auto" w:sz="4" w:space="0"/>
                    <w:right w:val="single" w:color="auto" w:sz="4" w:space="0"/>
                  </w:tcBorders>
                  <w:vAlign w:val="center"/>
                </w:tcPr>
                <w:p w14:paraId="560CBA52">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vAlign w:val="center"/>
                </w:tcPr>
                <w:p w14:paraId="6F3704D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氨氮</w:t>
                  </w:r>
                </w:p>
              </w:tc>
              <w:tc>
                <w:tcPr>
                  <w:tcW w:w="1050" w:type="dxa"/>
                  <w:tcBorders>
                    <w:top w:val="single" w:color="auto" w:sz="4" w:space="0"/>
                    <w:left w:val="single" w:color="auto" w:sz="4" w:space="0"/>
                    <w:bottom w:val="single" w:color="auto" w:sz="4" w:space="0"/>
                    <w:right w:val="single" w:color="auto" w:sz="4" w:space="0"/>
                  </w:tcBorders>
                  <w:vAlign w:val="center"/>
                </w:tcPr>
                <w:p w14:paraId="1355E75B">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76.0</w:t>
                  </w:r>
                </w:p>
              </w:tc>
              <w:tc>
                <w:tcPr>
                  <w:tcW w:w="1049" w:type="dxa"/>
                  <w:tcBorders>
                    <w:top w:val="single" w:color="auto" w:sz="4" w:space="0"/>
                    <w:left w:val="single" w:color="auto" w:sz="4" w:space="0"/>
                    <w:bottom w:val="single" w:color="auto" w:sz="4" w:space="0"/>
                    <w:right w:val="single" w:color="auto" w:sz="4" w:space="0"/>
                  </w:tcBorders>
                  <w:vAlign w:val="center"/>
                </w:tcPr>
                <w:p w14:paraId="5C1FD90E">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4F855C6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t>0.0131</w:t>
                  </w:r>
                </w:p>
              </w:tc>
              <w:tc>
                <w:tcPr>
                  <w:tcW w:w="921" w:type="dxa"/>
                  <w:tcBorders>
                    <w:top w:val="single" w:color="auto" w:sz="4" w:space="0"/>
                    <w:left w:val="single" w:color="auto" w:sz="4" w:space="0"/>
                    <w:bottom w:val="single" w:color="auto" w:sz="4" w:space="0"/>
                    <w:right w:val="single" w:color="auto" w:sz="4" w:space="0"/>
                  </w:tcBorders>
                  <w:vAlign w:val="center"/>
                </w:tcPr>
                <w:p w14:paraId="282AC6A5">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1434A34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76.0131</w:t>
                  </w:r>
                </w:p>
              </w:tc>
              <w:tc>
                <w:tcPr>
                  <w:tcW w:w="788" w:type="dxa"/>
                  <w:tcBorders>
                    <w:top w:val="single" w:color="auto" w:sz="4" w:space="0"/>
                    <w:left w:val="single" w:color="auto" w:sz="4" w:space="0"/>
                    <w:bottom w:val="single" w:color="auto" w:sz="4" w:space="0"/>
                    <w:right w:val="single" w:color="auto" w:sz="8" w:space="0"/>
                  </w:tcBorders>
                  <w:vAlign w:val="top"/>
                </w:tcPr>
                <w:p w14:paraId="3D4ACD2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+0.0131</w:t>
                  </w:r>
                </w:p>
              </w:tc>
            </w:tr>
            <w:tr w14:paraId="7EAAB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36" w:type="dxa"/>
                  <w:vMerge w:val="continue"/>
                  <w:tcBorders>
                    <w:top w:val="single" w:color="auto" w:sz="4" w:space="0"/>
                    <w:left w:val="single" w:color="auto" w:sz="8" w:space="0"/>
                    <w:bottom w:val="single" w:color="auto" w:sz="4" w:space="0"/>
                    <w:right w:val="single" w:color="auto" w:sz="4" w:space="0"/>
                  </w:tcBorders>
                  <w:vAlign w:val="center"/>
                </w:tcPr>
                <w:p w14:paraId="4AE36D0A">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218" w:type="dxa"/>
                  <w:tcBorders>
                    <w:top w:val="single" w:color="auto" w:sz="4" w:space="0"/>
                    <w:left w:val="single" w:color="auto" w:sz="4" w:space="0"/>
                    <w:bottom w:val="single" w:color="auto" w:sz="4" w:space="0"/>
                    <w:right w:val="single" w:color="auto" w:sz="4" w:space="0"/>
                  </w:tcBorders>
                  <w:vAlign w:val="center"/>
                </w:tcPr>
                <w:p w14:paraId="10556D9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总磷</w:t>
                  </w:r>
                </w:p>
              </w:tc>
              <w:tc>
                <w:tcPr>
                  <w:tcW w:w="1050" w:type="dxa"/>
                  <w:tcBorders>
                    <w:top w:val="single" w:color="auto" w:sz="4" w:space="0"/>
                    <w:left w:val="single" w:color="auto" w:sz="4" w:space="0"/>
                    <w:bottom w:val="single" w:color="auto" w:sz="4" w:space="0"/>
                    <w:right w:val="single" w:color="auto" w:sz="4" w:space="0"/>
                  </w:tcBorders>
                  <w:vAlign w:val="center"/>
                </w:tcPr>
                <w:p w14:paraId="359AAA88">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kern w:val="2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6.08</w:t>
                  </w:r>
                </w:p>
              </w:tc>
              <w:tc>
                <w:tcPr>
                  <w:tcW w:w="1049" w:type="dxa"/>
                  <w:tcBorders>
                    <w:top w:val="single" w:color="auto" w:sz="4" w:space="0"/>
                    <w:left w:val="single" w:color="auto" w:sz="4" w:space="0"/>
                    <w:bottom w:val="single" w:color="auto" w:sz="4" w:space="0"/>
                    <w:right w:val="single" w:color="auto" w:sz="4" w:space="0"/>
                  </w:tcBorders>
                  <w:vAlign w:val="center"/>
                </w:tcPr>
                <w:p w14:paraId="6709E297">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5E94532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val="en-US" w:eastAsia="zh-CN" w:bidi="ar"/>
                      <w14:textFill>
                        <w14:solidFill>
                          <w14:schemeClr w14:val="tx1"/>
                        </w14:solidFill>
                      </w14:textFill>
                    </w:rPr>
                    <w:t>0.0015</w:t>
                  </w:r>
                </w:p>
              </w:tc>
              <w:tc>
                <w:tcPr>
                  <w:tcW w:w="921" w:type="dxa"/>
                  <w:tcBorders>
                    <w:top w:val="single" w:color="auto" w:sz="4" w:space="0"/>
                    <w:left w:val="single" w:color="auto" w:sz="4" w:space="0"/>
                    <w:bottom w:val="single" w:color="auto" w:sz="4" w:space="0"/>
                    <w:right w:val="single" w:color="auto" w:sz="4" w:space="0"/>
                  </w:tcBorders>
                  <w:vAlign w:val="center"/>
                </w:tcPr>
                <w:p w14:paraId="13B6FEF3">
                  <w:pPr>
                    <w:pStyle w:val="42"/>
                    <w:widowControl w:val="0"/>
                    <w:adjustRightInd w:val="0"/>
                    <w:snapToGrid w:val="0"/>
                    <w:spacing w:before="0" w:beforeAutospacing="0" w:after="0" w:afterAutospacing="0" w:line="256" w:lineRule="auto"/>
                    <w:jc w:val="cente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pPr>
                  <w:r>
                    <w:rPr>
                      <w:rFonts w:hint="default" w:ascii="Times New Roman" w:hAnsi="Times New Roman" w:cs="Times New Roman" w:eastAsiaTheme="minorEastAsia"/>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295C6B4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6.0815</w:t>
                  </w:r>
                </w:p>
              </w:tc>
              <w:tc>
                <w:tcPr>
                  <w:tcW w:w="788" w:type="dxa"/>
                  <w:tcBorders>
                    <w:top w:val="single" w:color="auto" w:sz="4" w:space="0"/>
                    <w:left w:val="single" w:color="auto" w:sz="4" w:space="0"/>
                    <w:bottom w:val="single" w:color="auto" w:sz="4" w:space="0"/>
                    <w:right w:val="single" w:color="auto" w:sz="8" w:space="0"/>
                  </w:tcBorders>
                  <w:vAlign w:val="top"/>
                </w:tcPr>
                <w:p w14:paraId="450CB57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+0.0015</w:t>
                  </w:r>
                </w:p>
              </w:tc>
            </w:tr>
            <w:tr w14:paraId="2B2D6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36" w:type="dxa"/>
                  <w:vMerge w:val="restart"/>
                  <w:tcBorders>
                    <w:top w:val="single" w:color="auto" w:sz="4" w:space="0"/>
                    <w:left w:val="single" w:color="auto" w:sz="8" w:space="0"/>
                    <w:right w:val="single" w:color="auto" w:sz="4" w:space="0"/>
                  </w:tcBorders>
                  <w:vAlign w:val="center"/>
                </w:tcPr>
                <w:p w14:paraId="137ECE4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一般工业固体废物</w:t>
                  </w: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（产生量）</w:t>
                  </w:r>
                </w:p>
              </w:tc>
              <w:tc>
                <w:tcPr>
                  <w:tcW w:w="2218" w:type="dxa"/>
                  <w:tcBorders>
                    <w:top w:val="single" w:color="auto" w:sz="4" w:space="0"/>
                    <w:left w:val="single" w:color="auto" w:sz="4" w:space="0"/>
                    <w:right w:val="single" w:color="auto" w:sz="4" w:space="0"/>
                  </w:tcBorders>
                  <w:vAlign w:val="center"/>
                </w:tcPr>
                <w:p w14:paraId="2A10427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空分装置废分子筛、纯化系统废吸附材料、空气干燥器废吸附材料；脱盐水站反渗透膜；回用水站反渗透膜；废外包装袋</w:t>
                  </w:r>
                </w:p>
              </w:tc>
              <w:tc>
                <w:tcPr>
                  <w:tcW w:w="1050" w:type="dxa"/>
                  <w:tcBorders>
                    <w:top w:val="single" w:color="auto" w:sz="4" w:space="0"/>
                    <w:left w:val="single" w:color="auto" w:sz="4" w:space="0"/>
                    <w:right w:val="single" w:color="auto" w:sz="4" w:space="0"/>
                  </w:tcBorders>
                  <w:vAlign w:val="center"/>
                </w:tcPr>
                <w:p w14:paraId="0FA1E76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106.4</w:t>
                  </w:r>
                </w:p>
              </w:tc>
              <w:tc>
                <w:tcPr>
                  <w:tcW w:w="1049" w:type="dxa"/>
                  <w:tcBorders>
                    <w:top w:val="single" w:color="auto" w:sz="4" w:space="0"/>
                    <w:left w:val="single" w:color="auto" w:sz="4" w:space="0"/>
                    <w:bottom w:val="single" w:color="auto" w:sz="4" w:space="0"/>
                    <w:right w:val="single" w:color="auto" w:sz="4" w:space="0"/>
                  </w:tcBorders>
                  <w:vAlign w:val="center"/>
                </w:tcPr>
                <w:p w14:paraId="5A8FE69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67752D3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4" w:space="0"/>
                    <w:right w:val="single" w:color="auto" w:sz="4" w:space="0"/>
                  </w:tcBorders>
                  <w:vAlign w:val="center"/>
                </w:tcPr>
                <w:p w14:paraId="67AC6E4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705317C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106.4</w:t>
                  </w:r>
                </w:p>
              </w:tc>
              <w:tc>
                <w:tcPr>
                  <w:tcW w:w="788" w:type="dxa"/>
                  <w:tcBorders>
                    <w:top w:val="single" w:color="auto" w:sz="4" w:space="0"/>
                    <w:left w:val="single" w:color="auto" w:sz="4" w:space="0"/>
                    <w:bottom w:val="single" w:color="auto" w:sz="4" w:space="0"/>
                    <w:right w:val="single" w:color="auto" w:sz="8" w:space="0"/>
                  </w:tcBorders>
                  <w:vAlign w:val="center"/>
                </w:tcPr>
                <w:p w14:paraId="6E10946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不变</w:t>
                  </w:r>
                </w:p>
              </w:tc>
            </w:tr>
            <w:tr w14:paraId="2CA602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6" w:type="dxa"/>
                  <w:vMerge w:val="continue"/>
                  <w:tcBorders>
                    <w:left w:val="single" w:color="auto" w:sz="8" w:space="0"/>
                    <w:bottom w:val="single" w:color="auto" w:sz="4" w:space="0"/>
                    <w:right w:val="single" w:color="auto" w:sz="4" w:space="0"/>
                  </w:tcBorders>
                  <w:vAlign w:val="center"/>
                </w:tcPr>
                <w:p w14:paraId="559EFEE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p>
              </w:tc>
              <w:tc>
                <w:tcPr>
                  <w:tcW w:w="2218" w:type="dxa"/>
                  <w:tcBorders>
                    <w:top w:val="single" w:color="auto" w:sz="4" w:space="0"/>
                    <w:left w:val="single" w:color="auto" w:sz="4" w:space="0"/>
                    <w:right w:val="single" w:color="auto" w:sz="4" w:space="0"/>
                  </w:tcBorders>
                  <w:vAlign w:val="center"/>
                </w:tcPr>
                <w:p w14:paraId="34608C5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管线吹扫废渣</w:t>
                  </w:r>
                </w:p>
              </w:tc>
              <w:tc>
                <w:tcPr>
                  <w:tcW w:w="1050" w:type="dxa"/>
                  <w:tcBorders>
                    <w:top w:val="single" w:color="auto" w:sz="4" w:space="0"/>
                    <w:left w:val="single" w:color="auto" w:sz="4" w:space="0"/>
                    <w:right w:val="single" w:color="auto" w:sz="4" w:space="0"/>
                  </w:tcBorders>
                  <w:vAlign w:val="center"/>
                </w:tcPr>
                <w:p w14:paraId="7B5FE6E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w:t>
                  </w:r>
                </w:p>
              </w:tc>
              <w:tc>
                <w:tcPr>
                  <w:tcW w:w="1049" w:type="dxa"/>
                  <w:tcBorders>
                    <w:top w:val="single" w:color="auto" w:sz="4" w:space="0"/>
                    <w:left w:val="single" w:color="auto" w:sz="4" w:space="0"/>
                    <w:bottom w:val="single" w:color="auto" w:sz="4" w:space="0"/>
                    <w:right w:val="single" w:color="auto" w:sz="4" w:space="0"/>
                  </w:tcBorders>
                  <w:vAlign w:val="center"/>
                </w:tcPr>
                <w:p w14:paraId="12F1018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6122CB0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0.005</w:t>
                  </w:r>
                </w:p>
              </w:tc>
              <w:tc>
                <w:tcPr>
                  <w:tcW w:w="921" w:type="dxa"/>
                  <w:tcBorders>
                    <w:top w:val="single" w:color="auto" w:sz="4" w:space="0"/>
                    <w:left w:val="single" w:color="auto" w:sz="4" w:space="0"/>
                    <w:bottom w:val="single" w:color="auto" w:sz="4" w:space="0"/>
                    <w:right w:val="single" w:color="auto" w:sz="4" w:space="0"/>
                  </w:tcBorders>
                  <w:vAlign w:val="center"/>
                </w:tcPr>
                <w:p w14:paraId="5803B48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3B8D23E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0.005</w:t>
                  </w:r>
                </w:p>
              </w:tc>
              <w:tc>
                <w:tcPr>
                  <w:tcW w:w="788" w:type="dxa"/>
                  <w:tcBorders>
                    <w:top w:val="single" w:color="auto" w:sz="4" w:space="0"/>
                    <w:left w:val="single" w:color="auto" w:sz="4" w:space="0"/>
                    <w:bottom w:val="single" w:color="auto" w:sz="4" w:space="0"/>
                    <w:right w:val="single" w:color="auto" w:sz="8" w:space="0"/>
                  </w:tcBorders>
                  <w:vAlign w:val="center"/>
                </w:tcPr>
                <w:p w14:paraId="39905EF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+0.005</w:t>
                  </w:r>
                </w:p>
              </w:tc>
            </w:tr>
            <w:tr w14:paraId="17315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954" w:type="dxa"/>
                  <w:gridSpan w:val="2"/>
                  <w:tcBorders>
                    <w:left w:val="single" w:color="auto" w:sz="8" w:space="0"/>
                    <w:bottom w:val="single" w:color="auto" w:sz="4" w:space="0"/>
                    <w:right w:val="single" w:color="auto" w:sz="4" w:space="0"/>
                  </w:tcBorders>
                  <w:vAlign w:val="center"/>
                </w:tcPr>
                <w:p w14:paraId="7E68658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生活垃圾</w:t>
                  </w:r>
                </w:p>
              </w:tc>
              <w:tc>
                <w:tcPr>
                  <w:tcW w:w="1050" w:type="dxa"/>
                  <w:tcBorders>
                    <w:top w:val="single" w:color="auto" w:sz="4" w:space="0"/>
                    <w:left w:val="single" w:color="auto" w:sz="4" w:space="0"/>
                    <w:right w:val="single" w:color="auto" w:sz="4" w:space="0"/>
                  </w:tcBorders>
                  <w:vAlign w:val="center"/>
                </w:tcPr>
                <w:p w14:paraId="277A213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183</w:t>
                  </w:r>
                </w:p>
              </w:tc>
              <w:tc>
                <w:tcPr>
                  <w:tcW w:w="1049" w:type="dxa"/>
                  <w:tcBorders>
                    <w:top w:val="single" w:color="auto" w:sz="4" w:space="0"/>
                    <w:left w:val="single" w:color="auto" w:sz="4" w:space="0"/>
                    <w:bottom w:val="single" w:color="auto" w:sz="4" w:space="0"/>
                    <w:right w:val="single" w:color="auto" w:sz="4" w:space="0"/>
                  </w:tcBorders>
                  <w:vAlign w:val="center"/>
                </w:tcPr>
                <w:p w14:paraId="57E1CEBE">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781A1C9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1.332</w:t>
                  </w:r>
                </w:p>
              </w:tc>
              <w:tc>
                <w:tcPr>
                  <w:tcW w:w="921" w:type="dxa"/>
                  <w:tcBorders>
                    <w:top w:val="single" w:color="auto" w:sz="4" w:space="0"/>
                    <w:left w:val="single" w:color="auto" w:sz="4" w:space="0"/>
                    <w:bottom w:val="single" w:color="auto" w:sz="4" w:space="0"/>
                    <w:right w:val="single" w:color="auto" w:sz="4" w:space="0"/>
                  </w:tcBorders>
                  <w:vAlign w:val="center"/>
                </w:tcPr>
                <w:p w14:paraId="1B863D9B">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2F9AB59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184.332</w:t>
                  </w:r>
                </w:p>
              </w:tc>
              <w:tc>
                <w:tcPr>
                  <w:tcW w:w="788" w:type="dxa"/>
                  <w:tcBorders>
                    <w:top w:val="single" w:color="auto" w:sz="4" w:space="0"/>
                    <w:left w:val="single" w:color="auto" w:sz="4" w:space="0"/>
                    <w:bottom w:val="single" w:color="auto" w:sz="4" w:space="0"/>
                    <w:right w:val="single" w:color="auto" w:sz="8" w:space="0"/>
                  </w:tcBorders>
                  <w:vAlign w:val="center"/>
                </w:tcPr>
                <w:p w14:paraId="7A13296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+1.332</w:t>
                  </w:r>
                </w:p>
              </w:tc>
            </w:tr>
            <w:tr w14:paraId="57978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36" w:type="dxa"/>
                  <w:tcBorders>
                    <w:top w:val="single" w:color="auto" w:sz="4" w:space="0"/>
                    <w:left w:val="single" w:color="auto" w:sz="8" w:space="0"/>
                    <w:bottom w:val="single" w:color="auto" w:sz="4" w:space="0"/>
                    <w:right w:val="single" w:color="auto" w:sz="4" w:space="0"/>
                  </w:tcBorders>
                  <w:vAlign w:val="center"/>
                </w:tcPr>
                <w:p w14:paraId="5E48C8C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危险废物</w:t>
                  </w: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（产生量）</w:t>
                  </w:r>
                </w:p>
              </w:tc>
              <w:tc>
                <w:tcPr>
                  <w:tcW w:w="2218" w:type="dxa"/>
                  <w:tcBorders>
                    <w:top w:val="single" w:color="auto" w:sz="4" w:space="0"/>
                    <w:left w:val="single" w:color="auto" w:sz="4" w:space="0"/>
                    <w:bottom w:val="single" w:color="auto" w:sz="4" w:space="0"/>
                    <w:right w:val="single" w:color="auto" w:sz="4" w:space="0"/>
                  </w:tcBorders>
                  <w:vAlign w:val="center"/>
                </w:tcPr>
                <w:p w14:paraId="37C0FE39">
                  <w:pPr>
                    <w:widowControl/>
                    <w:jc w:val="center"/>
                    <w:rPr>
                      <w:rFonts w:hint="default" w:ascii="Times New Roman" w:hAnsi="Times New Roman" w:eastAsia="宋体" w:cs="Times New Roman"/>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kern w:val="21"/>
                      <w:szCs w:val="21"/>
                      <w14:textFill>
                        <w14:solidFill>
                          <w14:schemeClr w14:val="tx1"/>
                        </w14:solidFill>
                      </w14:textFill>
                    </w:rPr>
                    <w:t>天然气净化及转化装置废脱硝催化剂、有机硫加氢催化剂、废氧化锌脱硫剂、纯氧转化炉废催化剂；H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/CO深冷分离装置废分子筛吸附剂、PSA-H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废吸附剂；乙二醇合成装置酯化合成废催化剂、乙二醇合成废催化剂、驰放气PSA-H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废吸附剂、T10塔分子筛吸附塔废吸附剂、液相加氢废催化剂、乙二醇精制废树脂、乙二醇脱醛精制废树脂；废水站、危废暂存间废活性炭；设备维修间废机油；实验室质检废液；废桶/内包装袋；电子级DMC装置母液分离罐废渣、1#回收塔、2#回收塔釜底废液；DMC装置配套焚烧炉焚烧底渣、飞灰</w:t>
                  </w:r>
                </w:p>
              </w:tc>
              <w:tc>
                <w:tcPr>
                  <w:tcW w:w="1050" w:type="dxa"/>
                  <w:tcBorders>
                    <w:top w:val="single" w:color="auto" w:sz="4" w:space="0"/>
                    <w:left w:val="single" w:color="auto" w:sz="4" w:space="0"/>
                    <w:bottom w:val="single" w:color="auto" w:sz="4" w:space="0"/>
                    <w:right w:val="single" w:color="auto" w:sz="4" w:space="0"/>
                  </w:tcBorders>
                  <w:vAlign w:val="center"/>
                </w:tcPr>
                <w:p w14:paraId="27737AD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943.9</w:t>
                  </w:r>
                </w:p>
              </w:tc>
              <w:tc>
                <w:tcPr>
                  <w:tcW w:w="1049" w:type="dxa"/>
                  <w:tcBorders>
                    <w:top w:val="single" w:color="auto" w:sz="4" w:space="0"/>
                    <w:left w:val="single" w:color="auto" w:sz="4" w:space="0"/>
                    <w:bottom w:val="single" w:color="auto" w:sz="4" w:space="0"/>
                    <w:right w:val="single" w:color="auto" w:sz="4" w:space="0"/>
                  </w:tcBorders>
                  <w:vAlign w:val="center"/>
                </w:tcPr>
                <w:p w14:paraId="453FC34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w:t>
                  </w:r>
                </w:p>
              </w:tc>
              <w:tc>
                <w:tcPr>
                  <w:tcW w:w="996" w:type="dxa"/>
                  <w:tcBorders>
                    <w:top w:val="single" w:color="auto" w:sz="4" w:space="0"/>
                    <w:left w:val="single" w:color="auto" w:sz="4" w:space="0"/>
                    <w:bottom w:val="single" w:color="auto" w:sz="4" w:space="0"/>
                    <w:right w:val="single" w:color="auto" w:sz="4" w:space="0"/>
                  </w:tcBorders>
                  <w:vAlign w:val="center"/>
                </w:tcPr>
                <w:p w14:paraId="33AA681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.001</w:t>
                  </w:r>
                </w:p>
              </w:tc>
              <w:tc>
                <w:tcPr>
                  <w:tcW w:w="921" w:type="dxa"/>
                  <w:tcBorders>
                    <w:top w:val="single" w:color="auto" w:sz="4" w:space="0"/>
                    <w:left w:val="single" w:color="auto" w:sz="4" w:space="0"/>
                    <w:bottom w:val="single" w:color="auto" w:sz="4" w:space="0"/>
                    <w:right w:val="single" w:color="auto" w:sz="4" w:space="0"/>
                  </w:tcBorders>
                  <w:vAlign w:val="center"/>
                </w:tcPr>
                <w:p w14:paraId="5C96306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4" w:space="0"/>
                    <w:right w:val="single" w:color="auto" w:sz="4" w:space="0"/>
                  </w:tcBorders>
                  <w:vAlign w:val="center"/>
                </w:tcPr>
                <w:p w14:paraId="7F59B38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943.9</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01</w:t>
                  </w:r>
                </w:p>
              </w:tc>
              <w:tc>
                <w:tcPr>
                  <w:tcW w:w="788" w:type="dxa"/>
                  <w:tcBorders>
                    <w:top w:val="single" w:color="auto" w:sz="4" w:space="0"/>
                    <w:left w:val="single" w:color="auto" w:sz="4" w:space="0"/>
                    <w:bottom w:val="single" w:color="auto" w:sz="4" w:space="0"/>
                    <w:right w:val="single" w:color="auto" w:sz="8" w:space="0"/>
                  </w:tcBorders>
                  <w:vAlign w:val="center"/>
                </w:tcPr>
                <w:p w14:paraId="5664D3D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+0.001</w:t>
                  </w:r>
                </w:p>
              </w:tc>
            </w:tr>
            <w:tr w14:paraId="24EA9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36" w:type="dxa"/>
                  <w:tcBorders>
                    <w:top w:val="single" w:color="auto" w:sz="4" w:space="0"/>
                    <w:left w:val="single" w:color="auto" w:sz="8" w:space="0"/>
                    <w:bottom w:val="single" w:color="auto" w:sz="8" w:space="0"/>
                    <w:right w:val="single" w:color="auto" w:sz="4" w:space="0"/>
                  </w:tcBorders>
                  <w:vAlign w:val="center"/>
                </w:tcPr>
                <w:p w14:paraId="2ADD5E5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待鉴定类（产生量）</w:t>
                  </w:r>
                </w:p>
              </w:tc>
              <w:tc>
                <w:tcPr>
                  <w:tcW w:w="2218" w:type="dxa"/>
                  <w:tcBorders>
                    <w:top w:val="single" w:color="auto" w:sz="4" w:space="0"/>
                    <w:left w:val="single" w:color="auto" w:sz="4" w:space="0"/>
                    <w:bottom w:val="single" w:color="auto" w:sz="8" w:space="0"/>
                    <w:right w:val="single" w:color="auto" w:sz="4" w:space="0"/>
                  </w:tcBorders>
                  <w:vAlign w:val="center"/>
                </w:tcPr>
                <w:p w14:paraId="62AA2997">
                  <w:pPr>
                    <w:widowControl/>
                    <w:jc w:val="center"/>
                    <w:rPr>
                      <w:rFonts w:hint="eastAsia" w:ascii="Times New Roman" w:hAnsi="Times New Roman" w:eastAsia="宋体" w:cs="Times New Roman"/>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Cs w:val="21"/>
                      <w14:textFill>
                        <w14:solidFill>
                          <w14:schemeClr w14:val="tx1"/>
                        </w14:solidFill>
                      </w14:textFill>
                    </w:rPr>
                    <w:t>污水处理站污泥、回用水站污泥、蒸发杂盐</w:t>
                  </w:r>
                  <w:r>
                    <w:rPr>
                      <w:rFonts w:hint="eastAsia" w:cs="Times New Roman"/>
                      <w:color w:val="000000" w:themeColor="text1"/>
                      <w:kern w:val="21"/>
                      <w:szCs w:val="21"/>
                      <w:lang w:val="en-US" w:eastAsia="zh-CN"/>
                      <w14:textFill>
                        <w14:solidFill>
                          <w14:schemeClr w14:val="tx1"/>
                        </w14:solidFill>
                      </w14:textFill>
                    </w:rPr>
                    <w:t>等</w:t>
                  </w:r>
                </w:p>
              </w:tc>
              <w:tc>
                <w:tcPr>
                  <w:tcW w:w="1050" w:type="dxa"/>
                  <w:tcBorders>
                    <w:top w:val="single" w:color="auto" w:sz="4" w:space="0"/>
                    <w:left w:val="single" w:color="auto" w:sz="4" w:space="0"/>
                    <w:bottom w:val="single" w:color="auto" w:sz="8" w:space="0"/>
                    <w:right w:val="single" w:color="auto" w:sz="4" w:space="0"/>
                  </w:tcBorders>
                  <w:vAlign w:val="center"/>
                </w:tcPr>
                <w:p w14:paraId="4D178C2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59028</w:t>
                  </w:r>
                </w:p>
              </w:tc>
              <w:tc>
                <w:tcPr>
                  <w:tcW w:w="1049" w:type="dxa"/>
                  <w:tcBorders>
                    <w:top w:val="single" w:color="auto" w:sz="4" w:space="0"/>
                    <w:left w:val="single" w:color="auto" w:sz="4" w:space="0"/>
                    <w:bottom w:val="single" w:color="auto" w:sz="8" w:space="0"/>
                    <w:right w:val="single" w:color="auto" w:sz="4" w:space="0"/>
                  </w:tcBorders>
                  <w:vAlign w:val="center"/>
                </w:tcPr>
                <w:p w14:paraId="6C88BBF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0</w:t>
                  </w:r>
                </w:p>
              </w:tc>
              <w:tc>
                <w:tcPr>
                  <w:tcW w:w="996" w:type="dxa"/>
                  <w:tcBorders>
                    <w:top w:val="single" w:color="auto" w:sz="4" w:space="0"/>
                    <w:left w:val="single" w:color="auto" w:sz="4" w:space="0"/>
                    <w:bottom w:val="single" w:color="auto" w:sz="8" w:space="0"/>
                    <w:right w:val="single" w:color="auto" w:sz="4" w:space="0"/>
                  </w:tcBorders>
                  <w:vAlign w:val="center"/>
                </w:tcPr>
                <w:p w14:paraId="764311C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921" w:type="dxa"/>
                  <w:tcBorders>
                    <w:top w:val="single" w:color="auto" w:sz="4" w:space="0"/>
                    <w:left w:val="single" w:color="auto" w:sz="4" w:space="0"/>
                    <w:bottom w:val="single" w:color="auto" w:sz="8" w:space="0"/>
                    <w:right w:val="single" w:color="auto" w:sz="4" w:space="0"/>
                  </w:tcBorders>
                  <w:vAlign w:val="center"/>
                </w:tcPr>
                <w:p w14:paraId="267E835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179" w:type="dxa"/>
                  <w:tcBorders>
                    <w:top w:val="single" w:color="auto" w:sz="4" w:space="0"/>
                    <w:left w:val="single" w:color="auto" w:sz="4" w:space="0"/>
                    <w:bottom w:val="single" w:color="auto" w:sz="8" w:space="0"/>
                    <w:right w:val="single" w:color="auto" w:sz="4" w:space="0"/>
                  </w:tcBorders>
                  <w:vAlign w:val="center"/>
                </w:tcPr>
                <w:p w14:paraId="2B65A12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59028</w:t>
                  </w:r>
                </w:p>
              </w:tc>
              <w:tc>
                <w:tcPr>
                  <w:tcW w:w="788" w:type="dxa"/>
                  <w:tcBorders>
                    <w:top w:val="single" w:color="auto" w:sz="4" w:space="0"/>
                    <w:left w:val="single" w:color="auto" w:sz="4" w:space="0"/>
                    <w:bottom w:val="single" w:color="auto" w:sz="8" w:space="0"/>
                    <w:right w:val="single" w:color="auto" w:sz="8" w:space="0"/>
                  </w:tcBorders>
                  <w:vAlign w:val="center"/>
                </w:tcPr>
                <w:p w14:paraId="510AAD3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不变</w:t>
                  </w:r>
                </w:p>
              </w:tc>
            </w:tr>
          </w:tbl>
          <w:p w14:paraId="0FE7917A">
            <w:pPr>
              <w:pStyle w:val="457"/>
              <w:spacing w:line="360" w:lineRule="auto"/>
              <w:ind w:firstLine="0" w:firstLineChars="0"/>
              <w:rPr>
                <w:rFonts w:hint="default" w:ascii="Times New Roman" w:hAnsi="Times New Roman" w:eastAsia="宋体" w:cs="Times New Roman"/>
                <w:b/>
                <w:bCs/>
                <w:color w:val="000000" w:themeColor="text1"/>
                <w14:textFill>
                  <w14:solidFill>
                    <w14:schemeClr w14:val="tx1"/>
                  </w14:solidFill>
                </w14:textFill>
              </w:rPr>
            </w:pPr>
          </w:p>
          <w:p w14:paraId="0D303367">
            <w:pPr>
              <w:pStyle w:val="457"/>
              <w:spacing w:line="360" w:lineRule="auto"/>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w:t>
            </w:r>
            <w:r>
              <w:rPr>
                <w:rFonts w:hint="eastAsia" w:cs="Times New Roman"/>
                <w:b/>
                <w:bCs/>
                <w:color w:val="000000" w:themeColor="text1"/>
                <w:lang w:val="en-US" w:eastAsia="zh-CN"/>
                <w14:textFill>
                  <w14:solidFill>
                    <w14:schemeClr w14:val="tx1"/>
                  </w14:solidFill>
                </w14:textFill>
              </w:rPr>
              <w:t>8</w:t>
            </w: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以新带老</w:t>
            </w:r>
            <w:r>
              <w:rPr>
                <w:rFonts w:hint="eastAsia" w:cs="Times New Roman"/>
                <w:b/>
                <w:bCs/>
                <w:color w:val="000000" w:themeColor="text1"/>
                <w:lang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环保治理措施</w:t>
            </w:r>
          </w:p>
          <w:p w14:paraId="10691C5B">
            <w:pPr>
              <w:pStyle w:val="457"/>
              <w:spacing w:line="360" w:lineRule="auto"/>
              <w:ind w:firstLine="482"/>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通过现场踏勘，本次项目不涉及</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以新带老</w:t>
            </w:r>
            <w:r>
              <w:rPr>
                <w:rFonts w:hint="eastAsia" w:cs="Times New Roman"/>
                <w:b w:val="0"/>
                <w:bCs w:val="0"/>
                <w:color w:val="000000" w:themeColor="text1"/>
                <w:lang w:eastAsia="zh-CN"/>
                <w14:textFill>
                  <w14:solidFill>
                    <w14:schemeClr w14:val="tx1"/>
                  </w14:solidFill>
                </w14:textFill>
              </w:rPr>
              <w:t>”</w:t>
            </w:r>
            <w:r>
              <w:rPr>
                <w:rFonts w:hint="eastAsia" w:cs="Times New Roman"/>
                <w:b w:val="0"/>
                <w:bCs w:val="0"/>
                <w:color w:val="000000" w:themeColor="text1"/>
                <w:lang w:val="en-US" w:eastAsia="zh-CN"/>
                <w14:textFill>
                  <w14:solidFill>
                    <w14:schemeClr w14:val="tx1"/>
                  </w14:solidFill>
                </w14:textFill>
              </w:rPr>
              <w:t>环保治理措施。</w:t>
            </w:r>
          </w:p>
          <w:p w14:paraId="185796A4">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w:t>
            </w:r>
            <w:r>
              <w:rPr>
                <w:rFonts w:hint="eastAsia" w:cs="Times New Roman"/>
                <w:b/>
                <w:bCs/>
                <w:color w:val="000000" w:themeColor="text1"/>
                <w:lang w:val="en-US" w:eastAsia="zh-CN"/>
                <w14:textFill>
                  <w14:solidFill>
                    <w14:schemeClr w14:val="tx1"/>
                  </w14:solidFill>
                </w14:textFill>
              </w:rPr>
              <w:t>9</w:t>
            </w:r>
            <w:r>
              <w:rPr>
                <w:rFonts w:hint="default" w:ascii="Times New Roman" w:hAnsi="Times New Roman" w:eastAsia="宋体" w:cs="Times New Roman"/>
                <w:b/>
                <w:bCs/>
                <w:color w:val="000000" w:themeColor="text1"/>
                <w14:textFill>
                  <w14:solidFill>
                    <w14:schemeClr w14:val="tx1"/>
                  </w14:solidFill>
                </w14:textFill>
              </w:rPr>
              <w:t>环境风险</w:t>
            </w:r>
          </w:p>
          <w:p w14:paraId="75C1587A">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（1）环境风险等级</w:t>
            </w:r>
          </w:p>
          <w:p w14:paraId="7398D91D">
            <w:pPr>
              <w:pStyle w:val="457"/>
              <w:spacing w:line="360" w:lineRule="auto"/>
              <w:ind w:firstLine="48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根据本次项目实施内容，</w:t>
            </w:r>
            <w:r>
              <w:rPr>
                <w:rFonts w:hint="eastAsia" w:cs="Times New Roman"/>
                <w:color w:val="000000" w:themeColor="text1"/>
                <w:lang w:val="en-US" w:eastAsia="zh-CN"/>
                <w14:textFill>
                  <w14:solidFill>
                    <w14:schemeClr w14:val="tx1"/>
                  </w14:solidFill>
                </w14:textFill>
              </w:rPr>
              <w:t>新增液氨使用（在线量0.575t），新增产生维修废机油约0.0008t，新增Q值0.575/10+0.0008/2500≈0.0575</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对</w:t>
            </w:r>
            <w:r>
              <w:rPr>
                <w:rFonts w:hint="default" w:ascii="Times New Roman" w:hAnsi="Times New Roman" w:eastAsia="宋体" w:cs="Times New Roman"/>
                <w:color w:val="000000" w:themeColor="text1"/>
                <w14:textFill>
                  <w14:solidFill>
                    <w14:schemeClr w14:val="tx1"/>
                  </w14:solidFill>
                </w14:textFill>
              </w:rPr>
              <w:t>全厂Q值</w:t>
            </w:r>
            <w:r>
              <w:rPr>
                <w:rFonts w:hint="eastAsia" w:cs="Times New Roman"/>
                <w:color w:val="000000" w:themeColor="text1"/>
                <w:lang w:eastAsia="zh-CN"/>
                <w14:textFill>
                  <w14:solidFill>
                    <w14:schemeClr w14:val="tx1"/>
                  </w14:solidFill>
                </w14:textFill>
              </w:rPr>
              <w:t>1325.6</w:t>
            </w:r>
            <w:r>
              <w:rPr>
                <w:rFonts w:hint="eastAsia" w:cs="Times New Roman"/>
                <w:color w:val="000000" w:themeColor="text1"/>
                <w:lang w:val="en-US" w:eastAsia="zh-CN"/>
                <w14:textFill>
                  <w14:solidFill>
                    <w14:schemeClr w14:val="tx1"/>
                  </w14:solidFill>
                </w14:textFill>
              </w:rPr>
              <w:t>基本无影响</w:t>
            </w:r>
            <w:r>
              <w:rPr>
                <w:rFonts w:hint="default" w:ascii="Times New Roman" w:hAnsi="Times New Roman" w:eastAsia="宋体" w:cs="Times New Roman"/>
                <w:color w:val="000000" w:themeColor="text1"/>
                <w14:textFill>
                  <w14:solidFill>
                    <w14:schemeClr w14:val="tx1"/>
                  </w14:solidFill>
                </w14:textFill>
              </w:rPr>
              <w:t>，环境风险评价等级维持一级不变。</w:t>
            </w:r>
          </w:p>
          <w:p w14:paraId="37FDDEBC">
            <w:pPr>
              <w:pStyle w:val="457"/>
              <w:spacing w:line="360" w:lineRule="auto"/>
              <w:ind w:firstLine="480"/>
              <w:rPr>
                <w:rFonts w:hint="default" w:ascii="Times New Roman" w:hAnsi="Times New Roman" w:eastAsia="宋体" w:cs="Times New Roman"/>
                <w:b/>
                <w:bCs/>
                <w:color w:val="000000" w:themeColor="text1"/>
                <w:lang w:val="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本次项目主要为现有直排MDEA脱CO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放空气的CO</w:t>
            </w:r>
            <w:r>
              <w:rPr>
                <w:rFonts w:hint="default" w:ascii="Times New Roman" w:hAnsi="Times New Roman" w:eastAsia="宋体" w:cs="Times New Roman"/>
                <w:color w:val="000000" w:themeColor="text1"/>
                <w:vertAlign w:val="sub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回收，全过程为物理回收工艺，不涉及高温高压</w:t>
            </w:r>
            <w:r>
              <w:rPr>
                <w:rFonts w:hint="eastAsia" w:cs="Times New Roman"/>
                <w:color w:val="000000" w:themeColor="text1"/>
                <w:lang w:val="en-US" w:eastAsia="zh-CN"/>
                <w14:textFill>
                  <w14:solidFill>
                    <w14:schemeClr w14:val="tx1"/>
                  </w14:solidFill>
                </w14:textFill>
              </w:rPr>
              <w:t>工艺</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u w:val="single"/>
                <w14:textFill>
                  <w14:solidFill>
                    <w14:schemeClr w14:val="tx1"/>
                  </w14:solidFill>
                </w14:textFill>
              </w:rPr>
              <w:t>本项目的实施不会改变</w:t>
            </w:r>
            <w:r>
              <w:rPr>
                <w:rFonts w:hint="eastAsia" w:cs="Times New Roman"/>
                <w:color w:val="000000" w:themeColor="text1"/>
                <w:u w:val="single"/>
                <w:lang w:val="en-US" w:eastAsia="zh-CN"/>
                <w14:textFill>
                  <w14:solidFill>
                    <w14:schemeClr w14:val="tx1"/>
                  </w14:solidFill>
                </w14:textFill>
              </w:rPr>
              <w:t>主体工程</w:t>
            </w:r>
            <w:r>
              <w:rPr>
                <w:rFonts w:hint="default" w:ascii="Times New Roman" w:hAnsi="Times New Roman" w:eastAsia="宋体" w:cs="Times New Roman"/>
                <w:color w:val="000000" w:themeColor="text1"/>
                <w:u w:val="single"/>
                <w14:textFill>
                  <w14:solidFill>
                    <w14:schemeClr w14:val="tx1"/>
                  </w14:solidFill>
                </w14:textFill>
              </w:rPr>
              <w:t>风险物质分布、风险事故情形及源强、风险防范措施等</w:t>
            </w:r>
            <w:r>
              <w:rPr>
                <w:rFonts w:hint="default" w:ascii="Times New Roman" w:hAnsi="Times New Roman" w:eastAsia="宋体" w:cs="Times New Roman"/>
                <w:color w:val="000000" w:themeColor="text1"/>
                <w14:textFill>
                  <w14:solidFill>
                    <w14:schemeClr w14:val="tx1"/>
                  </w14:solidFill>
                </w14:textFill>
              </w:rPr>
              <w:t>。企业各类风险事故情形、发生概率及预测结果已经在《宣汉县先进智造产业园项目（年产120万吨MEG联产10万吨电子级DMC新材料项目）（重新报批）》中详细分析，本次评价不再赘述。</w:t>
            </w:r>
            <w:r>
              <w:rPr>
                <w:rFonts w:hint="eastAsia" w:cs="Times New Roman"/>
                <w:color w:val="000000" w:themeColor="text1"/>
                <w:lang w:val="en-US" w:eastAsia="zh-CN"/>
                <w14:textFill>
                  <w14:solidFill>
                    <w14:schemeClr w14:val="tx1"/>
                  </w14:solidFill>
                </w14:textFill>
              </w:rPr>
              <w:t>本次评价针对本次新增液氨使用提出相应风险防范措施，见p73页。</w:t>
            </w:r>
          </w:p>
          <w:p w14:paraId="6BDB7B48">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通过现场踏勘，本次评价对厂区已经采取的风险防范措施做出回顾性分析：</w:t>
            </w:r>
          </w:p>
          <w:p w14:paraId="4D623E70">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（2）厂区环境风险事故防范措施落实情况</w:t>
            </w:r>
          </w:p>
          <w:p w14:paraId="47ED599B">
            <w:pPr>
              <w:pStyle w:val="457"/>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w:t>
            </w:r>
            <w:r>
              <w:rPr>
                <w:rFonts w:hint="eastAsia" w:cs="Times New Roman"/>
                <w:b/>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color w:val="000000" w:themeColor="text1"/>
                <w:sz w:val="21"/>
                <w:szCs w:val="21"/>
                <w14:textFill>
                  <w14:solidFill>
                    <w14:schemeClr w14:val="tx1"/>
                  </w14:solidFill>
                </w14:textFill>
              </w:rPr>
              <w:t xml:space="preserve">  厂区主体工程风险防范措施投资情况调查表</w:t>
            </w:r>
          </w:p>
          <w:tbl>
            <w:tblPr>
              <w:tblStyle w:val="474"/>
              <w:tblW w:w="8698"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08"/>
              <w:gridCol w:w="6309"/>
              <w:gridCol w:w="955"/>
              <w:gridCol w:w="726"/>
            </w:tblGrid>
            <w:tr w14:paraId="7FA9C30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08" w:type="dxa"/>
                  <w:vAlign w:val="center"/>
                </w:tcPr>
                <w:p w14:paraId="35A2EE2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序号</w:t>
                  </w:r>
                </w:p>
              </w:tc>
              <w:tc>
                <w:tcPr>
                  <w:tcW w:w="6309" w:type="dxa"/>
                  <w:vAlign w:val="center"/>
                </w:tcPr>
                <w:p w14:paraId="3D5D2FF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主要风险防范措施</w:t>
                  </w:r>
                </w:p>
              </w:tc>
              <w:tc>
                <w:tcPr>
                  <w:tcW w:w="955" w:type="dxa"/>
                  <w:vAlign w:val="center"/>
                </w:tcPr>
                <w:p w14:paraId="7CA5042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环评要求投资（万）</w:t>
                  </w:r>
                </w:p>
              </w:tc>
              <w:tc>
                <w:tcPr>
                  <w:tcW w:w="726" w:type="dxa"/>
                  <w:vAlign w:val="center"/>
                </w:tcPr>
                <w:p w14:paraId="09B64AF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实际投资</w:t>
                  </w:r>
                </w:p>
              </w:tc>
            </w:tr>
            <w:tr w14:paraId="27F07BD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91" w:hRule="atLeast"/>
                <w:jc w:val="center"/>
              </w:trPr>
              <w:tc>
                <w:tcPr>
                  <w:tcW w:w="708" w:type="dxa"/>
                  <w:vAlign w:val="center"/>
                </w:tcPr>
                <w:p w14:paraId="7440DBF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1</w:t>
                  </w:r>
                </w:p>
              </w:tc>
              <w:tc>
                <w:tcPr>
                  <w:tcW w:w="6309" w:type="dxa"/>
                  <w:vAlign w:val="center"/>
                </w:tcPr>
                <w:p w14:paraId="498B09C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在各生产装置区、储罐区、库房、危废暂存库等设置有毒、可燃气体检测报警装置、物料压力、温度、液位、流量、组份等监测报警装置、火灾自动报警装置和自动联锁切断进料设施等；</w:t>
                  </w:r>
                </w:p>
              </w:tc>
              <w:tc>
                <w:tcPr>
                  <w:tcW w:w="955" w:type="dxa"/>
                  <w:vAlign w:val="center"/>
                </w:tcPr>
                <w:p w14:paraId="3AD7224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2800</w:t>
                  </w:r>
                </w:p>
              </w:tc>
              <w:tc>
                <w:tcPr>
                  <w:tcW w:w="726" w:type="dxa"/>
                  <w:tcBorders>
                    <w:bottom w:val="single" w:color="auto" w:sz="4" w:space="0"/>
                  </w:tcBorders>
                  <w:vAlign w:val="center"/>
                </w:tcPr>
                <w:p w14:paraId="43CD4E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175</w:t>
                  </w:r>
                </w:p>
              </w:tc>
            </w:tr>
            <w:tr w14:paraId="0225128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708" w:type="dxa"/>
                  <w:vAlign w:val="center"/>
                </w:tcPr>
                <w:p w14:paraId="22ABA0D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w:t>
                  </w:r>
                </w:p>
              </w:tc>
              <w:tc>
                <w:tcPr>
                  <w:tcW w:w="6309" w:type="dxa"/>
                  <w:vAlign w:val="center"/>
                </w:tcPr>
                <w:p w14:paraId="1C7D345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厂区设置双回路电源及备用电源，以保证正常生产和事故应急。</w:t>
                  </w:r>
                </w:p>
              </w:tc>
              <w:tc>
                <w:tcPr>
                  <w:tcW w:w="955" w:type="dxa"/>
                  <w:vAlign w:val="center"/>
                </w:tcPr>
                <w:p w14:paraId="746875E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50</w:t>
                  </w:r>
                </w:p>
              </w:tc>
              <w:tc>
                <w:tcPr>
                  <w:tcW w:w="726" w:type="dxa"/>
                  <w:tcBorders>
                    <w:top w:val="single" w:color="auto" w:sz="4" w:space="0"/>
                    <w:bottom w:val="single" w:color="auto" w:sz="4" w:space="0"/>
                  </w:tcBorders>
                  <w:vAlign w:val="center"/>
                </w:tcPr>
                <w:p w14:paraId="2C587E9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45</w:t>
                  </w:r>
                </w:p>
              </w:tc>
            </w:tr>
            <w:tr w14:paraId="4173980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708" w:type="dxa"/>
                  <w:vAlign w:val="center"/>
                </w:tcPr>
                <w:p w14:paraId="3B853E7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3</w:t>
                  </w:r>
                </w:p>
              </w:tc>
              <w:tc>
                <w:tcPr>
                  <w:tcW w:w="6309" w:type="dxa"/>
                  <w:vAlign w:val="center"/>
                </w:tcPr>
                <w:p w14:paraId="6463E57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安装消防管道设施、消防灭火设施、防护栏、安全警示标志等，配备干粉灭火器、二氧化碳灭火器、正压式防毒面具等。</w:t>
                  </w:r>
                </w:p>
              </w:tc>
              <w:tc>
                <w:tcPr>
                  <w:tcW w:w="955" w:type="dxa"/>
                  <w:vAlign w:val="center"/>
                </w:tcPr>
                <w:p w14:paraId="78D61C9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300</w:t>
                  </w:r>
                </w:p>
              </w:tc>
              <w:tc>
                <w:tcPr>
                  <w:tcW w:w="726" w:type="dxa"/>
                  <w:tcBorders>
                    <w:top w:val="single" w:color="auto" w:sz="4" w:space="0"/>
                  </w:tcBorders>
                  <w:vAlign w:val="center"/>
                </w:tcPr>
                <w:p w14:paraId="6E55422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283</w:t>
                  </w:r>
                </w:p>
              </w:tc>
            </w:tr>
            <w:tr w14:paraId="51B98A0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708" w:type="dxa"/>
                  <w:vAlign w:val="center"/>
                </w:tcPr>
                <w:p w14:paraId="6805EA7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4</w:t>
                  </w:r>
                </w:p>
              </w:tc>
              <w:tc>
                <w:tcPr>
                  <w:tcW w:w="6309" w:type="dxa"/>
                  <w:vAlign w:val="center"/>
                </w:tcPr>
                <w:p w14:paraId="3E76306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采用无泄漏的密封泵（屏蔽电泵或磁力泵）</w:t>
                  </w:r>
                </w:p>
              </w:tc>
              <w:tc>
                <w:tcPr>
                  <w:tcW w:w="955" w:type="dxa"/>
                  <w:vAlign w:val="center"/>
                </w:tcPr>
                <w:p w14:paraId="68B5074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200</w:t>
                  </w:r>
                </w:p>
              </w:tc>
              <w:tc>
                <w:tcPr>
                  <w:tcW w:w="726" w:type="dxa"/>
                  <w:vAlign w:val="center"/>
                </w:tcPr>
                <w:p w14:paraId="08420C8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200</w:t>
                  </w:r>
                </w:p>
              </w:tc>
            </w:tr>
            <w:tr w14:paraId="2BB158B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6" w:hRule="atLeast"/>
                <w:jc w:val="center"/>
              </w:trPr>
              <w:tc>
                <w:tcPr>
                  <w:tcW w:w="708" w:type="dxa"/>
                  <w:vAlign w:val="center"/>
                </w:tcPr>
                <w:p w14:paraId="1A4D0E4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5</w:t>
                  </w:r>
                </w:p>
              </w:tc>
              <w:tc>
                <w:tcPr>
                  <w:tcW w:w="6309" w:type="dxa"/>
                  <w:vAlign w:val="center"/>
                </w:tcPr>
                <w:p w14:paraId="5A1508C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1）项目采用DCS自动控制系统，制定有效、可行的监控制度，落实专门的监控人员，确保在规定时间内实现紧急停车。2）厂区贮罐区设置围堰，围堰有效容积不小于罐区最大罐体的容积，并配备相连的备用贮罐，以便发生事故时可及时将其转移到安全处。落实专门的监控人员，确保在规定时间内实现紧急停车。在盐酸储存区设置水雾喷淋装置，在甲醇、乙醇等水溶性有储罐区设置水雾喷淋装置。3）在各生产装置区、储罐区、库房、危废暂存库周围设置导流沟，并与厂区事故废水池相连。4）项目建容积为1个有效容积为18000m</w:t>
                  </w:r>
                  <w:r>
                    <w:rPr>
                      <w:rFonts w:hint="default" w:ascii="Times New Roman" w:hAnsi="Times New Roman" w:eastAsia="宋体" w:cs="Times New Roman"/>
                      <w:color w:val="000000" w:themeColor="text1"/>
                      <w:kern w:val="21"/>
                      <w:sz w:val="21"/>
                      <w:szCs w:val="21"/>
                      <w:vertAlign w:val="superscript"/>
                      <w:lang w:eastAsia="zh-CN"/>
                      <w14:textFill>
                        <w14:solidFill>
                          <w14:schemeClr w14:val="tx1"/>
                        </w14:solidFill>
                      </w14:textFill>
                    </w:rPr>
                    <w:t>3</w:t>
                  </w: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的事故废水池。厂内雨、污管网出口必须设置闸门（闸门需定期保养），必须有通往事故池的管路（管径必须确保及时排泄短期内较大流量的事故废水）。一旦发生事故，立即打开通向本池的所有连接口，将事故废水企业必须做好事故应急水池的日常维护工作引入；发生事故时立即关闭出厂雨、污管道，以杜绝事故废水外流。保证其基本处于空池状态。必须确保任何异常状况下，事故废水只能导入厂内事故水池，不得以任何形式在无害化处理前排出厂区。5）从贮运过程、生产过程、运输等方面全面加强对有毒有害物质的风险防范措施。6）加强对各项环保设施的运行及维护管理，关键设备和零部件应配备足够的备用件，确保其稳定、正常运行，避免事故性排放。7）自动联锁切断进料设施，各储罐区根据物料性质和防护需要设泄漏应急喷淋系统和应急处置物资。8）加强对各项环保设施的运行及维护管理，关键设备和零部件配备足够的备用件，确保其稳定、正常运行，避免事故性排放。若出现事故性排放，立即切断、关停上下游生产装置，妥善处置事故排放的各类污染物。</w:t>
                  </w:r>
                </w:p>
              </w:tc>
              <w:tc>
                <w:tcPr>
                  <w:tcW w:w="955" w:type="dxa"/>
                  <w:vAlign w:val="center"/>
                </w:tcPr>
                <w:p w14:paraId="0BEE680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500</w:t>
                  </w:r>
                </w:p>
              </w:tc>
              <w:tc>
                <w:tcPr>
                  <w:tcW w:w="726" w:type="dxa"/>
                  <w:vAlign w:val="center"/>
                </w:tcPr>
                <w:p w14:paraId="5DF6ABC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515</w:t>
                  </w:r>
                </w:p>
              </w:tc>
            </w:tr>
            <w:tr w14:paraId="68A650F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53" w:hRule="atLeast"/>
                <w:jc w:val="center"/>
              </w:trPr>
              <w:tc>
                <w:tcPr>
                  <w:tcW w:w="708" w:type="dxa"/>
                  <w:vAlign w:val="center"/>
                </w:tcPr>
                <w:p w14:paraId="73DD9C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6</w:t>
                  </w:r>
                </w:p>
              </w:tc>
              <w:tc>
                <w:tcPr>
                  <w:tcW w:w="6309" w:type="dxa"/>
                  <w:vAlign w:val="center"/>
                </w:tcPr>
                <w:p w14:paraId="3017261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加强对生产车间、储罐区、废水池等处地面、地沟、管道等的防渗、防腐措施，并按行业规范贮存，以收集事故废水和消防水至污水系统；厂内建危废暂场，并按相关要求采取防渗、防腐、防雨和防流失措施。</w:t>
                  </w:r>
                </w:p>
              </w:tc>
              <w:tc>
                <w:tcPr>
                  <w:tcW w:w="955" w:type="dxa"/>
                  <w:vAlign w:val="center"/>
                </w:tcPr>
                <w:p w14:paraId="0D25F72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220</w:t>
                  </w:r>
                </w:p>
              </w:tc>
              <w:tc>
                <w:tcPr>
                  <w:tcW w:w="726" w:type="dxa"/>
                  <w:vAlign w:val="center"/>
                </w:tcPr>
                <w:p w14:paraId="02B48F9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208</w:t>
                  </w:r>
                </w:p>
              </w:tc>
            </w:tr>
            <w:tr w14:paraId="20E2549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791" w:hRule="atLeast"/>
                <w:jc w:val="center"/>
              </w:trPr>
              <w:tc>
                <w:tcPr>
                  <w:tcW w:w="708" w:type="dxa"/>
                  <w:vAlign w:val="center"/>
                </w:tcPr>
                <w:p w14:paraId="2AF9658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7</w:t>
                  </w:r>
                </w:p>
              </w:tc>
              <w:tc>
                <w:tcPr>
                  <w:tcW w:w="6309" w:type="dxa"/>
                  <w:vAlign w:val="center"/>
                </w:tcPr>
                <w:p w14:paraId="52A2CB2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eastAsia="zh-CN"/>
                      <w14:textFill>
                        <w14:solidFill>
                          <w14:schemeClr w14:val="tx1"/>
                        </w14:solidFill>
                      </w14:textFill>
                    </w:rPr>
                    <w:t>应急预案及管理措施建设，建立环境风险应急联防机制；加强车间的安全管理，制定严格的岗位责任制度，安全操作注意事项等制度；环境应急监测培训与演练、环境风险防范措施培训及应急演练</w:t>
                  </w:r>
                </w:p>
              </w:tc>
              <w:tc>
                <w:tcPr>
                  <w:tcW w:w="955" w:type="dxa"/>
                  <w:vAlign w:val="center"/>
                </w:tcPr>
                <w:p w14:paraId="2DB0CBD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50</w:t>
                  </w:r>
                </w:p>
              </w:tc>
              <w:tc>
                <w:tcPr>
                  <w:tcW w:w="726" w:type="dxa"/>
                  <w:vAlign w:val="center"/>
                </w:tcPr>
                <w:p w14:paraId="435C178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25</w:t>
                  </w:r>
                </w:p>
              </w:tc>
            </w:tr>
            <w:tr w14:paraId="76A19A1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7017" w:type="dxa"/>
                  <w:gridSpan w:val="2"/>
                  <w:vAlign w:val="center"/>
                </w:tcPr>
                <w:p w14:paraId="2C8D858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合计</w:t>
                  </w:r>
                </w:p>
              </w:tc>
              <w:tc>
                <w:tcPr>
                  <w:tcW w:w="955" w:type="dxa"/>
                  <w:vAlign w:val="center"/>
                </w:tcPr>
                <w:p w14:paraId="5B4C49A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eastAsia="en-US"/>
                      <w14:textFill>
                        <w14:solidFill>
                          <w14:schemeClr w14:val="tx1"/>
                        </w14:solidFill>
                      </w14:textFill>
                    </w:rPr>
                  </w:pPr>
                  <w:r>
                    <w:rPr>
                      <w:rFonts w:hint="default" w:ascii="Times New Roman" w:hAnsi="Times New Roman" w:eastAsia="宋体" w:cs="Times New Roman"/>
                      <w:color w:val="000000" w:themeColor="text1"/>
                      <w:kern w:val="21"/>
                      <w:sz w:val="21"/>
                      <w:szCs w:val="21"/>
                      <w:lang w:eastAsia="en-US"/>
                      <w14:textFill>
                        <w14:solidFill>
                          <w14:schemeClr w14:val="tx1"/>
                        </w14:solidFill>
                      </w14:textFill>
                    </w:rPr>
                    <w:t>4120</w:t>
                  </w:r>
                </w:p>
              </w:tc>
              <w:tc>
                <w:tcPr>
                  <w:tcW w:w="726" w:type="dxa"/>
                  <w:vAlign w:val="center"/>
                </w:tcPr>
                <w:p w14:paraId="2CD7584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3451</w:t>
                  </w:r>
                </w:p>
              </w:tc>
            </w:tr>
          </w:tbl>
          <w:p w14:paraId="0C5CC777">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1F694FC9">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2F40CC40">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0811A2C4">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2D461B4F">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p>
          <w:p w14:paraId="1FCE9C83">
            <w:pPr>
              <w:pStyle w:val="493"/>
              <w:ind w:firstLine="0" w:firstLineChars="0"/>
              <w:jc w:val="both"/>
              <w:rPr>
                <w:rFonts w:hint="default" w:ascii="Times New Roman" w:hAnsi="Times New Roman" w:eastAsia="宋体" w:cs="Times New Roman"/>
                <w:color w:val="000000" w:themeColor="text1"/>
                <w14:textFill>
                  <w14:solidFill>
                    <w14:schemeClr w14:val="tx1"/>
                  </w14:solidFill>
                </w14:textFill>
              </w:rPr>
            </w:pPr>
          </w:p>
        </w:tc>
      </w:tr>
    </w:tbl>
    <w:p w14:paraId="0C268C8A">
      <w:pPr>
        <w:pStyle w:val="14"/>
        <w:rPr>
          <w:rFonts w:hint="default" w:ascii="Times New Roman" w:hAnsi="Times New Roman" w:eastAsia="宋体" w:cs="Times New Roman"/>
          <w:color w:val="000000" w:themeColor="text1"/>
          <w14:textFill>
            <w14:solidFill>
              <w14:schemeClr w14:val="tx1"/>
            </w14:solidFill>
          </w14:textFill>
        </w:rPr>
        <w:sectPr>
          <w:pgSz w:w="11906" w:h="16838"/>
          <w:pgMar w:top="1701" w:right="1531" w:bottom="1701" w:left="1531" w:header="851" w:footer="850" w:gutter="0"/>
          <w:cols w:space="0" w:num="1"/>
          <w:docGrid w:linePitch="312" w:charSpace="0"/>
        </w:sectPr>
      </w:pPr>
    </w:p>
    <w:p w14:paraId="315FAFEC">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w:t>
      </w:r>
      <w:r>
        <w:rPr>
          <w:rFonts w:hint="eastAsia" w:cs="Times New Roman"/>
          <w:b/>
          <w:color w:val="000000" w:themeColor="text1"/>
          <w:szCs w:val="21"/>
          <w:lang w:val="en-US" w:eastAsia="zh-CN"/>
          <w14:textFill>
            <w14:solidFill>
              <w14:schemeClr w14:val="tx1"/>
            </w14:solidFill>
          </w14:textFill>
        </w:rPr>
        <w:t>9</w:t>
      </w:r>
      <w:r>
        <w:rPr>
          <w:rFonts w:hint="default" w:ascii="Times New Roman" w:hAnsi="Times New Roman" w:eastAsia="宋体" w:cs="Times New Roman"/>
          <w:b/>
          <w:color w:val="000000" w:themeColor="text1"/>
          <w:szCs w:val="21"/>
          <w14:textFill>
            <w14:solidFill>
              <w14:schemeClr w14:val="tx1"/>
            </w14:solidFill>
          </w14:textFill>
        </w:rPr>
        <w:t xml:space="preserve">  厂区主体工程风险防范措施落实情况调查表</w:t>
      </w:r>
    </w:p>
    <w:tbl>
      <w:tblPr>
        <w:tblStyle w:val="474"/>
        <w:tblW w:w="14001"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762"/>
        <w:gridCol w:w="1486"/>
        <w:gridCol w:w="7419"/>
        <w:gridCol w:w="4334"/>
      </w:tblGrid>
      <w:tr w14:paraId="21935A4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52F30150">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序号</w:t>
            </w:r>
          </w:p>
        </w:tc>
        <w:tc>
          <w:tcPr>
            <w:tcW w:w="1486" w:type="dxa"/>
            <w:vAlign w:val="center"/>
          </w:tcPr>
          <w:p w14:paraId="2C18E3BC">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危险单元</w:t>
            </w:r>
          </w:p>
        </w:tc>
        <w:tc>
          <w:tcPr>
            <w:tcW w:w="7419" w:type="dxa"/>
            <w:tcBorders>
              <w:right w:val="single" w:color="auto" w:sz="4" w:space="0"/>
            </w:tcBorders>
            <w:vAlign w:val="center"/>
          </w:tcPr>
          <w:p w14:paraId="54024056">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主要风险防范措施</w:t>
            </w:r>
          </w:p>
        </w:tc>
        <w:tc>
          <w:tcPr>
            <w:tcW w:w="4334" w:type="dxa"/>
            <w:tcBorders>
              <w:left w:val="single" w:color="auto" w:sz="4" w:space="0"/>
            </w:tcBorders>
            <w:vAlign w:val="center"/>
          </w:tcPr>
          <w:p w14:paraId="5D1BD756">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目前落实情况</w:t>
            </w:r>
          </w:p>
        </w:tc>
      </w:tr>
      <w:tr w14:paraId="099B811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203B2762">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1</w:t>
            </w:r>
          </w:p>
        </w:tc>
        <w:tc>
          <w:tcPr>
            <w:tcW w:w="1486" w:type="dxa"/>
            <w:vAlign w:val="center"/>
          </w:tcPr>
          <w:p w14:paraId="6D929859">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天然气净化及转化装置区</w:t>
            </w:r>
          </w:p>
        </w:tc>
        <w:tc>
          <w:tcPr>
            <w:tcW w:w="7419" w:type="dxa"/>
            <w:tcBorders>
              <w:right w:val="single" w:color="auto" w:sz="4" w:space="0"/>
            </w:tcBorders>
            <w:vAlign w:val="center"/>
          </w:tcPr>
          <w:p w14:paraId="2D5DD661">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1）生产装置及危险工艺、重点监管危险化学品使用部位设置DCS集散控制操作系统，重点监管工艺根据反应热风险分析的风险等级设置相应独立的SIS系统；</w:t>
            </w:r>
          </w:p>
          <w:p w14:paraId="07F576F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2）设置有毒、可燃气体检测报警装置、温度、液位、流量等监测报警装置、火灾自动报警装置和自动联锁切断进料设施等；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3）安装消防管道设施，配备干粉灭火器、正压式防毒面具应急防护、紧急冲洗装置（洗眼器）等设备设施；</w:t>
            </w:r>
          </w:p>
          <w:p w14:paraId="7F578C7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4）按规范做好防雷防静电接地，并定期检测；特种设备定期检测；三项人员持证上岗；设备定期维护保养，确保设备完好；</w:t>
            </w:r>
          </w:p>
          <w:p w14:paraId="30C9058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5）车间做好防火防爆管理，设置静电接地桩，人员进入车间必须穿防静电工作服并触摸静电接地桩，严禁电线裸露和接头脱落；</w:t>
            </w:r>
          </w:p>
          <w:p w14:paraId="5DA147D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6）车间制定了岗位责任制度，安全操作规程等制度；定期进行岗位操作技能训练、环境应急培训、环境风险防范措施培训及应急演练。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1F32A295">
            <w:pPr>
              <w:autoSpaceDE w:val="0"/>
              <w:autoSpaceDN w:val="0"/>
              <w:adjustRightInd w:val="0"/>
              <w:snapToGrid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①目前，天然气净化及转化装置区的主要生产装置、危险工艺、重点监管危险化学品使用部位安装了DCS集散控制操作系统；重点监管工艺设置了相应独立的SIS系统；</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②装置区设置了有毒、可燃气体检测报警装置，设置了温度、液位、流量等监测报警装置，设置了火灾自动报警装置和自动联锁切断进料设施等；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③装置区配备了消防管道设施，配备了干粉灭火器、正压式防毒面具应急防护、紧急冲洗装置（洗眼器）等设备设施；</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④车间配备了防火防爆设施，设置了静电接地桩；</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⑤现场检查设置了岗位责任制度，安全操作规程等制度。</w:t>
            </w:r>
          </w:p>
        </w:tc>
      </w:tr>
      <w:tr w14:paraId="0F98437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05B5F53A">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2</w:t>
            </w:r>
          </w:p>
        </w:tc>
        <w:tc>
          <w:tcPr>
            <w:tcW w:w="1486" w:type="dxa"/>
            <w:vAlign w:val="center"/>
          </w:tcPr>
          <w:p w14:paraId="6805365E">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H</w:t>
            </w:r>
            <w:r>
              <w:rPr>
                <w:rFonts w:hint="default" w:ascii="Times New Roman" w:hAnsi="Times New Roman" w:eastAsia="宋体" w:cs="Times New Roman"/>
                <w:color w:val="000000" w:themeColor="text1"/>
                <w:vertAlign w:val="subscript"/>
                <w:lang w:eastAsia="en-US"/>
                <w14:textFill>
                  <w14:solidFill>
                    <w14:schemeClr w14:val="tx1"/>
                  </w14:solidFill>
                </w14:textFill>
              </w:rPr>
              <w:t>2</w:t>
            </w:r>
            <w:r>
              <w:rPr>
                <w:rFonts w:hint="default" w:ascii="Times New Roman" w:hAnsi="Times New Roman" w:eastAsia="宋体" w:cs="Times New Roman"/>
                <w:color w:val="000000" w:themeColor="text1"/>
                <w:lang w:eastAsia="en-US"/>
                <w14:textFill>
                  <w14:solidFill>
                    <w14:schemeClr w14:val="tx1"/>
                  </w14:solidFill>
                </w14:textFill>
              </w:rPr>
              <w:t>/CO装置区</w:t>
            </w:r>
          </w:p>
        </w:tc>
        <w:tc>
          <w:tcPr>
            <w:tcW w:w="7419" w:type="dxa"/>
            <w:tcBorders>
              <w:right w:val="single" w:color="auto" w:sz="4" w:space="0"/>
            </w:tcBorders>
            <w:vAlign w:val="center"/>
          </w:tcPr>
          <w:p w14:paraId="1E8096E4">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1）生产装置及危险工艺、重点监管危险化学品使用部位设置DCS集散控制操作系统，重点监管工艺根据反应热风险分析的风险等级设置相应独立的SIS系统；</w:t>
            </w:r>
          </w:p>
          <w:p w14:paraId="299653B4">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2）设置有毒、可燃气体检测报警装置、温度、液位、流量等监测报警装置、火灾自动报警装置和自动联锁切断进料设施等；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3）安装消防管道设施，配备干粉灭火器、正压式防毒面具应急防护、紧急冲洗装置（洗眼器）等设备设施；</w:t>
            </w:r>
          </w:p>
          <w:p w14:paraId="2277357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4）按规范做好防雷防静电接地，并定期检测；特种设备定期检测；三项人员持证上岗；设备定期维护保养，确保设备完好；</w:t>
            </w:r>
          </w:p>
          <w:p w14:paraId="75DF5F3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5）车间做好防火防爆管理，设置静电接地桩，人员进入车间必须穿防静电工作服并触摸静电接地桩，严禁电线裸露和接头脱落；</w:t>
            </w:r>
          </w:p>
          <w:p w14:paraId="40AAC6D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6）车间制定了岗位责任制度，安全操作规程等制度；定期进行岗位操作技能训练、环境应急培训、环境风险防范措施培训及应急演练。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1B9773E3">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①目前，H</w:t>
            </w:r>
            <w:r>
              <w:rPr>
                <w:rFonts w:hint="default" w:ascii="Times New Roman" w:hAnsi="Times New Roman" w:eastAsia="宋体" w:cs="Times New Roman"/>
                <w:color w:val="000000" w:themeColor="text1"/>
                <w:vertAlign w:val="subscript"/>
                <w:lang w:eastAsia="zh-CN"/>
                <w14:textFill>
                  <w14:solidFill>
                    <w14:schemeClr w14:val="tx1"/>
                  </w14:solidFill>
                </w14:textFill>
              </w:rPr>
              <w:t>2</w:t>
            </w:r>
            <w:r>
              <w:rPr>
                <w:rFonts w:hint="default" w:ascii="Times New Roman" w:hAnsi="Times New Roman" w:eastAsia="宋体" w:cs="Times New Roman"/>
                <w:color w:val="000000" w:themeColor="text1"/>
                <w:lang w:eastAsia="zh-CN"/>
                <w14:textFill>
                  <w14:solidFill>
                    <w14:schemeClr w14:val="tx1"/>
                  </w14:solidFill>
                </w14:textFill>
              </w:rPr>
              <w:t>/CO装置区的主要生产装置、危险工艺、重点监管危险化学品使用部位安装了DCS集散控制操作系统；重点监管工艺设置了相应独立的SIS系统；</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②装置区设置了有毒、可燃气体检测报警装置，设置了温度、液位、流量等监测报警装置，设置了火灾自动报警装置和自动联锁切断进料设施等；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③装置区配备了消防管道设施，配备了干粉灭火器、正压式防毒面具应急防护、紧急冲洗装置（洗眼器）等设备设施；</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④车间配备了防火防爆设施，设置了静电接地桩；</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⑤现场检查设置了岗位责任制度，安全操作规程等制度。</w:t>
            </w:r>
          </w:p>
        </w:tc>
      </w:tr>
      <w:tr w14:paraId="10E69F3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2EC33F75">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3</w:t>
            </w:r>
          </w:p>
        </w:tc>
        <w:tc>
          <w:tcPr>
            <w:tcW w:w="1486" w:type="dxa"/>
            <w:vAlign w:val="center"/>
          </w:tcPr>
          <w:p w14:paraId="4E067119">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乙二醇装置区酯化单元</w:t>
            </w:r>
          </w:p>
        </w:tc>
        <w:tc>
          <w:tcPr>
            <w:tcW w:w="7419" w:type="dxa"/>
            <w:tcBorders>
              <w:right w:val="single" w:color="auto" w:sz="4" w:space="0"/>
            </w:tcBorders>
            <w:vAlign w:val="center"/>
          </w:tcPr>
          <w:p w14:paraId="4AE141E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1）周转罐设置高低液位报警装置；生产装置及危险工艺、重点监管危险化学品使用部位设置DCS集散控制操作系统，重点监管工艺根据反应热风险分析的风险等级设置相应独立的SIS系统；</w:t>
            </w:r>
          </w:p>
          <w:p w14:paraId="7639970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2）设置有防溢流截流坡，加强巡查，严抓“跑、冒、滴、漏”，防止物料泄漏时溢出车间外污染环境；</w:t>
            </w:r>
          </w:p>
          <w:p w14:paraId="1F4F1681">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设置可燃气体检测报警装置、温度、液位、流量等监测报警装置、火灾自动报警装置和自动联锁切断进料设施等。4）安装消防管道设施，配备干粉灭火器、正压式防毒面具应急防护、紧急冲洗装置（洗眼器）等设备设施。</w:t>
            </w:r>
          </w:p>
          <w:p w14:paraId="6808E542">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按规范做好防雷防静电接地，并定期检测；特种设备定期检测；三项人员持证上岗；设备定期维护保养，确保设备完好；6）做好防火防爆管理，设置静电接地桩，人员进入车间必须穿防静电工作服并触摸静电接地桩，严禁电线裸露和接头脱落；</w:t>
            </w:r>
          </w:p>
          <w:p w14:paraId="471816E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7）制定了岗位责任制度，安全操作规程等制度；定期进行岗位操作技能训练、环境应急培训、环境风险防范措施培训及应急演练。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01C5AAD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①目前，周转罐设置了高低液位报警装置；乙二醇装置区酯化单元的主要生产装置、危险工艺、重点监管危险化学品使用部位安装了DCS集散控制操作系统；重点监管工艺设置了相应独立的SIS系统；</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②装置区设置了有毒、可燃气体检测报警装置，设置了温度、液位、流量等监测报警装置，设置了火灾自动报警装置和自动联锁切断进料设施等；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③装置区配备了消防管道设施，配备了干粉灭火器、正压式防毒面具应急防护、紧急冲洗装置（洗眼器）等设备设施；</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④车间配备了防火防爆设施，设置了静电接地桩；</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⑤现场检查设置了岗位责任制度，安全操作规程等制度。</w:t>
            </w:r>
          </w:p>
        </w:tc>
      </w:tr>
      <w:tr w14:paraId="53C8B12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58545FD2">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4</w:t>
            </w:r>
          </w:p>
        </w:tc>
        <w:tc>
          <w:tcPr>
            <w:tcW w:w="1486" w:type="dxa"/>
            <w:vAlign w:val="center"/>
          </w:tcPr>
          <w:p w14:paraId="097B1222">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乙二醇装置区加氢单元</w:t>
            </w:r>
          </w:p>
        </w:tc>
        <w:tc>
          <w:tcPr>
            <w:tcW w:w="7419" w:type="dxa"/>
            <w:tcBorders>
              <w:right w:val="single" w:color="auto" w:sz="4" w:space="0"/>
            </w:tcBorders>
            <w:vAlign w:val="center"/>
          </w:tcPr>
          <w:p w14:paraId="02889D8E">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1）周转罐设置高低液位报警装置；生产装置及危险工艺、重点监管危险化学品使用部位设置DCS集散控制操作系统，重点监管工艺根据反应热风险分析的风险等级设置相应独立的SIS系统；</w:t>
            </w:r>
          </w:p>
          <w:p w14:paraId="66912C6C">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2）设置有防溢流截流坡，加强巡查，严抓“跑、冒、滴、漏”，防止物料泄漏时溢出车间外污染环境。</w:t>
            </w:r>
          </w:p>
          <w:p w14:paraId="7DBF3661">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设置可燃气体检测报警装置、温度、液位、流量等监测报警装置、火灾自动报警装置和自动联锁切断进料设施等。4）安装消防管道设施，配备干粉灭火器、正压式防毒面具应急防护、紧急冲洗装置（洗眼器）等设备设施。</w:t>
            </w:r>
          </w:p>
          <w:p w14:paraId="54D04AA7">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按规范做好防雷防静电接地，并定期检测；特种设备定期检测；三项人员持证上岗；设备定期维护保养，确保设备完好；6）做好防火防爆管理，设置静电接地桩，人员进入车间必须穿防静电工作服并触摸静电接地桩，严禁电线裸露和接头脱落；</w:t>
            </w:r>
          </w:p>
          <w:p w14:paraId="4CCD677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7）制定了岗位责任制度，安全操作规程等制度；定期进行岗位操作技能训练、环境应急培训、环境风险防范措施培训及应急演练。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77E3C677">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①目前，周转罐设置了高低液位报警装置；乙二醇装置区加氢单元的主要生产装置、危险工艺、重点监管危险化学品使用部位安装了DCS集散控制操作系统；重点监管工艺设置了相应独立的SIS系统；</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②装置区设置了有毒、可燃气体检测报警装置，设置了温度、液位、流量等监测报警装置，设置了火灾自动报警装置和自动联锁切断进料设施等；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③装置区配备了消防管道设施，配备了干粉灭火器、正压式防毒面具应急防护、紧急冲洗装置（洗眼器）等设备设施；</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④车间配备了防火防爆设施，设置了静电接地桩；</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⑤现场检查设置了岗位责任制度，安全操作规程等制度</w:t>
            </w:r>
            <w:r>
              <w:rPr>
                <w:rFonts w:hint="eastAsia" w:cs="Times New Roman"/>
                <w:color w:val="000000" w:themeColor="text1"/>
                <w:lang w:eastAsia="zh-CN"/>
                <w14:textFill>
                  <w14:solidFill>
                    <w14:schemeClr w14:val="tx1"/>
                  </w14:solidFill>
                </w14:textFill>
              </w:rPr>
              <w:t>。</w:t>
            </w:r>
          </w:p>
        </w:tc>
      </w:tr>
      <w:tr w14:paraId="263E3B3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4D303733">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5</w:t>
            </w:r>
          </w:p>
        </w:tc>
        <w:tc>
          <w:tcPr>
            <w:tcW w:w="1486" w:type="dxa"/>
            <w:vAlign w:val="center"/>
          </w:tcPr>
          <w:p w14:paraId="0CFE4E89">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酸碱罐区、中间罐区、成品罐区、DMC成品及中间罐区</w:t>
            </w:r>
          </w:p>
        </w:tc>
        <w:tc>
          <w:tcPr>
            <w:tcW w:w="7419" w:type="dxa"/>
            <w:tcBorders>
              <w:right w:val="single" w:color="auto" w:sz="4" w:space="0"/>
            </w:tcBorders>
            <w:vAlign w:val="center"/>
          </w:tcPr>
          <w:p w14:paraId="226FFD1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1）储罐区设置有围堰、防火堤等，加强巡查，狠抓“跑、冒、滴、漏”，防止物料泄漏时或溢出堤外污染环境；</w:t>
            </w:r>
          </w:p>
          <w:p w14:paraId="144982BC">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2）设置有废水截流沟，安装阀门与厂区事故废水池相连；</w:t>
            </w:r>
          </w:p>
          <w:p w14:paraId="4B2DC2E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3）储罐区根据储存物料危险特性分别设置有毒、可燃气体检测报警装置、物料压力、液位监测报警装置和自动联锁切断进料设施等；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4）安装消防管道设施，配备干粉灭火器、泡沫灭火器、正压式防毒面具、紧急冲洗装置（洗眼器）等；</w:t>
            </w:r>
          </w:p>
          <w:p w14:paraId="5AACE7A1">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5）制定了岗位责任制度，安全操作规程及注意事项等制度；定期进行环境应急、环境风险防范措施培训及应急演练；</w:t>
            </w:r>
          </w:p>
          <w:p w14:paraId="72AFEDDC">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6）生产车间设置可燃气体检测报警装置、温度、液位、流量等监测报警装置、火灾自动报警装置和自动联锁切断进料设施等；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7）按规范做好防雷防静电接地，并定期检测；特种设备定期检测；三项人员持证上岗；设备定期维护保养，确保设备完好；</w:t>
            </w:r>
          </w:p>
          <w:p w14:paraId="5FE970F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8）车间制定了岗位责任制度，安全操作规程等制度；定期进行岗位操作技能训练、环境应急培训、环境风险防范措施培训及应急演练。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50E0589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①目前，储罐区设置有围堰、防火堤等；</w:t>
            </w:r>
          </w:p>
          <w:p w14:paraId="62669997">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②储罐区设置有废水截流沟，安装了阀门与厂区事故废水池相连；</w:t>
            </w:r>
          </w:p>
          <w:p w14:paraId="6B053E3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③储罐区分别设置了有毒、可燃气体检测报警装置、物料压力、液位监测报警装置和自动联锁切断进料设施等；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④储罐区安装了消防管道设施，配备了干粉灭火器、泡沫灭火器、正压式防毒面具、紧急冲洗装置（洗眼器）等；</w:t>
            </w:r>
          </w:p>
          <w:p w14:paraId="24DB796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⑤储罐区制定了岗位责任制度，安全操作规程及注意事项等制度；目前尚未开展环境风险事故应急演练；</w:t>
            </w:r>
          </w:p>
          <w:p w14:paraId="42CF4F0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⑥储罐区按规范做好了防雷防静电接地；</w:t>
            </w:r>
          </w:p>
          <w:p w14:paraId="05C5F459">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⑦车间制定了岗位责任制度，安全操作规程等制度</w:t>
            </w:r>
            <w:r>
              <w:rPr>
                <w:rFonts w:hint="eastAsia" w:cs="Times New Roman"/>
                <w:color w:val="000000" w:themeColor="text1"/>
                <w:lang w:eastAsia="zh-CN"/>
                <w14:textFill>
                  <w14:solidFill>
                    <w14:schemeClr w14:val="tx1"/>
                  </w14:solidFill>
                </w14:textFill>
              </w:rPr>
              <w:t>。</w:t>
            </w:r>
          </w:p>
        </w:tc>
      </w:tr>
      <w:tr w14:paraId="4EA8B43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02FA9FF1">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6</w:t>
            </w:r>
          </w:p>
        </w:tc>
        <w:tc>
          <w:tcPr>
            <w:tcW w:w="1486" w:type="dxa"/>
            <w:vAlign w:val="center"/>
          </w:tcPr>
          <w:p w14:paraId="0F4127F0">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原料仓库</w:t>
            </w:r>
          </w:p>
        </w:tc>
        <w:tc>
          <w:tcPr>
            <w:tcW w:w="7419" w:type="dxa"/>
            <w:tcBorders>
              <w:right w:val="single" w:color="auto" w:sz="4" w:space="0"/>
            </w:tcBorders>
            <w:vAlign w:val="center"/>
          </w:tcPr>
          <w:p w14:paraId="4B792A7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1）抓好出入库管理，做到账、物、卡相符；</w:t>
            </w:r>
          </w:p>
          <w:p w14:paraId="5C83B848">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2）仓库门口处设置有防溢流截流坡，狠抓“跑、冒、滴、漏”，防止物料泄漏时或溢出库外污染环境。</w:t>
            </w:r>
          </w:p>
          <w:p w14:paraId="60875FB6">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3）配备干粉灭火器、泡沫灭火器、消防沙、紧急冲洗装置（洗眼器）、干湿温度计等。</w:t>
            </w:r>
          </w:p>
          <w:p w14:paraId="7E0640D3">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4）严格按照《危险货物储存通则》GB15603-1995的规定，禁配物料必须分类、分区、分库储存，</w:t>
            </w:r>
          </w:p>
          <w:p w14:paraId="4C26C1A0">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5）制定了岗位责任制度，安全操作规程及注意事项等制度；定期进行环境应急、环境风险防范措施培训及应急演练。</w:t>
            </w:r>
          </w:p>
        </w:tc>
        <w:tc>
          <w:tcPr>
            <w:tcW w:w="4334" w:type="dxa"/>
            <w:tcBorders>
              <w:left w:val="single" w:color="auto" w:sz="4" w:space="0"/>
            </w:tcBorders>
            <w:vAlign w:val="center"/>
          </w:tcPr>
          <w:p w14:paraId="63180D94">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①目前，物料入库管理可以做到账、物、卡相符；</w:t>
            </w:r>
          </w:p>
          <w:p w14:paraId="655E7EA4">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②仓库门口处设置有防溢流截流坡，能够有效防止物料泄漏或溢出库外污染环境。</w:t>
            </w:r>
          </w:p>
          <w:p w14:paraId="573B3F6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③仓库配备了干粉灭火器、泡沫灭火器、消防沙、紧急冲洗装置（洗眼器）、干湿温度计等。</w:t>
            </w:r>
          </w:p>
          <w:p w14:paraId="6828FDA0">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④现场核查各物料分类、分区、分库储存，</w:t>
            </w:r>
          </w:p>
          <w:p w14:paraId="0A43485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⑤制定了岗位责任制度，安全操作规程及注意事项等制度</w:t>
            </w:r>
            <w:r>
              <w:rPr>
                <w:rFonts w:hint="eastAsia" w:cs="Times New Roman"/>
                <w:color w:val="000000" w:themeColor="text1"/>
                <w:lang w:eastAsia="zh-CN"/>
                <w14:textFill>
                  <w14:solidFill>
                    <w14:schemeClr w14:val="tx1"/>
                  </w14:solidFill>
                </w14:textFill>
              </w:rPr>
              <w:t>。</w:t>
            </w:r>
          </w:p>
        </w:tc>
      </w:tr>
      <w:tr w14:paraId="0247A74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05697C9A">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7</w:t>
            </w:r>
          </w:p>
        </w:tc>
        <w:tc>
          <w:tcPr>
            <w:tcW w:w="1486" w:type="dxa"/>
            <w:vAlign w:val="center"/>
          </w:tcPr>
          <w:p w14:paraId="57412E73">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危废暂存库</w:t>
            </w:r>
          </w:p>
        </w:tc>
        <w:tc>
          <w:tcPr>
            <w:tcW w:w="7419" w:type="dxa"/>
            <w:tcBorders>
              <w:right w:val="single" w:color="auto" w:sz="4" w:space="0"/>
            </w:tcBorders>
            <w:vAlign w:val="center"/>
          </w:tcPr>
          <w:p w14:paraId="01C2A20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1）抓好出入库管理，做到账、物、卡相符；</w:t>
            </w:r>
          </w:p>
          <w:p w14:paraId="617A66A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2）仓库门口处设置有防溢流截流坡，狠抓“跑、冒、滴、漏”，防止物料泄漏时或溢出库外污染环境。</w:t>
            </w:r>
          </w:p>
          <w:p w14:paraId="3D78F1B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3）根据储存物料危险特性分别设置可燃气（有毒）体检测报警装置、干湿温度计等。</w:t>
            </w:r>
          </w:p>
          <w:p w14:paraId="6E2850C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4）配备干粉灭火器、泡沫灭火器、消防沙、紧急冲洗装置（洗眼器）等。</w:t>
            </w:r>
          </w:p>
          <w:p w14:paraId="6CD76649">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6）严格按照《危险货物储存通则》GB15603-1995的规定，禁配物料必须分类、分区、分库储存，</w:t>
            </w:r>
          </w:p>
          <w:p w14:paraId="7ED1DD43">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7）制定了岗位责任制度，安全操作规程及注意事项等制度；定期进行环境应急、环境风险防范措施培训及应急演练。</w:t>
            </w:r>
          </w:p>
        </w:tc>
        <w:tc>
          <w:tcPr>
            <w:tcW w:w="4334" w:type="dxa"/>
            <w:tcBorders>
              <w:left w:val="single" w:color="auto" w:sz="4" w:space="0"/>
            </w:tcBorders>
            <w:vAlign w:val="center"/>
          </w:tcPr>
          <w:p w14:paraId="35464879">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①目前，危险废物入库管理可以做到账、物、卡相符；</w:t>
            </w:r>
          </w:p>
          <w:p w14:paraId="0E3DB120">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②危废暂存库门口处设置有防溢流截流坡，能够有效防止物料泄漏或溢出库外污染环境。</w:t>
            </w:r>
          </w:p>
          <w:p w14:paraId="178BE44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③仓库配备了干粉灭火器、泡沫灭火器、消防沙、紧急冲洗装置（洗眼器）、干湿温度计等。</w:t>
            </w:r>
          </w:p>
          <w:p w14:paraId="74D4179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④现场核查各物料分类、分区、分库储存，</w:t>
            </w:r>
          </w:p>
          <w:p w14:paraId="072C1182">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⑤制定了岗位责任制度，安全操作规程及注意事项等制度</w:t>
            </w:r>
            <w:r>
              <w:rPr>
                <w:rFonts w:hint="eastAsia" w:cs="Times New Roman"/>
                <w:color w:val="000000" w:themeColor="text1"/>
                <w:lang w:eastAsia="zh-CN"/>
                <w14:textFill>
                  <w14:solidFill>
                    <w14:schemeClr w14:val="tx1"/>
                  </w14:solidFill>
                </w14:textFill>
              </w:rPr>
              <w:t>。</w:t>
            </w:r>
          </w:p>
        </w:tc>
      </w:tr>
      <w:tr w14:paraId="78FD0BB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649541D8">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p>
          <w:p w14:paraId="355FFEDA">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p>
          <w:p w14:paraId="21C45C4E">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p>
          <w:p w14:paraId="01F128E2">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8</w:t>
            </w:r>
          </w:p>
        </w:tc>
        <w:tc>
          <w:tcPr>
            <w:tcW w:w="1486" w:type="dxa"/>
            <w:vAlign w:val="center"/>
          </w:tcPr>
          <w:p w14:paraId="02ABBE4A">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p>
          <w:p w14:paraId="64B2F63E">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p>
          <w:p w14:paraId="5E6869DB">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废气焚烧装置、/DMC配套焚烧炉装置</w:t>
            </w:r>
          </w:p>
        </w:tc>
        <w:tc>
          <w:tcPr>
            <w:tcW w:w="7419" w:type="dxa"/>
            <w:tcBorders>
              <w:right w:val="single" w:color="auto" w:sz="4" w:space="0"/>
            </w:tcBorders>
            <w:vAlign w:val="center"/>
          </w:tcPr>
          <w:p w14:paraId="649BB5D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1）设置DCS集散控制操作系统；</w:t>
            </w:r>
          </w:p>
          <w:p w14:paraId="52E442E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2）装置周围设置有防溢流截流坡，加强巡查，严抓“跑、冒、滴、漏”，防止物料泄漏时溢出车间外污染环境；</w:t>
            </w:r>
          </w:p>
          <w:p w14:paraId="3C344BF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3）装置周围设置可燃气体检测报警装置、温度、液位、流量等监测报警装置、火灾自动报警装置和自动联锁切断进料设施等；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4）安装消防管道设施，配备干粉灭火器、正压式防毒面具应急防护、紧急冲洗装置（洗眼器）等设备设施；</w:t>
            </w:r>
          </w:p>
          <w:p w14:paraId="3FDF62AE">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5）按规范做好防雷防静电接地，并定期检测；特种设备定期检测；三项人员持证上岗；设备定期维护保养，确保设备完好；</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6）做好防火防爆管理；</w:t>
            </w:r>
          </w:p>
          <w:p w14:paraId="5F4F5C93">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7）制定了岗位责任制度，安全操作规程等制度；定期进行岗位操作技能训练、环境应急培训、环境风险防范措施培训及应急演练。</w:t>
            </w:r>
          </w:p>
        </w:tc>
        <w:tc>
          <w:tcPr>
            <w:tcW w:w="4334" w:type="dxa"/>
            <w:tcBorders>
              <w:left w:val="single" w:color="auto" w:sz="4" w:space="0"/>
            </w:tcBorders>
            <w:vAlign w:val="center"/>
          </w:tcPr>
          <w:p w14:paraId="036575BF">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①目前，焚烧系统设置了DCS集散控制操作系统；</w:t>
            </w:r>
          </w:p>
          <w:p w14:paraId="5CB1F40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②装置周围设置有防溢流截流坡。</w:t>
            </w:r>
          </w:p>
          <w:p w14:paraId="7DCBC0F5">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③装置周围设置了可燃气体检测报警装置、温度、液位、流量等监测报警装置、火灾自动报警装置和自动联锁切断进料设施等；</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④安装消防管道设施，配备干粉灭火器、正压式防毒面具应急防护、紧急冲洗装置（洗眼器）等设备设施。</w:t>
            </w:r>
          </w:p>
          <w:p w14:paraId="73722263">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⑤焚烧系统按规范做好了防雷防静电接地；</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⑥本次评价要求厂区应进一步强化防火防爆管理；</w:t>
            </w:r>
          </w:p>
          <w:p w14:paraId="6152EB07">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⑦焚烧系统制定了岗位责任制度，安全操作规程等制度</w:t>
            </w:r>
            <w:r>
              <w:rPr>
                <w:rFonts w:hint="eastAsia" w:cs="Times New Roman"/>
                <w:color w:val="000000" w:themeColor="text1"/>
                <w:lang w:eastAsia="zh-CN"/>
                <w14:textFill>
                  <w14:solidFill>
                    <w14:schemeClr w14:val="tx1"/>
                  </w14:solidFill>
                </w14:textFill>
              </w:rPr>
              <w:t>。</w:t>
            </w:r>
          </w:p>
        </w:tc>
      </w:tr>
      <w:tr w14:paraId="6291FAB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762" w:type="dxa"/>
            <w:vAlign w:val="center"/>
          </w:tcPr>
          <w:p w14:paraId="5D26E625">
            <w:pPr>
              <w:autoSpaceDE w:val="0"/>
              <w:autoSpaceDN w:val="0"/>
              <w:adjustRightInd w:val="0"/>
              <w:snapToGrid w:val="0"/>
              <w:jc w:val="center"/>
              <w:rPr>
                <w:rFonts w:hint="default" w:ascii="Times New Roman" w:hAnsi="Times New Roman" w:eastAsia="宋体" w:cs="Times New Roman"/>
                <w:color w:val="000000" w:themeColor="text1"/>
                <w:lang w:eastAsia="en-US"/>
                <w14:textFill>
                  <w14:solidFill>
                    <w14:schemeClr w14:val="tx1"/>
                  </w14:solidFill>
                </w14:textFill>
              </w:rPr>
            </w:pPr>
            <w:r>
              <w:rPr>
                <w:rFonts w:hint="default" w:ascii="Times New Roman" w:hAnsi="Times New Roman" w:eastAsia="宋体" w:cs="Times New Roman"/>
                <w:color w:val="000000" w:themeColor="text1"/>
                <w:lang w:eastAsia="en-US"/>
                <w14:textFill>
                  <w14:solidFill>
                    <w14:schemeClr w14:val="tx1"/>
                  </w14:solidFill>
                </w14:textFill>
              </w:rPr>
              <w:t>9</w:t>
            </w:r>
          </w:p>
        </w:tc>
        <w:tc>
          <w:tcPr>
            <w:tcW w:w="1486" w:type="dxa"/>
            <w:vAlign w:val="center"/>
          </w:tcPr>
          <w:p w14:paraId="5C7E3F11">
            <w:pPr>
              <w:autoSpaceDE w:val="0"/>
              <w:autoSpaceDN w:val="0"/>
              <w:adjustRightInd w:val="0"/>
              <w:snapToGrid w:val="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全厂突发环境事件应急预案</w:t>
            </w:r>
          </w:p>
        </w:tc>
        <w:tc>
          <w:tcPr>
            <w:tcW w:w="7419" w:type="dxa"/>
            <w:tcBorders>
              <w:right w:val="single" w:color="auto" w:sz="4" w:space="0"/>
            </w:tcBorders>
            <w:vAlign w:val="center"/>
          </w:tcPr>
          <w:p w14:paraId="58D500EB">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指定《环境风险事件应急预案》。总体上按公司级和装置级两级进行管理，分别制定“公司级应急预案”和“装置级应急预案”；以园区环境污染与破坏事故应急救援中心为核心，与达州市政府（上级）和企业（下级）应急救援中心形成联动机制的三级应急救援管理体系。</w:t>
            </w:r>
          </w:p>
        </w:tc>
        <w:tc>
          <w:tcPr>
            <w:tcW w:w="4334" w:type="dxa"/>
            <w:tcBorders>
              <w:left w:val="single" w:color="auto" w:sz="4" w:space="0"/>
            </w:tcBorders>
            <w:vAlign w:val="center"/>
          </w:tcPr>
          <w:p w14:paraId="14D7077D">
            <w:pPr>
              <w:autoSpaceDE w:val="0"/>
              <w:autoSpaceDN w:val="0"/>
              <w:adjustRightInd w:val="0"/>
              <w:snapToGrid w:val="0"/>
              <w:jc w:val="left"/>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目前，厂区主体工程重新报批环评文件</w:t>
            </w:r>
            <w:r>
              <w:rPr>
                <w:rFonts w:hint="eastAsia" w:cs="Times New Roman"/>
                <w:color w:val="000000" w:themeColor="text1"/>
                <w:lang w:val="en-US" w:eastAsia="zh-CN"/>
                <w14:textFill>
                  <w14:solidFill>
                    <w14:schemeClr w14:val="tx1"/>
                  </w14:solidFill>
                </w14:textFill>
              </w:rPr>
              <w:t>已经</w:t>
            </w:r>
            <w:r>
              <w:rPr>
                <w:rFonts w:hint="default" w:ascii="Times New Roman" w:hAnsi="Times New Roman" w:eastAsia="宋体" w:cs="Times New Roman"/>
                <w:color w:val="000000" w:themeColor="text1"/>
                <w:lang w:eastAsia="zh-CN"/>
                <w14:textFill>
                  <w14:solidFill>
                    <w14:schemeClr w14:val="tx1"/>
                  </w14:solidFill>
                </w14:textFill>
              </w:rPr>
              <w:t>审批</w:t>
            </w:r>
            <w:r>
              <w:rPr>
                <w:rFonts w:hint="eastAsia" w:cs="Times New Roman"/>
                <w:color w:val="000000" w:themeColor="text1"/>
                <w:lang w:val="en-US" w:eastAsia="zh-CN"/>
                <w14:textFill>
                  <w14:solidFill>
                    <w14:schemeClr w14:val="tx1"/>
                  </w14:solidFill>
                </w14:textFill>
              </w:rPr>
              <w:t>取得批复</w:t>
            </w:r>
            <w:r>
              <w:rPr>
                <w:rFonts w:hint="default"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正在修订</w:t>
            </w:r>
            <w:r>
              <w:rPr>
                <w:rFonts w:hint="default" w:ascii="Times New Roman" w:hAnsi="Times New Roman" w:eastAsia="宋体" w:cs="Times New Roman"/>
                <w:color w:val="000000" w:themeColor="text1"/>
                <w:lang w:eastAsia="zh-CN"/>
                <w14:textFill>
                  <w14:solidFill>
                    <w14:schemeClr w14:val="tx1"/>
                  </w14:solidFill>
                </w14:textFill>
              </w:rPr>
              <w:t>突发环境事件应急预案。</w:t>
            </w:r>
          </w:p>
        </w:tc>
      </w:tr>
    </w:tbl>
    <w:p w14:paraId="44C42D69">
      <w:pPr>
        <w:jc w:val="center"/>
        <w:rPr>
          <w:rFonts w:hint="default" w:ascii="Times New Roman" w:hAnsi="Times New Roman" w:eastAsia="宋体" w:cs="Times New Roman"/>
          <w:color w:val="000000" w:themeColor="text1"/>
          <w14:textFill>
            <w14:solidFill>
              <w14:schemeClr w14:val="tx1"/>
            </w14:solidFill>
          </w14:textFill>
        </w:rPr>
        <w:sectPr>
          <w:pgSz w:w="16838" w:h="11906" w:orient="landscape"/>
          <w:pgMar w:top="1531" w:right="1701" w:bottom="1531" w:left="1701" w:header="851" w:footer="850" w:gutter="0"/>
          <w:cols w:space="0" w:num="1"/>
          <w:docGrid w:linePitch="312" w:charSpace="0"/>
        </w:sect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1C59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38B372">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（3）本次提出的还需强化的风险防范措施</w:t>
            </w:r>
          </w:p>
          <w:p w14:paraId="22E3EDE9">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①</w:t>
            </w:r>
            <w:r>
              <w:rPr>
                <w:rFonts w:hint="default" w:ascii="Times New Roman" w:hAnsi="Times New Roman" w:eastAsia="宋体" w:cs="Times New Roman"/>
                <w:color w:val="000000" w:themeColor="text1"/>
                <w:szCs w:val="24"/>
                <w14:textFill>
                  <w14:solidFill>
                    <w14:schemeClr w14:val="tx1"/>
                  </w14:solidFill>
                </w14:textFill>
              </w:rPr>
              <w:t>及时开展突发环境事件应急预案的编制工作，内容应包含“</w:t>
            </w:r>
            <w:r>
              <w:rPr>
                <w:rFonts w:hint="eastAsia" w:cs="Times New Roman"/>
                <w:color w:val="000000" w:themeColor="text1"/>
                <w:szCs w:val="24"/>
                <w:lang w:val="en-US" w:eastAsia="zh-CN"/>
                <w14:textFill>
                  <w14:solidFill>
                    <w14:schemeClr w14:val="tx1"/>
                  </w14:solidFill>
                </w14:textFill>
              </w:rPr>
              <w:t>厂区</w:t>
            </w:r>
            <w:r>
              <w:rPr>
                <w:rFonts w:hint="default" w:ascii="Times New Roman" w:hAnsi="Times New Roman" w:eastAsia="宋体" w:cs="Times New Roman"/>
                <w:color w:val="000000" w:themeColor="text1"/>
                <w:szCs w:val="24"/>
                <w14:textFill>
                  <w14:solidFill>
                    <w14:schemeClr w14:val="tx1"/>
                  </w14:solidFill>
                </w14:textFill>
              </w:rPr>
              <w:t>级应急预案”和“装置级应急预案”，并按照应急预案要求开展演练工作。</w:t>
            </w:r>
          </w:p>
          <w:p w14:paraId="2B31D804">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②</w:t>
            </w:r>
            <w:r>
              <w:rPr>
                <w:rFonts w:hint="default" w:ascii="Times New Roman" w:hAnsi="Times New Roman" w:eastAsia="宋体" w:cs="Times New Roman"/>
                <w:color w:val="000000" w:themeColor="text1"/>
                <w14:textFill>
                  <w14:solidFill>
                    <w14:schemeClr w14:val="tx1"/>
                  </w14:solidFill>
                </w14:textFill>
              </w:rPr>
              <w:t>加强各类化学原辅料在运输、贮存和使用过程中的环境管理，避免跑冒滴漏；</w:t>
            </w:r>
          </w:p>
          <w:p w14:paraId="4BB30A4D">
            <w:pPr>
              <w:pStyle w:val="457"/>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③“安全第一，预防为主”是我国的安全生产方针，加强预防工作，从管理入手，把风险事故的发生和影响降到可能的最低限度，本工程选择安全的技术路线，采用安全的设备和仪表，增加装置的自动化水平，认真执行环境保护“三同时”原则，及时更新安全评价相关手续，严格执行项目“安评”提出的各项措施和要求，最大程度降低安全事故伴生、次生环境污染概率的发生；</w:t>
            </w:r>
          </w:p>
          <w:p w14:paraId="0584CA09">
            <w:pPr>
              <w:spacing w:line="360" w:lineRule="auto"/>
              <w:ind w:firstLine="470" w:firstLineChars="196"/>
              <w:rPr>
                <w:rFonts w:hint="default" w:ascii="Times New Roman" w:hAnsi="Times New Roman" w:eastAsia="宋体" w:cs="Times New Roman"/>
                <w:color w:val="000000" w:themeColor="text1"/>
                <w:kern w:val="0"/>
                <w:sz w:val="24"/>
                <w14:textFill>
                  <w14:solidFill>
                    <w14:schemeClr w14:val="tx1"/>
                  </w14:solidFill>
                </w14:textFill>
              </w:rPr>
            </w:pPr>
            <w:bookmarkStart w:id="13" w:name="OLE_LINK217"/>
            <w:r>
              <w:rPr>
                <w:rFonts w:hint="default" w:ascii="Times New Roman" w:hAnsi="Times New Roman" w:eastAsia="宋体" w:cs="Times New Roman"/>
                <w:color w:val="000000" w:themeColor="text1"/>
                <w:kern w:val="0"/>
                <w:sz w:val="24"/>
                <w14:textFill>
                  <w14:solidFill>
                    <w14:schemeClr w14:val="tx1"/>
                  </w14:solidFill>
                </w14:textFill>
              </w:rPr>
              <w:t>④</w:t>
            </w:r>
            <w:r>
              <w:rPr>
                <w:rFonts w:hint="default" w:ascii="Times New Roman" w:hAnsi="Times New Roman" w:eastAsia="宋体" w:cs="Times New Roman"/>
                <w:color w:val="000000" w:themeColor="text1"/>
                <w:sz w:val="24"/>
                <w14:textFill>
                  <w14:solidFill>
                    <w14:schemeClr w14:val="tx1"/>
                  </w14:solidFill>
                </w14:textFill>
              </w:rPr>
              <w:t>环保设施的日常检修和维护要求细化，</w:t>
            </w:r>
            <w:r>
              <w:rPr>
                <w:rFonts w:hint="default" w:ascii="Times New Roman" w:hAnsi="Times New Roman" w:eastAsia="宋体" w:cs="Times New Roman"/>
                <w:color w:val="000000" w:themeColor="text1"/>
                <w:kern w:val="0"/>
                <w:sz w:val="24"/>
                <w14:textFill>
                  <w14:solidFill>
                    <w14:schemeClr w14:val="tx1"/>
                  </w14:solidFill>
                </w14:textFill>
              </w:rPr>
              <w:t>避免</w:t>
            </w:r>
            <w:r>
              <w:rPr>
                <w:rFonts w:hint="default" w:ascii="Times New Roman" w:hAnsi="Times New Roman" w:eastAsia="宋体" w:cs="Times New Roman"/>
                <w:color w:val="000000" w:themeColor="text1"/>
                <w:sz w:val="24"/>
                <w14:textFill>
                  <w14:solidFill>
                    <w14:schemeClr w14:val="tx1"/>
                  </w14:solidFill>
                </w14:textFill>
              </w:rPr>
              <w:t>废水、废气事故性排放，若出现废水事故性排放，应通过各装置区导流沟收集至事故应急池暂存，进行预处理后抽至污水处理站进行处理；若出现废气事故性排放，应立即停止生产活动，对废气治理设施进行检修维护，在确保各类废气能够得到有效治理之前不得恢复生产活动；</w:t>
            </w:r>
          </w:p>
          <w:p w14:paraId="5F3DFA6D">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⑤建立和完善各级安全生产责任制，并切实落到实处。各级领导和生产管理人员必须重视安全生产，积极推广科学安全管理方法，强化安全操作制度和劳动纪律；</w:t>
            </w:r>
            <w:bookmarkEnd w:id="13"/>
          </w:p>
          <w:p w14:paraId="4A0B0363">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bookmarkStart w:id="14" w:name="OLE_LINK218"/>
            <w:r>
              <w:rPr>
                <w:rFonts w:hint="default" w:ascii="Times New Roman" w:hAnsi="Times New Roman" w:eastAsia="宋体" w:cs="Times New Roman"/>
                <w:color w:val="000000" w:themeColor="text1"/>
                <w:kern w:val="0"/>
                <w:sz w:val="24"/>
                <w14:textFill>
                  <w14:solidFill>
                    <w14:schemeClr w14:val="tx1"/>
                  </w14:solidFill>
                </w14:textFill>
              </w:rPr>
              <w:t>⑥制定出尽可能完善的各项安全生产规章制度并贯彻执行。</w:t>
            </w:r>
          </w:p>
          <w:p w14:paraId="1EB86083">
            <w:pPr>
              <w:autoSpaceDE w:val="0"/>
              <w:autoSpaceDN w:val="0"/>
              <w:adjustRightInd w:val="0"/>
              <w:snapToGrid w:val="0"/>
              <w:spacing w:line="360" w:lineRule="auto"/>
              <w:ind w:firstLine="480" w:firstLineChars="200"/>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⑦</w:t>
            </w:r>
            <w:r>
              <w:rPr>
                <w:rFonts w:hint="eastAsia" w:cs="Times New Roman"/>
                <w:color w:val="000000" w:themeColor="text1"/>
                <w:kern w:val="0"/>
                <w:sz w:val="24"/>
                <w:lang w:val="en-US" w:eastAsia="zh-CN"/>
                <w14:textFill>
                  <w14:solidFill>
                    <w14:schemeClr w14:val="tx1"/>
                  </w14:solidFill>
                </w14:textFill>
              </w:rPr>
              <w:t>本次改建新增液氨使用，在液氨罐区（冷机）处建设不低于1.5m高围堰，围堰容积大于最大储存量，同时设置液氨应急排放口和氨气泄漏检测系统，一旦检测到出现液氨泄漏，应立即停止生产活动，对泄漏源进行修复，待厂区氨气浓度恢复到正常水平后方可恢复生产活动。液氨泄漏可采用水喷淋后将事故废水导入事故应急池，再抽吸至厂内已建污水处理站处理。</w:t>
            </w:r>
          </w:p>
          <w:p w14:paraId="58548A92">
            <w:pPr>
              <w:autoSpaceDE w:val="0"/>
              <w:autoSpaceDN w:val="0"/>
              <w:adjustRightInd w:val="0"/>
              <w:snapToGrid w:val="0"/>
              <w:spacing w:line="360" w:lineRule="auto"/>
              <w:ind w:firstLine="480" w:firstLineChars="200"/>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⑧</w:t>
            </w:r>
            <w:r>
              <w:rPr>
                <w:rFonts w:hint="default" w:ascii="Times New Roman" w:hAnsi="Times New Roman" w:eastAsia="宋体" w:cs="Times New Roman"/>
                <w:color w:val="000000" w:themeColor="text1"/>
                <w:kern w:val="0"/>
                <w:sz w:val="24"/>
                <w14:textFill>
                  <w14:solidFill>
                    <w14:schemeClr w14:val="tx1"/>
                  </w14:solidFill>
                </w14:textFill>
              </w:rPr>
              <w:t>严格落实重新报批环评文件</w:t>
            </w:r>
            <w:r>
              <w:rPr>
                <w:rFonts w:hint="eastAsia" w:cs="Times New Roman"/>
                <w:color w:val="000000" w:themeColor="text1"/>
                <w:kern w:val="0"/>
                <w:sz w:val="24"/>
                <w:lang w:val="en-US" w:eastAsia="zh-CN"/>
                <w14:textFill>
                  <w14:solidFill>
                    <w14:schemeClr w14:val="tx1"/>
                  </w14:solidFill>
                </w14:textFill>
              </w:rPr>
              <w:t>/批复中</w:t>
            </w:r>
            <w:r>
              <w:rPr>
                <w:rFonts w:hint="default" w:ascii="Times New Roman" w:hAnsi="Times New Roman" w:eastAsia="宋体" w:cs="Times New Roman"/>
                <w:color w:val="000000" w:themeColor="text1"/>
                <w:kern w:val="0"/>
                <w:sz w:val="24"/>
                <w14:textFill>
                  <w14:solidFill>
                    <w14:schemeClr w14:val="tx1"/>
                  </w14:solidFill>
                </w14:textFill>
              </w:rPr>
              <w:t>提出的有关风险防范措施。</w:t>
            </w:r>
            <w:bookmarkEnd w:id="14"/>
          </w:p>
          <w:p w14:paraId="0983E72B">
            <w:pPr>
              <w:widowControl/>
              <w:spacing w:line="360" w:lineRule="auto"/>
              <w:ind w:firstLine="482" w:firstLineChars="200"/>
              <w:jc w:val="left"/>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lang w:bidi="ar"/>
                <w14:textFill>
                  <w14:solidFill>
                    <w14:schemeClr w14:val="tx1"/>
                  </w14:solidFill>
                </w14:textFill>
              </w:rPr>
              <w:t>（4）环境风险评价结论</w:t>
            </w:r>
          </w:p>
          <w:p w14:paraId="75685BE9">
            <w:pPr>
              <w:pStyle w:val="493"/>
              <w:ind w:firstLine="48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所述，本次项目的实施不会改变全厂风险物质分布、风险事故情形及源强、风险防范措施等，通过加强管理，建立健全相应的防范应急措施，在设计、管理及运行中认真落实相应安全措施和安全对策，完善厂区主体工程</w:t>
            </w:r>
            <w:r>
              <w:rPr>
                <w:rFonts w:hint="default" w:ascii="Times New Roman" w:hAnsi="Times New Roman" w:eastAsia="宋体" w:cs="Times New Roman"/>
                <w:color w:val="000000" w:themeColor="text1"/>
                <w:kern w:val="0"/>
                <w14:textFill>
                  <w14:solidFill>
                    <w14:schemeClr w14:val="tx1"/>
                  </w14:solidFill>
                </w14:textFill>
              </w:rPr>
              <w:t>重新报批环评文件中有关风险防范措施和事故应急措施后，</w:t>
            </w:r>
            <w:r>
              <w:rPr>
                <w:rFonts w:hint="default" w:ascii="Times New Roman" w:hAnsi="Times New Roman" w:eastAsia="宋体" w:cs="Times New Roman"/>
                <w:color w:val="000000" w:themeColor="text1"/>
                <w14:textFill>
                  <w14:solidFill>
                    <w14:schemeClr w14:val="tx1"/>
                  </w14:solidFill>
                </w14:textFill>
              </w:rPr>
              <w:t>厂区风险事故隐患可降至最低，风险水平可以接受。</w:t>
            </w:r>
          </w:p>
          <w:p w14:paraId="00D83077">
            <w:pPr>
              <w:pStyle w:val="457"/>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4.2.</w:t>
            </w:r>
            <w:r>
              <w:rPr>
                <w:rFonts w:hint="eastAsia"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环保投资</w:t>
            </w:r>
          </w:p>
          <w:p w14:paraId="0721F714">
            <w:pPr>
              <w:pStyle w:val="493"/>
              <w:ind w:firstLine="480"/>
              <w:jc w:val="both"/>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为了确保本项目不对周围的环境造成不良的影响，必须按照“三同时”的有关规定，建设环境保护措施，本项目总投资2000万元，其中环保投资</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7万元，占总投资的</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5%。各环保设施组成及投资估算详见表4-</w:t>
            </w:r>
            <w:r>
              <w:rPr>
                <w:rFonts w:hint="eastAsia"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14:textFill>
                  <w14:solidFill>
                    <w14:schemeClr w14:val="tx1"/>
                  </w14:solidFill>
                </w14:textFill>
              </w:rPr>
              <w:t>所示。</w:t>
            </w:r>
          </w:p>
          <w:p w14:paraId="741C36CA">
            <w:pPr>
              <w:pStyle w:val="493"/>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14:textFill>
                  <w14:solidFill>
                    <w14:schemeClr w14:val="tx1"/>
                  </w14:solidFill>
                </w14:textFill>
              </w:rPr>
              <w:t xml:space="preserve">  环保投资（措施）估算一览表</w:t>
            </w:r>
          </w:p>
          <w:tbl>
            <w:tblPr>
              <w:tblStyle w:val="48"/>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712"/>
              <w:gridCol w:w="1373"/>
              <w:gridCol w:w="3728"/>
              <w:gridCol w:w="1070"/>
              <w:gridCol w:w="1044"/>
            </w:tblGrid>
            <w:tr w14:paraId="33C7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90" w:type="dxa"/>
                  <w:vAlign w:val="center"/>
                </w:tcPr>
                <w:p w14:paraId="53E31C6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内容</w:t>
                  </w:r>
                </w:p>
              </w:tc>
              <w:tc>
                <w:tcPr>
                  <w:tcW w:w="2085" w:type="dxa"/>
                  <w:gridSpan w:val="2"/>
                  <w:vAlign w:val="center"/>
                </w:tcPr>
                <w:p w14:paraId="48F124F5">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污染源</w:t>
                  </w:r>
                </w:p>
              </w:tc>
              <w:tc>
                <w:tcPr>
                  <w:tcW w:w="3728" w:type="dxa"/>
                  <w:vAlign w:val="center"/>
                </w:tcPr>
                <w:p w14:paraId="610EDB3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环保治理措施</w:t>
                  </w:r>
                </w:p>
              </w:tc>
              <w:tc>
                <w:tcPr>
                  <w:tcW w:w="1070" w:type="dxa"/>
                  <w:vAlign w:val="center"/>
                </w:tcPr>
                <w:p w14:paraId="3424F328">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投资</w:t>
                  </w:r>
                </w:p>
                <w:p w14:paraId="01804D1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（万元）</w:t>
                  </w:r>
                </w:p>
              </w:tc>
              <w:tc>
                <w:tcPr>
                  <w:tcW w:w="1044" w:type="dxa"/>
                  <w:vAlign w:val="center"/>
                </w:tcPr>
                <w:p w14:paraId="71B98CB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备注</w:t>
                  </w:r>
                </w:p>
              </w:tc>
            </w:tr>
            <w:tr w14:paraId="630C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690" w:type="dxa"/>
                  <w:vMerge w:val="restart"/>
                  <w:vAlign w:val="center"/>
                </w:tcPr>
                <w:p w14:paraId="1F9BDE2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废水</w:t>
                  </w:r>
                </w:p>
              </w:tc>
              <w:tc>
                <w:tcPr>
                  <w:tcW w:w="2085" w:type="dxa"/>
                  <w:gridSpan w:val="2"/>
                  <w:vAlign w:val="center"/>
                </w:tcPr>
                <w:p w14:paraId="2C3685F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洗管</w:t>
                  </w:r>
                  <w:r>
                    <w:rPr>
                      <w:rFonts w:hint="default" w:ascii="Times New Roman" w:hAnsi="Times New Roman" w:eastAsia="宋体" w:cs="Times New Roman"/>
                      <w:color w:val="000000" w:themeColor="text1"/>
                      <w:kern w:val="0"/>
                      <w:szCs w:val="21"/>
                      <w14:textFill>
                        <w14:solidFill>
                          <w14:schemeClr w14:val="tx1"/>
                        </w14:solidFill>
                      </w14:textFill>
                    </w:rPr>
                    <w:t>废水</w:t>
                  </w:r>
                </w:p>
              </w:tc>
              <w:tc>
                <w:tcPr>
                  <w:tcW w:w="3728" w:type="dxa"/>
                  <w:vAlign w:val="center"/>
                </w:tcPr>
                <w:p w14:paraId="546141E1">
                  <w:pPr>
                    <w:autoSpaceDE w:val="0"/>
                    <w:autoSpaceDN w:val="0"/>
                    <w:adjustRightInd w:val="0"/>
                    <w:snapToGrid w:val="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洗管废水排入回用水站处理后回用于厂区生产环节</w:t>
                  </w:r>
                </w:p>
              </w:tc>
              <w:tc>
                <w:tcPr>
                  <w:tcW w:w="1070" w:type="dxa"/>
                  <w:vAlign w:val="center"/>
                </w:tcPr>
                <w:p w14:paraId="495F2C61">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44" w:type="dxa"/>
                  <w:vAlign w:val="center"/>
                </w:tcPr>
                <w:p w14:paraId="12363A06">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依托</w:t>
                  </w:r>
                </w:p>
              </w:tc>
            </w:tr>
            <w:tr w14:paraId="41FA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90" w:type="dxa"/>
                  <w:vMerge w:val="continue"/>
                  <w:vAlign w:val="center"/>
                </w:tcPr>
                <w:p w14:paraId="78FBA3B8">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085" w:type="dxa"/>
                  <w:gridSpan w:val="2"/>
                  <w:vAlign w:val="center"/>
                </w:tcPr>
                <w:p w14:paraId="395763E2">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原料气冷凝废水</w:t>
                  </w:r>
                </w:p>
              </w:tc>
              <w:tc>
                <w:tcPr>
                  <w:tcW w:w="3728" w:type="dxa"/>
                  <w:vAlign w:val="center"/>
                </w:tcPr>
                <w:p w14:paraId="79A696A9">
                  <w:pPr>
                    <w:autoSpaceDE w:val="0"/>
                    <w:autoSpaceDN w:val="0"/>
                    <w:adjustRightInd w:val="0"/>
                    <w:snapToGrid w:val="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t>排入初期雨水池后抽至污水处理站处理</w:t>
                  </w:r>
                </w:p>
              </w:tc>
              <w:tc>
                <w:tcPr>
                  <w:tcW w:w="1070" w:type="dxa"/>
                  <w:vAlign w:val="center"/>
                </w:tcPr>
                <w:p w14:paraId="75F8DA20">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1044" w:type="dxa"/>
                  <w:vAlign w:val="center"/>
                </w:tcPr>
                <w:p w14:paraId="52B8BD50">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依托</w:t>
                  </w:r>
                </w:p>
              </w:tc>
            </w:tr>
            <w:tr w14:paraId="108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690" w:type="dxa"/>
                  <w:vMerge w:val="continue"/>
                  <w:vAlign w:val="center"/>
                </w:tcPr>
                <w:p w14:paraId="479C3C7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085" w:type="dxa"/>
                  <w:gridSpan w:val="2"/>
                  <w:vAlign w:val="center"/>
                </w:tcPr>
                <w:p w14:paraId="07EF3102">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生活污水</w:t>
                  </w:r>
                </w:p>
              </w:tc>
              <w:tc>
                <w:tcPr>
                  <w:tcW w:w="3728" w:type="dxa"/>
                  <w:vAlign w:val="center"/>
                </w:tcPr>
                <w:p w14:paraId="32B5811C">
                  <w:pPr>
                    <w:autoSpaceDE w:val="0"/>
                    <w:autoSpaceDN w:val="0"/>
                    <w:adjustRightInd w:val="0"/>
                    <w:snapToGrid w:val="0"/>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t>排入厂区污水处理站处理</w:t>
                  </w:r>
                </w:p>
              </w:tc>
              <w:tc>
                <w:tcPr>
                  <w:tcW w:w="1070" w:type="dxa"/>
                  <w:vAlign w:val="center"/>
                </w:tcPr>
                <w:p w14:paraId="3D89383A">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w:t>
                  </w:r>
                </w:p>
              </w:tc>
              <w:tc>
                <w:tcPr>
                  <w:tcW w:w="1044" w:type="dxa"/>
                  <w:vAlign w:val="center"/>
                </w:tcPr>
                <w:p w14:paraId="7DD99FCC">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依托</w:t>
                  </w:r>
                </w:p>
              </w:tc>
            </w:tr>
            <w:tr w14:paraId="2CA9A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vMerge w:val="restart"/>
                  <w:vAlign w:val="center"/>
                </w:tcPr>
                <w:p w14:paraId="3F9AB066">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2085" w:type="dxa"/>
                  <w:gridSpan w:val="2"/>
                  <w:vMerge w:val="restart"/>
                  <w:vAlign w:val="center"/>
                </w:tcPr>
                <w:p w14:paraId="31CE3C13">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脱轻塔分离</w:t>
                  </w: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3728" w:type="dxa"/>
                  <w:vAlign w:val="center"/>
                </w:tcPr>
                <w:p w14:paraId="23AAF574">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新建管道送入厂区</w:t>
                  </w:r>
                  <w:r>
                    <w:rPr>
                      <w:rFonts w:hint="eastAsia" w:cs="Times New Roman"/>
                      <w:color w:val="000000" w:themeColor="text1"/>
                      <w:kern w:val="0"/>
                      <w:szCs w:val="21"/>
                      <w:lang w:val="en-US" w:eastAsia="zh-CN"/>
                      <w14:textFill>
                        <w14:solidFill>
                          <w14:schemeClr w14:val="tx1"/>
                        </w14:solidFill>
                      </w14:textFill>
                    </w:rPr>
                    <w:t>加热炉（锅炉）</w:t>
                  </w:r>
                  <w:r>
                    <w:rPr>
                      <w:rFonts w:hint="default" w:ascii="Times New Roman" w:hAnsi="Times New Roman" w:eastAsia="宋体" w:cs="Times New Roman"/>
                      <w:color w:val="000000" w:themeColor="text1"/>
                      <w:kern w:val="0"/>
                      <w:szCs w:val="21"/>
                      <w14:textFill>
                        <w14:solidFill>
                          <w14:schemeClr w14:val="tx1"/>
                        </w14:solidFill>
                      </w14:textFill>
                    </w:rPr>
                    <w:t>燃烧，经1根</w:t>
                  </w:r>
                  <w:r>
                    <w:rPr>
                      <w:rFonts w:hint="eastAsia" w:cs="Times New Roman"/>
                      <w:color w:val="000000" w:themeColor="text1"/>
                      <w:kern w:val="0"/>
                      <w:szCs w:val="21"/>
                      <w:lang w:val="en-US" w:eastAsia="zh-CN"/>
                      <w14:textFill>
                        <w14:solidFill>
                          <w14:schemeClr w14:val="tx1"/>
                        </w14:solidFill>
                      </w14:textFill>
                    </w:rPr>
                    <w:t>60</w:t>
                  </w:r>
                  <w:r>
                    <w:rPr>
                      <w:rFonts w:hint="default" w:ascii="Times New Roman" w:hAnsi="Times New Roman" w:eastAsia="宋体" w:cs="Times New Roman"/>
                      <w:color w:val="000000" w:themeColor="text1"/>
                      <w:kern w:val="0"/>
                      <w:szCs w:val="21"/>
                      <w14:textFill>
                        <w14:solidFill>
                          <w14:schemeClr w14:val="tx1"/>
                        </w14:solidFill>
                      </w14:textFill>
                    </w:rPr>
                    <w:t>m排气筒排放</w:t>
                  </w:r>
                </w:p>
              </w:tc>
              <w:tc>
                <w:tcPr>
                  <w:tcW w:w="1070" w:type="dxa"/>
                  <w:vAlign w:val="center"/>
                </w:tcPr>
                <w:p w14:paraId="3D5C0F8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5</w:t>
                  </w:r>
                </w:p>
              </w:tc>
              <w:tc>
                <w:tcPr>
                  <w:tcW w:w="1044" w:type="dxa"/>
                  <w:vAlign w:val="center"/>
                </w:tcPr>
                <w:p w14:paraId="37ABDC1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依托</w:t>
                  </w:r>
                </w:p>
              </w:tc>
            </w:tr>
            <w:tr w14:paraId="4DE3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90" w:type="dxa"/>
                  <w:vMerge w:val="continue"/>
                  <w:vAlign w:val="center"/>
                </w:tcPr>
                <w:p w14:paraId="464A8B5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085" w:type="dxa"/>
                  <w:gridSpan w:val="2"/>
                  <w:vMerge w:val="continue"/>
                  <w:vAlign w:val="center"/>
                </w:tcPr>
                <w:p w14:paraId="7CCA9CEA">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728" w:type="dxa"/>
                  <w:vAlign w:val="center"/>
                </w:tcPr>
                <w:p w14:paraId="4B189E1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管线吹扫采用空气吹扫，</w:t>
                  </w:r>
                  <w:r>
                    <w:rPr>
                      <w:rFonts w:hint="eastAsia" w:cs="Times New Roman"/>
                      <w:color w:val="000000" w:themeColor="text1"/>
                      <w:kern w:val="0"/>
                      <w:szCs w:val="21"/>
                      <w:lang w:val="en-US" w:eastAsia="zh-CN"/>
                      <w14:textFill>
                        <w14:solidFill>
                          <w14:schemeClr w14:val="tx1"/>
                        </w14:solidFill>
                      </w14:textFill>
                    </w:rPr>
                    <w:t>少量含尘废气</w:t>
                  </w:r>
                  <w:r>
                    <w:rPr>
                      <w:rFonts w:hint="default" w:ascii="Times New Roman" w:hAnsi="Times New Roman" w:eastAsia="宋体" w:cs="Times New Roman"/>
                      <w:color w:val="000000" w:themeColor="text1"/>
                      <w:kern w:val="0"/>
                      <w:szCs w:val="21"/>
                      <w14:textFill>
                        <w14:solidFill>
                          <w14:schemeClr w14:val="tx1"/>
                        </w14:solidFill>
                      </w14:textFill>
                    </w:rPr>
                    <w:t>直接排放</w:t>
                  </w:r>
                </w:p>
              </w:tc>
              <w:tc>
                <w:tcPr>
                  <w:tcW w:w="1070" w:type="dxa"/>
                  <w:vAlign w:val="center"/>
                </w:tcPr>
                <w:p w14:paraId="5B93707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44" w:type="dxa"/>
                  <w:vAlign w:val="center"/>
                </w:tcPr>
                <w:p w14:paraId="4ACF082B">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r>
            <w:tr w14:paraId="2F98A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690" w:type="dxa"/>
                  <w:vAlign w:val="center"/>
                </w:tcPr>
                <w:p w14:paraId="11EB5F44">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噪声</w:t>
                  </w:r>
                </w:p>
              </w:tc>
              <w:tc>
                <w:tcPr>
                  <w:tcW w:w="2085" w:type="dxa"/>
                  <w:gridSpan w:val="2"/>
                  <w:vAlign w:val="center"/>
                </w:tcPr>
                <w:p w14:paraId="22F52F6B">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设备运行</w:t>
                  </w:r>
                </w:p>
              </w:tc>
              <w:tc>
                <w:tcPr>
                  <w:tcW w:w="3728" w:type="dxa"/>
                  <w:vAlign w:val="center"/>
                </w:tcPr>
                <w:p w14:paraId="5844340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选用低噪声设备、隔声、减振，加强设备维护等</w:t>
                  </w:r>
                </w:p>
              </w:tc>
              <w:tc>
                <w:tcPr>
                  <w:tcW w:w="1070" w:type="dxa"/>
                  <w:vAlign w:val="center"/>
                </w:tcPr>
                <w:p w14:paraId="1117CD55">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2</w:t>
                  </w:r>
                </w:p>
              </w:tc>
              <w:tc>
                <w:tcPr>
                  <w:tcW w:w="1044" w:type="dxa"/>
                  <w:vAlign w:val="center"/>
                </w:tcPr>
                <w:p w14:paraId="7474AB35">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新增</w:t>
                  </w:r>
                </w:p>
              </w:tc>
            </w:tr>
            <w:tr w14:paraId="1C3D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0" w:type="dxa"/>
                  <w:vMerge w:val="restart"/>
                  <w:vAlign w:val="center"/>
                </w:tcPr>
                <w:p w14:paraId="25D14B2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固废</w:t>
                  </w:r>
                </w:p>
              </w:tc>
              <w:tc>
                <w:tcPr>
                  <w:tcW w:w="712" w:type="dxa"/>
                  <w:vMerge w:val="restart"/>
                  <w:vAlign w:val="center"/>
                </w:tcPr>
                <w:p w14:paraId="7B753F81">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一般固废</w:t>
                  </w:r>
                </w:p>
              </w:tc>
              <w:tc>
                <w:tcPr>
                  <w:tcW w:w="1373" w:type="dxa"/>
                  <w:vAlign w:val="center"/>
                </w:tcPr>
                <w:p w14:paraId="121A20D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管线空气吹扫灰尘沉渣</w:t>
                  </w:r>
                </w:p>
              </w:tc>
              <w:tc>
                <w:tcPr>
                  <w:tcW w:w="3728" w:type="dxa"/>
                  <w:vAlign w:val="center"/>
                </w:tcPr>
                <w:p w14:paraId="0513272F">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金属渣，与全厂吹扫渣外售物资回收部门</w:t>
                  </w:r>
                </w:p>
              </w:tc>
              <w:tc>
                <w:tcPr>
                  <w:tcW w:w="1070" w:type="dxa"/>
                  <w:vAlign w:val="center"/>
                </w:tcPr>
                <w:p w14:paraId="19D13AA5">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44" w:type="dxa"/>
                  <w:vAlign w:val="center"/>
                </w:tcPr>
                <w:p w14:paraId="1A539AB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新增</w:t>
                  </w:r>
                </w:p>
              </w:tc>
            </w:tr>
            <w:tr w14:paraId="7BA6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690" w:type="dxa"/>
                  <w:vMerge w:val="continue"/>
                  <w:vAlign w:val="center"/>
                </w:tcPr>
                <w:p w14:paraId="323570B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712" w:type="dxa"/>
                  <w:vMerge w:val="continue"/>
                  <w:vAlign w:val="center"/>
                </w:tcPr>
                <w:p w14:paraId="621976A9">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373" w:type="dxa"/>
                  <w:vAlign w:val="center"/>
                </w:tcPr>
                <w:p w14:paraId="6F6B667F">
                  <w:pPr>
                    <w:autoSpaceDE w:val="0"/>
                    <w:autoSpaceDN w:val="0"/>
                    <w:adjustRightInd w:val="0"/>
                    <w:snapToGrid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工作人员</w:t>
                  </w:r>
                </w:p>
              </w:tc>
              <w:tc>
                <w:tcPr>
                  <w:tcW w:w="3728" w:type="dxa"/>
                  <w:vAlign w:val="center"/>
                </w:tcPr>
                <w:p w14:paraId="24170415">
                  <w:pPr>
                    <w:autoSpaceDE w:val="0"/>
                    <w:autoSpaceDN w:val="0"/>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生活垃圾交由环卫部门处理</w:t>
                  </w:r>
                </w:p>
              </w:tc>
              <w:tc>
                <w:tcPr>
                  <w:tcW w:w="1070" w:type="dxa"/>
                  <w:vAlign w:val="center"/>
                </w:tcPr>
                <w:p w14:paraId="69E4EFDB">
                  <w:pPr>
                    <w:autoSpaceDE w:val="0"/>
                    <w:autoSpaceDN w:val="0"/>
                    <w:adjustRightInd w:val="0"/>
                    <w:snapToGrid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1044" w:type="dxa"/>
                  <w:vAlign w:val="center"/>
                </w:tcPr>
                <w:p w14:paraId="34F42FAF">
                  <w:pPr>
                    <w:autoSpaceDE w:val="0"/>
                    <w:autoSpaceDN w:val="0"/>
                    <w:adjustRightInd w:val="0"/>
                    <w:snapToGrid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依托</w:t>
                  </w:r>
                </w:p>
              </w:tc>
            </w:tr>
            <w:tr w14:paraId="7AF4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90" w:type="dxa"/>
                  <w:vMerge w:val="continue"/>
                  <w:vAlign w:val="center"/>
                </w:tcPr>
                <w:p w14:paraId="3CEAC98A">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712" w:type="dxa"/>
                  <w:vAlign w:val="center"/>
                </w:tcPr>
                <w:p w14:paraId="36DEC3CE">
                  <w:pPr>
                    <w:autoSpaceDE w:val="0"/>
                    <w:autoSpaceDN w:val="0"/>
                    <w:adjustRightInd w:val="0"/>
                    <w:snapToGrid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危险废物</w:t>
                  </w:r>
                </w:p>
              </w:tc>
              <w:tc>
                <w:tcPr>
                  <w:tcW w:w="1373" w:type="dxa"/>
                  <w:vAlign w:val="center"/>
                </w:tcPr>
                <w:p w14:paraId="2D660A99">
                  <w:pPr>
                    <w:autoSpaceDE w:val="0"/>
                    <w:autoSpaceDN w:val="0"/>
                    <w:adjustRightInd w:val="0"/>
                    <w:snapToGrid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设备检修</w:t>
                  </w:r>
                </w:p>
              </w:tc>
              <w:tc>
                <w:tcPr>
                  <w:tcW w:w="3728" w:type="dxa"/>
                  <w:vAlign w:val="center"/>
                </w:tcPr>
                <w:p w14:paraId="6083CAB3">
                  <w:pPr>
                    <w:autoSpaceDE w:val="0"/>
                    <w:autoSpaceDN w:val="0"/>
                    <w:adjustRightInd w:val="0"/>
                    <w:snapToGrid w:val="0"/>
                    <w:jc w:val="center"/>
                    <w:rPr>
                      <w:rFonts w:hint="eastAsia"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少量废机油、废含油抹布依托厂区已建危废暂存间暂存，交由有危废处理资质单位处理</w:t>
                  </w:r>
                </w:p>
              </w:tc>
              <w:tc>
                <w:tcPr>
                  <w:tcW w:w="1070" w:type="dxa"/>
                  <w:vAlign w:val="center"/>
                </w:tcPr>
                <w:p w14:paraId="1FC97A36">
                  <w:pPr>
                    <w:autoSpaceDE w:val="0"/>
                    <w:autoSpaceDN w:val="0"/>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1044" w:type="dxa"/>
                  <w:vAlign w:val="center"/>
                </w:tcPr>
                <w:p w14:paraId="342339D1">
                  <w:pPr>
                    <w:autoSpaceDE w:val="0"/>
                    <w:autoSpaceDN w:val="0"/>
                    <w:adjustRightInd w:val="0"/>
                    <w:snapToGrid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依托</w:t>
                  </w:r>
                </w:p>
              </w:tc>
            </w:tr>
            <w:tr w14:paraId="1F44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2775" w:type="dxa"/>
                  <w:gridSpan w:val="3"/>
                  <w:vAlign w:val="center"/>
                </w:tcPr>
                <w:p w14:paraId="4E6D8CEA">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地下水、土壤</w:t>
                  </w:r>
                </w:p>
              </w:tc>
              <w:tc>
                <w:tcPr>
                  <w:tcW w:w="3728" w:type="dxa"/>
                  <w:vAlign w:val="center"/>
                </w:tcPr>
                <w:p w14:paraId="004FB4BA">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依托现有</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生产装置区重点防渗措施（土工膜（厚度2mm）+抗渗混凝土（厚度150mm），抗渗等级不小于P8，土工膜选用HDPE膜，总防渗系数≤1.0×10</w:t>
                  </w:r>
                  <w:r>
                    <w:rPr>
                      <w:rFonts w:hint="eastAsia" w:ascii="Times New Roman" w:hAnsi="Times New Roman" w:cs="Times New Roman"/>
                      <w:color w:val="000000" w:themeColor="text1"/>
                      <w:kern w:val="2"/>
                      <w:sz w:val="21"/>
                      <w:szCs w:val="21"/>
                      <w:vertAlign w:val="superscript"/>
                      <w:lang w:val="en-US" w:eastAsia="zh-CN"/>
                      <w14:textFill>
                        <w14:solidFill>
                          <w14:schemeClr w14:val="tx1"/>
                        </w14:solidFill>
                      </w14:textFill>
                    </w:rPr>
                    <w:t>-10</w:t>
                  </w:r>
                  <w:r>
                    <w:rPr>
                      <w:rFonts w:hint="eastAsia" w:ascii="Times New Roman" w:hAnsi="Times New Roman" w:cs="Times New Roman"/>
                      <w:color w:val="000000" w:themeColor="text1"/>
                      <w:kern w:val="2"/>
                      <w:sz w:val="21"/>
                      <w:szCs w:val="21"/>
                      <w:lang w:val="en-US" w:eastAsia="zh-CN"/>
                      <w14:textFill>
                        <w14:solidFill>
                          <w14:schemeClr w14:val="tx1"/>
                        </w14:solidFill>
                      </w14:textFill>
                    </w:rPr>
                    <w:t>cm/s）</w:t>
                  </w:r>
                </w:p>
              </w:tc>
              <w:tc>
                <w:tcPr>
                  <w:tcW w:w="1070" w:type="dxa"/>
                  <w:vAlign w:val="center"/>
                </w:tcPr>
                <w:p w14:paraId="4AA129E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44" w:type="dxa"/>
                  <w:vAlign w:val="center"/>
                </w:tcPr>
                <w:p w14:paraId="09D8EF71">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依托</w:t>
                  </w:r>
                </w:p>
              </w:tc>
            </w:tr>
            <w:tr w14:paraId="0792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775" w:type="dxa"/>
                  <w:gridSpan w:val="3"/>
                  <w:vMerge w:val="restart"/>
                  <w:vAlign w:val="center"/>
                </w:tcPr>
                <w:p w14:paraId="48A5CABD">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环境风险</w:t>
                  </w:r>
                </w:p>
              </w:tc>
              <w:tc>
                <w:tcPr>
                  <w:tcW w:w="3728" w:type="dxa"/>
                  <w:vAlign w:val="center"/>
                </w:tcPr>
                <w:p w14:paraId="73D15E8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落实相关环境风险防范措施，编制突发环境事件应急预案</w:t>
                  </w:r>
                </w:p>
              </w:tc>
              <w:tc>
                <w:tcPr>
                  <w:tcW w:w="1070" w:type="dxa"/>
                  <w:vAlign w:val="center"/>
                </w:tcPr>
                <w:p w14:paraId="6372406F">
                  <w:pPr>
                    <w:autoSpaceDE w:val="0"/>
                    <w:autoSpaceDN w:val="0"/>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1044" w:type="dxa"/>
                  <w:vAlign w:val="center"/>
                </w:tcPr>
                <w:p w14:paraId="52721733">
                  <w:pPr>
                    <w:autoSpaceDE w:val="0"/>
                    <w:autoSpaceDN w:val="0"/>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依托</w:t>
                  </w:r>
                </w:p>
              </w:tc>
            </w:tr>
            <w:tr w14:paraId="1C88A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775" w:type="dxa"/>
                  <w:gridSpan w:val="3"/>
                  <w:vMerge w:val="continue"/>
                  <w:vAlign w:val="center"/>
                </w:tcPr>
                <w:p w14:paraId="4F9E4A3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3728" w:type="dxa"/>
                  <w:vAlign w:val="center"/>
                </w:tcPr>
                <w:p w14:paraId="62C07DC5">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液氨罐区（冷机）处建设不低于1.5m高围堰，围堰容积大于最大储存量，同时设置液氨应急排放口和氨气泄漏检测系统</w:t>
                  </w:r>
                </w:p>
              </w:tc>
              <w:tc>
                <w:tcPr>
                  <w:tcW w:w="1070" w:type="dxa"/>
                  <w:vAlign w:val="center"/>
                </w:tcPr>
                <w:p w14:paraId="361552E7">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27</w:t>
                  </w:r>
                </w:p>
              </w:tc>
              <w:tc>
                <w:tcPr>
                  <w:tcW w:w="1044" w:type="dxa"/>
                  <w:vAlign w:val="center"/>
                </w:tcPr>
                <w:p w14:paraId="0A1FF065">
                  <w:pPr>
                    <w:autoSpaceDE w:val="0"/>
                    <w:autoSpaceDN w:val="0"/>
                    <w:adjustRightInd w:val="0"/>
                    <w:snapToGrid w:val="0"/>
                    <w:jc w:val="center"/>
                    <w:rPr>
                      <w:rFonts w:hint="eastAsia"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新增</w:t>
                  </w:r>
                </w:p>
              </w:tc>
            </w:tr>
            <w:tr w14:paraId="16F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775" w:type="dxa"/>
                  <w:gridSpan w:val="3"/>
                  <w:vAlign w:val="center"/>
                </w:tcPr>
                <w:p w14:paraId="688E21E7">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合计</w:t>
                  </w:r>
                </w:p>
              </w:tc>
              <w:tc>
                <w:tcPr>
                  <w:tcW w:w="3728" w:type="dxa"/>
                  <w:vAlign w:val="center"/>
                </w:tcPr>
                <w:p w14:paraId="4B467E7C">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070" w:type="dxa"/>
                  <w:vAlign w:val="center"/>
                </w:tcPr>
                <w:p w14:paraId="32AA315A">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27</w:t>
                  </w:r>
                </w:p>
              </w:tc>
              <w:tc>
                <w:tcPr>
                  <w:tcW w:w="1044" w:type="dxa"/>
                  <w:vAlign w:val="center"/>
                </w:tcPr>
                <w:p w14:paraId="1695BFD0">
                  <w:pPr>
                    <w:autoSpaceDE w:val="0"/>
                    <w:autoSpaceDN w:val="0"/>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w:t>
                  </w:r>
                </w:p>
              </w:tc>
            </w:tr>
          </w:tbl>
          <w:p w14:paraId="2E7115A5">
            <w:pPr>
              <w:rPr>
                <w:rFonts w:hint="default" w:ascii="Times New Roman" w:hAnsi="Times New Roman" w:eastAsia="宋体" w:cs="Times New Roman"/>
                <w:color w:val="000000" w:themeColor="text1"/>
                <w14:textFill>
                  <w14:solidFill>
                    <w14:schemeClr w14:val="tx1"/>
                  </w14:solidFill>
                </w14:textFill>
              </w:rPr>
            </w:pPr>
          </w:p>
        </w:tc>
      </w:tr>
    </w:tbl>
    <w:p w14:paraId="5D4EBD8C">
      <w:pPr>
        <w:rPr>
          <w:rFonts w:hint="default" w:ascii="Times New Roman" w:hAnsi="Times New Roman" w:eastAsia="宋体" w:cs="Times New Roman"/>
          <w:color w:val="000000" w:themeColor="text1"/>
          <w14:textFill>
            <w14:solidFill>
              <w14:schemeClr w14:val="tx1"/>
            </w14:solidFill>
          </w14:textFill>
        </w:rPr>
      </w:pPr>
    </w:p>
    <w:p w14:paraId="3002452C">
      <w:pPr>
        <w:rPr>
          <w:rFonts w:hint="default" w:ascii="Times New Roman" w:hAnsi="Times New Roman" w:eastAsia="宋体" w:cs="Times New Roman"/>
          <w:color w:val="000000" w:themeColor="text1"/>
          <w14:textFill>
            <w14:solidFill>
              <w14:schemeClr w14:val="tx1"/>
            </w14:solidFill>
          </w14:textFill>
        </w:rPr>
      </w:pPr>
    </w:p>
    <w:p w14:paraId="57DA80DF">
      <w:pPr>
        <w:rPr>
          <w:rFonts w:hint="default" w:ascii="Times New Roman" w:hAnsi="Times New Roman" w:eastAsia="宋体" w:cs="Times New Roman"/>
          <w:color w:val="000000" w:themeColor="text1"/>
          <w14:textFill>
            <w14:solidFill>
              <w14:schemeClr w14:val="tx1"/>
            </w14:solidFill>
          </w14:textFill>
        </w:rPr>
      </w:pPr>
    </w:p>
    <w:p w14:paraId="40AC4538">
      <w:pPr>
        <w:rPr>
          <w:rFonts w:hint="default" w:ascii="Times New Roman" w:hAnsi="Times New Roman" w:eastAsia="宋体" w:cs="Times New Roman"/>
          <w:color w:val="000000" w:themeColor="text1"/>
          <w14:textFill>
            <w14:solidFill>
              <w14:schemeClr w14:val="tx1"/>
            </w14:solidFill>
          </w14:textFill>
        </w:rPr>
      </w:pPr>
    </w:p>
    <w:p w14:paraId="66AE463B">
      <w:pPr>
        <w:rPr>
          <w:rFonts w:hint="default" w:ascii="Times New Roman" w:hAnsi="Times New Roman" w:eastAsia="宋体" w:cs="Times New Roman"/>
          <w:color w:val="000000" w:themeColor="text1"/>
          <w14:textFill>
            <w14:solidFill>
              <w14:schemeClr w14:val="tx1"/>
            </w14:solidFill>
          </w14:textFill>
        </w:rPr>
      </w:pPr>
    </w:p>
    <w:p w14:paraId="029D51D6">
      <w:pPr>
        <w:rPr>
          <w:rFonts w:hint="default" w:ascii="Times New Roman" w:hAnsi="Times New Roman" w:eastAsia="宋体" w:cs="Times New Roman"/>
          <w:color w:val="000000" w:themeColor="text1"/>
          <w14:textFill>
            <w14:solidFill>
              <w14:schemeClr w14:val="tx1"/>
            </w14:solidFill>
          </w14:textFill>
        </w:rPr>
      </w:pPr>
    </w:p>
    <w:p w14:paraId="082BA245">
      <w:pPr>
        <w:rPr>
          <w:rFonts w:hint="default" w:ascii="Times New Roman" w:hAnsi="Times New Roman" w:eastAsia="宋体" w:cs="Times New Roman"/>
          <w:color w:val="000000" w:themeColor="text1"/>
          <w14:textFill>
            <w14:solidFill>
              <w14:schemeClr w14:val="tx1"/>
            </w14:solidFill>
          </w14:textFill>
        </w:rPr>
      </w:pPr>
    </w:p>
    <w:p w14:paraId="7F8196DE">
      <w:pPr>
        <w:rPr>
          <w:rFonts w:hint="default" w:ascii="Times New Roman" w:hAnsi="Times New Roman" w:eastAsia="宋体" w:cs="Times New Roman"/>
          <w:color w:val="000000" w:themeColor="text1"/>
          <w14:textFill>
            <w14:solidFill>
              <w14:schemeClr w14:val="tx1"/>
            </w14:solidFill>
          </w14:textFill>
        </w:rPr>
      </w:pPr>
    </w:p>
    <w:p w14:paraId="6136C4E9">
      <w:pPr>
        <w:rPr>
          <w:rFonts w:hint="default" w:ascii="Times New Roman" w:hAnsi="Times New Roman" w:eastAsia="宋体" w:cs="Times New Roman"/>
          <w:color w:val="000000" w:themeColor="text1"/>
          <w14:textFill>
            <w14:solidFill>
              <w14:schemeClr w14:val="tx1"/>
            </w14:solidFill>
          </w14:textFill>
        </w:rPr>
      </w:pPr>
    </w:p>
    <w:p w14:paraId="01D931BA">
      <w:pPr>
        <w:rPr>
          <w:rFonts w:hint="default" w:ascii="Times New Roman" w:hAnsi="Times New Roman" w:eastAsia="宋体" w:cs="Times New Roman"/>
          <w:color w:val="000000" w:themeColor="text1"/>
          <w14:textFill>
            <w14:solidFill>
              <w14:schemeClr w14:val="tx1"/>
            </w14:solidFill>
          </w14:textFill>
        </w:rPr>
      </w:pPr>
    </w:p>
    <w:p w14:paraId="3A1EC904">
      <w:pPr>
        <w:rPr>
          <w:rFonts w:hint="default" w:ascii="Times New Roman" w:hAnsi="Times New Roman" w:eastAsia="宋体" w:cs="Times New Roman"/>
          <w:color w:val="000000" w:themeColor="text1"/>
          <w14:textFill>
            <w14:solidFill>
              <w14:schemeClr w14:val="tx1"/>
            </w14:solidFill>
          </w14:textFill>
        </w:rPr>
      </w:pPr>
    </w:p>
    <w:p w14:paraId="2D0D8402">
      <w:pPr>
        <w:rPr>
          <w:rFonts w:hint="default" w:ascii="Times New Roman" w:hAnsi="Times New Roman" w:eastAsia="宋体" w:cs="Times New Roman"/>
          <w:color w:val="000000" w:themeColor="text1"/>
          <w14:textFill>
            <w14:solidFill>
              <w14:schemeClr w14:val="tx1"/>
            </w14:solidFill>
          </w14:textFill>
        </w:rPr>
      </w:pPr>
    </w:p>
    <w:p w14:paraId="52C9809B">
      <w:pPr>
        <w:rPr>
          <w:rFonts w:hint="default" w:ascii="Times New Roman" w:hAnsi="Times New Roman" w:eastAsia="宋体" w:cs="Times New Roman"/>
          <w:color w:val="000000" w:themeColor="text1"/>
          <w14:textFill>
            <w14:solidFill>
              <w14:schemeClr w14:val="tx1"/>
            </w14:solidFill>
          </w14:textFill>
        </w:rPr>
      </w:pPr>
    </w:p>
    <w:p w14:paraId="297D36F7">
      <w:pPr>
        <w:pStyle w:val="2"/>
        <w:numPr>
          <w:ilvl w:val="0"/>
          <w:numId w:val="0"/>
        </w:numPr>
        <w:spacing w:line="260" w:lineRule="auto"/>
        <w:rPr>
          <w:rFonts w:hint="default" w:ascii="Times New Roman" w:hAnsi="Times New Roman" w:eastAsia="宋体" w:cs="Times New Roman"/>
          <w:color w:val="000000" w:themeColor="text1"/>
          <w14:textFill>
            <w14:solidFill>
              <w14:schemeClr w14:val="tx1"/>
            </w14:solidFill>
          </w14:textFill>
        </w:rPr>
      </w:pPr>
      <w:bookmarkStart w:id="15" w:name="_Toc1530"/>
      <w:r>
        <w:rPr>
          <w:rFonts w:hint="default" w:ascii="Times New Roman" w:hAnsi="Times New Roman" w:eastAsia="宋体" w:cs="Times New Roman"/>
          <w:color w:val="000000" w:themeColor="text1"/>
          <w14:textFill>
            <w14:solidFill>
              <w14:schemeClr w14:val="tx1"/>
            </w14:solidFill>
          </w14:textFill>
        </w:rPr>
        <w:t>五、</w:t>
      </w:r>
      <w:bookmarkStart w:id="16" w:name="_Hlk54167917"/>
      <w:r>
        <w:rPr>
          <w:rFonts w:hint="default" w:ascii="Times New Roman" w:hAnsi="Times New Roman" w:eastAsia="宋体" w:cs="Times New Roman"/>
          <w:color w:val="000000" w:themeColor="text1"/>
          <w14:textFill>
            <w14:solidFill>
              <w14:schemeClr w14:val="tx1"/>
            </w14:solidFill>
          </w14:textFill>
        </w:rPr>
        <w:t>环境保护措施监督检查清单</w:t>
      </w:r>
      <w:bookmarkEnd w:id="15"/>
      <w:bookmarkEnd w:id="16"/>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690"/>
        <w:gridCol w:w="1419"/>
        <w:gridCol w:w="2113"/>
        <w:gridCol w:w="2450"/>
      </w:tblGrid>
      <w:tr w14:paraId="22069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8" w:type="dxa"/>
            <w:tcBorders>
              <w:top w:val="single" w:color="auto" w:sz="8" w:space="0"/>
              <w:left w:val="single" w:color="auto" w:sz="8" w:space="0"/>
              <w:bottom w:val="single" w:color="auto" w:sz="4" w:space="0"/>
              <w:right w:val="single" w:color="auto" w:sz="4" w:space="0"/>
            </w:tcBorders>
            <w:vAlign w:val="center"/>
          </w:tcPr>
          <w:p w14:paraId="5D1A010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内容要素</w:t>
            </w:r>
          </w:p>
        </w:tc>
        <w:tc>
          <w:tcPr>
            <w:tcW w:w="1690" w:type="dxa"/>
            <w:tcBorders>
              <w:top w:val="single" w:color="auto" w:sz="8" w:space="0"/>
              <w:left w:val="single" w:color="auto" w:sz="4" w:space="0"/>
              <w:bottom w:val="single" w:color="auto" w:sz="4" w:space="0"/>
              <w:right w:val="single" w:color="auto" w:sz="4" w:space="0"/>
            </w:tcBorders>
            <w:vAlign w:val="center"/>
          </w:tcPr>
          <w:p w14:paraId="2DF8341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排放口(编号、名称)/污染源</w:t>
            </w:r>
          </w:p>
        </w:tc>
        <w:tc>
          <w:tcPr>
            <w:tcW w:w="1419" w:type="dxa"/>
            <w:tcBorders>
              <w:top w:val="single" w:color="auto" w:sz="8" w:space="0"/>
              <w:left w:val="single" w:color="auto" w:sz="4" w:space="0"/>
              <w:bottom w:val="single" w:color="auto" w:sz="4" w:space="0"/>
              <w:right w:val="single" w:color="auto" w:sz="4" w:space="0"/>
            </w:tcBorders>
            <w:vAlign w:val="center"/>
          </w:tcPr>
          <w:p w14:paraId="0B4DC4F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污染物项目</w:t>
            </w:r>
          </w:p>
        </w:tc>
        <w:tc>
          <w:tcPr>
            <w:tcW w:w="2113" w:type="dxa"/>
            <w:tcBorders>
              <w:top w:val="single" w:color="auto" w:sz="8" w:space="0"/>
              <w:left w:val="single" w:color="auto" w:sz="4" w:space="0"/>
              <w:bottom w:val="single" w:color="auto" w:sz="4" w:space="0"/>
              <w:right w:val="single" w:color="auto" w:sz="4" w:space="0"/>
            </w:tcBorders>
            <w:vAlign w:val="center"/>
          </w:tcPr>
          <w:p w14:paraId="1959E041">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环境保护措施</w:t>
            </w:r>
          </w:p>
        </w:tc>
        <w:tc>
          <w:tcPr>
            <w:tcW w:w="2450" w:type="dxa"/>
            <w:tcBorders>
              <w:top w:val="single" w:color="auto" w:sz="8" w:space="0"/>
              <w:left w:val="single" w:color="auto" w:sz="4" w:space="0"/>
              <w:bottom w:val="single" w:color="auto" w:sz="4" w:space="0"/>
              <w:right w:val="single" w:color="auto" w:sz="8" w:space="0"/>
            </w:tcBorders>
            <w:vAlign w:val="center"/>
          </w:tcPr>
          <w:p w14:paraId="273577F8">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执行标准</w:t>
            </w:r>
          </w:p>
        </w:tc>
      </w:tr>
      <w:tr w14:paraId="57D46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88" w:type="dxa"/>
            <w:vMerge w:val="restart"/>
            <w:tcBorders>
              <w:top w:val="single" w:color="auto" w:sz="4" w:space="0"/>
              <w:left w:val="single" w:color="auto" w:sz="8" w:space="0"/>
              <w:right w:val="single" w:color="auto" w:sz="4" w:space="0"/>
            </w:tcBorders>
            <w:vAlign w:val="center"/>
          </w:tcPr>
          <w:p w14:paraId="2152545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地表水环境</w:t>
            </w:r>
          </w:p>
        </w:tc>
        <w:tc>
          <w:tcPr>
            <w:tcW w:w="1690" w:type="dxa"/>
            <w:vMerge w:val="restart"/>
            <w:tcBorders>
              <w:top w:val="single" w:color="auto" w:sz="4" w:space="0"/>
              <w:left w:val="single" w:color="auto" w:sz="4" w:space="0"/>
              <w:right w:val="single" w:color="auto" w:sz="4" w:space="0"/>
            </w:tcBorders>
            <w:vAlign w:val="center"/>
          </w:tcPr>
          <w:p w14:paraId="4D6A8990">
            <w:pPr>
              <w:autoSpaceDE w:val="0"/>
              <w:autoSpaceDN w:val="0"/>
              <w:adjustRightInd w:val="0"/>
              <w:snapToGrid w:val="0"/>
              <w:jc w:val="center"/>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生产废水</w:t>
            </w:r>
          </w:p>
        </w:tc>
        <w:tc>
          <w:tcPr>
            <w:tcW w:w="1419" w:type="dxa"/>
            <w:tcBorders>
              <w:top w:val="single" w:color="auto" w:sz="4" w:space="0"/>
              <w:left w:val="single" w:color="auto" w:sz="4" w:space="0"/>
              <w:right w:val="single" w:color="auto" w:sz="4" w:space="0"/>
            </w:tcBorders>
            <w:vAlign w:val="center"/>
          </w:tcPr>
          <w:p w14:paraId="6A9BDCEA">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SS</w:t>
            </w:r>
          </w:p>
        </w:tc>
        <w:tc>
          <w:tcPr>
            <w:tcW w:w="2113" w:type="dxa"/>
            <w:tcBorders>
              <w:top w:val="single" w:color="auto" w:sz="4" w:space="0"/>
              <w:left w:val="single" w:color="auto" w:sz="4" w:space="0"/>
              <w:right w:val="single" w:color="auto" w:sz="4" w:space="0"/>
            </w:tcBorders>
            <w:vAlign w:val="center"/>
          </w:tcPr>
          <w:p w14:paraId="0F4EA3D9">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洗管废水</w:t>
            </w:r>
            <w:r>
              <w:rPr>
                <w:rFonts w:hint="eastAsia" w:cs="Times New Roman"/>
                <w:color w:val="000000" w:themeColor="text1"/>
                <w:szCs w:val="21"/>
                <w:lang w:val="en-US" w:eastAsia="zh-CN"/>
                <w14:textFill>
                  <w14:solidFill>
                    <w14:schemeClr w14:val="tx1"/>
                  </w14:solidFill>
                </w14:textFill>
              </w:rPr>
              <w:t>依托现有</w:t>
            </w:r>
            <w:r>
              <w:rPr>
                <w:rFonts w:hint="default" w:ascii="Times New Roman" w:hAnsi="Times New Roman" w:eastAsia="宋体" w:cs="Times New Roman"/>
                <w:color w:val="000000" w:themeColor="text1"/>
                <w:szCs w:val="21"/>
                <w14:textFill>
                  <w14:solidFill>
                    <w14:schemeClr w14:val="tx1"/>
                  </w14:solidFill>
                </w14:textFill>
              </w:rPr>
              <w:t>回用水站处理后回用于厂区生产环节</w:t>
            </w:r>
          </w:p>
        </w:tc>
        <w:tc>
          <w:tcPr>
            <w:tcW w:w="2450" w:type="dxa"/>
            <w:tcBorders>
              <w:top w:val="single" w:color="auto" w:sz="4" w:space="0"/>
              <w:left w:val="single" w:color="auto" w:sz="4" w:space="0"/>
              <w:right w:val="single" w:color="auto" w:sz="8" w:space="0"/>
            </w:tcBorders>
            <w:vAlign w:val="center"/>
          </w:tcPr>
          <w:p w14:paraId="3FAFB169">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w:t>
            </w:r>
          </w:p>
        </w:tc>
      </w:tr>
      <w:tr w14:paraId="5439A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388" w:type="dxa"/>
            <w:vMerge w:val="continue"/>
            <w:tcBorders>
              <w:left w:val="single" w:color="auto" w:sz="8" w:space="0"/>
              <w:right w:val="single" w:color="auto" w:sz="4" w:space="0"/>
            </w:tcBorders>
            <w:vAlign w:val="center"/>
          </w:tcPr>
          <w:p w14:paraId="358B92AF">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p>
        </w:tc>
        <w:tc>
          <w:tcPr>
            <w:tcW w:w="1690" w:type="dxa"/>
            <w:vMerge w:val="continue"/>
            <w:tcBorders>
              <w:left w:val="single" w:color="auto" w:sz="4" w:space="0"/>
              <w:bottom w:val="single" w:color="auto" w:sz="4" w:space="0"/>
              <w:right w:val="single" w:color="auto" w:sz="4" w:space="0"/>
            </w:tcBorders>
            <w:vAlign w:val="center"/>
          </w:tcPr>
          <w:p w14:paraId="172EFB1F">
            <w:pPr>
              <w:autoSpaceDE w:val="0"/>
              <w:autoSpaceDN w:val="0"/>
              <w:adjustRightInd w:val="0"/>
              <w:snapToGrid w:val="0"/>
              <w:jc w:val="center"/>
              <w:rPr>
                <w:rFonts w:hint="default" w:ascii="Times New Roman" w:hAnsi="Times New Roman" w:eastAsia="宋体" w:cs="Times New Roman"/>
                <w:color w:val="000000" w:themeColor="text1"/>
                <w:kern w:val="0"/>
                <w:szCs w:val="21"/>
                <w:lang w:bidi="ar"/>
                <w14:textFill>
                  <w14:solidFill>
                    <w14:schemeClr w14:val="tx1"/>
                  </w14:solidFill>
                </w14:textFill>
              </w:rPr>
            </w:pPr>
          </w:p>
        </w:tc>
        <w:tc>
          <w:tcPr>
            <w:tcW w:w="1419" w:type="dxa"/>
            <w:tcBorders>
              <w:top w:val="single" w:color="auto" w:sz="4" w:space="0"/>
              <w:left w:val="single" w:color="auto" w:sz="4" w:space="0"/>
              <w:right w:val="single" w:color="auto" w:sz="4" w:space="0"/>
            </w:tcBorders>
            <w:vAlign w:val="center"/>
          </w:tcPr>
          <w:p w14:paraId="34BB25D4">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原料气冷凝废水</w:t>
            </w:r>
          </w:p>
        </w:tc>
        <w:tc>
          <w:tcPr>
            <w:tcW w:w="2113" w:type="dxa"/>
            <w:tcBorders>
              <w:top w:val="single" w:color="auto" w:sz="4" w:space="0"/>
              <w:left w:val="single" w:color="auto" w:sz="4" w:space="0"/>
              <w:right w:val="single" w:color="auto" w:sz="4" w:space="0"/>
            </w:tcBorders>
            <w:vAlign w:val="center"/>
          </w:tcPr>
          <w:p w14:paraId="545254FD">
            <w:pPr>
              <w:autoSpaceDE w:val="0"/>
              <w:autoSpaceDN w:val="0"/>
              <w:adjustRightInd w:val="0"/>
              <w:snapToGrid w:val="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通过冷凝水管线排入集水坑，经地下管线进入已建初期雨水池，抽至现有污水处理站进行处理</w:t>
            </w:r>
          </w:p>
        </w:tc>
        <w:tc>
          <w:tcPr>
            <w:tcW w:w="2450" w:type="dxa"/>
            <w:vMerge w:val="restart"/>
            <w:tcBorders>
              <w:top w:val="single" w:color="auto" w:sz="4" w:space="0"/>
              <w:left w:val="single" w:color="auto" w:sz="4" w:space="0"/>
              <w:right w:val="single" w:color="auto" w:sz="8" w:space="0"/>
            </w:tcBorders>
            <w:vAlign w:val="center"/>
          </w:tcPr>
          <w:p w14:paraId="737E106C">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《石油化学工业污染物排放标准》（GB31571-2015）标准和《污水综合排放标准》（GB8978-1996）三级标准和园区污水接管标准</w:t>
            </w:r>
          </w:p>
        </w:tc>
      </w:tr>
      <w:tr w14:paraId="711ED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388" w:type="dxa"/>
            <w:vMerge w:val="continue"/>
            <w:tcBorders>
              <w:left w:val="single" w:color="auto" w:sz="8" w:space="0"/>
              <w:right w:val="single" w:color="auto" w:sz="4" w:space="0"/>
            </w:tcBorders>
            <w:vAlign w:val="center"/>
          </w:tcPr>
          <w:p w14:paraId="5902BA52">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p>
        </w:tc>
        <w:tc>
          <w:tcPr>
            <w:tcW w:w="1690" w:type="dxa"/>
            <w:tcBorders>
              <w:left w:val="single" w:color="auto" w:sz="4" w:space="0"/>
              <w:bottom w:val="single" w:color="auto" w:sz="4" w:space="0"/>
              <w:right w:val="single" w:color="auto" w:sz="4" w:space="0"/>
            </w:tcBorders>
            <w:vAlign w:val="center"/>
          </w:tcPr>
          <w:p w14:paraId="25BBC827">
            <w:pPr>
              <w:autoSpaceDE w:val="0"/>
              <w:autoSpaceDN w:val="0"/>
              <w:adjustRightInd w:val="0"/>
              <w:snapToGrid w:val="0"/>
              <w:jc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工作人员生活污水</w:t>
            </w:r>
          </w:p>
        </w:tc>
        <w:tc>
          <w:tcPr>
            <w:tcW w:w="1419" w:type="dxa"/>
            <w:tcBorders>
              <w:top w:val="single" w:color="auto" w:sz="4" w:space="0"/>
              <w:left w:val="single" w:color="auto" w:sz="4" w:space="0"/>
              <w:right w:val="single" w:color="auto" w:sz="4" w:space="0"/>
            </w:tcBorders>
            <w:vAlign w:val="center"/>
          </w:tcPr>
          <w:p w14:paraId="042AB778">
            <w:pPr>
              <w:autoSpaceDE w:val="0"/>
              <w:autoSpaceDN w:val="0"/>
              <w:adjustRightInd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生活污水</w:t>
            </w:r>
          </w:p>
        </w:tc>
        <w:tc>
          <w:tcPr>
            <w:tcW w:w="2113" w:type="dxa"/>
            <w:tcBorders>
              <w:top w:val="single" w:color="auto" w:sz="4" w:space="0"/>
              <w:left w:val="single" w:color="auto" w:sz="4" w:space="0"/>
              <w:right w:val="single" w:color="auto" w:sz="4" w:space="0"/>
            </w:tcBorders>
            <w:vAlign w:val="center"/>
          </w:tcPr>
          <w:p w14:paraId="693AE5C9">
            <w:pPr>
              <w:autoSpaceDE w:val="0"/>
              <w:autoSpaceDN w:val="0"/>
              <w:adjustRightInd w:val="0"/>
              <w:snapToGrid w:val="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依托</w:t>
            </w:r>
            <w: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t>厂区污水处理站处理</w:t>
            </w:r>
          </w:p>
        </w:tc>
        <w:tc>
          <w:tcPr>
            <w:tcW w:w="2450" w:type="dxa"/>
            <w:vMerge w:val="continue"/>
            <w:tcBorders>
              <w:left w:val="single" w:color="auto" w:sz="4" w:space="0"/>
              <w:right w:val="single" w:color="auto" w:sz="8" w:space="0"/>
            </w:tcBorders>
            <w:vAlign w:val="center"/>
          </w:tcPr>
          <w:p w14:paraId="70FEFC03">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p>
        </w:tc>
      </w:tr>
      <w:tr w14:paraId="04BF6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388" w:type="dxa"/>
            <w:tcBorders>
              <w:top w:val="single" w:color="auto" w:sz="4" w:space="0"/>
              <w:left w:val="single" w:color="auto" w:sz="8" w:space="0"/>
              <w:right w:val="single" w:color="auto" w:sz="4" w:space="0"/>
            </w:tcBorders>
            <w:vAlign w:val="center"/>
          </w:tcPr>
          <w:p w14:paraId="2E87C253">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大气环境</w:t>
            </w:r>
          </w:p>
        </w:tc>
        <w:tc>
          <w:tcPr>
            <w:tcW w:w="1690" w:type="dxa"/>
            <w:tcBorders>
              <w:top w:val="single" w:color="auto" w:sz="4" w:space="0"/>
              <w:left w:val="single" w:color="auto" w:sz="4" w:space="0"/>
              <w:bottom w:val="single" w:color="auto" w:sz="4" w:space="0"/>
              <w:right w:val="single" w:color="auto" w:sz="4" w:space="0"/>
            </w:tcBorders>
            <w:vAlign w:val="center"/>
          </w:tcPr>
          <w:p w14:paraId="6BE8AE4B">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脱轻塔分离</w:t>
            </w:r>
            <w:r>
              <w:rPr>
                <w:rFonts w:hint="default" w:ascii="Times New Roman" w:hAnsi="Times New Roman" w:eastAsia="宋体" w:cs="Times New Roman"/>
                <w:color w:val="000000" w:themeColor="text1"/>
                <w:kern w:val="0"/>
                <w:szCs w:val="21"/>
                <w14:textFill>
                  <w14:solidFill>
                    <w14:schemeClr w14:val="tx1"/>
                  </w14:solidFill>
                </w14:textFill>
              </w:rPr>
              <w:t>废气</w:t>
            </w:r>
          </w:p>
        </w:tc>
        <w:tc>
          <w:tcPr>
            <w:tcW w:w="1419" w:type="dxa"/>
            <w:tcBorders>
              <w:top w:val="single" w:color="auto" w:sz="4" w:space="0"/>
              <w:left w:val="single" w:color="auto" w:sz="4" w:space="0"/>
              <w:right w:val="single" w:color="auto" w:sz="4" w:space="0"/>
            </w:tcBorders>
            <w:vAlign w:val="center"/>
          </w:tcPr>
          <w:p w14:paraId="5F594FB8">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H</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、N</w:t>
            </w:r>
            <w:r>
              <w:rPr>
                <w:rFonts w:hint="default" w:ascii="Times New Roman" w:hAnsi="Times New Roman" w:eastAsia="宋体" w:cs="Times New Roman"/>
                <w:color w:val="000000" w:themeColor="text1"/>
                <w:szCs w:val="21"/>
                <w:vertAlign w:val="sub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、CO、CH</w:t>
            </w:r>
            <w:r>
              <w:rPr>
                <w:rFonts w:hint="default" w:ascii="Times New Roman" w:hAnsi="Times New Roman" w:eastAsia="宋体" w:cs="Times New Roman"/>
                <w:color w:val="000000" w:themeColor="text1"/>
                <w:szCs w:val="21"/>
                <w:vertAlign w:val="subscript"/>
                <w14:textFill>
                  <w14:solidFill>
                    <w14:schemeClr w14:val="tx1"/>
                  </w14:solidFill>
                </w14:textFill>
              </w:rPr>
              <w:t>4</w:t>
            </w:r>
          </w:p>
        </w:tc>
        <w:tc>
          <w:tcPr>
            <w:tcW w:w="2113" w:type="dxa"/>
            <w:tcBorders>
              <w:top w:val="single" w:color="auto" w:sz="4" w:space="0"/>
              <w:left w:val="single" w:color="auto" w:sz="4" w:space="0"/>
              <w:right w:val="single" w:color="auto" w:sz="4" w:space="0"/>
            </w:tcBorders>
            <w:vAlign w:val="center"/>
          </w:tcPr>
          <w:p w14:paraId="680AB43D">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依托</w:t>
            </w:r>
            <w:r>
              <w:rPr>
                <w:rFonts w:hint="default" w:ascii="Times New Roman" w:hAnsi="Times New Roman" w:eastAsia="宋体" w:cs="Times New Roman"/>
                <w:color w:val="000000" w:themeColor="text1"/>
                <w:kern w:val="0"/>
                <w:szCs w:val="21"/>
                <w14:textFill>
                  <w14:solidFill>
                    <w14:schemeClr w14:val="tx1"/>
                  </w14:solidFill>
                </w14:textFill>
              </w:rPr>
              <w:t>厂区现有</w:t>
            </w:r>
            <w:r>
              <w:rPr>
                <w:rFonts w:hint="eastAsia" w:cs="Times New Roman"/>
                <w:color w:val="000000" w:themeColor="text1"/>
                <w:kern w:val="0"/>
                <w:szCs w:val="21"/>
                <w:lang w:val="en-US" w:eastAsia="zh-CN"/>
                <w14:textFill>
                  <w14:solidFill>
                    <w14:schemeClr w14:val="tx1"/>
                  </w14:solidFill>
                </w14:textFill>
              </w:rPr>
              <w:t>加热炉（锅炉）</w:t>
            </w:r>
            <w:r>
              <w:rPr>
                <w:rFonts w:hint="default" w:ascii="Times New Roman" w:hAnsi="Times New Roman" w:eastAsia="宋体" w:cs="Times New Roman"/>
                <w:color w:val="000000" w:themeColor="text1"/>
                <w:kern w:val="0"/>
                <w:szCs w:val="21"/>
                <w14:textFill>
                  <w14:solidFill>
                    <w14:schemeClr w14:val="tx1"/>
                  </w14:solidFill>
                </w14:textFill>
              </w:rPr>
              <w:t>燃烧，经1根</w:t>
            </w:r>
            <w:r>
              <w:rPr>
                <w:rFonts w:hint="eastAsia" w:cs="Times New Roman"/>
                <w:color w:val="000000" w:themeColor="text1"/>
                <w:kern w:val="0"/>
                <w:szCs w:val="21"/>
                <w:lang w:val="en-US" w:eastAsia="zh-CN"/>
                <w14:textFill>
                  <w14:solidFill>
                    <w14:schemeClr w14:val="tx1"/>
                  </w14:solidFill>
                </w14:textFill>
              </w:rPr>
              <w:t>60</w:t>
            </w:r>
            <w:r>
              <w:rPr>
                <w:rFonts w:hint="default" w:ascii="Times New Roman" w:hAnsi="Times New Roman" w:eastAsia="宋体" w:cs="Times New Roman"/>
                <w:color w:val="000000" w:themeColor="text1"/>
                <w:kern w:val="0"/>
                <w:szCs w:val="21"/>
                <w14:textFill>
                  <w14:solidFill>
                    <w14:schemeClr w14:val="tx1"/>
                  </w14:solidFill>
                </w14:textFill>
              </w:rPr>
              <w:t>m排气筒排放</w:t>
            </w:r>
          </w:p>
        </w:tc>
        <w:tc>
          <w:tcPr>
            <w:tcW w:w="2450" w:type="dxa"/>
            <w:tcBorders>
              <w:top w:val="single" w:color="auto" w:sz="4" w:space="0"/>
              <w:left w:val="single" w:color="auto" w:sz="4" w:space="0"/>
              <w:right w:val="single" w:color="auto" w:sz="8" w:space="0"/>
            </w:tcBorders>
            <w:vAlign w:val="center"/>
          </w:tcPr>
          <w:p w14:paraId="7587AF20">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/（燃烧后</w:t>
            </w:r>
            <w:r>
              <w:rPr>
                <w:rFonts w:hint="eastAsia" w:cs="Times New Roman"/>
                <w:color w:val="000000" w:themeColor="text1"/>
                <w:szCs w:val="21"/>
                <w:lang w:val="en-US" w:eastAsia="zh-CN" w:bidi="ar"/>
                <w14:textFill>
                  <w14:solidFill>
                    <w14:schemeClr w14:val="tx1"/>
                  </w14:solidFill>
                </w14:textFill>
              </w:rPr>
              <w:t>H</w:t>
            </w:r>
            <w:r>
              <w:rPr>
                <w:rFonts w:hint="eastAsia" w:cs="Times New Roman"/>
                <w:color w:val="000000" w:themeColor="text1"/>
                <w:szCs w:val="21"/>
                <w:vertAlign w:val="subscript"/>
                <w:lang w:val="en-US" w:eastAsia="zh-CN" w:bidi="ar"/>
                <w14:textFill>
                  <w14:solidFill>
                    <w14:schemeClr w14:val="tx1"/>
                  </w14:solidFill>
                </w14:textFill>
              </w:rPr>
              <w:t>2</w:t>
            </w:r>
            <w:r>
              <w:rPr>
                <w:rFonts w:hint="eastAsia" w:cs="Times New Roman"/>
                <w:color w:val="000000" w:themeColor="text1"/>
                <w:szCs w:val="21"/>
                <w:lang w:val="en-US" w:eastAsia="zh-CN" w:bidi="ar"/>
                <w14:textFill>
                  <w14:solidFill>
                    <w14:schemeClr w14:val="tx1"/>
                  </w14:solidFill>
                </w14:textFill>
              </w:rPr>
              <w:t>O、</w:t>
            </w:r>
            <w:r>
              <w:rPr>
                <w:rFonts w:hint="default" w:ascii="Times New Roman" w:hAnsi="Times New Roman" w:eastAsia="宋体" w:cs="Times New Roman"/>
                <w:color w:val="000000" w:themeColor="text1"/>
                <w:szCs w:val="21"/>
                <w:lang w:bidi="ar"/>
                <w14:textFill>
                  <w14:solidFill>
                    <w14:schemeClr w14:val="tx1"/>
                  </w14:solidFill>
                </w14:textFill>
              </w:rPr>
              <w:t>N</w:t>
            </w:r>
            <w:r>
              <w:rPr>
                <w:rFonts w:hint="default" w:ascii="Times New Roman" w:hAnsi="Times New Roman" w:eastAsia="宋体" w:cs="Times New Roman"/>
                <w:color w:val="000000" w:themeColor="text1"/>
                <w:szCs w:val="21"/>
                <w:vertAlign w:val="subscript"/>
                <w:lang w:bidi="ar"/>
                <w14:textFill>
                  <w14:solidFill>
                    <w14:schemeClr w14:val="tx1"/>
                  </w14:solidFill>
                </w14:textFill>
              </w:rPr>
              <w:t>2</w:t>
            </w:r>
            <w:r>
              <w:rPr>
                <w:rFonts w:hint="default" w:ascii="Times New Roman" w:hAnsi="Times New Roman" w:eastAsia="宋体" w:cs="Times New Roman"/>
                <w:color w:val="000000" w:themeColor="text1"/>
                <w:szCs w:val="21"/>
                <w:lang w:bidi="ar"/>
                <w14:textFill>
                  <w14:solidFill>
                    <w14:schemeClr w14:val="tx1"/>
                  </w14:solidFill>
                </w14:textFill>
              </w:rPr>
              <w:t>、CO</w:t>
            </w:r>
            <w:r>
              <w:rPr>
                <w:rFonts w:hint="default" w:ascii="Times New Roman" w:hAnsi="Times New Roman" w:eastAsia="宋体" w:cs="Times New Roman"/>
                <w:color w:val="000000" w:themeColor="text1"/>
                <w:szCs w:val="21"/>
                <w:vertAlign w:val="subscript"/>
                <w:lang w:bidi="ar"/>
                <w14:textFill>
                  <w14:solidFill>
                    <w14:schemeClr w14:val="tx1"/>
                  </w14:solidFill>
                </w14:textFill>
              </w:rPr>
              <w:t>2</w:t>
            </w:r>
            <w:r>
              <w:rPr>
                <w:rFonts w:hint="default" w:ascii="Times New Roman" w:hAnsi="Times New Roman" w:eastAsia="宋体" w:cs="Times New Roman"/>
                <w:color w:val="000000" w:themeColor="text1"/>
                <w:szCs w:val="21"/>
                <w:lang w:bidi="ar"/>
                <w14:textFill>
                  <w14:solidFill>
                    <w14:schemeClr w14:val="tx1"/>
                  </w14:solidFill>
                </w14:textFill>
              </w:rPr>
              <w:t>不属于有排放标准的管控类污染物）</w:t>
            </w:r>
          </w:p>
        </w:tc>
      </w:tr>
      <w:tr w14:paraId="3B54B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88" w:type="dxa"/>
            <w:tcBorders>
              <w:top w:val="single" w:color="auto" w:sz="4" w:space="0"/>
              <w:left w:val="single" w:color="auto" w:sz="8" w:space="0"/>
              <w:bottom w:val="single" w:color="auto" w:sz="4" w:space="0"/>
              <w:right w:val="single" w:color="auto" w:sz="4" w:space="0"/>
            </w:tcBorders>
            <w:vAlign w:val="center"/>
          </w:tcPr>
          <w:p w14:paraId="67C224A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声环境</w:t>
            </w:r>
          </w:p>
        </w:tc>
        <w:tc>
          <w:tcPr>
            <w:tcW w:w="1690" w:type="dxa"/>
            <w:tcBorders>
              <w:top w:val="single" w:color="auto" w:sz="4" w:space="0"/>
              <w:left w:val="single" w:color="auto" w:sz="4" w:space="0"/>
              <w:bottom w:val="single" w:color="auto" w:sz="4" w:space="0"/>
              <w:right w:val="single" w:color="auto" w:sz="4" w:space="0"/>
            </w:tcBorders>
            <w:vAlign w:val="center"/>
          </w:tcPr>
          <w:p w14:paraId="3C03BE5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厂界噪声</w:t>
            </w:r>
          </w:p>
        </w:tc>
        <w:tc>
          <w:tcPr>
            <w:tcW w:w="1419" w:type="dxa"/>
            <w:tcBorders>
              <w:top w:val="single" w:color="auto" w:sz="4" w:space="0"/>
              <w:left w:val="single" w:color="auto" w:sz="4" w:space="0"/>
              <w:bottom w:val="single" w:color="auto" w:sz="4" w:space="0"/>
              <w:right w:val="single" w:color="auto" w:sz="4" w:space="0"/>
            </w:tcBorders>
            <w:vAlign w:val="center"/>
          </w:tcPr>
          <w:p w14:paraId="75ACC93D">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设备运行噪声</w:t>
            </w:r>
          </w:p>
        </w:tc>
        <w:tc>
          <w:tcPr>
            <w:tcW w:w="2113" w:type="dxa"/>
            <w:tcBorders>
              <w:top w:val="single" w:color="auto" w:sz="4" w:space="0"/>
              <w:left w:val="single" w:color="auto" w:sz="4" w:space="0"/>
              <w:bottom w:val="single" w:color="auto" w:sz="4" w:space="0"/>
              <w:right w:val="single" w:color="auto" w:sz="4" w:space="0"/>
            </w:tcBorders>
            <w:vAlign w:val="center"/>
          </w:tcPr>
          <w:p w14:paraId="5B962920">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合理布局、选用低噪声设备、基础减震、确保设备正常运行等</w:t>
            </w:r>
          </w:p>
        </w:tc>
        <w:tc>
          <w:tcPr>
            <w:tcW w:w="2450" w:type="dxa"/>
            <w:tcBorders>
              <w:top w:val="single" w:color="auto" w:sz="4" w:space="0"/>
              <w:left w:val="single" w:color="auto" w:sz="4" w:space="0"/>
              <w:bottom w:val="single" w:color="auto" w:sz="4" w:space="0"/>
              <w:right w:val="single" w:color="auto" w:sz="8" w:space="0"/>
            </w:tcBorders>
            <w:vAlign w:val="center"/>
          </w:tcPr>
          <w:p w14:paraId="28FE2A0B">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《工业企业厂界环境噪声排放标准》（GB12348-2008）3类标准</w:t>
            </w:r>
          </w:p>
        </w:tc>
      </w:tr>
      <w:tr w14:paraId="6A88B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388" w:type="dxa"/>
            <w:tcBorders>
              <w:top w:val="single" w:color="auto" w:sz="4" w:space="0"/>
              <w:left w:val="single" w:color="auto" w:sz="8" w:space="0"/>
              <w:bottom w:val="single" w:color="auto" w:sz="4" w:space="0"/>
              <w:right w:val="single" w:color="auto" w:sz="4" w:space="0"/>
            </w:tcBorders>
            <w:vAlign w:val="center"/>
          </w:tcPr>
          <w:p w14:paraId="3FEA40FE">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固体废物</w:t>
            </w:r>
          </w:p>
        </w:tc>
        <w:tc>
          <w:tcPr>
            <w:tcW w:w="7672" w:type="dxa"/>
            <w:gridSpan w:val="4"/>
            <w:tcBorders>
              <w:top w:val="single" w:color="auto" w:sz="4" w:space="0"/>
              <w:left w:val="single" w:color="auto" w:sz="4" w:space="0"/>
              <w:bottom w:val="single" w:color="auto" w:sz="4" w:space="0"/>
              <w:right w:val="single" w:color="auto" w:sz="8" w:space="0"/>
            </w:tcBorders>
            <w:vAlign w:val="center"/>
          </w:tcPr>
          <w:p w14:paraId="48AEDF29">
            <w:pPr>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cs="Times New Roman"/>
                <w:color w:val="000000" w:themeColor="text1"/>
                <w:lang w:eastAsia="zh-CN"/>
                <w14:textFill>
                  <w14:solidFill>
                    <w14:schemeClr w14:val="tx1"/>
                  </w14:solidFill>
                </w14:textFill>
              </w:rPr>
              <w:t>金属渣，与全厂吹扫渣外售物资回收部门；设备检修过程中产生少量废机油、废含油抹布依托厂区已建危废暂存间暂存，交由有危废处理资质单位处理；</w:t>
            </w:r>
            <w:r>
              <w:rPr>
                <w:rFonts w:hint="eastAsia" w:cs="Times New Roman"/>
                <w:color w:val="000000" w:themeColor="text1"/>
                <w:lang w:val="en-US" w:eastAsia="zh-CN"/>
                <w14:textFill>
                  <w14:solidFill>
                    <w14:schemeClr w14:val="tx1"/>
                  </w14:solidFill>
                </w14:textFill>
              </w:rPr>
              <w:t>生活垃圾集中收集交由环卫部门处理。</w:t>
            </w:r>
          </w:p>
        </w:tc>
      </w:tr>
      <w:tr w14:paraId="44FF2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388" w:type="dxa"/>
            <w:tcBorders>
              <w:top w:val="single" w:color="auto" w:sz="4" w:space="0"/>
              <w:left w:val="single" w:color="auto" w:sz="8" w:space="0"/>
              <w:bottom w:val="single" w:color="auto" w:sz="4" w:space="0"/>
              <w:right w:val="single" w:color="auto" w:sz="4" w:space="0"/>
            </w:tcBorders>
            <w:vAlign w:val="center"/>
          </w:tcPr>
          <w:p w14:paraId="7769A827">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土壤及地下水污染防治措施</w:t>
            </w:r>
          </w:p>
        </w:tc>
        <w:tc>
          <w:tcPr>
            <w:tcW w:w="7672" w:type="dxa"/>
            <w:gridSpan w:val="4"/>
            <w:tcBorders>
              <w:top w:val="single" w:color="auto" w:sz="4" w:space="0"/>
              <w:left w:val="single" w:color="auto" w:sz="4" w:space="0"/>
              <w:bottom w:val="single" w:color="auto" w:sz="4" w:space="0"/>
              <w:right w:val="single" w:color="auto" w:sz="8" w:space="0"/>
            </w:tcBorders>
            <w:vAlign w:val="center"/>
          </w:tcPr>
          <w:p w14:paraId="4066BED1">
            <w:pPr>
              <w:pStyle w:val="42"/>
              <w:widowControl w:val="0"/>
              <w:autoSpaceDE w:val="0"/>
              <w:autoSpaceDN w:val="0"/>
              <w:adjustRightInd w:val="0"/>
              <w:spacing w:before="0" w:beforeAutospacing="0" w:after="0" w:afterAutospacing="0"/>
              <w:jc w:val="both"/>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项目设备安装区依托现有</w:t>
            </w:r>
            <w:r>
              <w:rPr>
                <w:rFonts w:hint="eastAsia" w:ascii="Times New Roman" w:hAnsi="Times New Roman" w:cs="Times New Roman"/>
                <w:color w:val="000000" w:themeColor="text1"/>
                <w:kern w:val="2"/>
                <w:sz w:val="21"/>
                <w:szCs w:val="21"/>
                <w:lang w:val="en-US" w:eastAsia="zh-CN"/>
                <w14:textFill>
                  <w14:solidFill>
                    <w14:schemeClr w14:val="tx1"/>
                  </w14:solidFill>
                </w14:textFill>
              </w:rPr>
              <w:t>生产装置区重点防渗措施（土工膜（厚度2mm）+抗渗混凝土（厚度150mm），抗渗等级不小于P8，土工膜选用HDPE膜，总防渗系数≤1.0×10</w:t>
            </w:r>
            <w:r>
              <w:rPr>
                <w:rFonts w:hint="eastAsia" w:ascii="Times New Roman" w:hAnsi="Times New Roman" w:cs="Times New Roman"/>
                <w:color w:val="000000" w:themeColor="text1"/>
                <w:kern w:val="2"/>
                <w:sz w:val="21"/>
                <w:szCs w:val="21"/>
                <w:vertAlign w:val="superscript"/>
                <w:lang w:val="en-US" w:eastAsia="zh-CN"/>
                <w14:textFill>
                  <w14:solidFill>
                    <w14:schemeClr w14:val="tx1"/>
                  </w14:solidFill>
                </w14:textFill>
              </w:rPr>
              <w:t>-10</w:t>
            </w:r>
            <w:r>
              <w:rPr>
                <w:rFonts w:hint="eastAsia" w:ascii="Times New Roman" w:hAnsi="Times New Roman" w:cs="Times New Roman"/>
                <w:color w:val="000000" w:themeColor="text1"/>
                <w:kern w:val="2"/>
                <w:sz w:val="21"/>
                <w:szCs w:val="21"/>
                <w:lang w:val="en-US" w:eastAsia="zh-CN"/>
                <w14:textFill>
                  <w14:solidFill>
                    <w14:schemeClr w14:val="tx1"/>
                  </w14:solidFill>
                </w14:textFill>
              </w:rPr>
              <w:t>cm/s）</w:t>
            </w:r>
            <w:r>
              <w:rPr>
                <w:rFonts w:hint="default" w:ascii="Times New Roman" w:hAnsi="Times New Roman" w:eastAsia="宋体" w:cs="Times New Roman"/>
                <w:color w:val="000000" w:themeColor="text1"/>
                <w:kern w:val="2"/>
                <w:sz w:val="21"/>
                <w:szCs w:val="21"/>
                <w14:textFill>
                  <w14:solidFill>
                    <w14:schemeClr w14:val="tx1"/>
                  </w14:solidFill>
                </w14:textFill>
              </w:rPr>
              <w:t>。</w:t>
            </w:r>
          </w:p>
        </w:tc>
      </w:tr>
      <w:tr w14:paraId="32D85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8" w:type="dxa"/>
            <w:tcBorders>
              <w:top w:val="single" w:color="auto" w:sz="4" w:space="0"/>
              <w:left w:val="single" w:color="auto" w:sz="8" w:space="0"/>
              <w:bottom w:val="single" w:color="auto" w:sz="4" w:space="0"/>
              <w:right w:val="single" w:color="auto" w:sz="4" w:space="0"/>
            </w:tcBorders>
            <w:vAlign w:val="center"/>
          </w:tcPr>
          <w:p w14:paraId="7CE641EF">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生态保护措施</w:t>
            </w:r>
          </w:p>
        </w:tc>
        <w:tc>
          <w:tcPr>
            <w:tcW w:w="7672" w:type="dxa"/>
            <w:gridSpan w:val="4"/>
            <w:tcBorders>
              <w:top w:val="single" w:color="auto" w:sz="4" w:space="0"/>
              <w:left w:val="single" w:color="auto" w:sz="4" w:space="0"/>
              <w:bottom w:val="single" w:color="auto" w:sz="4" w:space="0"/>
              <w:right w:val="single" w:color="auto" w:sz="8" w:space="0"/>
            </w:tcBorders>
            <w:vAlign w:val="center"/>
          </w:tcPr>
          <w:p w14:paraId="18E218EA">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t>
            </w:r>
          </w:p>
        </w:tc>
      </w:tr>
      <w:tr w14:paraId="5BD17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8" w:type="dxa"/>
            <w:tcBorders>
              <w:top w:val="single" w:color="auto" w:sz="4" w:space="0"/>
              <w:left w:val="single" w:color="auto" w:sz="8" w:space="0"/>
              <w:bottom w:val="single" w:color="auto" w:sz="4" w:space="0"/>
              <w:right w:val="single" w:color="auto" w:sz="4" w:space="0"/>
            </w:tcBorders>
            <w:vAlign w:val="center"/>
          </w:tcPr>
          <w:p w14:paraId="46E03CA8">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lang w:bidi="ar"/>
                <w14:textFill>
                  <w14:solidFill>
                    <w14:schemeClr w14:val="tx1"/>
                  </w14:solidFill>
                </w14:textFill>
              </w:rPr>
              <w:t>环境风险</w:t>
            </w:r>
          </w:p>
          <w:p w14:paraId="5E6CB9AA">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lang w:bidi="ar"/>
                <w14:textFill>
                  <w14:solidFill>
                    <w14:schemeClr w14:val="tx1"/>
                  </w14:solidFill>
                </w14:textFill>
              </w:rPr>
              <w:t>防范措施</w:t>
            </w:r>
          </w:p>
        </w:tc>
        <w:tc>
          <w:tcPr>
            <w:tcW w:w="7672" w:type="dxa"/>
            <w:gridSpan w:val="4"/>
            <w:tcBorders>
              <w:top w:val="single" w:color="auto" w:sz="4" w:space="0"/>
              <w:left w:val="single" w:color="auto" w:sz="4" w:space="0"/>
              <w:bottom w:val="single" w:color="auto" w:sz="4" w:space="0"/>
              <w:right w:val="single" w:color="auto" w:sz="8" w:space="0"/>
            </w:tcBorders>
            <w:vAlign w:val="center"/>
          </w:tcPr>
          <w:p w14:paraId="34671590">
            <w:pPr>
              <w:adjustRightInd w:val="0"/>
              <w:snapToGrid w:val="0"/>
              <w:jc w:val="left"/>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在设计、管理及运行中认真落实相应安全措施和安全对策，完善厂区主体工程重新报批环评文件中有关风险防范措施和事故应急措施</w:t>
            </w:r>
            <w:r>
              <w:rPr>
                <w:rFonts w:hint="eastAsia" w:cs="Times New Roman"/>
                <w:color w:val="000000" w:themeColor="text1"/>
                <w:szCs w:val="21"/>
                <w:lang w:eastAsia="zh-CN"/>
                <w14:textFill>
                  <w14:solidFill>
                    <w14:schemeClr w14:val="tx1"/>
                  </w14:solidFill>
                </w14:textFill>
              </w:rPr>
              <w:t>。</w:t>
            </w:r>
          </w:p>
        </w:tc>
      </w:tr>
      <w:tr w14:paraId="54D59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8" w:type="dxa"/>
            <w:tcBorders>
              <w:top w:val="single" w:color="auto" w:sz="4" w:space="0"/>
              <w:left w:val="single" w:color="auto" w:sz="8" w:space="0"/>
              <w:bottom w:val="single" w:color="auto" w:sz="8" w:space="0"/>
              <w:right w:val="single" w:color="auto" w:sz="4" w:space="0"/>
            </w:tcBorders>
            <w:vAlign w:val="center"/>
          </w:tcPr>
          <w:p w14:paraId="21333ABD">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lang w:bidi="ar"/>
                <w14:textFill>
                  <w14:solidFill>
                    <w14:schemeClr w14:val="tx1"/>
                  </w14:solidFill>
                </w14:textFill>
              </w:rPr>
              <w:t>其他环境</w:t>
            </w:r>
          </w:p>
          <w:p w14:paraId="0AD37D8B">
            <w:pPr>
              <w:adjustRightInd w:val="0"/>
              <w:snapToGrid w:val="0"/>
              <w:jc w:val="center"/>
              <w:rPr>
                <w:rFonts w:hint="default" w:ascii="Times New Roman" w:hAnsi="Times New Roman" w:eastAsia="宋体" w:cs="Times New Roman"/>
                <w:color w:val="000000" w:themeColor="text1"/>
                <w:spacing w:val="-8"/>
                <w:szCs w:val="21"/>
                <w14:textFill>
                  <w14:solidFill>
                    <w14:schemeClr w14:val="tx1"/>
                  </w14:solidFill>
                </w14:textFill>
              </w:rPr>
            </w:pPr>
            <w:r>
              <w:rPr>
                <w:rFonts w:hint="default" w:ascii="Times New Roman" w:hAnsi="Times New Roman" w:eastAsia="宋体" w:cs="Times New Roman"/>
                <w:color w:val="000000" w:themeColor="text1"/>
                <w:spacing w:val="-8"/>
                <w:szCs w:val="21"/>
                <w:lang w:bidi="ar"/>
                <w14:textFill>
                  <w14:solidFill>
                    <w14:schemeClr w14:val="tx1"/>
                  </w14:solidFill>
                </w14:textFill>
              </w:rPr>
              <w:t>管理要求</w:t>
            </w:r>
          </w:p>
        </w:tc>
        <w:tc>
          <w:tcPr>
            <w:tcW w:w="7672" w:type="dxa"/>
            <w:gridSpan w:val="4"/>
            <w:tcBorders>
              <w:top w:val="single" w:color="auto" w:sz="4" w:space="0"/>
              <w:left w:val="single" w:color="auto" w:sz="4" w:space="0"/>
              <w:bottom w:val="single" w:color="auto" w:sz="8" w:space="0"/>
              <w:right w:val="single" w:color="auto" w:sz="8" w:space="0"/>
            </w:tcBorders>
            <w:vAlign w:val="center"/>
          </w:tcPr>
          <w:p w14:paraId="636308E3">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w:t>
            </w:r>
          </w:p>
        </w:tc>
      </w:tr>
    </w:tbl>
    <w:p w14:paraId="3F140CD3">
      <w:pPr>
        <w:pStyle w:val="2"/>
        <w:numPr>
          <w:ilvl w:val="0"/>
          <w:numId w:val="0"/>
        </w:num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yellow"/>
          <w14:textFill>
            <w14:solidFill>
              <w14:schemeClr w14:val="tx1"/>
            </w14:solidFill>
          </w14:textFill>
        </w:rPr>
        <w:br w:type="page"/>
      </w:r>
      <w:bookmarkStart w:id="17" w:name="_Toc26572"/>
      <w:r>
        <w:rPr>
          <w:rFonts w:hint="default" w:ascii="Times New Roman" w:hAnsi="Times New Roman" w:eastAsia="宋体" w:cs="Times New Roman"/>
          <w:color w:val="000000" w:themeColor="text1"/>
          <w14:textFill>
            <w14:solidFill>
              <w14:schemeClr w14:val="tx1"/>
            </w14:solidFill>
          </w14:textFill>
        </w:rPr>
        <w:t>六、结论</w:t>
      </w:r>
      <w:bookmarkEnd w:id="17"/>
    </w:p>
    <w:tbl>
      <w:tblPr>
        <w:tblStyle w:val="4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B6FF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76B3AB8">
            <w:pPr>
              <w:pStyle w:val="457"/>
              <w:spacing w:line="360" w:lineRule="auto"/>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的建设符合国家产业政策和当地规划，符合“生态环境分区管控”要求，选址无明显环境制约因素，总图布置合理。建设单位严格落实本环评提出的污染防治措施及风险防范措施后可实现废水、废气、噪声的达标排放，固废的合理处置，环境风险在可接受范围。因此，从环境保护角度而言，项目的建设是可行的。</w:t>
            </w:r>
          </w:p>
        </w:tc>
      </w:tr>
    </w:tbl>
    <w:p w14:paraId="1A80E3BF">
      <w:pPr>
        <w:pStyle w:val="42"/>
        <w:adjustRightInd w:val="0"/>
        <w:snapToGrid w:val="0"/>
        <w:spacing w:before="0" w:beforeAutospacing="0" w:after="0" w:afterAutospacing="0" w:line="648" w:lineRule="auto"/>
        <w:jc w:val="center"/>
        <w:rPr>
          <w:rFonts w:hint="default" w:ascii="Times New Roman" w:hAnsi="Times New Roman" w:eastAsia="宋体" w:cs="Times New Roman"/>
          <w:snapToGrid w:val="0"/>
          <w:color w:val="000000" w:themeColor="text1"/>
          <w:sz w:val="21"/>
          <w:szCs w:val="21"/>
          <w:highlight w:val="yellow"/>
          <w14:textFill>
            <w14:solidFill>
              <w14:schemeClr w14:val="tx1"/>
            </w14:solidFill>
          </w14:textFill>
        </w:rPr>
        <w:sectPr>
          <w:pgSz w:w="11906" w:h="16838"/>
          <w:pgMar w:top="1701" w:right="1531" w:bottom="1701" w:left="1531" w:header="851" w:footer="850" w:gutter="0"/>
          <w:cols w:space="0" w:num="1"/>
          <w:docGrid w:linePitch="312" w:charSpace="0"/>
        </w:sectPr>
      </w:pPr>
    </w:p>
    <w:p w14:paraId="415753DF">
      <w:pPr>
        <w:pStyle w:val="457"/>
        <w:ind w:firstLine="0" w:firstLineChars="0"/>
        <w:rPr>
          <w:rFonts w:hint="default" w:ascii="Times New Roman" w:hAnsi="Times New Roman" w:eastAsia="宋体" w:cs="Times New Roman"/>
          <w:snapToGrid w:val="0"/>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t>附表</w:t>
      </w:r>
    </w:p>
    <w:p w14:paraId="7C69973E">
      <w:pPr>
        <w:pStyle w:val="2"/>
        <w:numPr>
          <w:ilvl w:val="0"/>
          <w:numId w:val="0"/>
        </w:numPr>
        <w:spacing w:line="260" w:lineRule="auto"/>
        <w:jc w:val="center"/>
        <w:rPr>
          <w:rFonts w:hint="default" w:ascii="Times New Roman" w:hAnsi="Times New Roman" w:eastAsia="宋体" w:cs="Times New Roman"/>
          <w:color w:val="000000" w:themeColor="text1"/>
          <w14:textFill>
            <w14:solidFill>
              <w14:schemeClr w14:val="tx1"/>
            </w14:solidFill>
          </w14:textFill>
        </w:rPr>
      </w:pPr>
      <w:bookmarkStart w:id="18" w:name="_Toc25753"/>
      <w:r>
        <w:rPr>
          <w:rFonts w:hint="default" w:ascii="Times New Roman" w:hAnsi="Times New Roman" w:eastAsia="宋体" w:cs="Times New Roman"/>
          <w:color w:val="000000" w:themeColor="text1"/>
          <w14:textFill>
            <w14:solidFill>
              <w14:schemeClr w14:val="tx1"/>
            </w14:solidFill>
          </w14:textFill>
        </w:rPr>
        <w:t>建设项目污染物排放量汇总表</w:t>
      </w:r>
      <w:bookmarkEnd w:id="18"/>
    </w:p>
    <w:tbl>
      <w:tblPr>
        <w:tblStyle w:val="4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3137"/>
        <w:gridCol w:w="1350"/>
        <w:gridCol w:w="1140"/>
        <w:gridCol w:w="1620"/>
        <w:gridCol w:w="1410"/>
        <w:gridCol w:w="1304"/>
        <w:gridCol w:w="1669"/>
        <w:gridCol w:w="1116"/>
      </w:tblGrid>
      <w:tr w14:paraId="4F0D3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042" w:type="dxa"/>
            <w:tcBorders>
              <w:top w:val="single" w:color="auto" w:sz="8" w:space="0"/>
              <w:left w:val="single" w:color="auto" w:sz="8" w:space="0"/>
              <w:bottom w:val="single" w:color="auto" w:sz="4" w:space="0"/>
              <w:right w:val="single" w:color="auto" w:sz="4" w:space="0"/>
            </w:tcBorders>
            <w:tcMar>
              <w:left w:w="28" w:type="dxa"/>
              <w:right w:w="28" w:type="dxa"/>
            </w:tcMar>
            <w:vAlign w:val="center"/>
          </w:tcPr>
          <w:p w14:paraId="1B16EB9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项目</w:t>
            </w:r>
          </w:p>
          <w:p w14:paraId="20EECE7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分类</w:t>
            </w:r>
          </w:p>
        </w:tc>
        <w:tc>
          <w:tcPr>
            <w:tcW w:w="3137"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DCC373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污染物名称</w:t>
            </w:r>
          </w:p>
        </w:tc>
        <w:tc>
          <w:tcPr>
            <w:tcW w:w="135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642302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现有工程</w:t>
            </w:r>
          </w:p>
          <w:p w14:paraId="227E49F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排放量（固体废物产生量）①</w:t>
            </w:r>
          </w:p>
        </w:tc>
        <w:tc>
          <w:tcPr>
            <w:tcW w:w="114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4B90CE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现有工程</w:t>
            </w:r>
          </w:p>
          <w:p w14:paraId="30E7590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许可排放量</w:t>
            </w:r>
          </w:p>
          <w:p w14:paraId="7E9C13A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②</w:t>
            </w:r>
          </w:p>
        </w:tc>
        <w:tc>
          <w:tcPr>
            <w:tcW w:w="162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8F64E6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在建工程</w:t>
            </w:r>
          </w:p>
          <w:p w14:paraId="7C2FB49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排放量（固体废物产生量）③</w:t>
            </w:r>
          </w:p>
        </w:tc>
        <w:tc>
          <w:tcPr>
            <w:tcW w:w="141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7AA999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本项目</w:t>
            </w:r>
          </w:p>
          <w:p w14:paraId="13EFF1B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排放量（固体废物产生量）④</w:t>
            </w:r>
          </w:p>
        </w:tc>
        <w:tc>
          <w:tcPr>
            <w:tcW w:w="1304"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A89ED3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以新带老削减量</w:t>
            </w:r>
          </w:p>
          <w:p w14:paraId="4E6A8E6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（新建项目不填）⑤</w:t>
            </w:r>
          </w:p>
        </w:tc>
        <w:tc>
          <w:tcPr>
            <w:tcW w:w="166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B7FDE3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本项目建成后</w:t>
            </w:r>
          </w:p>
          <w:p w14:paraId="049CDD9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color w:val="000000" w:themeColor="text1"/>
                <w:spacing w:val="-16"/>
                <w:kern w:val="21"/>
                <w:sz w:val="21"/>
                <w:szCs w:val="21"/>
                <w:lang w:bidi="ar"/>
                <w14:textFill>
                  <w14:solidFill>
                    <w14:schemeClr w14:val="tx1"/>
                  </w14:solidFill>
                </w14:textFill>
              </w:rPr>
              <w:t>全厂排放量（固体废物产生量）⑥</w:t>
            </w:r>
          </w:p>
        </w:tc>
        <w:tc>
          <w:tcPr>
            <w:tcW w:w="1116"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434124D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变化量</w:t>
            </w:r>
          </w:p>
          <w:p w14:paraId="77B1611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⑦</w:t>
            </w:r>
          </w:p>
        </w:tc>
      </w:tr>
      <w:tr w14:paraId="4D1BD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042" w:type="dxa"/>
            <w:vMerge w:val="restart"/>
            <w:tcBorders>
              <w:top w:val="single" w:color="auto" w:sz="8" w:space="0"/>
              <w:left w:val="single" w:color="auto" w:sz="8" w:space="0"/>
              <w:right w:val="single" w:color="auto" w:sz="4" w:space="0"/>
            </w:tcBorders>
            <w:tcMar>
              <w:left w:w="28" w:type="dxa"/>
              <w:right w:w="28" w:type="dxa"/>
            </w:tcMar>
            <w:vAlign w:val="center"/>
          </w:tcPr>
          <w:p w14:paraId="1A7BC03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废气</w:t>
            </w:r>
          </w:p>
        </w:tc>
        <w:tc>
          <w:tcPr>
            <w:tcW w:w="3137"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298D89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VOCs</w:t>
            </w:r>
          </w:p>
        </w:tc>
        <w:tc>
          <w:tcPr>
            <w:tcW w:w="135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EFC2892">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6D7A0B8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37.91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C98249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99AC61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667367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57FC94C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37.91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77BD53C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666A6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042" w:type="dxa"/>
            <w:vMerge w:val="continue"/>
            <w:tcBorders>
              <w:left w:val="single" w:color="auto" w:sz="8" w:space="0"/>
              <w:right w:val="single" w:color="auto" w:sz="4" w:space="0"/>
            </w:tcBorders>
            <w:tcMar>
              <w:left w:w="28" w:type="dxa"/>
              <w:right w:w="28" w:type="dxa"/>
            </w:tcMar>
            <w:vAlign w:val="center"/>
          </w:tcPr>
          <w:p w14:paraId="5BF93B4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3FFEBCB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SO</w:t>
            </w:r>
            <w:r>
              <w:rPr>
                <w:rFonts w:hint="default" w:ascii="Times New Roman" w:hAnsi="Times New Roman" w:eastAsia="宋体" w:cs="Times New Roman"/>
                <w:color w:val="000000" w:themeColor="text1"/>
                <w:spacing w:val="-6"/>
                <w:kern w:val="21"/>
                <w:sz w:val="21"/>
                <w:szCs w:val="21"/>
                <w:vertAlign w:val="subscript"/>
                <w:lang w:bidi="ar"/>
                <w14:textFill>
                  <w14:solidFill>
                    <w14:schemeClr w14:val="tx1"/>
                  </w14:solidFill>
                </w14:textFill>
              </w:rPr>
              <w:t>2</w:t>
            </w:r>
          </w:p>
        </w:tc>
        <w:tc>
          <w:tcPr>
            <w:tcW w:w="135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75DF62B6">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0DCBAB2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6t/a</w:t>
            </w:r>
          </w:p>
        </w:tc>
        <w:tc>
          <w:tcPr>
            <w:tcW w:w="162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EE24FC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12B4CDC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2231C69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8" w:space="0"/>
              <w:left w:val="single" w:color="auto" w:sz="4" w:space="0"/>
              <w:bottom w:val="single" w:color="auto" w:sz="4" w:space="0"/>
              <w:right w:val="single" w:color="auto" w:sz="4" w:space="0"/>
            </w:tcBorders>
            <w:tcMar>
              <w:left w:w="28" w:type="dxa"/>
              <w:right w:w="28" w:type="dxa"/>
            </w:tcMar>
            <w:vAlign w:val="center"/>
          </w:tcPr>
          <w:p w14:paraId="4062F04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6t/a</w:t>
            </w:r>
          </w:p>
        </w:tc>
        <w:tc>
          <w:tcPr>
            <w:tcW w:w="1116" w:type="dxa"/>
            <w:tcBorders>
              <w:top w:val="single" w:color="auto" w:sz="8" w:space="0"/>
              <w:left w:val="single" w:color="auto" w:sz="4" w:space="0"/>
              <w:bottom w:val="single" w:color="auto" w:sz="4" w:space="0"/>
              <w:right w:val="single" w:color="auto" w:sz="8" w:space="0"/>
            </w:tcBorders>
            <w:tcMar>
              <w:left w:w="28" w:type="dxa"/>
              <w:right w:w="28" w:type="dxa"/>
            </w:tcMar>
            <w:vAlign w:val="center"/>
          </w:tcPr>
          <w:p w14:paraId="71DC407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60CF7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042" w:type="dxa"/>
            <w:vMerge w:val="continue"/>
            <w:tcBorders>
              <w:left w:val="single" w:color="auto" w:sz="8" w:space="0"/>
              <w:right w:val="single" w:color="auto" w:sz="4" w:space="0"/>
            </w:tcBorders>
            <w:tcMar>
              <w:left w:w="28" w:type="dxa"/>
              <w:right w:w="28" w:type="dxa"/>
            </w:tcMar>
            <w:vAlign w:val="center"/>
          </w:tcPr>
          <w:p w14:paraId="2B59AF7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2143D7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NOx</w:t>
            </w:r>
          </w:p>
        </w:tc>
        <w:tc>
          <w:tcPr>
            <w:tcW w:w="13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349E713">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C5DC4F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98.15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874AC6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0F7D3E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0261CA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DA1826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98.15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1531797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4BE8D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42" w:type="dxa"/>
            <w:vMerge w:val="continue"/>
            <w:tcBorders>
              <w:left w:val="single" w:color="auto" w:sz="8" w:space="0"/>
              <w:right w:val="single" w:color="auto" w:sz="4" w:space="0"/>
            </w:tcBorders>
            <w:tcMar>
              <w:left w:w="28" w:type="dxa"/>
              <w:right w:w="28" w:type="dxa"/>
            </w:tcMar>
            <w:vAlign w:val="center"/>
          </w:tcPr>
          <w:p w14:paraId="68C18CD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B5B2C6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颗粒物</w:t>
            </w:r>
          </w:p>
        </w:tc>
        <w:tc>
          <w:tcPr>
            <w:tcW w:w="13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D2922AB">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DC23B2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25.</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6</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8A58F3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4CC8C6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72D172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4DA750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25.</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6</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3C95FDB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155EE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042" w:type="dxa"/>
            <w:vMerge w:val="continue"/>
            <w:tcBorders>
              <w:left w:val="single" w:color="auto" w:sz="8" w:space="0"/>
              <w:right w:val="single" w:color="auto" w:sz="4" w:space="0"/>
            </w:tcBorders>
            <w:tcMar>
              <w:left w:w="28" w:type="dxa"/>
              <w:right w:w="28" w:type="dxa"/>
            </w:tcMar>
            <w:vAlign w:val="center"/>
          </w:tcPr>
          <w:p w14:paraId="3182395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B1D1BD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CO</w:t>
            </w:r>
          </w:p>
        </w:tc>
        <w:tc>
          <w:tcPr>
            <w:tcW w:w="13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DEE19D2">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71D1E7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575.27</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B020C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617021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699B18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34671EA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575.27</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6F06D57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不变</w:t>
            </w:r>
          </w:p>
        </w:tc>
      </w:tr>
      <w:tr w14:paraId="109C5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 w:hRule="atLeast"/>
        </w:trPr>
        <w:tc>
          <w:tcPr>
            <w:tcW w:w="1042" w:type="dxa"/>
            <w:vMerge w:val="continue"/>
            <w:tcBorders>
              <w:left w:val="single" w:color="auto" w:sz="8" w:space="0"/>
              <w:right w:val="single" w:color="auto" w:sz="4" w:space="0"/>
            </w:tcBorders>
            <w:tcMar>
              <w:left w:w="28" w:type="dxa"/>
              <w:right w:w="28" w:type="dxa"/>
            </w:tcMar>
            <w:vAlign w:val="center"/>
          </w:tcPr>
          <w:p w14:paraId="44CB836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439964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CO</w:t>
            </w:r>
            <w:r>
              <w:rPr>
                <w:rFonts w:hint="default" w:ascii="Times New Roman" w:hAnsi="Times New Roman" w:eastAsia="宋体" w:cs="Times New Roman"/>
                <w:color w:val="000000" w:themeColor="text1"/>
                <w:spacing w:val="-6"/>
                <w:kern w:val="21"/>
                <w:sz w:val="21"/>
                <w:szCs w:val="21"/>
                <w:vertAlign w:val="subscript"/>
                <w:lang w:bidi="ar"/>
                <w14:textFill>
                  <w14:solidFill>
                    <w14:schemeClr w14:val="tx1"/>
                  </w14:solidFill>
                </w14:textFill>
              </w:rPr>
              <w:t>2</w:t>
            </w:r>
          </w:p>
        </w:tc>
        <w:tc>
          <w:tcPr>
            <w:tcW w:w="13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DBEDD4E">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pP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4F00DF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130012.58t/a</w:t>
            </w:r>
          </w:p>
        </w:tc>
        <w:tc>
          <w:tcPr>
            <w:tcW w:w="16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F55731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694B49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30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EC9376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70000</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2FD0A23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60012.58t/a</w:t>
            </w:r>
          </w:p>
        </w:tc>
        <w:tc>
          <w:tcPr>
            <w:tcW w:w="1116" w:type="dxa"/>
            <w:tcBorders>
              <w:top w:val="single" w:color="auto" w:sz="4" w:space="0"/>
              <w:left w:val="single" w:color="auto" w:sz="4" w:space="0"/>
              <w:bottom w:val="single" w:color="auto" w:sz="4" w:space="0"/>
              <w:right w:val="single" w:color="auto" w:sz="8" w:space="0"/>
            </w:tcBorders>
            <w:tcMar>
              <w:left w:w="28" w:type="dxa"/>
              <w:right w:w="28" w:type="dxa"/>
            </w:tcMar>
            <w:vAlign w:val="center"/>
          </w:tcPr>
          <w:p w14:paraId="3E6AD51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w:t>
            </w:r>
            <w:r>
              <w:rPr>
                <w:rFonts w:hint="eastAsia" w:ascii="Times New Roman" w:hAnsi="Times New Roman" w:cs="Times New Roman"/>
                <w:color w:val="000000" w:themeColor="text1"/>
                <w:spacing w:val="-6"/>
                <w:kern w:val="21"/>
                <w:sz w:val="21"/>
                <w:szCs w:val="21"/>
                <w:lang w:val="en-US" w:eastAsia="zh-CN" w:bidi="ar"/>
                <w14:textFill>
                  <w14:solidFill>
                    <w14:schemeClr w14:val="tx1"/>
                  </w14:solidFill>
                </w14:textFill>
              </w:rPr>
              <w:t>70000</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r>
      <w:tr w14:paraId="30AD7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restart"/>
            <w:tcBorders>
              <w:top w:val="single" w:color="auto" w:sz="4" w:space="0"/>
              <w:left w:val="single" w:color="auto" w:sz="8" w:space="0"/>
              <w:right w:val="single" w:color="auto" w:sz="4" w:space="0"/>
            </w:tcBorders>
            <w:vAlign w:val="center"/>
          </w:tcPr>
          <w:p w14:paraId="69285C5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废水</w:t>
            </w:r>
          </w:p>
        </w:tc>
        <w:tc>
          <w:tcPr>
            <w:tcW w:w="3137" w:type="dxa"/>
            <w:tcBorders>
              <w:top w:val="single" w:color="auto" w:sz="4" w:space="0"/>
              <w:left w:val="single" w:color="auto" w:sz="4" w:space="0"/>
              <w:bottom w:val="single" w:color="auto" w:sz="4" w:space="0"/>
              <w:right w:val="single" w:color="auto" w:sz="4" w:space="0"/>
            </w:tcBorders>
            <w:vAlign w:val="center"/>
          </w:tcPr>
          <w:p w14:paraId="13035EE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废水总量</w:t>
            </w:r>
          </w:p>
        </w:tc>
        <w:tc>
          <w:tcPr>
            <w:tcW w:w="1350" w:type="dxa"/>
            <w:tcBorders>
              <w:top w:val="single" w:color="auto" w:sz="4" w:space="0"/>
              <w:left w:val="single" w:color="auto" w:sz="4" w:space="0"/>
              <w:bottom w:val="single" w:color="auto" w:sz="4" w:space="0"/>
              <w:right w:val="single" w:color="auto" w:sz="4" w:space="0"/>
            </w:tcBorders>
            <w:vAlign w:val="center"/>
          </w:tcPr>
          <w:p w14:paraId="711EE8A8">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20ADAC6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3</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040</w:t>
            </w:r>
            <w:r>
              <w:rPr>
                <w:rFonts w:hint="default" w:ascii="Times New Roman" w:hAnsi="Times New Roman" w:eastAsia="宋体" w:cs="Times New Roman"/>
                <w:color w:val="000000" w:themeColor="text1"/>
                <w:kern w:val="21"/>
                <w:sz w:val="21"/>
                <w:szCs w:val="21"/>
                <w14:textFill>
                  <w14:solidFill>
                    <w14:schemeClr w14:val="tx1"/>
                  </w14:solidFill>
                </w14:textFill>
              </w:rPr>
              <w:t>000t/a</w:t>
            </w:r>
          </w:p>
        </w:tc>
        <w:tc>
          <w:tcPr>
            <w:tcW w:w="1620" w:type="dxa"/>
            <w:tcBorders>
              <w:top w:val="single" w:color="auto" w:sz="4" w:space="0"/>
              <w:left w:val="single" w:color="auto" w:sz="4" w:space="0"/>
              <w:bottom w:val="single" w:color="auto" w:sz="4" w:space="0"/>
              <w:right w:val="single" w:color="auto" w:sz="4" w:space="0"/>
            </w:tcBorders>
            <w:vAlign w:val="center"/>
          </w:tcPr>
          <w:p w14:paraId="41FD3D1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7757EA3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375.01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304" w:type="dxa"/>
            <w:tcBorders>
              <w:top w:val="single" w:color="auto" w:sz="4" w:space="0"/>
              <w:left w:val="single" w:color="auto" w:sz="4" w:space="0"/>
              <w:bottom w:val="single" w:color="auto" w:sz="4" w:space="0"/>
              <w:right w:val="single" w:color="auto" w:sz="4" w:space="0"/>
            </w:tcBorders>
            <w:vAlign w:val="center"/>
          </w:tcPr>
          <w:p w14:paraId="1CB226E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5212F17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3040375.01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3BDAAD2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+375.01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r>
      <w:tr w14:paraId="0A2F42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continue"/>
            <w:tcBorders>
              <w:left w:val="single" w:color="auto" w:sz="8" w:space="0"/>
              <w:bottom w:val="single" w:color="auto" w:sz="4" w:space="0"/>
              <w:right w:val="single" w:color="auto" w:sz="4" w:space="0"/>
            </w:tcBorders>
            <w:vAlign w:val="center"/>
          </w:tcPr>
          <w:p w14:paraId="19103B9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vAlign w:val="center"/>
          </w:tcPr>
          <w:p w14:paraId="20051DBD">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COD</w:t>
            </w:r>
          </w:p>
        </w:tc>
        <w:tc>
          <w:tcPr>
            <w:tcW w:w="1350" w:type="dxa"/>
            <w:tcBorders>
              <w:top w:val="single" w:color="auto" w:sz="4" w:space="0"/>
              <w:left w:val="single" w:color="auto" w:sz="4" w:space="0"/>
              <w:bottom w:val="single" w:color="auto" w:sz="4" w:space="0"/>
              <w:right w:val="single" w:color="auto" w:sz="4" w:space="0"/>
            </w:tcBorders>
            <w:vAlign w:val="center"/>
          </w:tcPr>
          <w:p w14:paraId="399C7691">
            <w:pPr>
              <w:adjustRightInd w:val="0"/>
              <w:snapToGrid w:val="0"/>
              <w:jc w:val="center"/>
              <w:rPr>
                <w:rFonts w:hint="eastAsia" w:ascii="Times New Roman" w:hAnsi="Times New Roman" w:eastAsia="宋体" w:cs="Times New Roman"/>
                <w:color w:val="000000" w:themeColor="text1"/>
                <w:kern w:val="21"/>
                <w:szCs w:val="21"/>
                <w:lang w:val="en-US" w:eastAsia="zh-CN" w:bidi="ar"/>
                <w14:textFill>
                  <w14:solidFill>
                    <w14:schemeClr w14:val="tx1"/>
                  </w14:solidFill>
                </w14:textFill>
              </w:rPr>
            </w:pPr>
            <w:r>
              <w:rPr>
                <w:rFonts w:hint="eastAsia" w:cs="Times New Roman"/>
                <w:color w:val="000000" w:themeColor="text1"/>
                <w:kern w:val="21"/>
                <w:szCs w:val="21"/>
                <w:lang w:val="en-US" w:eastAsia="zh-CN" w:bidi="ar"/>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3A67AB31">
            <w:pPr>
              <w:adjustRightInd w:val="0"/>
              <w:snapToGrid w:val="0"/>
              <w:jc w:val="center"/>
              <w:rPr>
                <w:rFonts w:hint="default" w:ascii="Times New Roman" w:hAnsi="Times New Roman" w:eastAsia="宋体" w:cs="Times New Roman"/>
                <w:color w:val="000000" w:themeColor="text1"/>
                <w:kern w:val="21"/>
                <w:szCs w:val="21"/>
                <w:lang w:bidi="ar"/>
                <w14:textFill>
                  <w14:solidFill>
                    <w14:schemeClr w14:val="tx1"/>
                  </w14:solidFill>
                </w14:textFill>
              </w:rPr>
            </w:pPr>
            <w:r>
              <w:rPr>
                <w:rFonts w:hint="default" w:ascii="Times New Roman" w:hAnsi="Times New Roman" w:eastAsia="宋体" w:cs="Times New Roman"/>
                <w:color w:val="000000" w:themeColor="text1"/>
                <w:kern w:val="21"/>
                <w:szCs w:val="21"/>
                <w14:textFill>
                  <w14:solidFill>
                    <w14:schemeClr w14:val="tx1"/>
                  </w14:solidFill>
                </w14:textFill>
              </w:rPr>
              <w:t>608.0t/a</w:t>
            </w:r>
          </w:p>
        </w:tc>
        <w:tc>
          <w:tcPr>
            <w:tcW w:w="1620" w:type="dxa"/>
            <w:tcBorders>
              <w:top w:val="single" w:color="auto" w:sz="4" w:space="0"/>
              <w:left w:val="single" w:color="auto" w:sz="4" w:space="0"/>
              <w:bottom w:val="single" w:color="auto" w:sz="4" w:space="0"/>
              <w:right w:val="single" w:color="auto" w:sz="4" w:space="0"/>
            </w:tcBorders>
            <w:vAlign w:val="center"/>
          </w:tcPr>
          <w:p w14:paraId="1BBAE8F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4ECC2F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t>0.1875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304" w:type="dxa"/>
            <w:tcBorders>
              <w:top w:val="single" w:color="auto" w:sz="4" w:space="0"/>
              <w:left w:val="single" w:color="auto" w:sz="4" w:space="0"/>
              <w:bottom w:val="single" w:color="auto" w:sz="4" w:space="0"/>
              <w:right w:val="single" w:color="auto" w:sz="4" w:space="0"/>
            </w:tcBorders>
            <w:vAlign w:val="center"/>
          </w:tcPr>
          <w:p w14:paraId="79F086E6">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737A08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Cs w:val="21"/>
                <w:lang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608.1875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497A95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1"/>
                <w:szCs w:val="21"/>
                <w:lang w:bidi="ar"/>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+0.1875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r>
      <w:tr w14:paraId="63B3B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continue"/>
            <w:tcBorders>
              <w:top w:val="single" w:color="auto" w:sz="4" w:space="0"/>
              <w:left w:val="single" w:color="auto" w:sz="8" w:space="0"/>
              <w:bottom w:val="single" w:color="auto" w:sz="4" w:space="0"/>
              <w:right w:val="single" w:color="auto" w:sz="4" w:space="0"/>
            </w:tcBorders>
            <w:vAlign w:val="center"/>
          </w:tcPr>
          <w:p w14:paraId="346A365D">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vAlign w:val="center"/>
          </w:tcPr>
          <w:p w14:paraId="384DA5F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氨氮</w:t>
            </w:r>
          </w:p>
        </w:tc>
        <w:tc>
          <w:tcPr>
            <w:tcW w:w="1350" w:type="dxa"/>
            <w:tcBorders>
              <w:top w:val="single" w:color="auto" w:sz="4" w:space="0"/>
              <w:left w:val="single" w:color="auto" w:sz="4" w:space="0"/>
              <w:bottom w:val="single" w:color="auto" w:sz="4" w:space="0"/>
              <w:right w:val="single" w:color="auto" w:sz="4" w:space="0"/>
            </w:tcBorders>
            <w:vAlign w:val="center"/>
          </w:tcPr>
          <w:p w14:paraId="76EC06E9">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32826AF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76.0</w:t>
            </w:r>
            <w:r>
              <w:rPr>
                <w:rFonts w:hint="default" w:ascii="Times New Roman" w:hAnsi="Times New Roman" w:eastAsia="宋体" w:cs="Times New Roman"/>
                <w:color w:val="000000" w:themeColor="text1"/>
                <w:kern w:val="21"/>
                <w:sz w:val="21"/>
                <w:szCs w:val="21"/>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vAlign w:val="center"/>
          </w:tcPr>
          <w:p w14:paraId="3F6A590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13AAA85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t>0.0131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304" w:type="dxa"/>
            <w:tcBorders>
              <w:top w:val="single" w:color="auto" w:sz="4" w:space="0"/>
              <w:left w:val="single" w:color="auto" w:sz="4" w:space="0"/>
              <w:bottom w:val="single" w:color="auto" w:sz="4" w:space="0"/>
              <w:right w:val="single" w:color="auto" w:sz="4" w:space="0"/>
            </w:tcBorders>
            <w:vAlign w:val="center"/>
          </w:tcPr>
          <w:p w14:paraId="2E9DEE6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339F2FF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76.0131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11388EF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+0.0131</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r>
      <w:tr w14:paraId="19820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continue"/>
            <w:tcBorders>
              <w:top w:val="single" w:color="auto" w:sz="4" w:space="0"/>
              <w:left w:val="single" w:color="auto" w:sz="8" w:space="0"/>
              <w:bottom w:val="single" w:color="auto" w:sz="4" w:space="0"/>
              <w:right w:val="single" w:color="auto" w:sz="4" w:space="0"/>
            </w:tcBorders>
            <w:vAlign w:val="center"/>
          </w:tcPr>
          <w:p w14:paraId="453D177E">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vAlign w:val="center"/>
          </w:tcPr>
          <w:p w14:paraId="6CBF3AC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总磷</w:t>
            </w:r>
          </w:p>
        </w:tc>
        <w:tc>
          <w:tcPr>
            <w:tcW w:w="1350" w:type="dxa"/>
            <w:tcBorders>
              <w:top w:val="single" w:color="auto" w:sz="4" w:space="0"/>
              <w:left w:val="single" w:color="auto" w:sz="4" w:space="0"/>
              <w:bottom w:val="single" w:color="auto" w:sz="4" w:space="0"/>
              <w:right w:val="single" w:color="auto" w:sz="4" w:space="0"/>
            </w:tcBorders>
            <w:vAlign w:val="center"/>
          </w:tcPr>
          <w:p w14:paraId="0CADA713">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0655739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6.08</w:t>
            </w:r>
            <w:r>
              <w:rPr>
                <w:rFonts w:hint="default" w:ascii="Times New Roman" w:hAnsi="Times New Roman" w:eastAsia="宋体" w:cs="Times New Roman"/>
                <w:color w:val="000000" w:themeColor="text1"/>
                <w:kern w:val="21"/>
                <w:sz w:val="21"/>
                <w:szCs w:val="21"/>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vAlign w:val="center"/>
          </w:tcPr>
          <w:p w14:paraId="4315F09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12C4D24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val="en-US" w:eastAsia="zh-CN" w:bidi="ar"/>
                <w14:textFill>
                  <w14:solidFill>
                    <w14:schemeClr w14:val="tx1"/>
                  </w14:solidFill>
                </w14:textFill>
              </w:rPr>
              <w:t>0.0015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304" w:type="dxa"/>
            <w:tcBorders>
              <w:top w:val="single" w:color="auto" w:sz="4" w:space="0"/>
              <w:left w:val="single" w:color="auto" w:sz="4" w:space="0"/>
              <w:bottom w:val="single" w:color="auto" w:sz="4" w:space="0"/>
              <w:right w:val="single" w:color="auto" w:sz="4" w:space="0"/>
            </w:tcBorders>
            <w:vAlign w:val="center"/>
          </w:tcPr>
          <w:p w14:paraId="495CF1A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06EF4FF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6.0815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2C15C49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+0.0015</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r>
      <w:tr w14:paraId="31A50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2" w:type="dxa"/>
            <w:vMerge w:val="restart"/>
            <w:tcBorders>
              <w:top w:val="single" w:color="auto" w:sz="4" w:space="0"/>
              <w:left w:val="single" w:color="auto" w:sz="8" w:space="0"/>
              <w:bottom w:val="single" w:color="auto" w:sz="4" w:space="0"/>
              <w:right w:val="single" w:color="auto" w:sz="4" w:space="0"/>
            </w:tcBorders>
            <w:vAlign w:val="center"/>
          </w:tcPr>
          <w:p w14:paraId="6D1C6AFB">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一般工业固体废物</w:t>
            </w:r>
          </w:p>
        </w:tc>
        <w:tc>
          <w:tcPr>
            <w:tcW w:w="3137" w:type="dxa"/>
            <w:tcBorders>
              <w:top w:val="single" w:color="auto" w:sz="4" w:space="0"/>
              <w:left w:val="single" w:color="auto" w:sz="4" w:space="0"/>
              <w:bottom w:val="single" w:color="auto" w:sz="4" w:space="0"/>
              <w:right w:val="single" w:color="auto" w:sz="4" w:space="0"/>
            </w:tcBorders>
            <w:vAlign w:val="center"/>
          </w:tcPr>
          <w:p w14:paraId="53AE1A3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生活垃圾</w:t>
            </w:r>
          </w:p>
        </w:tc>
        <w:tc>
          <w:tcPr>
            <w:tcW w:w="1350" w:type="dxa"/>
            <w:tcBorders>
              <w:top w:val="single" w:color="auto" w:sz="4" w:space="0"/>
              <w:left w:val="single" w:color="auto" w:sz="4" w:space="0"/>
              <w:bottom w:val="single" w:color="auto" w:sz="4" w:space="0"/>
              <w:right w:val="single" w:color="auto" w:sz="4" w:space="0"/>
            </w:tcBorders>
            <w:vAlign w:val="center"/>
          </w:tcPr>
          <w:p w14:paraId="71EFA35E">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2209B4D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183</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vAlign w:val="center"/>
          </w:tcPr>
          <w:p w14:paraId="1A4EE2A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6BCE7FE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1.332</w:t>
            </w:r>
          </w:p>
        </w:tc>
        <w:tc>
          <w:tcPr>
            <w:tcW w:w="1304" w:type="dxa"/>
            <w:tcBorders>
              <w:top w:val="single" w:color="auto" w:sz="4" w:space="0"/>
              <w:left w:val="single" w:color="auto" w:sz="4" w:space="0"/>
              <w:bottom w:val="single" w:color="auto" w:sz="4" w:space="0"/>
              <w:right w:val="single" w:color="auto" w:sz="4" w:space="0"/>
            </w:tcBorders>
            <w:vAlign w:val="center"/>
          </w:tcPr>
          <w:p w14:paraId="42CC283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2A65B93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184.332</w:t>
            </w:r>
            <w:r>
              <w:rPr>
                <w:rFonts w:hint="default" w:ascii="Times New Roman" w:hAnsi="Times New Roman" w:eastAsia="宋体" w:cs="Times New Roman"/>
                <w:color w:val="000000" w:themeColor="text1"/>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14FC318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+1.332t/a</w:t>
            </w:r>
          </w:p>
        </w:tc>
      </w:tr>
      <w:tr w14:paraId="06B92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42" w:type="dxa"/>
            <w:vMerge w:val="continue"/>
            <w:tcBorders>
              <w:top w:val="single" w:color="auto" w:sz="4" w:space="0"/>
              <w:left w:val="single" w:color="auto" w:sz="8" w:space="0"/>
              <w:bottom w:val="single" w:color="auto" w:sz="4" w:space="0"/>
              <w:right w:val="single" w:color="auto" w:sz="4" w:space="0"/>
            </w:tcBorders>
            <w:vAlign w:val="center"/>
          </w:tcPr>
          <w:p w14:paraId="46531CA9">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3137" w:type="dxa"/>
            <w:tcBorders>
              <w:top w:val="single" w:color="auto" w:sz="4" w:space="0"/>
              <w:left w:val="single" w:color="auto" w:sz="4" w:space="0"/>
              <w:bottom w:val="single" w:color="auto" w:sz="4" w:space="0"/>
              <w:right w:val="single" w:color="auto" w:sz="4" w:space="0"/>
            </w:tcBorders>
            <w:vAlign w:val="center"/>
          </w:tcPr>
          <w:p w14:paraId="70C0C381">
            <w:pPr>
              <w:widowControl/>
              <w:jc w:val="center"/>
              <w:rPr>
                <w:rFonts w:hint="default" w:ascii="Times New Roman" w:hAnsi="Times New Roman" w:eastAsia="宋体" w:cs="Times New Roman"/>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空分装置废分子筛、纯化系统废吸附材料、空气干燥器废吸附材料；脱盐水站反渗透膜；回用水站反渗透膜；废外包装袋</w:t>
            </w:r>
            <w:r>
              <w:rPr>
                <w:rFonts w:hint="default" w:ascii="Times New Roman" w:hAnsi="Times New Roman" w:eastAsia="宋体" w:cs="Times New Roman"/>
                <w:color w:val="000000" w:themeColor="text1"/>
                <w:kern w:val="21"/>
                <w:szCs w:val="21"/>
                <w14:textFill>
                  <w14:solidFill>
                    <w14:schemeClr w14:val="tx1"/>
                  </w14:solidFill>
                </w14:textFill>
              </w:rPr>
              <w:t>；管线吹扫废渣</w:t>
            </w:r>
          </w:p>
        </w:tc>
        <w:tc>
          <w:tcPr>
            <w:tcW w:w="1350" w:type="dxa"/>
            <w:tcBorders>
              <w:top w:val="single" w:color="auto" w:sz="4" w:space="0"/>
              <w:left w:val="single" w:color="auto" w:sz="4" w:space="0"/>
              <w:bottom w:val="single" w:color="auto" w:sz="4" w:space="0"/>
              <w:right w:val="single" w:color="auto" w:sz="4" w:space="0"/>
            </w:tcBorders>
            <w:vAlign w:val="center"/>
          </w:tcPr>
          <w:p w14:paraId="23E95559">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5CBDA5C8">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106.4</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vAlign w:val="center"/>
          </w:tcPr>
          <w:p w14:paraId="65BE8CC2">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0t/a</w:t>
            </w:r>
          </w:p>
        </w:tc>
        <w:tc>
          <w:tcPr>
            <w:tcW w:w="1410" w:type="dxa"/>
            <w:tcBorders>
              <w:top w:val="single" w:color="auto" w:sz="4" w:space="0"/>
              <w:left w:val="single" w:color="auto" w:sz="4" w:space="0"/>
              <w:bottom w:val="single" w:color="auto" w:sz="4" w:space="0"/>
              <w:right w:val="single" w:color="auto" w:sz="4" w:space="0"/>
            </w:tcBorders>
            <w:vAlign w:val="center"/>
          </w:tcPr>
          <w:p w14:paraId="4E0C176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0.005t/a</w:t>
            </w:r>
          </w:p>
        </w:tc>
        <w:tc>
          <w:tcPr>
            <w:tcW w:w="1304" w:type="dxa"/>
            <w:tcBorders>
              <w:top w:val="single" w:color="auto" w:sz="4" w:space="0"/>
              <w:left w:val="single" w:color="auto" w:sz="4" w:space="0"/>
              <w:bottom w:val="single" w:color="auto" w:sz="4" w:space="0"/>
              <w:right w:val="single" w:color="auto" w:sz="4" w:space="0"/>
            </w:tcBorders>
            <w:vAlign w:val="center"/>
          </w:tcPr>
          <w:p w14:paraId="53B496FA">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76B9E6F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106</w:t>
            </w:r>
            <w:r>
              <w:rPr>
                <w:rFonts w:hint="default" w:ascii="Times New Roman" w:hAnsi="Times New Roman" w:eastAsia="宋体" w:cs="Times New Roman"/>
                <w:color w:val="000000" w:themeColor="text1"/>
                <w:kern w:val="21"/>
                <w:sz w:val="21"/>
                <w:szCs w:val="21"/>
                <w14:textFill>
                  <w14:solidFill>
                    <w14:schemeClr w14:val="tx1"/>
                  </w14:solidFill>
                </w14:textFill>
              </w:rPr>
              <w:t>.405</w:t>
            </w:r>
            <w:r>
              <w:rPr>
                <w:rFonts w:hint="default" w:ascii="Times New Roman" w:hAnsi="Times New Roman" w:eastAsia="宋体" w:cs="Times New Roman"/>
                <w:color w:val="000000" w:themeColor="text1"/>
                <w:sz w:val="21"/>
                <w:szCs w:val="21"/>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7F01B20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+0.005t/a</w:t>
            </w:r>
          </w:p>
        </w:tc>
      </w:tr>
      <w:tr w14:paraId="7704C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0" w:hRule="atLeast"/>
        </w:trPr>
        <w:tc>
          <w:tcPr>
            <w:tcW w:w="1042" w:type="dxa"/>
            <w:tcBorders>
              <w:top w:val="single" w:color="auto" w:sz="4" w:space="0"/>
              <w:left w:val="single" w:color="auto" w:sz="8" w:space="0"/>
              <w:right w:val="single" w:color="auto" w:sz="4" w:space="0"/>
            </w:tcBorders>
            <w:vAlign w:val="center"/>
          </w:tcPr>
          <w:p w14:paraId="5421627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危险废物</w:t>
            </w:r>
          </w:p>
        </w:tc>
        <w:tc>
          <w:tcPr>
            <w:tcW w:w="3137" w:type="dxa"/>
            <w:tcBorders>
              <w:top w:val="single" w:color="auto" w:sz="4" w:space="0"/>
              <w:left w:val="single" w:color="auto" w:sz="4" w:space="0"/>
              <w:bottom w:val="single" w:color="auto" w:sz="4" w:space="0"/>
              <w:right w:val="single" w:color="auto" w:sz="4" w:space="0"/>
            </w:tcBorders>
            <w:vAlign w:val="center"/>
          </w:tcPr>
          <w:p w14:paraId="32C29931">
            <w:pPr>
              <w:widowControl/>
              <w:jc w:val="center"/>
              <w:rPr>
                <w:rFonts w:hint="default" w:ascii="Times New Roman" w:hAnsi="Times New Roman" w:eastAsia="宋体" w:cs="Times New Roman"/>
                <w:color w:val="000000" w:themeColor="text1"/>
                <w:kern w:val="21"/>
                <w:szCs w:val="21"/>
                <w14:textFill>
                  <w14:solidFill>
                    <w14:schemeClr w14:val="tx1"/>
                  </w14:solidFill>
                </w14:textFill>
              </w:rPr>
            </w:pPr>
            <w:r>
              <w:rPr>
                <w:rFonts w:hint="default" w:ascii="Times New Roman" w:hAnsi="Times New Roman" w:eastAsia="宋体" w:cs="Times New Roman"/>
                <w:color w:val="000000" w:themeColor="text1"/>
                <w:kern w:val="21"/>
                <w:szCs w:val="21"/>
                <w14:textFill>
                  <w14:solidFill>
                    <w14:schemeClr w14:val="tx1"/>
                  </w14:solidFill>
                </w14:textFill>
              </w:rPr>
              <w:t>天然气净化及转化装置废脱硝催化剂、有机硫加氢催化剂、废氧化锌脱硫剂、纯氧转化炉废催化剂；H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/CO深冷分离装置废分子筛吸附剂、PSA-H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废吸附剂；乙二醇合成装置酯化合成废催化剂、乙二醇合成废催化剂、驰放气PSA-H</w:t>
            </w:r>
            <w:r>
              <w:rPr>
                <w:rFonts w:hint="default" w:ascii="Times New Roman" w:hAnsi="Times New Roman" w:eastAsia="宋体" w:cs="Times New Roman"/>
                <w:color w:val="000000" w:themeColor="text1"/>
                <w:kern w:val="21"/>
                <w:szCs w:val="21"/>
                <w:vertAlign w:val="subscript"/>
                <w14:textFill>
                  <w14:solidFill>
                    <w14:schemeClr w14:val="tx1"/>
                  </w14:solidFill>
                </w14:textFill>
              </w:rPr>
              <w:t>2</w:t>
            </w:r>
            <w:r>
              <w:rPr>
                <w:rFonts w:hint="default" w:ascii="Times New Roman" w:hAnsi="Times New Roman" w:eastAsia="宋体" w:cs="Times New Roman"/>
                <w:color w:val="000000" w:themeColor="text1"/>
                <w:kern w:val="21"/>
                <w:szCs w:val="21"/>
                <w14:textFill>
                  <w14:solidFill>
                    <w14:schemeClr w14:val="tx1"/>
                  </w14:solidFill>
                </w14:textFill>
              </w:rPr>
              <w:t>废吸附剂、T10塔分子筛吸附塔废吸附剂、液相加氢废催化剂、乙二醇精制废树脂、乙二醇脱醛精制废树脂；废水站、危废暂存间废活性炭；设备维修间废机油；实验室质检废液；废桶/内包装袋；电子级DMC装置母液分离罐废渣、1#回收塔、2#回收塔釜底废液；DMC装置配套焚烧炉焚烧底渣、飞灰</w:t>
            </w:r>
          </w:p>
        </w:tc>
        <w:tc>
          <w:tcPr>
            <w:tcW w:w="1350" w:type="dxa"/>
            <w:tcBorders>
              <w:top w:val="single" w:color="auto" w:sz="4" w:space="0"/>
              <w:left w:val="single" w:color="auto" w:sz="4" w:space="0"/>
              <w:bottom w:val="single" w:color="auto" w:sz="4" w:space="0"/>
              <w:right w:val="single" w:color="auto" w:sz="4" w:space="0"/>
            </w:tcBorders>
            <w:vAlign w:val="center"/>
          </w:tcPr>
          <w:p w14:paraId="4450D3F4">
            <w:pPr>
              <w:pStyle w:val="42"/>
              <w:widowControl w:val="0"/>
              <w:adjustRightInd w:val="0"/>
              <w:snapToGrid w:val="0"/>
              <w:spacing w:before="0" w:beforeAutospacing="0" w:after="0" w:afterAutospacing="0" w:line="256" w:lineRule="auto"/>
              <w:jc w:val="center"/>
              <w:rPr>
                <w:rFonts w:hint="eastAsia"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4" w:space="0"/>
              <w:right w:val="single" w:color="auto" w:sz="4" w:space="0"/>
            </w:tcBorders>
            <w:vAlign w:val="center"/>
          </w:tcPr>
          <w:p w14:paraId="51F0EE9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943.9</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4" w:space="0"/>
              <w:right w:val="single" w:color="auto" w:sz="4" w:space="0"/>
            </w:tcBorders>
            <w:vAlign w:val="center"/>
          </w:tcPr>
          <w:p w14:paraId="52B3231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4" w:space="0"/>
              <w:right w:val="single" w:color="auto" w:sz="4" w:space="0"/>
            </w:tcBorders>
            <w:vAlign w:val="center"/>
          </w:tcPr>
          <w:p w14:paraId="1E739399">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.001</w:t>
            </w:r>
          </w:p>
        </w:tc>
        <w:tc>
          <w:tcPr>
            <w:tcW w:w="1304" w:type="dxa"/>
            <w:tcBorders>
              <w:top w:val="single" w:color="auto" w:sz="4" w:space="0"/>
              <w:left w:val="single" w:color="auto" w:sz="4" w:space="0"/>
              <w:bottom w:val="single" w:color="auto" w:sz="4" w:space="0"/>
              <w:right w:val="single" w:color="auto" w:sz="4" w:space="0"/>
            </w:tcBorders>
            <w:vAlign w:val="center"/>
          </w:tcPr>
          <w:p w14:paraId="112AE7F5">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4" w:space="0"/>
              <w:right w:val="single" w:color="auto" w:sz="4" w:space="0"/>
            </w:tcBorders>
            <w:vAlign w:val="center"/>
          </w:tcPr>
          <w:p w14:paraId="2AAA06AC">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943.9</w:t>
            </w:r>
            <w:r>
              <w:rPr>
                <w:rFonts w:hint="eastAsia" w:ascii="Times New Roman" w:hAnsi="Times New Roman" w:cs="Times New Roman"/>
                <w:color w:val="000000" w:themeColor="text1"/>
                <w:kern w:val="21"/>
                <w:sz w:val="21"/>
                <w:szCs w:val="21"/>
                <w:lang w:val="en-US" w:eastAsia="zh-CN"/>
                <w14:textFill>
                  <w14:solidFill>
                    <w14:schemeClr w14:val="tx1"/>
                  </w14:solidFill>
                </w14:textFill>
              </w:rPr>
              <w:t>01</w:t>
            </w:r>
            <w:r>
              <w:rPr>
                <w:rFonts w:hint="default" w:ascii="Times New Roman" w:hAnsi="Times New Roman" w:eastAsia="宋体" w:cs="Times New Roman"/>
                <w:color w:val="000000" w:themeColor="text1"/>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4" w:space="0"/>
              <w:right w:val="single" w:color="auto" w:sz="8" w:space="0"/>
            </w:tcBorders>
            <w:vAlign w:val="center"/>
          </w:tcPr>
          <w:p w14:paraId="0612617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bidi="ar"/>
                <w14:textFill>
                  <w14:solidFill>
                    <w14:schemeClr w14:val="tx1"/>
                  </w14:solidFill>
                </w14:textFill>
              </w:rPr>
              <w:t>+0.001</w:t>
            </w:r>
          </w:p>
        </w:tc>
      </w:tr>
      <w:tr w14:paraId="5A895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42" w:type="dxa"/>
            <w:tcBorders>
              <w:left w:val="single" w:color="auto" w:sz="8" w:space="0"/>
              <w:bottom w:val="single" w:color="auto" w:sz="8" w:space="0"/>
              <w:right w:val="single" w:color="auto" w:sz="4" w:space="0"/>
            </w:tcBorders>
            <w:vAlign w:val="center"/>
          </w:tcPr>
          <w:p w14:paraId="4C15F821">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待鉴定类（产生量）</w:t>
            </w:r>
          </w:p>
        </w:tc>
        <w:tc>
          <w:tcPr>
            <w:tcW w:w="3137" w:type="dxa"/>
            <w:tcBorders>
              <w:top w:val="single" w:color="auto" w:sz="4" w:space="0"/>
              <w:left w:val="single" w:color="auto" w:sz="4" w:space="0"/>
              <w:bottom w:val="single" w:color="auto" w:sz="8" w:space="0"/>
              <w:right w:val="single" w:color="auto" w:sz="4" w:space="0"/>
            </w:tcBorders>
            <w:vAlign w:val="center"/>
          </w:tcPr>
          <w:p w14:paraId="6EA79306">
            <w:pPr>
              <w:widowControl/>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Cs w:val="21"/>
                <w14:textFill>
                  <w14:solidFill>
                    <w14:schemeClr w14:val="tx1"/>
                  </w14:solidFill>
                </w14:textFill>
              </w:rPr>
              <w:t>污水处理站污泥、回用水站污泥、蒸发杂盐</w:t>
            </w:r>
            <w:r>
              <w:rPr>
                <w:rFonts w:hint="eastAsia" w:cs="Times New Roman"/>
                <w:color w:val="000000" w:themeColor="text1"/>
                <w:kern w:val="21"/>
                <w:szCs w:val="21"/>
                <w:lang w:val="en-US" w:eastAsia="zh-CN"/>
                <w14:textFill>
                  <w14:solidFill>
                    <w14:schemeClr w14:val="tx1"/>
                  </w14:solidFill>
                </w14:textFill>
              </w:rPr>
              <w:t>等</w:t>
            </w:r>
          </w:p>
        </w:tc>
        <w:tc>
          <w:tcPr>
            <w:tcW w:w="1350" w:type="dxa"/>
            <w:tcBorders>
              <w:top w:val="single" w:color="auto" w:sz="4" w:space="0"/>
              <w:left w:val="single" w:color="auto" w:sz="4" w:space="0"/>
              <w:bottom w:val="single" w:color="auto" w:sz="8" w:space="0"/>
              <w:right w:val="single" w:color="auto" w:sz="4" w:space="0"/>
            </w:tcBorders>
            <w:vAlign w:val="center"/>
          </w:tcPr>
          <w:p w14:paraId="0FCD5E5C">
            <w:pPr>
              <w:pStyle w:val="42"/>
              <w:widowControl w:val="0"/>
              <w:adjustRightInd w:val="0"/>
              <w:snapToGrid w:val="0"/>
              <w:spacing w:before="0" w:beforeAutospacing="0" w:after="0" w:afterAutospacing="0" w:line="256" w:lineRule="auto"/>
              <w:jc w:val="center"/>
              <w:rPr>
                <w:rFonts w:hint="default" w:ascii="Times New Roman" w:hAnsi="Times New Roman" w:cs="Times New Roman"/>
                <w:color w:val="000000" w:themeColor="text1"/>
                <w:kern w:val="21"/>
                <w:sz w:val="21"/>
                <w:szCs w:val="21"/>
                <w:lang w:val="en-US" w:eastAsia="zh-CN"/>
                <w14:textFill>
                  <w14:solidFill>
                    <w14:schemeClr w14:val="tx1"/>
                  </w14:solidFill>
                </w14:textFill>
              </w:rPr>
            </w:pPr>
            <w:r>
              <w:rPr>
                <w:rFonts w:hint="eastAsia" w:ascii="Times New Roman" w:hAnsi="Times New Roman" w:cs="Times New Roman"/>
                <w:color w:val="000000" w:themeColor="text1"/>
                <w:kern w:val="21"/>
                <w:sz w:val="21"/>
                <w:szCs w:val="21"/>
                <w:lang w:val="en-US" w:eastAsia="zh-CN"/>
                <w14:textFill>
                  <w14:solidFill>
                    <w14:schemeClr w14:val="tx1"/>
                  </w14:solidFill>
                </w14:textFill>
              </w:rPr>
              <w:t>/</w:t>
            </w:r>
          </w:p>
        </w:tc>
        <w:tc>
          <w:tcPr>
            <w:tcW w:w="1140" w:type="dxa"/>
            <w:tcBorders>
              <w:top w:val="single" w:color="auto" w:sz="4" w:space="0"/>
              <w:left w:val="single" w:color="auto" w:sz="4" w:space="0"/>
              <w:bottom w:val="single" w:color="auto" w:sz="8" w:space="0"/>
              <w:right w:val="single" w:color="auto" w:sz="4" w:space="0"/>
            </w:tcBorders>
            <w:vAlign w:val="center"/>
          </w:tcPr>
          <w:p w14:paraId="6927AFCF">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59028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620" w:type="dxa"/>
            <w:tcBorders>
              <w:top w:val="single" w:color="auto" w:sz="4" w:space="0"/>
              <w:left w:val="single" w:color="auto" w:sz="4" w:space="0"/>
              <w:bottom w:val="single" w:color="auto" w:sz="8" w:space="0"/>
              <w:right w:val="single" w:color="auto" w:sz="4" w:space="0"/>
            </w:tcBorders>
            <w:vAlign w:val="center"/>
          </w:tcPr>
          <w:p w14:paraId="5D5771D0">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410" w:type="dxa"/>
            <w:tcBorders>
              <w:top w:val="single" w:color="auto" w:sz="4" w:space="0"/>
              <w:left w:val="single" w:color="auto" w:sz="4" w:space="0"/>
              <w:bottom w:val="single" w:color="auto" w:sz="8" w:space="0"/>
              <w:right w:val="single" w:color="auto" w:sz="4" w:space="0"/>
            </w:tcBorders>
            <w:vAlign w:val="center"/>
          </w:tcPr>
          <w:p w14:paraId="581027AE">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304" w:type="dxa"/>
            <w:tcBorders>
              <w:top w:val="single" w:color="auto" w:sz="4" w:space="0"/>
              <w:left w:val="single" w:color="auto" w:sz="4" w:space="0"/>
              <w:bottom w:val="single" w:color="auto" w:sz="8" w:space="0"/>
              <w:right w:val="single" w:color="auto" w:sz="4" w:space="0"/>
            </w:tcBorders>
            <w:vAlign w:val="center"/>
          </w:tcPr>
          <w:p w14:paraId="3CABAEC4">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0</w:t>
            </w:r>
          </w:p>
        </w:tc>
        <w:tc>
          <w:tcPr>
            <w:tcW w:w="1669" w:type="dxa"/>
            <w:tcBorders>
              <w:top w:val="single" w:color="auto" w:sz="4" w:space="0"/>
              <w:left w:val="single" w:color="auto" w:sz="4" w:space="0"/>
              <w:bottom w:val="single" w:color="auto" w:sz="8" w:space="0"/>
              <w:right w:val="single" w:color="auto" w:sz="4" w:space="0"/>
            </w:tcBorders>
            <w:vAlign w:val="center"/>
          </w:tcPr>
          <w:p w14:paraId="1E18DC57">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21"/>
                <w:sz w:val="21"/>
                <w:szCs w:val="21"/>
                <w14:textFill>
                  <w14:solidFill>
                    <w14:schemeClr w14:val="tx1"/>
                  </w14:solidFill>
                </w14:textFill>
              </w:rPr>
              <w:t>59028</w:t>
            </w:r>
            <w:r>
              <w:rPr>
                <w:rFonts w:hint="default" w:ascii="Times New Roman" w:hAnsi="Times New Roman" w:eastAsia="宋体" w:cs="Times New Roman"/>
                <w:color w:val="000000" w:themeColor="text1"/>
                <w:spacing w:val="-6"/>
                <w:kern w:val="21"/>
                <w:sz w:val="21"/>
                <w:szCs w:val="21"/>
                <w:lang w:bidi="ar"/>
                <w14:textFill>
                  <w14:solidFill>
                    <w14:schemeClr w14:val="tx1"/>
                  </w14:solidFill>
                </w14:textFill>
              </w:rPr>
              <w:t>t/a</w:t>
            </w:r>
          </w:p>
        </w:tc>
        <w:tc>
          <w:tcPr>
            <w:tcW w:w="1116" w:type="dxa"/>
            <w:tcBorders>
              <w:top w:val="single" w:color="auto" w:sz="4" w:space="0"/>
              <w:left w:val="single" w:color="auto" w:sz="4" w:space="0"/>
              <w:bottom w:val="single" w:color="auto" w:sz="8" w:space="0"/>
              <w:right w:val="single" w:color="auto" w:sz="8" w:space="0"/>
            </w:tcBorders>
            <w:vAlign w:val="center"/>
          </w:tcPr>
          <w:p w14:paraId="3D17C3A3">
            <w:pPr>
              <w:pStyle w:val="42"/>
              <w:widowControl w:val="0"/>
              <w:adjustRightInd w:val="0"/>
              <w:snapToGrid w:val="0"/>
              <w:spacing w:before="0" w:beforeAutospacing="0" w:after="0" w:afterAutospacing="0" w:line="256" w:lineRule="auto"/>
              <w:jc w:val="center"/>
              <w:rPr>
                <w:rFonts w:hint="default" w:ascii="Times New Roman" w:hAnsi="Times New Roman" w:eastAsia="宋体" w:cs="Times New Roman"/>
                <w:color w:val="000000" w:themeColor="text1"/>
                <w:kern w:val="21"/>
                <w:sz w:val="21"/>
                <w:szCs w:val="21"/>
                <w:lang w:bidi="ar"/>
                <w14:textFill>
                  <w14:solidFill>
                    <w14:schemeClr w14:val="tx1"/>
                  </w14:solidFill>
                </w14:textFill>
              </w:rPr>
            </w:pPr>
            <w:r>
              <w:rPr>
                <w:rFonts w:hint="default" w:ascii="Times New Roman" w:hAnsi="Times New Roman" w:eastAsia="宋体" w:cs="Times New Roman"/>
                <w:color w:val="000000" w:themeColor="text1"/>
                <w:kern w:val="21"/>
                <w:sz w:val="21"/>
                <w:szCs w:val="21"/>
                <w:lang w:bidi="ar"/>
                <w14:textFill>
                  <w14:solidFill>
                    <w14:schemeClr w14:val="tx1"/>
                  </w14:solidFill>
                </w14:textFill>
              </w:rPr>
              <w:t>不变</w:t>
            </w:r>
          </w:p>
        </w:tc>
      </w:tr>
    </w:tbl>
    <w:p w14:paraId="4D54A275">
      <w:pPr>
        <w:pStyle w:val="99"/>
        <w:spacing w:before="192" w:beforeLines="80" w:after="24"/>
        <w:jc w:val="left"/>
        <w:rPr>
          <w:rFonts w:hint="default" w:ascii="Times New Roman" w:hAnsi="Times New Roman" w:eastAsia="宋体" w:cs="Times New Roman"/>
        </w:rPr>
      </w:pPr>
      <w:r>
        <w:rPr>
          <w:rFonts w:hint="default" w:ascii="Times New Roman" w:hAnsi="Times New Roman" w:eastAsia="宋体" w:cs="Times New Roman"/>
          <w:snapToGrid w:val="0"/>
          <w:kern w:val="21"/>
          <w:szCs w:val="21"/>
        </w:rPr>
        <w:t>注：</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 = 6 \* GB3 \* MERGEFORMAT </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⑥</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1 \* GB3 \* MERGEFORMAT </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①</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3 \* GB3 \* MERGEFORMAT </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③</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4 \* GB3 \* MERGEFORMAT </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④</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 = 5 \* GB3 \* MERGEFORMAT </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⑤</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7 \* GB3 \* MERGEFORMAT </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⑦</w:t>
      </w:r>
      <w:r>
        <w:rPr>
          <w:rFonts w:hint="default" w:ascii="Times New Roman" w:hAnsi="Times New Roman" w:eastAsia="宋体" w:cs="Times New Roman"/>
          <w:snapToGrid w:val="0"/>
          <w:spacing w:val="-6"/>
          <w:kern w:val="21"/>
          <w:szCs w:val="21"/>
        </w:rPr>
        <w:fldChar w:fldCharType="end"/>
      </w:r>
      <w:r>
        <w:rPr>
          <w:rFonts w:hint="default" w:ascii="Times New Roman" w:hAnsi="Times New Roman" w:eastAsia="宋体" w:cs="Times New Roman"/>
          <w:snapToGrid w:val="0"/>
          <w:spacing w:val="-6"/>
          <w:kern w:val="21"/>
          <w:szCs w:val="21"/>
        </w:rPr>
        <w:t>=</w:t>
      </w:r>
      <w:r>
        <w:rPr>
          <w:rFonts w:hint="default" w:ascii="Times New Roman" w:hAnsi="Times New Roman" w:eastAsia="宋体" w:cs="Times New Roman"/>
          <w:snapToGrid w:val="0"/>
          <w:spacing w:val="-16"/>
          <w:kern w:val="21"/>
          <w:szCs w:val="21"/>
        </w:rPr>
        <w:fldChar w:fldCharType="begin"/>
      </w:r>
      <w:r>
        <w:rPr>
          <w:rFonts w:hint="default" w:ascii="Times New Roman" w:hAnsi="Times New Roman" w:eastAsia="宋体" w:cs="Times New Roman"/>
          <w:snapToGrid w:val="0"/>
          <w:spacing w:val="-16"/>
          <w:kern w:val="21"/>
          <w:szCs w:val="21"/>
        </w:rPr>
        <w:instrText xml:space="preserve"> = 6 \* GB3 \* MERGEFORMAT </w:instrText>
      </w:r>
      <w:r>
        <w:rPr>
          <w:rFonts w:hint="default" w:ascii="Times New Roman" w:hAnsi="Times New Roman" w:eastAsia="宋体" w:cs="Times New Roman"/>
          <w:snapToGrid w:val="0"/>
          <w:spacing w:val="-16"/>
          <w:kern w:val="21"/>
          <w:szCs w:val="21"/>
        </w:rPr>
        <w:fldChar w:fldCharType="separate"/>
      </w:r>
      <w:r>
        <w:rPr>
          <w:rFonts w:hint="default" w:ascii="Times New Roman" w:hAnsi="Times New Roman" w:eastAsia="宋体" w:cs="Times New Roman"/>
          <w:szCs w:val="21"/>
        </w:rPr>
        <w:t>⑥</w:t>
      </w:r>
      <w:r>
        <w:rPr>
          <w:rFonts w:hint="default" w:ascii="Times New Roman" w:hAnsi="Times New Roman" w:eastAsia="宋体" w:cs="Times New Roman"/>
          <w:snapToGrid w:val="0"/>
          <w:spacing w:val="-16"/>
          <w:kern w:val="21"/>
          <w:szCs w:val="21"/>
        </w:rPr>
        <w:fldChar w:fldCharType="end"/>
      </w:r>
      <w:r>
        <w:rPr>
          <w:rFonts w:hint="default" w:ascii="Times New Roman" w:hAnsi="Times New Roman" w:eastAsia="宋体" w:cs="Times New Roman"/>
          <w:snapToGrid w:val="0"/>
          <w:spacing w:val="-16"/>
          <w:kern w:val="21"/>
          <w:szCs w:val="21"/>
        </w:rPr>
        <w:t>-</w:t>
      </w:r>
      <w:r>
        <w:rPr>
          <w:rFonts w:hint="default" w:ascii="Times New Roman" w:hAnsi="Times New Roman" w:eastAsia="宋体" w:cs="Times New Roman"/>
          <w:snapToGrid w:val="0"/>
          <w:spacing w:val="-6"/>
          <w:kern w:val="21"/>
          <w:szCs w:val="21"/>
        </w:rPr>
        <w:fldChar w:fldCharType="begin"/>
      </w:r>
      <w:r>
        <w:rPr>
          <w:rFonts w:hint="default" w:ascii="Times New Roman" w:hAnsi="Times New Roman" w:eastAsia="宋体" w:cs="Times New Roman"/>
          <w:snapToGrid w:val="0"/>
          <w:spacing w:val="-6"/>
          <w:kern w:val="21"/>
          <w:szCs w:val="21"/>
        </w:rPr>
        <w:instrText xml:space="preserve"> = 1 \* GB3 \* MERGEFORMAT </w:instrText>
      </w:r>
      <w:r>
        <w:rPr>
          <w:rFonts w:hint="default" w:ascii="Times New Roman" w:hAnsi="Times New Roman" w:eastAsia="宋体" w:cs="Times New Roman"/>
          <w:snapToGrid w:val="0"/>
          <w:spacing w:val="-6"/>
          <w:kern w:val="21"/>
          <w:szCs w:val="21"/>
        </w:rPr>
        <w:fldChar w:fldCharType="separate"/>
      </w:r>
      <w:r>
        <w:rPr>
          <w:rFonts w:hint="default" w:ascii="Times New Roman" w:hAnsi="Times New Roman" w:eastAsia="宋体" w:cs="Times New Roman"/>
          <w:szCs w:val="21"/>
        </w:rPr>
        <w:t>①</w:t>
      </w:r>
      <w:r>
        <w:rPr>
          <w:rFonts w:hint="default" w:ascii="Times New Roman" w:hAnsi="Times New Roman" w:eastAsia="宋体" w:cs="Times New Roman"/>
          <w:snapToGrid w:val="0"/>
          <w:spacing w:val="-6"/>
          <w:kern w:val="21"/>
          <w:szCs w:val="21"/>
        </w:rPr>
        <w:fldChar w:fldCharType="end"/>
      </w:r>
    </w:p>
    <w:p w14:paraId="56671563"/>
    <w:sectPr>
      <w:headerReference r:id="rId12" w:type="default"/>
      <w:footerReference r:id="rId13" w:type="default"/>
      <w:pgSz w:w="16838" w:h="11906" w:orient="landscape"/>
      <w:pgMar w:top="1531" w:right="1701" w:bottom="1531" w:left="1701" w:header="851"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微软雅黑">
    <w:altName w:val="黑体"/>
    <w:panose1 w:val="020B0503020204020204"/>
    <w:charset w:val="86"/>
    <w:family w:val="swiss"/>
    <w:pitch w:val="default"/>
    <w:sig w:usb0="00000000" w:usb1="00000000" w:usb2="00000016" w:usb3="00000000" w:csb0="0004001F" w:csb1="00000000"/>
  </w:font>
  <w:font w:name="TimesNewRoman">
    <w:altName w:val="Times New Roman"/>
    <w:panose1 w:val="00000000000000000000"/>
    <w:charset w:val="00"/>
    <w:family w:val="roman"/>
    <w:pitch w:val="default"/>
    <w:sig w:usb0="00000000" w:usb1="00000000" w:usb2="00000010" w:usb3="00000000" w:csb0="00040001"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汉鼎简书宋">
    <w:altName w:val="宋体"/>
    <w:panose1 w:val="00000000000000000000"/>
    <w:charset w:val="86"/>
    <w:family w:val="modern"/>
    <w:pitch w:val="default"/>
    <w:sig w:usb0="00000000" w:usb1="00000000" w:usb2="00000010" w:usb3="00000000" w:csb0="00040000" w:csb1="00000000"/>
  </w:font>
  <w:font w:name="Arial Unicode MS">
    <w:altName w:val="Times New Roman"/>
    <w:panose1 w:val="020B0604020202020204"/>
    <w:charset w:val="86"/>
    <w:family w:val="swiss"/>
    <w:pitch w:val="default"/>
    <w:sig w:usb0="00000000" w:usb1="00000000" w:usb2="0000003F" w:usb3="00000000" w:csb0="603F01FF" w:csb1="FFFF0000"/>
  </w:font>
  <w:font w:name="楷体">
    <w:altName w:val="楷体_GB2312"/>
    <w:panose1 w:val="02010609060101010101"/>
    <w:charset w:val="86"/>
    <w:family w:val="modern"/>
    <w:pitch w:val="default"/>
    <w:sig w:usb0="00000000" w:usb1="00000000" w:usb2="00000016" w:usb3="00000000" w:csb0="00040001" w:csb1="00000000"/>
  </w:font>
  <w:font w:name="MingLiU">
    <w:altName w:val="宋体"/>
    <w:panose1 w:val="02010609000101010101"/>
    <w:charset w:val="88"/>
    <w:family w:val="modern"/>
    <w:pitch w:val="default"/>
    <w:sig w:usb0="00000000" w:usb1="00000000" w:usb2="00000016" w:usb3="00000000" w:csb0="00100001" w:csb1="00000000"/>
  </w:font>
  <w:font w:name="ˎ̥">
    <w:altName w:val="宋体"/>
    <w:panose1 w:val="00000000000000000000"/>
    <w:charset w:val="00"/>
    <w:family w:val="roman"/>
    <w:pitch w:val="default"/>
    <w:sig w:usb0="00000000" w:usb1="00000000" w:usb2="00000000"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Tms Rmn">
    <w:altName w:val="Times New Roman"/>
    <w:panose1 w:val="02020603040505020304"/>
    <w:charset w:val="00"/>
    <w:family w:val="roman"/>
    <w:pitch w:val="default"/>
    <w:sig w:usb0="00000000" w:usb1="00000000" w:usb2="00000000" w:usb3="00000000" w:csb0="00000001" w:csb1="00000000"/>
  </w:font>
  <w:font w:name="Verdana">
    <w:altName w:val="DejaVu Sans"/>
    <w:panose1 w:val="020B0604030504040204"/>
    <w:charset w:val="00"/>
    <w:family w:val="swiss"/>
    <w:pitch w:val="default"/>
    <w:sig w:usb0="00000000" w:usb1="00000000" w:usb2="00000010" w:usb3="00000000" w:csb0="2000019F"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方正小标宋_GBK">
    <w:panose1 w:val="03000509000000000000"/>
    <w:charset w:val="86"/>
    <w:family w:val="script"/>
    <w:pitch w:val="default"/>
    <w:sig w:usb0="00000001" w:usb1="080E0000" w:usb2="00000000" w:usb3="00000000" w:csb0="00040000" w:csb1="00000000"/>
  </w:font>
  <w:font w:name="GWZT-EN">
    <w:panose1 w:val="020204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B92E5">
    <w:pPr>
      <w:pStyle w:val="2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199BF">
                          <w:pPr>
                            <w:pStyle w:val="2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AF199BF">
                    <w:pPr>
                      <w:pStyle w:val="28"/>
                    </w:pPr>
                    <w:r>
                      <w:fldChar w:fldCharType="begin"/>
                    </w:r>
                    <w:r>
                      <w:instrText xml:space="preserve"> PAGE  \* MERGEFORMAT </w:instrText>
                    </w:r>
                    <w:r>
                      <w:fldChar w:fldCharType="separate"/>
                    </w:r>
                    <w:r>
                      <w:t>34</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3F718F">
                          <w:pPr>
                            <w:pStyle w:val="28"/>
                          </w:pP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1HsEBAACO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XhNieMWJ375/u3y49fl51ey&#10;zPr0AWpMewiYmIY7P2Du7Ad0ZtqDijZ/kRDBOKp7vqorh0REfrRerdcVhgTG5gvis8fnIUJ6K70l&#10;2WhoxPEVVfnpPaQxdU7J1Zy/18aUERr3lwMxs4fl3sces5WG/TAR2vv2jHx6nHxDHS46JeadQ2Hz&#10;ksxGnI39ZOQaEG6PCQuXfjLqCDUVwzEVRtNK5T34816yHn+j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V/J1HsEBAACOAwAADgAAAAAAAAABACAAAAAeAQAAZHJzL2Uyb0RvYy54bWxQSwUG&#10;AAAAAAYABgBZAQAAUQUAAAAA&#10;">
              <v:fill on="f" focussize="0,0"/>
              <v:stroke on="f"/>
              <v:imagedata o:title=""/>
              <o:lock v:ext="edit" aspectratio="f"/>
              <v:textbox inset="0mm,0mm,0mm,0mm" style="mso-fit-shape-to-text:t;">
                <w:txbxContent>
                  <w:p w14:paraId="193F718F">
                    <w:pPr>
                      <w:pStyle w:val="2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82BAE">
    <w:pPr>
      <w:pStyle w:val="2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22FEDC">
                          <w:pPr>
                            <w:pStyle w:val="2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922FEDC">
                    <w:pPr>
                      <w:pStyle w:val="28"/>
                    </w:pPr>
                    <w:r>
                      <w:fldChar w:fldCharType="begin"/>
                    </w:r>
                    <w:r>
                      <w:instrText xml:space="preserve"> PAGE  \* MERGEFORMAT </w:instrText>
                    </w:r>
                    <w:r>
                      <w:fldChar w:fldCharType="separate"/>
                    </w:r>
                    <w:r>
                      <w:t>36</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60920">
                          <w:pPr>
                            <w:pStyle w:val="28"/>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B360920">
                    <w:pPr>
                      <w:pStyle w:val="28"/>
                      <w:rPr>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495FF">
    <w:pPr>
      <w:pStyle w:val="28"/>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CC42C">
                          <w:pPr>
                            <w:pStyle w:val="2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98CC42C">
                    <w:pPr>
                      <w:pStyle w:val="2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19B07">
    <w:pPr>
      <w:pStyle w:val="28"/>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25418">
                          <w:pPr>
                            <w:pStyle w:val="2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425418">
                    <w:pPr>
                      <w:pStyle w:val="2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01186">
    <w:pPr>
      <w:pStyle w:val="29"/>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616EF">
    <w:pPr>
      <w:pStyle w:val="2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C519C">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E188">
    <w:pPr>
      <w:pStyle w:val="2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3E15F">
    <w:pPr>
      <w:pStyle w:val="2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CC02B">
    <w:pPr>
      <w:pStyle w:val="29"/>
      <w:pBdr>
        <w:bottom w:val="none" w:color="auto" w:sz="0" w:space="1"/>
      </w:pBdr>
      <w:tabs>
        <w:tab w:val="left" w:pos="5438"/>
      </w:tabs>
      <w:jc w:val="left"/>
    </w:pPr>
    <w:r>
      <w:rPr>
        <w:rFonts w:hint="eastAsia"/>
      </w:rPr>
      <w:tab/>
    </w:r>
    <w:r>
      <w:rPr>
        <w:rFonts w:hint="eastAsi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05318">
    <w:pPr>
      <w:pStyle w:val="29"/>
      <w:pBdr>
        <w:top w:val="none" w:color="auto" w:sz="0" w:space="1"/>
        <w:left w:val="none" w:color="auto" w:sz="0" w:space="4"/>
        <w:bottom w:val="none" w:color="auto" w:sz="0" w:space="1"/>
        <w:right w:val="none" w:color="auto" w:sz="0" w:space="4"/>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AE6A1D"/>
    <w:multiLevelType w:val="singleLevel"/>
    <w:tmpl w:val="BDAE6A1D"/>
    <w:lvl w:ilvl="0" w:tentative="0">
      <w:start w:val="1"/>
      <w:numFmt w:val="decimal"/>
      <w:pStyle w:val="514"/>
      <w:lvlText w:val="表 1-%1"/>
      <w:lvlJc w:val="left"/>
      <w:pPr>
        <w:tabs>
          <w:tab w:val="left" w:pos="420"/>
        </w:tabs>
        <w:ind w:left="425" w:hanging="425"/>
      </w:pPr>
      <w:rPr>
        <w:rFonts w:hint="default" w:ascii="Times New Roman" w:hAnsi="Times New Roman" w:eastAsia="黑体"/>
        <w:b w:val="0"/>
        <w:bCs w:val="0"/>
        <w:sz w:val="21"/>
        <w:szCs w:val="21"/>
      </w:rPr>
    </w:lvl>
  </w:abstractNum>
  <w:abstractNum w:abstractNumId="1">
    <w:nsid w:val="CEAB6E6F"/>
    <w:multiLevelType w:val="singleLevel"/>
    <w:tmpl w:val="CEAB6E6F"/>
    <w:lvl w:ilvl="0" w:tentative="0">
      <w:start w:val="1"/>
      <w:numFmt w:val="decimal"/>
      <w:pStyle w:val="302"/>
      <w:lvlText w:val="表4-%1"/>
      <w:lvlJc w:val="left"/>
      <w:pPr>
        <w:tabs>
          <w:tab w:val="left" w:pos="420"/>
        </w:tabs>
        <w:ind w:left="425" w:hanging="425"/>
      </w:pPr>
      <w:rPr>
        <w:rFonts w:hint="default"/>
      </w:rPr>
    </w:lvl>
  </w:abstractNum>
  <w:abstractNum w:abstractNumId="2">
    <w:nsid w:val="E322F6D6"/>
    <w:multiLevelType w:val="singleLevel"/>
    <w:tmpl w:val="E322F6D6"/>
    <w:lvl w:ilvl="0" w:tentative="0">
      <w:start w:val="1"/>
      <w:numFmt w:val="decimal"/>
      <w:pStyle w:val="517"/>
      <w:suff w:val="nothing"/>
      <w:lvlText w:val="表1-%1 "/>
      <w:lvlJc w:val="left"/>
      <w:pPr>
        <w:ind w:left="0" w:firstLine="0"/>
      </w:pPr>
      <w:rPr>
        <w:rFonts w:hint="default" w:ascii="Times New Roman" w:hAnsi="Times New Roman" w:eastAsia="宋体" w:cs="Times New Roman"/>
        <w:b/>
        <w:bCs/>
        <w:sz w:val="21"/>
        <w:szCs w:val="21"/>
      </w:rPr>
    </w:lvl>
  </w:abstractNum>
  <w:abstractNum w:abstractNumId="3">
    <w:nsid w:val="F5BDAA75"/>
    <w:multiLevelType w:val="singleLevel"/>
    <w:tmpl w:val="F5BDAA75"/>
    <w:lvl w:ilvl="0" w:tentative="0">
      <w:start w:val="4"/>
      <w:numFmt w:val="chineseCounting"/>
      <w:pStyle w:val="295"/>
      <w:suff w:val="nothing"/>
      <w:lvlText w:val="%1、"/>
      <w:lvlJc w:val="left"/>
      <w:rPr>
        <w:rFonts w:hint="eastAsia"/>
      </w:rPr>
    </w:lvl>
  </w:abstractNum>
  <w:abstractNum w:abstractNumId="4">
    <w:nsid w:val="0E640EEC"/>
    <w:multiLevelType w:val="singleLevel"/>
    <w:tmpl w:val="0E640EEC"/>
    <w:lvl w:ilvl="0" w:tentative="0">
      <w:start w:val="1"/>
      <w:numFmt w:val="decimal"/>
      <w:pStyle w:val="257"/>
      <w:lvlText w:val="表2-%1"/>
      <w:lvlJc w:val="left"/>
      <w:pPr>
        <w:tabs>
          <w:tab w:val="left" w:pos="420"/>
        </w:tabs>
        <w:ind w:left="425" w:hanging="425"/>
      </w:pPr>
      <w:rPr>
        <w:rFonts w:hint="default" w:ascii="宋体" w:hAnsi="宋体" w:eastAsia="宋体" w:cs="宋体"/>
        <w:b/>
      </w:rPr>
    </w:lvl>
  </w:abstractNum>
  <w:abstractNum w:abstractNumId="5">
    <w:nsid w:val="2CE3397A"/>
    <w:multiLevelType w:val="multilevel"/>
    <w:tmpl w:val="2CE3397A"/>
    <w:lvl w:ilvl="0" w:tentative="0">
      <w:start w:val="1"/>
      <w:numFmt w:val="decimal"/>
      <w:pStyle w:val="471"/>
      <w:suff w:val="nothing"/>
      <w:lvlText w:val="%1、"/>
      <w:lvlJc w:val="left"/>
      <w:pPr>
        <w:ind w:left="840" w:hanging="420"/>
      </w:pPr>
      <w:rPr>
        <w:rFonts w:hint="default"/>
      </w:rPr>
    </w:lvl>
    <w:lvl w:ilvl="1" w:tentative="0">
      <w:start w:val="1"/>
      <w:numFmt w:val="lowerLetter"/>
      <w:lvlText w:val="%2)"/>
      <w:lvlJc w:val="left"/>
      <w:pPr>
        <w:ind w:left="1320" w:hanging="420"/>
      </w:pPr>
      <w:rPr>
        <w:rFonts w:hint="eastAsia"/>
      </w:rPr>
    </w:lvl>
    <w:lvl w:ilvl="2" w:tentative="0">
      <w:start w:val="1"/>
      <w:numFmt w:val="lowerRoman"/>
      <w:lvlText w:val="%3."/>
      <w:lvlJc w:val="right"/>
      <w:pPr>
        <w:ind w:left="1740" w:hanging="420"/>
      </w:pPr>
      <w:rPr>
        <w:rFonts w:hint="eastAsia"/>
      </w:rPr>
    </w:lvl>
    <w:lvl w:ilvl="3" w:tentative="0">
      <w:start w:val="1"/>
      <w:numFmt w:val="decimal"/>
      <w:lvlText w:val="%4."/>
      <w:lvlJc w:val="left"/>
      <w:pPr>
        <w:ind w:left="2160" w:hanging="420"/>
      </w:pPr>
      <w:rPr>
        <w:rFonts w:hint="eastAsia"/>
      </w:rPr>
    </w:lvl>
    <w:lvl w:ilvl="4" w:tentative="0">
      <w:start w:val="1"/>
      <w:numFmt w:val="lowerLetter"/>
      <w:lvlText w:val="%5)"/>
      <w:lvlJc w:val="left"/>
      <w:pPr>
        <w:ind w:left="2580" w:hanging="420"/>
      </w:pPr>
      <w:rPr>
        <w:rFonts w:hint="eastAsia"/>
      </w:rPr>
    </w:lvl>
    <w:lvl w:ilvl="5" w:tentative="0">
      <w:start w:val="1"/>
      <w:numFmt w:val="lowerRoman"/>
      <w:lvlText w:val="%6."/>
      <w:lvlJc w:val="right"/>
      <w:pPr>
        <w:ind w:left="3000" w:hanging="420"/>
      </w:pPr>
      <w:rPr>
        <w:rFonts w:hint="eastAsia"/>
      </w:rPr>
    </w:lvl>
    <w:lvl w:ilvl="6" w:tentative="0">
      <w:start w:val="1"/>
      <w:numFmt w:val="decimal"/>
      <w:lvlText w:val="%7."/>
      <w:lvlJc w:val="left"/>
      <w:pPr>
        <w:ind w:left="3420" w:hanging="420"/>
      </w:pPr>
      <w:rPr>
        <w:rFonts w:hint="eastAsia"/>
      </w:rPr>
    </w:lvl>
    <w:lvl w:ilvl="7" w:tentative="0">
      <w:start w:val="1"/>
      <w:numFmt w:val="lowerLetter"/>
      <w:lvlText w:val="%8)"/>
      <w:lvlJc w:val="left"/>
      <w:pPr>
        <w:ind w:left="3840" w:hanging="420"/>
      </w:pPr>
      <w:rPr>
        <w:rFonts w:hint="eastAsia"/>
      </w:rPr>
    </w:lvl>
    <w:lvl w:ilvl="8" w:tentative="0">
      <w:start w:val="1"/>
      <w:numFmt w:val="lowerRoman"/>
      <w:lvlText w:val="%9."/>
      <w:lvlJc w:val="right"/>
      <w:pPr>
        <w:ind w:left="4260" w:hanging="420"/>
      </w:pPr>
      <w:rPr>
        <w:rFonts w:hint="eastAsia"/>
      </w:rPr>
    </w:lvl>
  </w:abstractNum>
  <w:abstractNum w:abstractNumId="6">
    <w:nsid w:val="2F230A49"/>
    <w:multiLevelType w:val="multilevel"/>
    <w:tmpl w:val="2F230A49"/>
    <w:lvl w:ilvl="0" w:tentative="0">
      <w:start w:val="1"/>
      <w:numFmt w:val="decimal"/>
      <w:pStyle w:val="185"/>
      <w:lvlText w:val="表1-%1"/>
      <w:lvlJc w:val="left"/>
      <w:rPr>
        <w:rFonts w:hint="eastAsia" w:ascii="Times New Roman" w:hAnsi="Times New Roman" w:eastAsia="宋体"/>
        <w:b/>
        <w:color w:val="auto"/>
        <w:sz w:val="21"/>
        <w:szCs w:val="21"/>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70749AD"/>
    <w:multiLevelType w:val="multilevel"/>
    <w:tmpl w:val="370749AD"/>
    <w:lvl w:ilvl="0" w:tentative="0">
      <w:start w:val="1"/>
      <w:numFmt w:val="decimal"/>
      <w:pStyle w:val="293"/>
      <w:lvlText w:val="表3-%1"/>
      <w:lvlJc w:val="left"/>
      <w:pPr>
        <w:ind w:left="842" w:hanging="420"/>
      </w:pPr>
      <w:rPr>
        <w:rFonts w:hint="eastAsia" w:ascii="Times New Roman" w:hAnsi="Times New Roman"/>
        <w:b/>
        <w:color w:val="auto"/>
        <w:sz w:val="21"/>
        <w:szCs w:val="21"/>
        <w:vertAlign w:val="baseline"/>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8">
    <w:nsid w:val="4749013C"/>
    <w:multiLevelType w:val="multilevel"/>
    <w:tmpl w:val="4749013C"/>
    <w:lvl w:ilvl="0" w:tentative="0">
      <w:start w:val="1"/>
      <w:numFmt w:val="decimal"/>
      <w:pStyle w:val="297"/>
      <w:suff w:val="nothing"/>
      <w:lvlText w:val="（%1）"/>
      <w:lvlJc w:val="left"/>
      <w:pPr>
        <w:ind w:left="0" w:firstLine="480"/>
      </w:pPr>
      <w:rPr>
        <w:rFonts w:hint="eastAsia" w:ascii="宋体" w:hAnsi="宋体" w:eastAsia="宋体"/>
      </w:rPr>
    </w:lvl>
    <w:lvl w:ilvl="1" w:tentative="0">
      <w:start w:val="1"/>
      <w:numFmt w:val="lowerLetter"/>
      <w:lvlText w:val="%2)"/>
      <w:lvlJc w:val="left"/>
      <w:pPr>
        <w:ind w:left="1320" w:hanging="42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9">
    <w:nsid w:val="4AFD1AEC"/>
    <w:multiLevelType w:val="multilevel"/>
    <w:tmpl w:val="4AFD1AEC"/>
    <w:lvl w:ilvl="0" w:tentative="0">
      <w:start w:val="1"/>
      <w:numFmt w:val="chineseCountingThousand"/>
      <w:pStyle w:val="468"/>
      <w:suff w:val="nothing"/>
      <w:lvlText w:val="%1、"/>
      <w:lvlJc w:val="left"/>
      <w:pPr>
        <w:ind w:left="6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03E07B3"/>
    <w:multiLevelType w:val="multilevel"/>
    <w:tmpl w:val="603E07B3"/>
    <w:lvl w:ilvl="0" w:tentative="0">
      <w:start w:val="1"/>
      <w:numFmt w:val="decimal"/>
      <w:pStyle w:val="112"/>
      <w:lvlText w:val="表5-%1"/>
      <w:lvlJc w:val="left"/>
      <w:pPr>
        <w:tabs>
          <w:tab w:val="left" w:pos="851"/>
        </w:tabs>
        <w:ind w:left="0" w:firstLine="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pStyle w:val="4"/>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60DC11CC"/>
    <w:multiLevelType w:val="singleLevel"/>
    <w:tmpl w:val="60DC11CC"/>
    <w:lvl w:ilvl="0" w:tentative="0">
      <w:start w:val="11"/>
      <w:numFmt w:val="chineseCounting"/>
      <w:pStyle w:val="284"/>
      <w:suff w:val="nothing"/>
      <w:lvlText w:val="%1、"/>
      <w:lvlJc w:val="left"/>
      <w:rPr>
        <w:rFonts w:hint="eastAsia"/>
      </w:rPr>
    </w:lvl>
  </w:abstractNum>
  <w:abstractNum w:abstractNumId="12">
    <w:nsid w:val="755D4F84"/>
    <w:multiLevelType w:val="multilevel"/>
    <w:tmpl w:val="755D4F84"/>
    <w:lvl w:ilvl="0" w:tentative="0">
      <w:start w:val="1"/>
      <w:numFmt w:val="decimal"/>
      <w:pStyle w:val="2"/>
      <w:suff w:val="nothing"/>
      <w:lvlText w:val="%1、"/>
      <w:lvlJc w:val="left"/>
      <w:pPr>
        <w:ind w:left="9824" w:hanging="420"/>
      </w:pPr>
      <w:rPr>
        <w:rFonts w:hint="default"/>
        <w:color w:val="auto"/>
      </w:rPr>
    </w:lvl>
    <w:lvl w:ilvl="1" w:tentative="0">
      <w:start w:val="1"/>
      <w:numFmt w:val="lowerLetter"/>
      <w:lvlText w:val="%2)"/>
      <w:lvlJc w:val="left"/>
      <w:pPr>
        <w:ind w:left="1260" w:hanging="420"/>
      </w:pPr>
      <w:rPr>
        <w:rFonts w:hint="eastAsia"/>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100" w:hanging="420"/>
      </w:pPr>
      <w:rPr>
        <w:rFonts w:hint="eastAsia"/>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2"/>
  </w:num>
  <w:num w:numId="2">
    <w:abstractNumId w:val="10"/>
  </w:num>
  <w:num w:numId="3">
    <w:abstractNumId w:val="6"/>
  </w:num>
  <w:num w:numId="4">
    <w:abstractNumId w:val="4"/>
  </w:num>
  <w:num w:numId="5">
    <w:abstractNumId w:val="11"/>
  </w:num>
  <w:num w:numId="6">
    <w:abstractNumId w:val="7"/>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5"/>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kMjk0MzRiMWY3NjU1ZDZhMmZkMTI5ZmI0YjZmZmUifQ=="/>
    <w:docVar w:name="KSO_WPS_MARK_KEY" w:val="7a55d8fc-95c1-462f-930d-2644a4fbe078"/>
  </w:docVars>
  <w:rsids>
    <w:rsidRoot w:val="00172A27"/>
    <w:rsid w:val="00002ACF"/>
    <w:rsid w:val="000032C9"/>
    <w:rsid w:val="000060B3"/>
    <w:rsid w:val="00022602"/>
    <w:rsid w:val="00026C43"/>
    <w:rsid w:val="00031FA1"/>
    <w:rsid w:val="00032759"/>
    <w:rsid w:val="000342E0"/>
    <w:rsid w:val="00042703"/>
    <w:rsid w:val="00042DE2"/>
    <w:rsid w:val="000435A5"/>
    <w:rsid w:val="0004364B"/>
    <w:rsid w:val="00051868"/>
    <w:rsid w:val="00053564"/>
    <w:rsid w:val="000554CB"/>
    <w:rsid w:val="00057759"/>
    <w:rsid w:val="00061B1F"/>
    <w:rsid w:val="0006397E"/>
    <w:rsid w:val="0007152C"/>
    <w:rsid w:val="0007330E"/>
    <w:rsid w:val="000733C4"/>
    <w:rsid w:val="00074783"/>
    <w:rsid w:val="0008070B"/>
    <w:rsid w:val="000810AC"/>
    <w:rsid w:val="00081A02"/>
    <w:rsid w:val="00082231"/>
    <w:rsid w:val="00086FB3"/>
    <w:rsid w:val="00090DE8"/>
    <w:rsid w:val="00092D38"/>
    <w:rsid w:val="0009377B"/>
    <w:rsid w:val="00095C78"/>
    <w:rsid w:val="000A097C"/>
    <w:rsid w:val="000A20C9"/>
    <w:rsid w:val="000A2C9B"/>
    <w:rsid w:val="000A508F"/>
    <w:rsid w:val="000A647D"/>
    <w:rsid w:val="000A66F0"/>
    <w:rsid w:val="000A74F5"/>
    <w:rsid w:val="000A7E37"/>
    <w:rsid w:val="000B058F"/>
    <w:rsid w:val="000B0BA5"/>
    <w:rsid w:val="000B141C"/>
    <w:rsid w:val="000B1DF7"/>
    <w:rsid w:val="000B3532"/>
    <w:rsid w:val="000B4467"/>
    <w:rsid w:val="000B4549"/>
    <w:rsid w:val="000B4DB9"/>
    <w:rsid w:val="000C09AC"/>
    <w:rsid w:val="000C6489"/>
    <w:rsid w:val="000C767F"/>
    <w:rsid w:val="000D5A44"/>
    <w:rsid w:val="000E2E3F"/>
    <w:rsid w:val="000E3ED2"/>
    <w:rsid w:val="00104605"/>
    <w:rsid w:val="00106779"/>
    <w:rsid w:val="00106CD3"/>
    <w:rsid w:val="00107130"/>
    <w:rsid w:val="001118CC"/>
    <w:rsid w:val="00111903"/>
    <w:rsid w:val="001153AF"/>
    <w:rsid w:val="001179F9"/>
    <w:rsid w:val="00117D51"/>
    <w:rsid w:val="00123836"/>
    <w:rsid w:val="00125CF4"/>
    <w:rsid w:val="0012774F"/>
    <w:rsid w:val="00131F42"/>
    <w:rsid w:val="00132086"/>
    <w:rsid w:val="001357F1"/>
    <w:rsid w:val="00140597"/>
    <w:rsid w:val="00140FA8"/>
    <w:rsid w:val="00142FEB"/>
    <w:rsid w:val="00143A2D"/>
    <w:rsid w:val="00144D01"/>
    <w:rsid w:val="00145A41"/>
    <w:rsid w:val="00146744"/>
    <w:rsid w:val="00150188"/>
    <w:rsid w:val="001512F6"/>
    <w:rsid w:val="00151675"/>
    <w:rsid w:val="0015522B"/>
    <w:rsid w:val="0015666E"/>
    <w:rsid w:val="00157435"/>
    <w:rsid w:val="001576F1"/>
    <w:rsid w:val="0016070C"/>
    <w:rsid w:val="00165BCC"/>
    <w:rsid w:val="00171A95"/>
    <w:rsid w:val="00172A27"/>
    <w:rsid w:val="0017504D"/>
    <w:rsid w:val="0017671A"/>
    <w:rsid w:val="00177422"/>
    <w:rsid w:val="00177979"/>
    <w:rsid w:val="00180CF1"/>
    <w:rsid w:val="0018274C"/>
    <w:rsid w:val="00184590"/>
    <w:rsid w:val="001870D1"/>
    <w:rsid w:val="0018781E"/>
    <w:rsid w:val="0019262D"/>
    <w:rsid w:val="001933FB"/>
    <w:rsid w:val="001948F0"/>
    <w:rsid w:val="00197ABA"/>
    <w:rsid w:val="001A1B35"/>
    <w:rsid w:val="001A48A2"/>
    <w:rsid w:val="001A5635"/>
    <w:rsid w:val="001A6F61"/>
    <w:rsid w:val="001B1E34"/>
    <w:rsid w:val="001B72B8"/>
    <w:rsid w:val="001C0B23"/>
    <w:rsid w:val="001C212C"/>
    <w:rsid w:val="001C69B3"/>
    <w:rsid w:val="001D5595"/>
    <w:rsid w:val="001D7874"/>
    <w:rsid w:val="001D7A54"/>
    <w:rsid w:val="001D7F22"/>
    <w:rsid w:val="001E553F"/>
    <w:rsid w:val="001E6421"/>
    <w:rsid w:val="001F0F17"/>
    <w:rsid w:val="001F1A8E"/>
    <w:rsid w:val="001F30DB"/>
    <w:rsid w:val="001F3347"/>
    <w:rsid w:val="001F566B"/>
    <w:rsid w:val="001F69E4"/>
    <w:rsid w:val="00203806"/>
    <w:rsid w:val="0021100F"/>
    <w:rsid w:val="002125B4"/>
    <w:rsid w:val="002155B8"/>
    <w:rsid w:val="0022302F"/>
    <w:rsid w:val="00223ED2"/>
    <w:rsid w:val="00224839"/>
    <w:rsid w:val="002249B2"/>
    <w:rsid w:val="00226574"/>
    <w:rsid w:val="002278EC"/>
    <w:rsid w:val="0023280E"/>
    <w:rsid w:val="002377D1"/>
    <w:rsid w:val="00243C6E"/>
    <w:rsid w:val="0024401E"/>
    <w:rsid w:val="002506BC"/>
    <w:rsid w:val="00252B02"/>
    <w:rsid w:val="00254345"/>
    <w:rsid w:val="00261967"/>
    <w:rsid w:val="00264557"/>
    <w:rsid w:val="0026478D"/>
    <w:rsid w:val="002701FF"/>
    <w:rsid w:val="002805AB"/>
    <w:rsid w:val="00283DAB"/>
    <w:rsid w:val="00284204"/>
    <w:rsid w:val="002843C6"/>
    <w:rsid w:val="00287799"/>
    <w:rsid w:val="00291773"/>
    <w:rsid w:val="00293647"/>
    <w:rsid w:val="002A168C"/>
    <w:rsid w:val="002A1E55"/>
    <w:rsid w:val="002A3DC7"/>
    <w:rsid w:val="002A5DC8"/>
    <w:rsid w:val="002A79C3"/>
    <w:rsid w:val="002B49E2"/>
    <w:rsid w:val="002B7B00"/>
    <w:rsid w:val="002B7C44"/>
    <w:rsid w:val="002C2B17"/>
    <w:rsid w:val="002C5C07"/>
    <w:rsid w:val="002D0228"/>
    <w:rsid w:val="002D3DD0"/>
    <w:rsid w:val="002D6F17"/>
    <w:rsid w:val="002E1F3A"/>
    <w:rsid w:val="002E298A"/>
    <w:rsid w:val="002E61F2"/>
    <w:rsid w:val="002F2AF7"/>
    <w:rsid w:val="00301978"/>
    <w:rsid w:val="0030332C"/>
    <w:rsid w:val="003051C2"/>
    <w:rsid w:val="00312296"/>
    <w:rsid w:val="00314F0E"/>
    <w:rsid w:val="00321D8E"/>
    <w:rsid w:val="00325928"/>
    <w:rsid w:val="003302D6"/>
    <w:rsid w:val="00332863"/>
    <w:rsid w:val="00332A0F"/>
    <w:rsid w:val="003358AB"/>
    <w:rsid w:val="00335D2F"/>
    <w:rsid w:val="0033684D"/>
    <w:rsid w:val="00337B42"/>
    <w:rsid w:val="00341B42"/>
    <w:rsid w:val="0034348F"/>
    <w:rsid w:val="0034709F"/>
    <w:rsid w:val="00356653"/>
    <w:rsid w:val="0035743F"/>
    <w:rsid w:val="00357BE2"/>
    <w:rsid w:val="0036170C"/>
    <w:rsid w:val="0036567F"/>
    <w:rsid w:val="00366E0F"/>
    <w:rsid w:val="003718F0"/>
    <w:rsid w:val="003733CC"/>
    <w:rsid w:val="003769DC"/>
    <w:rsid w:val="00377D45"/>
    <w:rsid w:val="00381A72"/>
    <w:rsid w:val="00384676"/>
    <w:rsid w:val="00390857"/>
    <w:rsid w:val="00391052"/>
    <w:rsid w:val="003A123F"/>
    <w:rsid w:val="003A1C58"/>
    <w:rsid w:val="003A4BF3"/>
    <w:rsid w:val="003A51FC"/>
    <w:rsid w:val="003B1EE5"/>
    <w:rsid w:val="003B420D"/>
    <w:rsid w:val="003B6A8C"/>
    <w:rsid w:val="003C6C16"/>
    <w:rsid w:val="003C760C"/>
    <w:rsid w:val="003D1EE0"/>
    <w:rsid w:val="003D794D"/>
    <w:rsid w:val="003E3058"/>
    <w:rsid w:val="003E324D"/>
    <w:rsid w:val="003E6AB0"/>
    <w:rsid w:val="003E76A9"/>
    <w:rsid w:val="003F0809"/>
    <w:rsid w:val="003F55CA"/>
    <w:rsid w:val="003F6A8C"/>
    <w:rsid w:val="003F755C"/>
    <w:rsid w:val="0040174F"/>
    <w:rsid w:val="00406F01"/>
    <w:rsid w:val="00411939"/>
    <w:rsid w:val="00413E67"/>
    <w:rsid w:val="00414326"/>
    <w:rsid w:val="00416D50"/>
    <w:rsid w:val="00416FD5"/>
    <w:rsid w:val="00417772"/>
    <w:rsid w:val="00420E6A"/>
    <w:rsid w:val="0042180D"/>
    <w:rsid w:val="004229C8"/>
    <w:rsid w:val="004258E2"/>
    <w:rsid w:val="00425A9E"/>
    <w:rsid w:val="004267AC"/>
    <w:rsid w:val="00426D6B"/>
    <w:rsid w:val="00431E6C"/>
    <w:rsid w:val="00432F84"/>
    <w:rsid w:val="00433CE7"/>
    <w:rsid w:val="00436705"/>
    <w:rsid w:val="00452738"/>
    <w:rsid w:val="004542C9"/>
    <w:rsid w:val="00455764"/>
    <w:rsid w:val="00456091"/>
    <w:rsid w:val="00461D07"/>
    <w:rsid w:val="00466281"/>
    <w:rsid w:val="00466321"/>
    <w:rsid w:val="004675FE"/>
    <w:rsid w:val="004828DC"/>
    <w:rsid w:val="00484B9B"/>
    <w:rsid w:val="004855F6"/>
    <w:rsid w:val="0048661E"/>
    <w:rsid w:val="00491795"/>
    <w:rsid w:val="00494670"/>
    <w:rsid w:val="004948F3"/>
    <w:rsid w:val="004A3823"/>
    <w:rsid w:val="004A6036"/>
    <w:rsid w:val="004D6326"/>
    <w:rsid w:val="004E6946"/>
    <w:rsid w:val="004F1AD8"/>
    <w:rsid w:val="004F22F4"/>
    <w:rsid w:val="004F64C6"/>
    <w:rsid w:val="005039CB"/>
    <w:rsid w:val="0050558F"/>
    <w:rsid w:val="00506286"/>
    <w:rsid w:val="005068CB"/>
    <w:rsid w:val="00510813"/>
    <w:rsid w:val="00511990"/>
    <w:rsid w:val="00511DE0"/>
    <w:rsid w:val="00514870"/>
    <w:rsid w:val="00514B9B"/>
    <w:rsid w:val="00517F02"/>
    <w:rsid w:val="00524303"/>
    <w:rsid w:val="005258A2"/>
    <w:rsid w:val="00532556"/>
    <w:rsid w:val="0053383B"/>
    <w:rsid w:val="0053391E"/>
    <w:rsid w:val="005401AE"/>
    <w:rsid w:val="00542E07"/>
    <w:rsid w:val="00545424"/>
    <w:rsid w:val="00546839"/>
    <w:rsid w:val="00546F6E"/>
    <w:rsid w:val="005546E8"/>
    <w:rsid w:val="00554A7B"/>
    <w:rsid w:val="0055572C"/>
    <w:rsid w:val="0056106A"/>
    <w:rsid w:val="00571752"/>
    <w:rsid w:val="005720AE"/>
    <w:rsid w:val="00576829"/>
    <w:rsid w:val="00580A0A"/>
    <w:rsid w:val="00582032"/>
    <w:rsid w:val="0059065B"/>
    <w:rsid w:val="00592346"/>
    <w:rsid w:val="00594D77"/>
    <w:rsid w:val="005969E4"/>
    <w:rsid w:val="005A06B7"/>
    <w:rsid w:val="005A1759"/>
    <w:rsid w:val="005A68A7"/>
    <w:rsid w:val="005A7B9D"/>
    <w:rsid w:val="005B39D6"/>
    <w:rsid w:val="005B6626"/>
    <w:rsid w:val="005D36AB"/>
    <w:rsid w:val="005F036A"/>
    <w:rsid w:val="005F54A8"/>
    <w:rsid w:val="00600DBE"/>
    <w:rsid w:val="006039BC"/>
    <w:rsid w:val="00603A08"/>
    <w:rsid w:val="00614752"/>
    <w:rsid w:val="00617CC3"/>
    <w:rsid w:val="00624155"/>
    <w:rsid w:val="006252C9"/>
    <w:rsid w:val="00625511"/>
    <w:rsid w:val="006377A6"/>
    <w:rsid w:val="00637A3D"/>
    <w:rsid w:val="006411EF"/>
    <w:rsid w:val="0067043D"/>
    <w:rsid w:val="006748B8"/>
    <w:rsid w:val="006775C3"/>
    <w:rsid w:val="00680B53"/>
    <w:rsid w:val="0069290A"/>
    <w:rsid w:val="00696ECC"/>
    <w:rsid w:val="00697230"/>
    <w:rsid w:val="0069775A"/>
    <w:rsid w:val="00697813"/>
    <w:rsid w:val="006978E7"/>
    <w:rsid w:val="006A0FB4"/>
    <w:rsid w:val="006A3EE8"/>
    <w:rsid w:val="006A6108"/>
    <w:rsid w:val="006A72BF"/>
    <w:rsid w:val="006B03F2"/>
    <w:rsid w:val="006B37DC"/>
    <w:rsid w:val="006B4F68"/>
    <w:rsid w:val="006C0592"/>
    <w:rsid w:val="006C1DCF"/>
    <w:rsid w:val="006C272E"/>
    <w:rsid w:val="006C5479"/>
    <w:rsid w:val="006C5651"/>
    <w:rsid w:val="006C739A"/>
    <w:rsid w:val="006D13B5"/>
    <w:rsid w:val="006D7474"/>
    <w:rsid w:val="006E0A3F"/>
    <w:rsid w:val="006E12FF"/>
    <w:rsid w:val="006E607E"/>
    <w:rsid w:val="006F7E5B"/>
    <w:rsid w:val="0070313C"/>
    <w:rsid w:val="007036AE"/>
    <w:rsid w:val="00706C5D"/>
    <w:rsid w:val="00715010"/>
    <w:rsid w:val="0072460C"/>
    <w:rsid w:val="007253C0"/>
    <w:rsid w:val="00725F79"/>
    <w:rsid w:val="00732922"/>
    <w:rsid w:val="007377F5"/>
    <w:rsid w:val="007411B0"/>
    <w:rsid w:val="0075162E"/>
    <w:rsid w:val="00754034"/>
    <w:rsid w:val="00756556"/>
    <w:rsid w:val="007618C4"/>
    <w:rsid w:val="00767980"/>
    <w:rsid w:val="00770B19"/>
    <w:rsid w:val="0077463F"/>
    <w:rsid w:val="00776FB2"/>
    <w:rsid w:val="00780F5D"/>
    <w:rsid w:val="0078233D"/>
    <w:rsid w:val="00782CB4"/>
    <w:rsid w:val="007836EA"/>
    <w:rsid w:val="00784CDA"/>
    <w:rsid w:val="007906C4"/>
    <w:rsid w:val="00790EA8"/>
    <w:rsid w:val="007940EA"/>
    <w:rsid w:val="007967E8"/>
    <w:rsid w:val="007A2170"/>
    <w:rsid w:val="007A22BF"/>
    <w:rsid w:val="007A3323"/>
    <w:rsid w:val="007A38A8"/>
    <w:rsid w:val="007B0DC9"/>
    <w:rsid w:val="007B72B8"/>
    <w:rsid w:val="007B7A58"/>
    <w:rsid w:val="007C21B5"/>
    <w:rsid w:val="007E4BD2"/>
    <w:rsid w:val="007F4F13"/>
    <w:rsid w:val="00801393"/>
    <w:rsid w:val="00802F88"/>
    <w:rsid w:val="0081293E"/>
    <w:rsid w:val="00815465"/>
    <w:rsid w:val="00817E9A"/>
    <w:rsid w:val="00821456"/>
    <w:rsid w:val="00822C15"/>
    <w:rsid w:val="008306BD"/>
    <w:rsid w:val="00831A80"/>
    <w:rsid w:val="00833743"/>
    <w:rsid w:val="008340A4"/>
    <w:rsid w:val="0083593E"/>
    <w:rsid w:val="0083781C"/>
    <w:rsid w:val="0085022D"/>
    <w:rsid w:val="008522C1"/>
    <w:rsid w:val="0087135F"/>
    <w:rsid w:val="00872D94"/>
    <w:rsid w:val="00880364"/>
    <w:rsid w:val="00891592"/>
    <w:rsid w:val="00891E9E"/>
    <w:rsid w:val="008A2F68"/>
    <w:rsid w:val="008B3604"/>
    <w:rsid w:val="008B4E87"/>
    <w:rsid w:val="008B4FA6"/>
    <w:rsid w:val="008B5282"/>
    <w:rsid w:val="008B7C17"/>
    <w:rsid w:val="008C1F81"/>
    <w:rsid w:val="008C2D01"/>
    <w:rsid w:val="008C40E6"/>
    <w:rsid w:val="008D0F7A"/>
    <w:rsid w:val="008D310A"/>
    <w:rsid w:val="008D68E4"/>
    <w:rsid w:val="008D6A24"/>
    <w:rsid w:val="008E0506"/>
    <w:rsid w:val="008E0CFF"/>
    <w:rsid w:val="008E5D6B"/>
    <w:rsid w:val="008E76F0"/>
    <w:rsid w:val="008F0A22"/>
    <w:rsid w:val="008F15FE"/>
    <w:rsid w:val="008F2D29"/>
    <w:rsid w:val="008F5187"/>
    <w:rsid w:val="008F60D8"/>
    <w:rsid w:val="00902727"/>
    <w:rsid w:val="0090312B"/>
    <w:rsid w:val="0091736D"/>
    <w:rsid w:val="00920BA0"/>
    <w:rsid w:val="00922D69"/>
    <w:rsid w:val="0093037A"/>
    <w:rsid w:val="0093329E"/>
    <w:rsid w:val="0094154D"/>
    <w:rsid w:val="009450A1"/>
    <w:rsid w:val="0095155F"/>
    <w:rsid w:val="00954329"/>
    <w:rsid w:val="00954429"/>
    <w:rsid w:val="009563CE"/>
    <w:rsid w:val="00976328"/>
    <w:rsid w:val="0097680D"/>
    <w:rsid w:val="00977AAC"/>
    <w:rsid w:val="00982438"/>
    <w:rsid w:val="0098404C"/>
    <w:rsid w:val="00985283"/>
    <w:rsid w:val="009951EB"/>
    <w:rsid w:val="00995992"/>
    <w:rsid w:val="00996479"/>
    <w:rsid w:val="009A03E5"/>
    <w:rsid w:val="009A0F3B"/>
    <w:rsid w:val="009A1BB4"/>
    <w:rsid w:val="009A259A"/>
    <w:rsid w:val="009A2628"/>
    <w:rsid w:val="009A3200"/>
    <w:rsid w:val="009B0897"/>
    <w:rsid w:val="009B28CE"/>
    <w:rsid w:val="009B66E2"/>
    <w:rsid w:val="009B7BD9"/>
    <w:rsid w:val="009C1206"/>
    <w:rsid w:val="009C7DD5"/>
    <w:rsid w:val="009D30B3"/>
    <w:rsid w:val="009D7F51"/>
    <w:rsid w:val="009E227D"/>
    <w:rsid w:val="009E5019"/>
    <w:rsid w:val="009E6F1A"/>
    <w:rsid w:val="00A04F1B"/>
    <w:rsid w:val="00A0501B"/>
    <w:rsid w:val="00A06128"/>
    <w:rsid w:val="00A12481"/>
    <w:rsid w:val="00A14947"/>
    <w:rsid w:val="00A2205B"/>
    <w:rsid w:val="00A25615"/>
    <w:rsid w:val="00A26F5B"/>
    <w:rsid w:val="00A32A83"/>
    <w:rsid w:val="00A368DB"/>
    <w:rsid w:val="00A41D30"/>
    <w:rsid w:val="00A423AA"/>
    <w:rsid w:val="00A42527"/>
    <w:rsid w:val="00A53EC6"/>
    <w:rsid w:val="00A55C0F"/>
    <w:rsid w:val="00A5669E"/>
    <w:rsid w:val="00A67AF1"/>
    <w:rsid w:val="00A71555"/>
    <w:rsid w:val="00A7241E"/>
    <w:rsid w:val="00A72D39"/>
    <w:rsid w:val="00A8713F"/>
    <w:rsid w:val="00A90BA1"/>
    <w:rsid w:val="00A929DD"/>
    <w:rsid w:val="00A97A9A"/>
    <w:rsid w:val="00AA0272"/>
    <w:rsid w:val="00AA0671"/>
    <w:rsid w:val="00AA2531"/>
    <w:rsid w:val="00AB1E09"/>
    <w:rsid w:val="00AB367D"/>
    <w:rsid w:val="00AB39BF"/>
    <w:rsid w:val="00AB5330"/>
    <w:rsid w:val="00AB7747"/>
    <w:rsid w:val="00AC11A5"/>
    <w:rsid w:val="00AC14CE"/>
    <w:rsid w:val="00AC2A56"/>
    <w:rsid w:val="00AD055E"/>
    <w:rsid w:val="00AD47A7"/>
    <w:rsid w:val="00AF0CBF"/>
    <w:rsid w:val="00AF257F"/>
    <w:rsid w:val="00AF33CF"/>
    <w:rsid w:val="00AF42A3"/>
    <w:rsid w:val="00AF4D50"/>
    <w:rsid w:val="00AF6179"/>
    <w:rsid w:val="00B04C61"/>
    <w:rsid w:val="00B10441"/>
    <w:rsid w:val="00B1295A"/>
    <w:rsid w:val="00B131D5"/>
    <w:rsid w:val="00B132CA"/>
    <w:rsid w:val="00B16D32"/>
    <w:rsid w:val="00B20A45"/>
    <w:rsid w:val="00B22C5C"/>
    <w:rsid w:val="00B23C86"/>
    <w:rsid w:val="00B24F30"/>
    <w:rsid w:val="00B27165"/>
    <w:rsid w:val="00B31ABF"/>
    <w:rsid w:val="00B31E6C"/>
    <w:rsid w:val="00B32F40"/>
    <w:rsid w:val="00B33BE3"/>
    <w:rsid w:val="00B41F4D"/>
    <w:rsid w:val="00B43923"/>
    <w:rsid w:val="00B43F34"/>
    <w:rsid w:val="00B477DC"/>
    <w:rsid w:val="00B53B5D"/>
    <w:rsid w:val="00B56786"/>
    <w:rsid w:val="00B57825"/>
    <w:rsid w:val="00B6055E"/>
    <w:rsid w:val="00B6317D"/>
    <w:rsid w:val="00B6453A"/>
    <w:rsid w:val="00B658C9"/>
    <w:rsid w:val="00B67953"/>
    <w:rsid w:val="00B74432"/>
    <w:rsid w:val="00B7723F"/>
    <w:rsid w:val="00B80534"/>
    <w:rsid w:val="00B8140B"/>
    <w:rsid w:val="00B8433C"/>
    <w:rsid w:val="00B87491"/>
    <w:rsid w:val="00BA1682"/>
    <w:rsid w:val="00BA29E9"/>
    <w:rsid w:val="00BA558C"/>
    <w:rsid w:val="00BA7142"/>
    <w:rsid w:val="00BB05AA"/>
    <w:rsid w:val="00BB237C"/>
    <w:rsid w:val="00BB2457"/>
    <w:rsid w:val="00BB41A3"/>
    <w:rsid w:val="00BB7C74"/>
    <w:rsid w:val="00BC32DC"/>
    <w:rsid w:val="00BC35B6"/>
    <w:rsid w:val="00BC35E5"/>
    <w:rsid w:val="00BC5AC7"/>
    <w:rsid w:val="00BD1B51"/>
    <w:rsid w:val="00BD4596"/>
    <w:rsid w:val="00BD65A3"/>
    <w:rsid w:val="00BD6674"/>
    <w:rsid w:val="00BE1405"/>
    <w:rsid w:val="00BE312D"/>
    <w:rsid w:val="00BE4C52"/>
    <w:rsid w:val="00BE7596"/>
    <w:rsid w:val="00BF022A"/>
    <w:rsid w:val="00BF1C20"/>
    <w:rsid w:val="00BF22B4"/>
    <w:rsid w:val="00BF798C"/>
    <w:rsid w:val="00C10578"/>
    <w:rsid w:val="00C107BF"/>
    <w:rsid w:val="00C135BC"/>
    <w:rsid w:val="00C1560F"/>
    <w:rsid w:val="00C15C95"/>
    <w:rsid w:val="00C2596A"/>
    <w:rsid w:val="00C27537"/>
    <w:rsid w:val="00C328E9"/>
    <w:rsid w:val="00C328FE"/>
    <w:rsid w:val="00C33507"/>
    <w:rsid w:val="00C35D7F"/>
    <w:rsid w:val="00C4409D"/>
    <w:rsid w:val="00C445B7"/>
    <w:rsid w:val="00C44E72"/>
    <w:rsid w:val="00C45A06"/>
    <w:rsid w:val="00C46AE5"/>
    <w:rsid w:val="00C47E5B"/>
    <w:rsid w:val="00C60DA5"/>
    <w:rsid w:val="00C617B0"/>
    <w:rsid w:val="00C61E4B"/>
    <w:rsid w:val="00C64BFF"/>
    <w:rsid w:val="00C704E9"/>
    <w:rsid w:val="00C75173"/>
    <w:rsid w:val="00C761C5"/>
    <w:rsid w:val="00C763C9"/>
    <w:rsid w:val="00C80057"/>
    <w:rsid w:val="00C82232"/>
    <w:rsid w:val="00C82913"/>
    <w:rsid w:val="00C972B1"/>
    <w:rsid w:val="00CA2CCE"/>
    <w:rsid w:val="00CA3434"/>
    <w:rsid w:val="00CA43FD"/>
    <w:rsid w:val="00CA7EF8"/>
    <w:rsid w:val="00CC22EC"/>
    <w:rsid w:val="00CC2916"/>
    <w:rsid w:val="00CC390B"/>
    <w:rsid w:val="00CC3AFF"/>
    <w:rsid w:val="00CC489B"/>
    <w:rsid w:val="00CC52BD"/>
    <w:rsid w:val="00CC6001"/>
    <w:rsid w:val="00CD2BCD"/>
    <w:rsid w:val="00CD3A4C"/>
    <w:rsid w:val="00CD5D7B"/>
    <w:rsid w:val="00CE0BFA"/>
    <w:rsid w:val="00CE10E9"/>
    <w:rsid w:val="00CE1218"/>
    <w:rsid w:val="00CE2344"/>
    <w:rsid w:val="00CE2910"/>
    <w:rsid w:val="00CE3C17"/>
    <w:rsid w:val="00CE5393"/>
    <w:rsid w:val="00CE66EA"/>
    <w:rsid w:val="00CF2B6A"/>
    <w:rsid w:val="00CF36BE"/>
    <w:rsid w:val="00CF6000"/>
    <w:rsid w:val="00D003F3"/>
    <w:rsid w:val="00D019A2"/>
    <w:rsid w:val="00D0364F"/>
    <w:rsid w:val="00D06834"/>
    <w:rsid w:val="00D100E8"/>
    <w:rsid w:val="00D117B9"/>
    <w:rsid w:val="00D2250B"/>
    <w:rsid w:val="00D23151"/>
    <w:rsid w:val="00D26B30"/>
    <w:rsid w:val="00D308ED"/>
    <w:rsid w:val="00D36D86"/>
    <w:rsid w:val="00D4132A"/>
    <w:rsid w:val="00D428AA"/>
    <w:rsid w:val="00D42D9E"/>
    <w:rsid w:val="00D43C5F"/>
    <w:rsid w:val="00D45BF7"/>
    <w:rsid w:val="00D472B6"/>
    <w:rsid w:val="00D504E6"/>
    <w:rsid w:val="00D50A34"/>
    <w:rsid w:val="00D53EFA"/>
    <w:rsid w:val="00D601A7"/>
    <w:rsid w:val="00D63046"/>
    <w:rsid w:val="00D80656"/>
    <w:rsid w:val="00D83B7C"/>
    <w:rsid w:val="00D87F39"/>
    <w:rsid w:val="00D917B0"/>
    <w:rsid w:val="00D94A7C"/>
    <w:rsid w:val="00D95896"/>
    <w:rsid w:val="00DA594D"/>
    <w:rsid w:val="00DB0F5A"/>
    <w:rsid w:val="00DB0FBC"/>
    <w:rsid w:val="00DB1C9E"/>
    <w:rsid w:val="00DB2983"/>
    <w:rsid w:val="00DB4D6D"/>
    <w:rsid w:val="00DB76CD"/>
    <w:rsid w:val="00DC1257"/>
    <w:rsid w:val="00DC3DC0"/>
    <w:rsid w:val="00DC5B2B"/>
    <w:rsid w:val="00DD13BE"/>
    <w:rsid w:val="00DD318D"/>
    <w:rsid w:val="00DD6262"/>
    <w:rsid w:val="00DF2C22"/>
    <w:rsid w:val="00DF2E12"/>
    <w:rsid w:val="00DF514A"/>
    <w:rsid w:val="00DF6690"/>
    <w:rsid w:val="00DF6804"/>
    <w:rsid w:val="00E0358D"/>
    <w:rsid w:val="00E04323"/>
    <w:rsid w:val="00E070A2"/>
    <w:rsid w:val="00E0750A"/>
    <w:rsid w:val="00E16A0F"/>
    <w:rsid w:val="00E2656A"/>
    <w:rsid w:val="00E344FC"/>
    <w:rsid w:val="00E412D0"/>
    <w:rsid w:val="00E43FDA"/>
    <w:rsid w:val="00E45B02"/>
    <w:rsid w:val="00E46E02"/>
    <w:rsid w:val="00E53946"/>
    <w:rsid w:val="00E54B93"/>
    <w:rsid w:val="00E551AA"/>
    <w:rsid w:val="00E56322"/>
    <w:rsid w:val="00E60982"/>
    <w:rsid w:val="00E62C62"/>
    <w:rsid w:val="00E64100"/>
    <w:rsid w:val="00E654C1"/>
    <w:rsid w:val="00E65D97"/>
    <w:rsid w:val="00E67748"/>
    <w:rsid w:val="00E72A5A"/>
    <w:rsid w:val="00E73354"/>
    <w:rsid w:val="00E7742D"/>
    <w:rsid w:val="00E85537"/>
    <w:rsid w:val="00E87248"/>
    <w:rsid w:val="00E90643"/>
    <w:rsid w:val="00E9242D"/>
    <w:rsid w:val="00E94181"/>
    <w:rsid w:val="00EA01AE"/>
    <w:rsid w:val="00EB3DAD"/>
    <w:rsid w:val="00EB417B"/>
    <w:rsid w:val="00EB5255"/>
    <w:rsid w:val="00EB5C47"/>
    <w:rsid w:val="00EC2AC4"/>
    <w:rsid w:val="00EC494D"/>
    <w:rsid w:val="00ED0639"/>
    <w:rsid w:val="00ED2709"/>
    <w:rsid w:val="00EE4223"/>
    <w:rsid w:val="00EF1073"/>
    <w:rsid w:val="00EF17AE"/>
    <w:rsid w:val="00EF4755"/>
    <w:rsid w:val="00EF5C06"/>
    <w:rsid w:val="00EF68DC"/>
    <w:rsid w:val="00EF6AB3"/>
    <w:rsid w:val="00EF7135"/>
    <w:rsid w:val="00F01C23"/>
    <w:rsid w:val="00F027DB"/>
    <w:rsid w:val="00F051DB"/>
    <w:rsid w:val="00F12018"/>
    <w:rsid w:val="00F14A7A"/>
    <w:rsid w:val="00F2075A"/>
    <w:rsid w:val="00F22985"/>
    <w:rsid w:val="00F2416A"/>
    <w:rsid w:val="00F26CB9"/>
    <w:rsid w:val="00F32E75"/>
    <w:rsid w:val="00F3383E"/>
    <w:rsid w:val="00F37288"/>
    <w:rsid w:val="00F41C44"/>
    <w:rsid w:val="00F465A7"/>
    <w:rsid w:val="00F508B2"/>
    <w:rsid w:val="00F50B7C"/>
    <w:rsid w:val="00F550E6"/>
    <w:rsid w:val="00F72B1C"/>
    <w:rsid w:val="00F74345"/>
    <w:rsid w:val="00F80A0A"/>
    <w:rsid w:val="00F82B19"/>
    <w:rsid w:val="00F87BFB"/>
    <w:rsid w:val="00F9212D"/>
    <w:rsid w:val="00F928CC"/>
    <w:rsid w:val="00F9450C"/>
    <w:rsid w:val="00F965DA"/>
    <w:rsid w:val="00FA406A"/>
    <w:rsid w:val="00FA57D4"/>
    <w:rsid w:val="00FB503A"/>
    <w:rsid w:val="00FB516C"/>
    <w:rsid w:val="00FB5B47"/>
    <w:rsid w:val="00FD0236"/>
    <w:rsid w:val="00FD18F4"/>
    <w:rsid w:val="00FD54DB"/>
    <w:rsid w:val="00FD619F"/>
    <w:rsid w:val="00FE266B"/>
    <w:rsid w:val="00FF3367"/>
    <w:rsid w:val="01236612"/>
    <w:rsid w:val="01290F7E"/>
    <w:rsid w:val="013D290D"/>
    <w:rsid w:val="014A7C4E"/>
    <w:rsid w:val="015D1E09"/>
    <w:rsid w:val="016035C3"/>
    <w:rsid w:val="01626374"/>
    <w:rsid w:val="01785FE9"/>
    <w:rsid w:val="017D31AE"/>
    <w:rsid w:val="01825395"/>
    <w:rsid w:val="019A309C"/>
    <w:rsid w:val="01B422BF"/>
    <w:rsid w:val="01C30F99"/>
    <w:rsid w:val="01CB791C"/>
    <w:rsid w:val="01E63859"/>
    <w:rsid w:val="02054F52"/>
    <w:rsid w:val="020F68E4"/>
    <w:rsid w:val="021249DF"/>
    <w:rsid w:val="022A65AC"/>
    <w:rsid w:val="02373F72"/>
    <w:rsid w:val="02380FCB"/>
    <w:rsid w:val="023F30E3"/>
    <w:rsid w:val="025C6011"/>
    <w:rsid w:val="02697903"/>
    <w:rsid w:val="028F0FB5"/>
    <w:rsid w:val="02903BA8"/>
    <w:rsid w:val="02B20C36"/>
    <w:rsid w:val="02F12F67"/>
    <w:rsid w:val="02F96569"/>
    <w:rsid w:val="02FE031F"/>
    <w:rsid w:val="030D6FB2"/>
    <w:rsid w:val="031432C4"/>
    <w:rsid w:val="039C5442"/>
    <w:rsid w:val="03C54999"/>
    <w:rsid w:val="03DB6297"/>
    <w:rsid w:val="03DB6FE8"/>
    <w:rsid w:val="03EA7B21"/>
    <w:rsid w:val="03EB097D"/>
    <w:rsid w:val="03EC10B5"/>
    <w:rsid w:val="040D2760"/>
    <w:rsid w:val="0447078E"/>
    <w:rsid w:val="04541009"/>
    <w:rsid w:val="046E3AD0"/>
    <w:rsid w:val="049C7DEF"/>
    <w:rsid w:val="04A93609"/>
    <w:rsid w:val="04C81576"/>
    <w:rsid w:val="04D330E5"/>
    <w:rsid w:val="04E81508"/>
    <w:rsid w:val="04ED08EF"/>
    <w:rsid w:val="04F24B95"/>
    <w:rsid w:val="04F6777F"/>
    <w:rsid w:val="054131ED"/>
    <w:rsid w:val="05610354"/>
    <w:rsid w:val="05644DE5"/>
    <w:rsid w:val="0571416D"/>
    <w:rsid w:val="057B238D"/>
    <w:rsid w:val="058B39C0"/>
    <w:rsid w:val="058D2662"/>
    <w:rsid w:val="059C0242"/>
    <w:rsid w:val="05B76D09"/>
    <w:rsid w:val="05BE0473"/>
    <w:rsid w:val="05F833B4"/>
    <w:rsid w:val="05F83EAE"/>
    <w:rsid w:val="063E7D85"/>
    <w:rsid w:val="06530982"/>
    <w:rsid w:val="065619C8"/>
    <w:rsid w:val="067116FF"/>
    <w:rsid w:val="068F0721"/>
    <w:rsid w:val="069D7214"/>
    <w:rsid w:val="06B63CE7"/>
    <w:rsid w:val="06B67394"/>
    <w:rsid w:val="06C46029"/>
    <w:rsid w:val="06E629A4"/>
    <w:rsid w:val="06F0346C"/>
    <w:rsid w:val="070A5A81"/>
    <w:rsid w:val="072168F4"/>
    <w:rsid w:val="07293586"/>
    <w:rsid w:val="07295285"/>
    <w:rsid w:val="072E4323"/>
    <w:rsid w:val="0741701A"/>
    <w:rsid w:val="07636392"/>
    <w:rsid w:val="07654EC2"/>
    <w:rsid w:val="07770C56"/>
    <w:rsid w:val="07C036B0"/>
    <w:rsid w:val="07C5118F"/>
    <w:rsid w:val="080077AA"/>
    <w:rsid w:val="08091A63"/>
    <w:rsid w:val="08150F2D"/>
    <w:rsid w:val="0834318A"/>
    <w:rsid w:val="084D017A"/>
    <w:rsid w:val="08646E76"/>
    <w:rsid w:val="08674270"/>
    <w:rsid w:val="086A47E8"/>
    <w:rsid w:val="086B2BA8"/>
    <w:rsid w:val="087D1BD4"/>
    <w:rsid w:val="08B5322E"/>
    <w:rsid w:val="08BD3356"/>
    <w:rsid w:val="08CD3E5D"/>
    <w:rsid w:val="08F42EC5"/>
    <w:rsid w:val="08F969BB"/>
    <w:rsid w:val="08FB396D"/>
    <w:rsid w:val="092217DD"/>
    <w:rsid w:val="093A7294"/>
    <w:rsid w:val="093D52ED"/>
    <w:rsid w:val="09621644"/>
    <w:rsid w:val="096F059B"/>
    <w:rsid w:val="09D2576F"/>
    <w:rsid w:val="09FB1114"/>
    <w:rsid w:val="0A004A38"/>
    <w:rsid w:val="0A0B7D49"/>
    <w:rsid w:val="0A1265BB"/>
    <w:rsid w:val="0A1A48A6"/>
    <w:rsid w:val="0A263993"/>
    <w:rsid w:val="0A2D3AC2"/>
    <w:rsid w:val="0A6B4C89"/>
    <w:rsid w:val="0A996F33"/>
    <w:rsid w:val="0A9B57E1"/>
    <w:rsid w:val="0AA1482E"/>
    <w:rsid w:val="0AA755DF"/>
    <w:rsid w:val="0ABA1678"/>
    <w:rsid w:val="0ABA4F2E"/>
    <w:rsid w:val="0ACB2E2E"/>
    <w:rsid w:val="0AE16626"/>
    <w:rsid w:val="0AE83AE4"/>
    <w:rsid w:val="0AF12517"/>
    <w:rsid w:val="0B120D44"/>
    <w:rsid w:val="0B1750A4"/>
    <w:rsid w:val="0B3B64A2"/>
    <w:rsid w:val="0B6131F9"/>
    <w:rsid w:val="0B7851F4"/>
    <w:rsid w:val="0B900FD6"/>
    <w:rsid w:val="0B9665A5"/>
    <w:rsid w:val="0BAA5B4F"/>
    <w:rsid w:val="0BCD4D32"/>
    <w:rsid w:val="0BD27BF6"/>
    <w:rsid w:val="0C0736CD"/>
    <w:rsid w:val="0C2070E3"/>
    <w:rsid w:val="0C2868A2"/>
    <w:rsid w:val="0C393B45"/>
    <w:rsid w:val="0C3A3137"/>
    <w:rsid w:val="0C3B3C7D"/>
    <w:rsid w:val="0C5059D0"/>
    <w:rsid w:val="0C6C4CCC"/>
    <w:rsid w:val="0C8353F1"/>
    <w:rsid w:val="0C840D85"/>
    <w:rsid w:val="0C871385"/>
    <w:rsid w:val="0CA941ED"/>
    <w:rsid w:val="0CAB2EAE"/>
    <w:rsid w:val="0CBD3602"/>
    <w:rsid w:val="0D09285A"/>
    <w:rsid w:val="0D0A33C7"/>
    <w:rsid w:val="0D335A75"/>
    <w:rsid w:val="0D3977F0"/>
    <w:rsid w:val="0D3A02AD"/>
    <w:rsid w:val="0D621C7D"/>
    <w:rsid w:val="0D9458E6"/>
    <w:rsid w:val="0DAD4E1B"/>
    <w:rsid w:val="0DB33F1C"/>
    <w:rsid w:val="0DB53580"/>
    <w:rsid w:val="0DBE509C"/>
    <w:rsid w:val="0DE82178"/>
    <w:rsid w:val="0DFC25C9"/>
    <w:rsid w:val="0DFC53B3"/>
    <w:rsid w:val="0E331ADC"/>
    <w:rsid w:val="0E545CFA"/>
    <w:rsid w:val="0E73034D"/>
    <w:rsid w:val="0EA45781"/>
    <w:rsid w:val="0EB64A63"/>
    <w:rsid w:val="0EC918ED"/>
    <w:rsid w:val="0ED0685E"/>
    <w:rsid w:val="0EEB0391"/>
    <w:rsid w:val="0F13775A"/>
    <w:rsid w:val="0F3603E9"/>
    <w:rsid w:val="0F3C0F91"/>
    <w:rsid w:val="0F4415C3"/>
    <w:rsid w:val="0F5F45FE"/>
    <w:rsid w:val="0F633D46"/>
    <w:rsid w:val="0F8C70EC"/>
    <w:rsid w:val="0F953004"/>
    <w:rsid w:val="0F9A112B"/>
    <w:rsid w:val="0FB26B1A"/>
    <w:rsid w:val="0FC355B1"/>
    <w:rsid w:val="0FFE31DC"/>
    <w:rsid w:val="10077CBF"/>
    <w:rsid w:val="10090303"/>
    <w:rsid w:val="10100BF3"/>
    <w:rsid w:val="10164F14"/>
    <w:rsid w:val="10247823"/>
    <w:rsid w:val="10317F04"/>
    <w:rsid w:val="106D2F64"/>
    <w:rsid w:val="10973B61"/>
    <w:rsid w:val="10977799"/>
    <w:rsid w:val="10B57555"/>
    <w:rsid w:val="10B63710"/>
    <w:rsid w:val="10E30272"/>
    <w:rsid w:val="10F10820"/>
    <w:rsid w:val="1101480E"/>
    <w:rsid w:val="110A4C50"/>
    <w:rsid w:val="111C2F7A"/>
    <w:rsid w:val="11353093"/>
    <w:rsid w:val="113D742E"/>
    <w:rsid w:val="113E0933"/>
    <w:rsid w:val="113E679A"/>
    <w:rsid w:val="115F7A33"/>
    <w:rsid w:val="116577BB"/>
    <w:rsid w:val="11665CA1"/>
    <w:rsid w:val="119055E1"/>
    <w:rsid w:val="11987383"/>
    <w:rsid w:val="11C7184B"/>
    <w:rsid w:val="11FA7F03"/>
    <w:rsid w:val="120668A8"/>
    <w:rsid w:val="1223332E"/>
    <w:rsid w:val="12543F64"/>
    <w:rsid w:val="12614623"/>
    <w:rsid w:val="126F6194"/>
    <w:rsid w:val="129C73FA"/>
    <w:rsid w:val="12A568EF"/>
    <w:rsid w:val="12ED6CAC"/>
    <w:rsid w:val="13510663"/>
    <w:rsid w:val="135E2714"/>
    <w:rsid w:val="13643DC2"/>
    <w:rsid w:val="13723B46"/>
    <w:rsid w:val="137A57A0"/>
    <w:rsid w:val="13804630"/>
    <w:rsid w:val="13906AD8"/>
    <w:rsid w:val="13951726"/>
    <w:rsid w:val="139D323C"/>
    <w:rsid w:val="13C16923"/>
    <w:rsid w:val="13CD4053"/>
    <w:rsid w:val="13EC2E66"/>
    <w:rsid w:val="14021480"/>
    <w:rsid w:val="14135D2D"/>
    <w:rsid w:val="141633B4"/>
    <w:rsid w:val="142602DA"/>
    <w:rsid w:val="142C3A61"/>
    <w:rsid w:val="14396509"/>
    <w:rsid w:val="143E4A1F"/>
    <w:rsid w:val="14406424"/>
    <w:rsid w:val="14794AF7"/>
    <w:rsid w:val="147D6BCA"/>
    <w:rsid w:val="14AC31F7"/>
    <w:rsid w:val="14C173FE"/>
    <w:rsid w:val="14CB6764"/>
    <w:rsid w:val="14CF3B54"/>
    <w:rsid w:val="14D702C5"/>
    <w:rsid w:val="14DD2C3C"/>
    <w:rsid w:val="14E7266B"/>
    <w:rsid w:val="14F374A7"/>
    <w:rsid w:val="14F92D31"/>
    <w:rsid w:val="150B6F16"/>
    <w:rsid w:val="15476DD3"/>
    <w:rsid w:val="15485429"/>
    <w:rsid w:val="156102B8"/>
    <w:rsid w:val="156743E6"/>
    <w:rsid w:val="156A1844"/>
    <w:rsid w:val="157500AE"/>
    <w:rsid w:val="157C3D99"/>
    <w:rsid w:val="15B53438"/>
    <w:rsid w:val="15C20286"/>
    <w:rsid w:val="15C70A44"/>
    <w:rsid w:val="15E553E9"/>
    <w:rsid w:val="15FD4B51"/>
    <w:rsid w:val="16087E1D"/>
    <w:rsid w:val="168420C4"/>
    <w:rsid w:val="16BE1E47"/>
    <w:rsid w:val="16CD3E38"/>
    <w:rsid w:val="16DD7317"/>
    <w:rsid w:val="16DF2B96"/>
    <w:rsid w:val="16E21B84"/>
    <w:rsid w:val="171D5764"/>
    <w:rsid w:val="17271AC5"/>
    <w:rsid w:val="17465999"/>
    <w:rsid w:val="17577E42"/>
    <w:rsid w:val="175D158B"/>
    <w:rsid w:val="1761548B"/>
    <w:rsid w:val="17701D14"/>
    <w:rsid w:val="17735226"/>
    <w:rsid w:val="17A2144D"/>
    <w:rsid w:val="17AD5A18"/>
    <w:rsid w:val="17B339D8"/>
    <w:rsid w:val="17D444AB"/>
    <w:rsid w:val="17EC4792"/>
    <w:rsid w:val="17FB2C27"/>
    <w:rsid w:val="182F64A2"/>
    <w:rsid w:val="184B3D14"/>
    <w:rsid w:val="186A384D"/>
    <w:rsid w:val="186E07D2"/>
    <w:rsid w:val="189F624C"/>
    <w:rsid w:val="18A13365"/>
    <w:rsid w:val="18B067AE"/>
    <w:rsid w:val="190B0C48"/>
    <w:rsid w:val="1923630B"/>
    <w:rsid w:val="195919B3"/>
    <w:rsid w:val="196421D2"/>
    <w:rsid w:val="196E797D"/>
    <w:rsid w:val="19766ECC"/>
    <w:rsid w:val="197B39C1"/>
    <w:rsid w:val="19DB2B26"/>
    <w:rsid w:val="19E97A4B"/>
    <w:rsid w:val="19ED2045"/>
    <w:rsid w:val="1A0C111B"/>
    <w:rsid w:val="1A0E7148"/>
    <w:rsid w:val="1A1C66C0"/>
    <w:rsid w:val="1A330456"/>
    <w:rsid w:val="1A332332"/>
    <w:rsid w:val="1A393593"/>
    <w:rsid w:val="1A3E39C1"/>
    <w:rsid w:val="1A42393B"/>
    <w:rsid w:val="1A4C1518"/>
    <w:rsid w:val="1A6C3F45"/>
    <w:rsid w:val="1A9277D5"/>
    <w:rsid w:val="1AAD45DE"/>
    <w:rsid w:val="1ACA3CD6"/>
    <w:rsid w:val="1AD43539"/>
    <w:rsid w:val="1AE07CF1"/>
    <w:rsid w:val="1B046F80"/>
    <w:rsid w:val="1B117572"/>
    <w:rsid w:val="1B2064FD"/>
    <w:rsid w:val="1B222279"/>
    <w:rsid w:val="1B3267B5"/>
    <w:rsid w:val="1B40161D"/>
    <w:rsid w:val="1B441859"/>
    <w:rsid w:val="1B610889"/>
    <w:rsid w:val="1B6602BA"/>
    <w:rsid w:val="1B6606B1"/>
    <w:rsid w:val="1B730F99"/>
    <w:rsid w:val="1B8B5C5F"/>
    <w:rsid w:val="1BB21627"/>
    <w:rsid w:val="1BB77C6D"/>
    <w:rsid w:val="1BC8707D"/>
    <w:rsid w:val="1BE91C39"/>
    <w:rsid w:val="1C0C54D3"/>
    <w:rsid w:val="1C2A70A3"/>
    <w:rsid w:val="1C3D1800"/>
    <w:rsid w:val="1C5841A4"/>
    <w:rsid w:val="1C5D17BA"/>
    <w:rsid w:val="1C5E7925"/>
    <w:rsid w:val="1C636C1B"/>
    <w:rsid w:val="1C7643DA"/>
    <w:rsid w:val="1C96770F"/>
    <w:rsid w:val="1CA15BC6"/>
    <w:rsid w:val="1CA73821"/>
    <w:rsid w:val="1CF57C45"/>
    <w:rsid w:val="1CF71FEE"/>
    <w:rsid w:val="1CFD070F"/>
    <w:rsid w:val="1D043982"/>
    <w:rsid w:val="1D1033AD"/>
    <w:rsid w:val="1D107795"/>
    <w:rsid w:val="1D4F1781"/>
    <w:rsid w:val="1D542101"/>
    <w:rsid w:val="1D557C38"/>
    <w:rsid w:val="1D5F6196"/>
    <w:rsid w:val="1D6132A5"/>
    <w:rsid w:val="1D682B0D"/>
    <w:rsid w:val="1D8C222A"/>
    <w:rsid w:val="1D8E56D5"/>
    <w:rsid w:val="1DB979CD"/>
    <w:rsid w:val="1DD67F90"/>
    <w:rsid w:val="1E1660FB"/>
    <w:rsid w:val="1E2A6014"/>
    <w:rsid w:val="1E5D1F46"/>
    <w:rsid w:val="1E6C3F37"/>
    <w:rsid w:val="1E731EF9"/>
    <w:rsid w:val="1E7A43DA"/>
    <w:rsid w:val="1E7D0A77"/>
    <w:rsid w:val="1EA23DFC"/>
    <w:rsid w:val="1EB0490F"/>
    <w:rsid w:val="1EC45B21"/>
    <w:rsid w:val="1F014103"/>
    <w:rsid w:val="1F1F71FB"/>
    <w:rsid w:val="1F220DC0"/>
    <w:rsid w:val="1F3709E9"/>
    <w:rsid w:val="1F4C5B16"/>
    <w:rsid w:val="1F5F32BF"/>
    <w:rsid w:val="1F901816"/>
    <w:rsid w:val="1F943F94"/>
    <w:rsid w:val="1FC31D6C"/>
    <w:rsid w:val="1FE409DF"/>
    <w:rsid w:val="1FE7539E"/>
    <w:rsid w:val="1FF3609C"/>
    <w:rsid w:val="201B3E66"/>
    <w:rsid w:val="2022263C"/>
    <w:rsid w:val="20410D8B"/>
    <w:rsid w:val="205D1C2D"/>
    <w:rsid w:val="20671BE0"/>
    <w:rsid w:val="207B7069"/>
    <w:rsid w:val="207C4D7D"/>
    <w:rsid w:val="2086798D"/>
    <w:rsid w:val="20880DD0"/>
    <w:rsid w:val="20963CB8"/>
    <w:rsid w:val="20A81A1B"/>
    <w:rsid w:val="20AF61BF"/>
    <w:rsid w:val="20B07FB6"/>
    <w:rsid w:val="20B646FB"/>
    <w:rsid w:val="20CD2E25"/>
    <w:rsid w:val="20D0030C"/>
    <w:rsid w:val="20DF2261"/>
    <w:rsid w:val="20EC6863"/>
    <w:rsid w:val="20F311B8"/>
    <w:rsid w:val="20F86BF8"/>
    <w:rsid w:val="20FF4020"/>
    <w:rsid w:val="2135160E"/>
    <w:rsid w:val="213B74B1"/>
    <w:rsid w:val="215A2310"/>
    <w:rsid w:val="215E3E2D"/>
    <w:rsid w:val="218A3422"/>
    <w:rsid w:val="218F2217"/>
    <w:rsid w:val="21A15850"/>
    <w:rsid w:val="21B33121"/>
    <w:rsid w:val="21B52099"/>
    <w:rsid w:val="21C5730D"/>
    <w:rsid w:val="21CF4F08"/>
    <w:rsid w:val="21D02A2F"/>
    <w:rsid w:val="21D058F3"/>
    <w:rsid w:val="21DE318A"/>
    <w:rsid w:val="21EF5B80"/>
    <w:rsid w:val="2228286B"/>
    <w:rsid w:val="22461569"/>
    <w:rsid w:val="22576990"/>
    <w:rsid w:val="22B63167"/>
    <w:rsid w:val="22C827A5"/>
    <w:rsid w:val="22D937E0"/>
    <w:rsid w:val="22F47480"/>
    <w:rsid w:val="23204C9E"/>
    <w:rsid w:val="23272B22"/>
    <w:rsid w:val="232C2165"/>
    <w:rsid w:val="23673CF4"/>
    <w:rsid w:val="236773C3"/>
    <w:rsid w:val="23736DEC"/>
    <w:rsid w:val="2378512C"/>
    <w:rsid w:val="23A36435"/>
    <w:rsid w:val="23BA602A"/>
    <w:rsid w:val="23C35FB3"/>
    <w:rsid w:val="23D42B76"/>
    <w:rsid w:val="23DE1C48"/>
    <w:rsid w:val="240210CD"/>
    <w:rsid w:val="24034D45"/>
    <w:rsid w:val="24081881"/>
    <w:rsid w:val="24391BF2"/>
    <w:rsid w:val="24441D41"/>
    <w:rsid w:val="246171F1"/>
    <w:rsid w:val="2462573A"/>
    <w:rsid w:val="247011EC"/>
    <w:rsid w:val="24840055"/>
    <w:rsid w:val="24940CE8"/>
    <w:rsid w:val="24A27B97"/>
    <w:rsid w:val="24AC2561"/>
    <w:rsid w:val="24BF09F7"/>
    <w:rsid w:val="24CC55F9"/>
    <w:rsid w:val="24CF6FCD"/>
    <w:rsid w:val="24DF1D4A"/>
    <w:rsid w:val="24E5595D"/>
    <w:rsid w:val="24E6140C"/>
    <w:rsid w:val="24EC0043"/>
    <w:rsid w:val="24F44C86"/>
    <w:rsid w:val="25057779"/>
    <w:rsid w:val="250A751D"/>
    <w:rsid w:val="2514450A"/>
    <w:rsid w:val="252D53FE"/>
    <w:rsid w:val="257411BF"/>
    <w:rsid w:val="25861D82"/>
    <w:rsid w:val="25AA2EA2"/>
    <w:rsid w:val="25AB4221"/>
    <w:rsid w:val="25B36638"/>
    <w:rsid w:val="25B54CDD"/>
    <w:rsid w:val="25EC2D81"/>
    <w:rsid w:val="25EE7927"/>
    <w:rsid w:val="25F67B47"/>
    <w:rsid w:val="260073E9"/>
    <w:rsid w:val="260E4182"/>
    <w:rsid w:val="261C1F7E"/>
    <w:rsid w:val="264F2A55"/>
    <w:rsid w:val="266F38CD"/>
    <w:rsid w:val="26CA0347"/>
    <w:rsid w:val="26CC6AD7"/>
    <w:rsid w:val="26F12036"/>
    <w:rsid w:val="27271343"/>
    <w:rsid w:val="272C0707"/>
    <w:rsid w:val="27343A60"/>
    <w:rsid w:val="27441F93"/>
    <w:rsid w:val="2763525C"/>
    <w:rsid w:val="277057A2"/>
    <w:rsid w:val="278171B0"/>
    <w:rsid w:val="27905497"/>
    <w:rsid w:val="27B82A3F"/>
    <w:rsid w:val="27C53F64"/>
    <w:rsid w:val="27E9595D"/>
    <w:rsid w:val="27F509B4"/>
    <w:rsid w:val="280C0DB4"/>
    <w:rsid w:val="28240703"/>
    <w:rsid w:val="28283F8A"/>
    <w:rsid w:val="28305FD5"/>
    <w:rsid w:val="28374C27"/>
    <w:rsid w:val="283B77C3"/>
    <w:rsid w:val="28425D08"/>
    <w:rsid w:val="284D4DD9"/>
    <w:rsid w:val="28531846"/>
    <w:rsid w:val="285D19A7"/>
    <w:rsid w:val="286C26B2"/>
    <w:rsid w:val="287865BB"/>
    <w:rsid w:val="28841A6D"/>
    <w:rsid w:val="289252EB"/>
    <w:rsid w:val="28B97BD6"/>
    <w:rsid w:val="28D543F1"/>
    <w:rsid w:val="28E9656F"/>
    <w:rsid w:val="28F6637D"/>
    <w:rsid w:val="291F2CF8"/>
    <w:rsid w:val="29206EB8"/>
    <w:rsid w:val="293B2D16"/>
    <w:rsid w:val="294D1B4E"/>
    <w:rsid w:val="29595666"/>
    <w:rsid w:val="29874881"/>
    <w:rsid w:val="298F31CF"/>
    <w:rsid w:val="299F1950"/>
    <w:rsid w:val="29DB5A65"/>
    <w:rsid w:val="29E325E0"/>
    <w:rsid w:val="29FA56AB"/>
    <w:rsid w:val="2A017FAC"/>
    <w:rsid w:val="2A036979"/>
    <w:rsid w:val="2A0C28B8"/>
    <w:rsid w:val="2A1E3EB7"/>
    <w:rsid w:val="2A1E7305"/>
    <w:rsid w:val="2A202079"/>
    <w:rsid w:val="2A3E70CF"/>
    <w:rsid w:val="2A452503"/>
    <w:rsid w:val="2A4D2C90"/>
    <w:rsid w:val="2A5E151F"/>
    <w:rsid w:val="2A992B8A"/>
    <w:rsid w:val="2A9A36B7"/>
    <w:rsid w:val="2AD16E0A"/>
    <w:rsid w:val="2AE81B68"/>
    <w:rsid w:val="2AE8528D"/>
    <w:rsid w:val="2AF019B5"/>
    <w:rsid w:val="2B073623"/>
    <w:rsid w:val="2B261483"/>
    <w:rsid w:val="2B456386"/>
    <w:rsid w:val="2B522513"/>
    <w:rsid w:val="2B9B5F47"/>
    <w:rsid w:val="2B9D1BD3"/>
    <w:rsid w:val="2BA936A8"/>
    <w:rsid w:val="2C2B4488"/>
    <w:rsid w:val="2C315A5A"/>
    <w:rsid w:val="2C380C5B"/>
    <w:rsid w:val="2C4733B2"/>
    <w:rsid w:val="2C4B1C25"/>
    <w:rsid w:val="2C4E2B3D"/>
    <w:rsid w:val="2CBB22FE"/>
    <w:rsid w:val="2CDE06F5"/>
    <w:rsid w:val="2D175AA2"/>
    <w:rsid w:val="2D20215E"/>
    <w:rsid w:val="2D386A72"/>
    <w:rsid w:val="2D475738"/>
    <w:rsid w:val="2D755F9C"/>
    <w:rsid w:val="2D7D028D"/>
    <w:rsid w:val="2D8C3026"/>
    <w:rsid w:val="2D8C5F38"/>
    <w:rsid w:val="2D9823EE"/>
    <w:rsid w:val="2D9E56F5"/>
    <w:rsid w:val="2DC31869"/>
    <w:rsid w:val="2DC47F98"/>
    <w:rsid w:val="2DC50C29"/>
    <w:rsid w:val="2DC93154"/>
    <w:rsid w:val="2DD56114"/>
    <w:rsid w:val="2DF33BA7"/>
    <w:rsid w:val="2E217FFE"/>
    <w:rsid w:val="2E230F8B"/>
    <w:rsid w:val="2E240811"/>
    <w:rsid w:val="2E2D1B12"/>
    <w:rsid w:val="2E400F3C"/>
    <w:rsid w:val="2E485770"/>
    <w:rsid w:val="2E667F96"/>
    <w:rsid w:val="2E8226AB"/>
    <w:rsid w:val="2E903C71"/>
    <w:rsid w:val="2E914BBB"/>
    <w:rsid w:val="2EB1011A"/>
    <w:rsid w:val="2EC92CDF"/>
    <w:rsid w:val="2ECE5FDA"/>
    <w:rsid w:val="2ECF16F7"/>
    <w:rsid w:val="2ED7280B"/>
    <w:rsid w:val="2EE96B21"/>
    <w:rsid w:val="2F0D1B96"/>
    <w:rsid w:val="2F19723E"/>
    <w:rsid w:val="2F2207AC"/>
    <w:rsid w:val="2F4463B9"/>
    <w:rsid w:val="2F4D6145"/>
    <w:rsid w:val="2F610DFD"/>
    <w:rsid w:val="2F917956"/>
    <w:rsid w:val="2FAC69D1"/>
    <w:rsid w:val="2FCB76E8"/>
    <w:rsid w:val="2FD065E6"/>
    <w:rsid w:val="2FD96870"/>
    <w:rsid w:val="2FE74788"/>
    <w:rsid w:val="300955AF"/>
    <w:rsid w:val="3019777A"/>
    <w:rsid w:val="305345C0"/>
    <w:rsid w:val="30580BC9"/>
    <w:rsid w:val="305F71AC"/>
    <w:rsid w:val="30915A7F"/>
    <w:rsid w:val="30986E0D"/>
    <w:rsid w:val="309D7B9D"/>
    <w:rsid w:val="30A70249"/>
    <w:rsid w:val="30D467B6"/>
    <w:rsid w:val="30E92112"/>
    <w:rsid w:val="30F07CEC"/>
    <w:rsid w:val="30F72052"/>
    <w:rsid w:val="310821E5"/>
    <w:rsid w:val="311E2ED7"/>
    <w:rsid w:val="312C65C3"/>
    <w:rsid w:val="31352C05"/>
    <w:rsid w:val="31436D79"/>
    <w:rsid w:val="315619EE"/>
    <w:rsid w:val="315C449C"/>
    <w:rsid w:val="315C4D24"/>
    <w:rsid w:val="317D4031"/>
    <w:rsid w:val="31975317"/>
    <w:rsid w:val="31AA4D03"/>
    <w:rsid w:val="31B82709"/>
    <w:rsid w:val="31CB5379"/>
    <w:rsid w:val="31D05482"/>
    <w:rsid w:val="31E85A8F"/>
    <w:rsid w:val="31EC7411"/>
    <w:rsid w:val="31FC517A"/>
    <w:rsid w:val="3233007D"/>
    <w:rsid w:val="32400B34"/>
    <w:rsid w:val="3240451B"/>
    <w:rsid w:val="324E1160"/>
    <w:rsid w:val="3269183E"/>
    <w:rsid w:val="329E6876"/>
    <w:rsid w:val="32A33E96"/>
    <w:rsid w:val="32BB2497"/>
    <w:rsid w:val="32D831C7"/>
    <w:rsid w:val="32DA0166"/>
    <w:rsid w:val="32DD4357"/>
    <w:rsid w:val="32E12CEE"/>
    <w:rsid w:val="32EF0E8F"/>
    <w:rsid w:val="32F72AF1"/>
    <w:rsid w:val="32FF0E26"/>
    <w:rsid w:val="331913F1"/>
    <w:rsid w:val="333015F2"/>
    <w:rsid w:val="333F440F"/>
    <w:rsid w:val="334B6320"/>
    <w:rsid w:val="33596887"/>
    <w:rsid w:val="33713FAD"/>
    <w:rsid w:val="33AB50A9"/>
    <w:rsid w:val="33B45D0C"/>
    <w:rsid w:val="33BE10AC"/>
    <w:rsid w:val="33BE6B8B"/>
    <w:rsid w:val="33D21F62"/>
    <w:rsid w:val="33D934D4"/>
    <w:rsid w:val="33E3197B"/>
    <w:rsid w:val="33E574BB"/>
    <w:rsid w:val="33FE2F6A"/>
    <w:rsid w:val="34050424"/>
    <w:rsid w:val="340E07E5"/>
    <w:rsid w:val="341606B8"/>
    <w:rsid w:val="34235BF7"/>
    <w:rsid w:val="344C798B"/>
    <w:rsid w:val="34527B6D"/>
    <w:rsid w:val="3463319B"/>
    <w:rsid w:val="348A79B4"/>
    <w:rsid w:val="348F697C"/>
    <w:rsid w:val="34AA710F"/>
    <w:rsid w:val="34E67EF1"/>
    <w:rsid w:val="34EA39B0"/>
    <w:rsid w:val="35067E71"/>
    <w:rsid w:val="350F4132"/>
    <w:rsid w:val="351E7883"/>
    <w:rsid w:val="35517DEE"/>
    <w:rsid w:val="35783B57"/>
    <w:rsid w:val="3578720D"/>
    <w:rsid w:val="357E27DA"/>
    <w:rsid w:val="358C5FA8"/>
    <w:rsid w:val="359D2410"/>
    <w:rsid w:val="35A05E62"/>
    <w:rsid w:val="35C15DF1"/>
    <w:rsid w:val="35CA12E9"/>
    <w:rsid w:val="35CE69D2"/>
    <w:rsid w:val="35F47D85"/>
    <w:rsid w:val="36074A7F"/>
    <w:rsid w:val="360B1E2F"/>
    <w:rsid w:val="362C0724"/>
    <w:rsid w:val="36545584"/>
    <w:rsid w:val="365D495F"/>
    <w:rsid w:val="3692244B"/>
    <w:rsid w:val="36923549"/>
    <w:rsid w:val="36B16B96"/>
    <w:rsid w:val="36B50719"/>
    <w:rsid w:val="36B75FBF"/>
    <w:rsid w:val="36BD0C45"/>
    <w:rsid w:val="36C14B5E"/>
    <w:rsid w:val="36CA2A23"/>
    <w:rsid w:val="37172CA4"/>
    <w:rsid w:val="37261324"/>
    <w:rsid w:val="37514776"/>
    <w:rsid w:val="379F0A81"/>
    <w:rsid w:val="37AD5878"/>
    <w:rsid w:val="37C2196A"/>
    <w:rsid w:val="37C91FA2"/>
    <w:rsid w:val="37D70400"/>
    <w:rsid w:val="37E00298"/>
    <w:rsid w:val="37E85B9A"/>
    <w:rsid w:val="38006BE8"/>
    <w:rsid w:val="38023F25"/>
    <w:rsid w:val="381844FA"/>
    <w:rsid w:val="382A2A41"/>
    <w:rsid w:val="38346142"/>
    <w:rsid w:val="383D5DEE"/>
    <w:rsid w:val="38442A3F"/>
    <w:rsid w:val="384A30E3"/>
    <w:rsid w:val="3858085E"/>
    <w:rsid w:val="38814AA6"/>
    <w:rsid w:val="388A771C"/>
    <w:rsid w:val="38B302F9"/>
    <w:rsid w:val="38B92E59"/>
    <w:rsid w:val="38D64977"/>
    <w:rsid w:val="38EE7171"/>
    <w:rsid w:val="38F12CD3"/>
    <w:rsid w:val="38F247EA"/>
    <w:rsid w:val="38F94775"/>
    <w:rsid w:val="39112E4E"/>
    <w:rsid w:val="39175398"/>
    <w:rsid w:val="392971ED"/>
    <w:rsid w:val="39325651"/>
    <w:rsid w:val="39446783"/>
    <w:rsid w:val="399D36E6"/>
    <w:rsid w:val="39BC61EC"/>
    <w:rsid w:val="39C22873"/>
    <w:rsid w:val="39C7490A"/>
    <w:rsid w:val="39E703E7"/>
    <w:rsid w:val="3A162ABE"/>
    <w:rsid w:val="3A1F7060"/>
    <w:rsid w:val="3A3472B0"/>
    <w:rsid w:val="3A450DB0"/>
    <w:rsid w:val="3A606BEE"/>
    <w:rsid w:val="3A63575C"/>
    <w:rsid w:val="3A872856"/>
    <w:rsid w:val="3AA7266B"/>
    <w:rsid w:val="3AAF7216"/>
    <w:rsid w:val="3AC97F34"/>
    <w:rsid w:val="3ACC4D54"/>
    <w:rsid w:val="3ADECFBF"/>
    <w:rsid w:val="3B042AF2"/>
    <w:rsid w:val="3B0945B4"/>
    <w:rsid w:val="3B1D688D"/>
    <w:rsid w:val="3B2140DC"/>
    <w:rsid w:val="3B375925"/>
    <w:rsid w:val="3B3763D1"/>
    <w:rsid w:val="3B39642F"/>
    <w:rsid w:val="3B694708"/>
    <w:rsid w:val="3B933C2B"/>
    <w:rsid w:val="3BBE68B6"/>
    <w:rsid w:val="3BD442B4"/>
    <w:rsid w:val="3BF031C2"/>
    <w:rsid w:val="3C076303"/>
    <w:rsid w:val="3C2F6E1E"/>
    <w:rsid w:val="3C323DEB"/>
    <w:rsid w:val="3C3C7E5D"/>
    <w:rsid w:val="3C4F64BA"/>
    <w:rsid w:val="3C9E5568"/>
    <w:rsid w:val="3CAC1636"/>
    <w:rsid w:val="3CD544ED"/>
    <w:rsid w:val="3CDA245A"/>
    <w:rsid w:val="3CE04016"/>
    <w:rsid w:val="3CEB6099"/>
    <w:rsid w:val="3D1A0989"/>
    <w:rsid w:val="3D1E06B7"/>
    <w:rsid w:val="3D251A29"/>
    <w:rsid w:val="3D2974EE"/>
    <w:rsid w:val="3D3F7F2C"/>
    <w:rsid w:val="3D5E5A1D"/>
    <w:rsid w:val="3D691536"/>
    <w:rsid w:val="3D7D1865"/>
    <w:rsid w:val="3D9A1E4F"/>
    <w:rsid w:val="3D9A41C5"/>
    <w:rsid w:val="3DB04703"/>
    <w:rsid w:val="3E0230BC"/>
    <w:rsid w:val="3E2845BF"/>
    <w:rsid w:val="3E3D71DE"/>
    <w:rsid w:val="3E454A51"/>
    <w:rsid w:val="3E63530D"/>
    <w:rsid w:val="3EAA467E"/>
    <w:rsid w:val="3EAA6689"/>
    <w:rsid w:val="3EB05C6A"/>
    <w:rsid w:val="3EB87E70"/>
    <w:rsid w:val="3EDA0523"/>
    <w:rsid w:val="3EF618CF"/>
    <w:rsid w:val="3EF83CA9"/>
    <w:rsid w:val="3F040C20"/>
    <w:rsid w:val="3F226537"/>
    <w:rsid w:val="3F380B1F"/>
    <w:rsid w:val="3F6A27C2"/>
    <w:rsid w:val="3F6C0F4E"/>
    <w:rsid w:val="3F8D63EB"/>
    <w:rsid w:val="3FA03EEC"/>
    <w:rsid w:val="3FCA651C"/>
    <w:rsid w:val="3FEA7156"/>
    <w:rsid w:val="3FFA644F"/>
    <w:rsid w:val="40004EA0"/>
    <w:rsid w:val="400D089D"/>
    <w:rsid w:val="400F43DF"/>
    <w:rsid w:val="40184570"/>
    <w:rsid w:val="40301FA1"/>
    <w:rsid w:val="40325269"/>
    <w:rsid w:val="404C52FC"/>
    <w:rsid w:val="40525259"/>
    <w:rsid w:val="40532D51"/>
    <w:rsid w:val="40537DAB"/>
    <w:rsid w:val="4058510B"/>
    <w:rsid w:val="40754A75"/>
    <w:rsid w:val="407A6407"/>
    <w:rsid w:val="408A383B"/>
    <w:rsid w:val="408B2FD5"/>
    <w:rsid w:val="40A35A86"/>
    <w:rsid w:val="40AA0ED3"/>
    <w:rsid w:val="40B25CC9"/>
    <w:rsid w:val="40D571AD"/>
    <w:rsid w:val="40F92B05"/>
    <w:rsid w:val="412C3432"/>
    <w:rsid w:val="41350BBA"/>
    <w:rsid w:val="41657B90"/>
    <w:rsid w:val="419A6570"/>
    <w:rsid w:val="41C82E09"/>
    <w:rsid w:val="4200449D"/>
    <w:rsid w:val="42260731"/>
    <w:rsid w:val="423A3BCC"/>
    <w:rsid w:val="424E57D2"/>
    <w:rsid w:val="42582D12"/>
    <w:rsid w:val="425E5F4B"/>
    <w:rsid w:val="42B26C49"/>
    <w:rsid w:val="42B31885"/>
    <w:rsid w:val="42EA607D"/>
    <w:rsid w:val="42F5532E"/>
    <w:rsid w:val="42F91C11"/>
    <w:rsid w:val="42F948B7"/>
    <w:rsid w:val="431632C8"/>
    <w:rsid w:val="433A6FE6"/>
    <w:rsid w:val="43480868"/>
    <w:rsid w:val="4350713C"/>
    <w:rsid w:val="43600E9C"/>
    <w:rsid w:val="43650450"/>
    <w:rsid w:val="436653E0"/>
    <w:rsid w:val="436E213A"/>
    <w:rsid w:val="43C4431A"/>
    <w:rsid w:val="43EF7C9A"/>
    <w:rsid w:val="43F42155"/>
    <w:rsid w:val="43F54A3E"/>
    <w:rsid w:val="4409311C"/>
    <w:rsid w:val="441D01B6"/>
    <w:rsid w:val="44345ACF"/>
    <w:rsid w:val="444D3FCB"/>
    <w:rsid w:val="44511355"/>
    <w:rsid w:val="44651F6F"/>
    <w:rsid w:val="44931185"/>
    <w:rsid w:val="44991123"/>
    <w:rsid w:val="44B951CC"/>
    <w:rsid w:val="44CC227E"/>
    <w:rsid w:val="44CD14E0"/>
    <w:rsid w:val="44F20B0B"/>
    <w:rsid w:val="45060BB4"/>
    <w:rsid w:val="452E5F4C"/>
    <w:rsid w:val="453C41D4"/>
    <w:rsid w:val="453E5D7D"/>
    <w:rsid w:val="456100F2"/>
    <w:rsid w:val="45612018"/>
    <w:rsid w:val="45616703"/>
    <w:rsid w:val="458946E9"/>
    <w:rsid w:val="45A20472"/>
    <w:rsid w:val="45A47C0E"/>
    <w:rsid w:val="45A52479"/>
    <w:rsid w:val="45AD6A5F"/>
    <w:rsid w:val="45B44430"/>
    <w:rsid w:val="45CB00BD"/>
    <w:rsid w:val="45D46840"/>
    <w:rsid w:val="45DE4B37"/>
    <w:rsid w:val="4611120E"/>
    <w:rsid w:val="461C7434"/>
    <w:rsid w:val="462265B6"/>
    <w:rsid w:val="465669B8"/>
    <w:rsid w:val="46577FD6"/>
    <w:rsid w:val="465810C1"/>
    <w:rsid w:val="46744693"/>
    <w:rsid w:val="467E74F1"/>
    <w:rsid w:val="46A9094E"/>
    <w:rsid w:val="46BD7460"/>
    <w:rsid w:val="46CC2D74"/>
    <w:rsid w:val="46D1677D"/>
    <w:rsid w:val="46D955A7"/>
    <w:rsid w:val="470D1CCD"/>
    <w:rsid w:val="47133957"/>
    <w:rsid w:val="47190850"/>
    <w:rsid w:val="471F573B"/>
    <w:rsid w:val="474D1B70"/>
    <w:rsid w:val="477440E4"/>
    <w:rsid w:val="47771C9E"/>
    <w:rsid w:val="47A07E0C"/>
    <w:rsid w:val="47A55818"/>
    <w:rsid w:val="47BA5D46"/>
    <w:rsid w:val="47C51CFA"/>
    <w:rsid w:val="47D01EDF"/>
    <w:rsid w:val="47D86EE8"/>
    <w:rsid w:val="47E30D77"/>
    <w:rsid w:val="48302575"/>
    <w:rsid w:val="483C7BEC"/>
    <w:rsid w:val="486E49A5"/>
    <w:rsid w:val="4870272E"/>
    <w:rsid w:val="4884583C"/>
    <w:rsid w:val="48B134F1"/>
    <w:rsid w:val="492071FA"/>
    <w:rsid w:val="492D5893"/>
    <w:rsid w:val="49614952"/>
    <w:rsid w:val="496F1A02"/>
    <w:rsid w:val="49721B0E"/>
    <w:rsid w:val="4985517C"/>
    <w:rsid w:val="49A5461D"/>
    <w:rsid w:val="49BB5811"/>
    <w:rsid w:val="49C97FB1"/>
    <w:rsid w:val="49DC7715"/>
    <w:rsid w:val="4A023139"/>
    <w:rsid w:val="4A065112"/>
    <w:rsid w:val="4A2972D2"/>
    <w:rsid w:val="4A357300"/>
    <w:rsid w:val="4A4635D2"/>
    <w:rsid w:val="4A7B576F"/>
    <w:rsid w:val="4A846E63"/>
    <w:rsid w:val="4A8C0C24"/>
    <w:rsid w:val="4A9C130F"/>
    <w:rsid w:val="4AB31931"/>
    <w:rsid w:val="4ABD4029"/>
    <w:rsid w:val="4ABE3EBD"/>
    <w:rsid w:val="4AE30669"/>
    <w:rsid w:val="4AF12273"/>
    <w:rsid w:val="4AF561A9"/>
    <w:rsid w:val="4B352CAA"/>
    <w:rsid w:val="4B3C10F8"/>
    <w:rsid w:val="4B4F246A"/>
    <w:rsid w:val="4B527060"/>
    <w:rsid w:val="4B72052F"/>
    <w:rsid w:val="4B745AE8"/>
    <w:rsid w:val="4B7C595F"/>
    <w:rsid w:val="4B920F18"/>
    <w:rsid w:val="4B983D0E"/>
    <w:rsid w:val="4B984E21"/>
    <w:rsid w:val="4BA82890"/>
    <w:rsid w:val="4BB75A3E"/>
    <w:rsid w:val="4BBC5C4E"/>
    <w:rsid w:val="4BD27C01"/>
    <w:rsid w:val="4BD66403"/>
    <w:rsid w:val="4BEA2A6F"/>
    <w:rsid w:val="4BED3E5C"/>
    <w:rsid w:val="4C076675"/>
    <w:rsid w:val="4C1E32C1"/>
    <w:rsid w:val="4C20778B"/>
    <w:rsid w:val="4C2E2A79"/>
    <w:rsid w:val="4C373527"/>
    <w:rsid w:val="4C4A0649"/>
    <w:rsid w:val="4C4A581D"/>
    <w:rsid w:val="4C7E5ECA"/>
    <w:rsid w:val="4C876AA5"/>
    <w:rsid w:val="4CA044DD"/>
    <w:rsid w:val="4CBE5084"/>
    <w:rsid w:val="4CDC482A"/>
    <w:rsid w:val="4D0E00FB"/>
    <w:rsid w:val="4D176606"/>
    <w:rsid w:val="4D303C79"/>
    <w:rsid w:val="4D4F2AB3"/>
    <w:rsid w:val="4D6863FB"/>
    <w:rsid w:val="4D826E0A"/>
    <w:rsid w:val="4D8C2332"/>
    <w:rsid w:val="4D91652F"/>
    <w:rsid w:val="4DC10432"/>
    <w:rsid w:val="4DD35203"/>
    <w:rsid w:val="4DEC4FB0"/>
    <w:rsid w:val="4E075D8A"/>
    <w:rsid w:val="4E2C0505"/>
    <w:rsid w:val="4E3B07D6"/>
    <w:rsid w:val="4E564FA6"/>
    <w:rsid w:val="4E60698C"/>
    <w:rsid w:val="4EB33B31"/>
    <w:rsid w:val="4EBB40CC"/>
    <w:rsid w:val="4EC00FAD"/>
    <w:rsid w:val="4ED176CF"/>
    <w:rsid w:val="4EE14FCC"/>
    <w:rsid w:val="4EEE34EC"/>
    <w:rsid w:val="4EF160D2"/>
    <w:rsid w:val="4F4C553B"/>
    <w:rsid w:val="4F684E1C"/>
    <w:rsid w:val="4F6F59F8"/>
    <w:rsid w:val="4F7A20A8"/>
    <w:rsid w:val="4F9843DC"/>
    <w:rsid w:val="4FB10CB0"/>
    <w:rsid w:val="4FB117C0"/>
    <w:rsid w:val="4FB9081C"/>
    <w:rsid w:val="4FC62A8C"/>
    <w:rsid w:val="4FCB3B4E"/>
    <w:rsid w:val="4FD45C6A"/>
    <w:rsid w:val="4FDC7366"/>
    <w:rsid w:val="4FE20F0D"/>
    <w:rsid w:val="4FE355C9"/>
    <w:rsid w:val="4FE51552"/>
    <w:rsid w:val="4FFE6F5B"/>
    <w:rsid w:val="502B7E9B"/>
    <w:rsid w:val="503F66A1"/>
    <w:rsid w:val="50504C4B"/>
    <w:rsid w:val="50597248"/>
    <w:rsid w:val="5071293F"/>
    <w:rsid w:val="509C6E7C"/>
    <w:rsid w:val="509F12B1"/>
    <w:rsid w:val="50BE4216"/>
    <w:rsid w:val="50E07873"/>
    <w:rsid w:val="511B51C5"/>
    <w:rsid w:val="511E3C47"/>
    <w:rsid w:val="5144485B"/>
    <w:rsid w:val="514F243E"/>
    <w:rsid w:val="515C0451"/>
    <w:rsid w:val="5162104E"/>
    <w:rsid w:val="518C6BBC"/>
    <w:rsid w:val="51DF5FA3"/>
    <w:rsid w:val="51F35E46"/>
    <w:rsid w:val="5210679B"/>
    <w:rsid w:val="52173603"/>
    <w:rsid w:val="52210DFA"/>
    <w:rsid w:val="5247186B"/>
    <w:rsid w:val="524846F5"/>
    <w:rsid w:val="52BE22AC"/>
    <w:rsid w:val="52C41CE2"/>
    <w:rsid w:val="52E610E3"/>
    <w:rsid w:val="52EF5E9E"/>
    <w:rsid w:val="52FF5D5C"/>
    <w:rsid w:val="530D612A"/>
    <w:rsid w:val="53417390"/>
    <w:rsid w:val="534E5504"/>
    <w:rsid w:val="536044CF"/>
    <w:rsid w:val="53884BD7"/>
    <w:rsid w:val="538D36FB"/>
    <w:rsid w:val="53A039CC"/>
    <w:rsid w:val="53A1505A"/>
    <w:rsid w:val="53B62EAB"/>
    <w:rsid w:val="53B87D99"/>
    <w:rsid w:val="53DB072E"/>
    <w:rsid w:val="53F630A4"/>
    <w:rsid w:val="54063E08"/>
    <w:rsid w:val="540C73F1"/>
    <w:rsid w:val="54183BCB"/>
    <w:rsid w:val="54270F60"/>
    <w:rsid w:val="542D1F9A"/>
    <w:rsid w:val="543437E8"/>
    <w:rsid w:val="54432CDD"/>
    <w:rsid w:val="544B55C8"/>
    <w:rsid w:val="54D62623"/>
    <w:rsid w:val="54E3275A"/>
    <w:rsid w:val="54F40EBF"/>
    <w:rsid w:val="54F73313"/>
    <w:rsid w:val="54F80955"/>
    <w:rsid w:val="55022D38"/>
    <w:rsid w:val="550634B2"/>
    <w:rsid w:val="55085A60"/>
    <w:rsid w:val="55097F6B"/>
    <w:rsid w:val="5516409A"/>
    <w:rsid w:val="552828B9"/>
    <w:rsid w:val="552F1F1F"/>
    <w:rsid w:val="552F7C82"/>
    <w:rsid w:val="555170A7"/>
    <w:rsid w:val="555D3480"/>
    <w:rsid w:val="556C7283"/>
    <w:rsid w:val="556E27FE"/>
    <w:rsid w:val="5587536D"/>
    <w:rsid w:val="55945546"/>
    <w:rsid w:val="559B174B"/>
    <w:rsid w:val="55CE0CF4"/>
    <w:rsid w:val="55DA73FC"/>
    <w:rsid w:val="55FB7B74"/>
    <w:rsid w:val="56087685"/>
    <w:rsid w:val="5613290E"/>
    <w:rsid w:val="56225909"/>
    <w:rsid w:val="564F6EB7"/>
    <w:rsid w:val="56527818"/>
    <w:rsid w:val="56A53C37"/>
    <w:rsid w:val="56A63783"/>
    <w:rsid w:val="56B22A9C"/>
    <w:rsid w:val="56B907EC"/>
    <w:rsid w:val="56BC7FA7"/>
    <w:rsid w:val="57011FA8"/>
    <w:rsid w:val="576C3815"/>
    <w:rsid w:val="576D5296"/>
    <w:rsid w:val="57775D6B"/>
    <w:rsid w:val="57AB31C2"/>
    <w:rsid w:val="57B4353F"/>
    <w:rsid w:val="57B72A76"/>
    <w:rsid w:val="57C3426C"/>
    <w:rsid w:val="57C77E54"/>
    <w:rsid w:val="57CE1F93"/>
    <w:rsid w:val="57E04A72"/>
    <w:rsid w:val="57E74053"/>
    <w:rsid w:val="58027B42"/>
    <w:rsid w:val="580A6185"/>
    <w:rsid w:val="58215321"/>
    <w:rsid w:val="582841DD"/>
    <w:rsid w:val="58503433"/>
    <w:rsid w:val="58625FEE"/>
    <w:rsid w:val="587133A5"/>
    <w:rsid w:val="58762F22"/>
    <w:rsid w:val="588743D1"/>
    <w:rsid w:val="5887701A"/>
    <w:rsid w:val="58E0114E"/>
    <w:rsid w:val="59122C3E"/>
    <w:rsid w:val="591A7152"/>
    <w:rsid w:val="592A1FAA"/>
    <w:rsid w:val="59326961"/>
    <w:rsid w:val="593E00B1"/>
    <w:rsid w:val="59487773"/>
    <w:rsid w:val="595E5844"/>
    <w:rsid w:val="596A0202"/>
    <w:rsid w:val="5998721D"/>
    <w:rsid w:val="59AF4B16"/>
    <w:rsid w:val="59C0439F"/>
    <w:rsid w:val="59CC7D57"/>
    <w:rsid w:val="59D02DF2"/>
    <w:rsid w:val="59F76D8A"/>
    <w:rsid w:val="5A296900"/>
    <w:rsid w:val="5A376269"/>
    <w:rsid w:val="5A522C75"/>
    <w:rsid w:val="5ABE2233"/>
    <w:rsid w:val="5AC65D87"/>
    <w:rsid w:val="5AD20FEA"/>
    <w:rsid w:val="5AD951DD"/>
    <w:rsid w:val="5AE1123A"/>
    <w:rsid w:val="5AF45A4F"/>
    <w:rsid w:val="5B031478"/>
    <w:rsid w:val="5B0E18F6"/>
    <w:rsid w:val="5B36540B"/>
    <w:rsid w:val="5B3776BE"/>
    <w:rsid w:val="5B415876"/>
    <w:rsid w:val="5B4F35A4"/>
    <w:rsid w:val="5B580DB7"/>
    <w:rsid w:val="5B5D788F"/>
    <w:rsid w:val="5B5E3BB6"/>
    <w:rsid w:val="5BA208C1"/>
    <w:rsid w:val="5BC222B9"/>
    <w:rsid w:val="5BC919A6"/>
    <w:rsid w:val="5BDF5D95"/>
    <w:rsid w:val="5BFE7528"/>
    <w:rsid w:val="5C050198"/>
    <w:rsid w:val="5C312C11"/>
    <w:rsid w:val="5C321143"/>
    <w:rsid w:val="5C335AB8"/>
    <w:rsid w:val="5C3A72CB"/>
    <w:rsid w:val="5C454177"/>
    <w:rsid w:val="5C4E3067"/>
    <w:rsid w:val="5C563AA7"/>
    <w:rsid w:val="5C815503"/>
    <w:rsid w:val="5C8A025C"/>
    <w:rsid w:val="5C9757CE"/>
    <w:rsid w:val="5CB23EAA"/>
    <w:rsid w:val="5CBB4D2D"/>
    <w:rsid w:val="5CDF5DDE"/>
    <w:rsid w:val="5CFA1D78"/>
    <w:rsid w:val="5D080286"/>
    <w:rsid w:val="5D1F00AB"/>
    <w:rsid w:val="5D445AA3"/>
    <w:rsid w:val="5D5C7933"/>
    <w:rsid w:val="5D6D2AB1"/>
    <w:rsid w:val="5D8F1C04"/>
    <w:rsid w:val="5D973DEB"/>
    <w:rsid w:val="5DB42023"/>
    <w:rsid w:val="5DBA1A98"/>
    <w:rsid w:val="5DD72E4A"/>
    <w:rsid w:val="5DDC2647"/>
    <w:rsid w:val="5DE447DD"/>
    <w:rsid w:val="5DFC711F"/>
    <w:rsid w:val="5E0019CA"/>
    <w:rsid w:val="5E2143F6"/>
    <w:rsid w:val="5E2467F1"/>
    <w:rsid w:val="5E5A4B34"/>
    <w:rsid w:val="5E86044E"/>
    <w:rsid w:val="5E9B4EFF"/>
    <w:rsid w:val="5EAB402C"/>
    <w:rsid w:val="5EC73876"/>
    <w:rsid w:val="5EC7698C"/>
    <w:rsid w:val="5EEC1E61"/>
    <w:rsid w:val="5F093A17"/>
    <w:rsid w:val="5F142177"/>
    <w:rsid w:val="5F1A2B43"/>
    <w:rsid w:val="5F381552"/>
    <w:rsid w:val="5F47037C"/>
    <w:rsid w:val="5F517ABA"/>
    <w:rsid w:val="5F670988"/>
    <w:rsid w:val="5F746631"/>
    <w:rsid w:val="5F7A3537"/>
    <w:rsid w:val="5F9C1676"/>
    <w:rsid w:val="5FB837BB"/>
    <w:rsid w:val="5FDA0E4D"/>
    <w:rsid w:val="5FE04C67"/>
    <w:rsid w:val="5FEA691B"/>
    <w:rsid w:val="5FFF605F"/>
    <w:rsid w:val="60056AD6"/>
    <w:rsid w:val="600C6FB4"/>
    <w:rsid w:val="600E0DE6"/>
    <w:rsid w:val="604D5477"/>
    <w:rsid w:val="60547285"/>
    <w:rsid w:val="606D70BF"/>
    <w:rsid w:val="60A160A7"/>
    <w:rsid w:val="60A21726"/>
    <w:rsid w:val="60CC405A"/>
    <w:rsid w:val="60D31618"/>
    <w:rsid w:val="60EE6452"/>
    <w:rsid w:val="60FC5C07"/>
    <w:rsid w:val="61196275"/>
    <w:rsid w:val="61211AC8"/>
    <w:rsid w:val="612345CC"/>
    <w:rsid w:val="619F14FA"/>
    <w:rsid w:val="61B06553"/>
    <w:rsid w:val="61CF34E5"/>
    <w:rsid w:val="61D218D0"/>
    <w:rsid w:val="61E215D8"/>
    <w:rsid w:val="61EE5FDE"/>
    <w:rsid w:val="621B3775"/>
    <w:rsid w:val="62221762"/>
    <w:rsid w:val="62364782"/>
    <w:rsid w:val="62372999"/>
    <w:rsid w:val="627C2E82"/>
    <w:rsid w:val="628E4ED6"/>
    <w:rsid w:val="62A56FE4"/>
    <w:rsid w:val="62D43425"/>
    <w:rsid w:val="62EA6C42"/>
    <w:rsid w:val="62ED6AB6"/>
    <w:rsid w:val="62EF4158"/>
    <w:rsid w:val="631101D6"/>
    <w:rsid w:val="63310CCC"/>
    <w:rsid w:val="63605F85"/>
    <w:rsid w:val="636A40DA"/>
    <w:rsid w:val="6394356A"/>
    <w:rsid w:val="63C61B2C"/>
    <w:rsid w:val="63D40BE9"/>
    <w:rsid w:val="64102431"/>
    <w:rsid w:val="642100DE"/>
    <w:rsid w:val="64546722"/>
    <w:rsid w:val="648A38F9"/>
    <w:rsid w:val="64A5243A"/>
    <w:rsid w:val="64AF414A"/>
    <w:rsid w:val="64BB1554"/>
    <w:rsid w:val="64C95563"/>
    <w:rsid w:val="64CD6A9A"/>
    <w:rsid w:val="64E5753B"/>
    <w:rsid w:val="64F531DE"/>
    <w:rsid w:val="650A5824"/>
    <w:rsid w:val="651261EC"/>
    <w:rsid w:val="652D59D5"/>
    <w:rsid w:val="65364557"/>
    <w:rsid w:val="65373578"/>
    <w:rsid w:val="65380143"/>
    <w:rsid w:val="65537166"/>
    <w:rsid w:val="655B6DBD"/>
    <w:rsid w:val="656252FF"/>
    <w:rsid w:val="657A4EFC"/>
    <w:rsid w:val="65A2381D"/>
    <w:rsid w:val="65A2780B"/>
    <w:rsid w:val="65B85347"/>
    <w:rsid w:val="65B877CF"/>
    <w:rsid w:val="6607457A"/>
    <w:rsid w:val="6621682F"/>
    <w:rsid w:val="6625196A"/>
    <w:rsid w:val="66496F3E"/>
    <w:rsid w:val="666711F8"/>
    <w:rsid w:val="66A93CFE"/>
    <w:rsid w:val="66B06D0D"/>
    <w:rsid w:val="66C265A4"/>
    <w:rsid w:val="66C8504F"/>
    <w:rsid w:val="66D96356"/>
    <w:rsid w:val="66ED4AB6"/>
    <w:rsid w:val="66F405BF"/>
    <w:rsid w:val="66F76529"/>
    <w:rsid w:val="670A1B0C"/>
    <w:rsid w:val="670C73A2"/>
    <w:rsid w:val="671F124A"/>
    <w:rsid w:val="674C3FB6"/>
    <w:rsid w:val="674F1AD1"/>
    <w:rsid w:val="677A33C6"/>
    <w:rsid w:val="67886676"/>
    <w:rsid w:val="678D0851"/>
    <w:rsid w:val="67B13AD0"/>
    <w:rsid w:val="67B13D35"/>
    <w:rsid w:val="67BC574F"/>
    <w:rsid w:val="681F6961"/>
    <w:rsid w:val="682978C8"/>
    <w:rsid w:val="682B3345"/>
    <w:rsid w:val="68404793"/>
    <w:rsid w:val="685A7958"/>
    <w:rsid w:val="686043A3"/>
    <w:rsid w:val="68610A2F"/>
    <w:rsid w:val="68650DDA"/>
    <w:rsid w:val="68714F3D"/>
    <w:rsid w:val="68805514"/>
    <w:rsid w:val="68863414"/>
    <w:rsid w:val="68886D70"/>
    <w:rsid w:val="68F760C0"/>
    <w:rsid w:val="6905532A"/>
    <w:rsid w:val="690B69F5"/>
    <w:rsid w:val="69316E2F"/>
    <w:rsid w:val="69334B3D"/>
    <w:rsid w:val="693E5A9D"/>
    <w:rsid w:val="694E2071"/>
    <w:rsid w:val="695856CD"/>
    <w:rsid w:val="69766163"/>
    <w:rsid w:val="69770674"/>
    <w:rsid w:val="697A3B33"/>
    <w:rsid w:val="69912070"/>
    <w:rsid w:val="69A7738A"/>
    <w:rsid w:val="69B2486F"/>
    <w:rsid w:val="69BE49D5"/>
    <w:rsid w:val="69D44760"/>
    <w:rsid w:val="69F46D45"/>
    <w:rsid w:val="6A0A03A4"/>
    <w:rsid w:val="6A0E1BF7"/>
    <w:rsid w:val="6A107439"/>
    <w:rsid w:val="6A390EAC"/>
    <w:rsid w:val="6A3B262F"/>
    <w:rsid w:val="6A520EC7"/>
    <w:rsid w:val="6A554E4C"/>
    <w:rsid w:val="6A892D47"/>
    <w:rsid w:val="6A8E2344"/>
    <w:rsid w:val="6ABF7A50"/>
    <w:rsid w:val="6AD93CCF"/>
    <w:rsid w:val="6AF87E20"/>
    <w:rsid w:val="6B322639"/>
    <w:rsid w:val="6BAB6790"/>
    <w:rsid w:val="6BB64237"/>
    <w:rsid w:val="6BDD334B"/>
    <w:rsid w:val="6BE951B2"/>
    <w:rsid w:val="6C267BAF"/>
    <w:rsid w:val="6C2C0743"/>
    <w:rsid w:val="6C427D59"/>
    <w:rsid w:val="6C4F5FC2"/>
    <w:rsid w:val="6C5135F8"/>
    <w:rsid w:val="6C636C38"/>
    <w:rsid w:val="6C6B4228"/>
    <w:rsid w:val="6C6D7F64"/>
    <w:rsid w:val="6C6E2D43"/>
    <w:rsid w:val="6C770900"/>
    <w:rsid w:val="6C830E55"/>
    <w:rsid w:val="6C885048"/>
    <w:rsid w:val="6C991968"/>
    <w:rsid w:val="6CBD5BE1"/>
    <w:rsid w:val="6CC30803"/>
    <w:rsid w:val="6CE40B8A"/>
    <w:rsid w:val="6CEC2C1F"/>
    <w:rsid w:val="6CF30226"/>
    <w:rsid w:val="6CFD564B"/>
    <w:rsid w:val="6D0D4D85"/>
    <w:rsid w:val="6D105CD0"/>
    <w:rsid w:val="6D212E77"/>
    <w:rsid w:val="6D3E606B"/>
    <w:rsid w:val="6D455C9A"/>
    <w:rsid w:val="6D507580"/>
    <w:rsid w:val="6D712AC4"/>
    <w:rsid w:val="6D836174"/>
    <w:rsid w:val="6D8C327A"/>
    <w:rsid w:val="6D9C0FE4"/>
    <w:rsid w:val="6DA463A0"/>
    <w:rsid w:val="6DB34098"/>
    <w:rsid w:val="6DB343EC"/>
    <w:rsid w:val="6DB545B6"/>
    <w:rsid w:val="6DE02FB4"/>
    <w:rsid w:val="6E0638CA"/>
    <w:rsid w:val="6E30081E"/>
    <w:rsid w:val="6E442095"/>
    <w:rsid w:val="6E506D0C"/>
    <w:rsid w:val="6E514CED"/>
    <w:rsid w:val="6E694744"/>
    <w:rsid w:val="6E697D9A"/>
    <w:rsid w:val="6EAC3857"/>
    <w:rsid w:val="6EB563D5"/>
    <w:rsid w:val="6ECA7E9F"/>
    <w:rsid w:val="6ED92677"/>
    <w:rsid w:val="6EE2284C"/>
    <w:rsid w:val="6EEE31C9"/>
    <w:rsid w:val="6F062B09"/>
    <w:rsid w:val="6F225983"/>
    <w:rsid w:val="6F233B6D"/>
    <w:rsid w:val="6F286FD3"/>
    <w:rsid w:val="6F77237D"/>
    <w:rsid w:val="6F8306AD"/>
    <w:rsid w:val="6F9E26B0"/>
    <w:rsid w:val="6FB801A1"/>
    <w:rsid w:val="6FB93304"/>
    <w:rsid w:val="6FBE16E5"/>
    <w:rsid w:val="6FFC5590"/>
    <w:rsid w:val="70027824"/>
    <w:rsid w:val="70094863"/>
    <w:rsid w:val="701A1FC1"/>
    <w:rsid w:val="701B2F03"/>
    <w:rsid w:val="705B5186"/>
    <w:rsid w:val="706D1DD0"/>
    <w:rsid w:val="706E310B"/>
    <w:rsid w:val="706E4504"/>
    <w:rsid w:val="70856B87"/>
    <w:rsid w:val="7090277E"/>
    <w:rsid w:val="70CC070F"/>
    <w:rsid w:val="70D527EE"/>
    <w:rsid w:val="70F26366"/>
    <w:rsid w:val="711C002D"/>
    <w:rsid w:val="7134444E"/>
    <w:rsid w:val="71366A76"/>
    <w:rsid w:val="71472A6E"/>
    <w:rsid w:val="715B5300"/>
    <w:rsid w:val="71641E18"/>
    <w:rsid w:val="717003A1"/>
    <w:rsid w:val="71987828"/>
    <w:rsid w:val="71D27F8A"/>
    <w:rsid w:val="71D84EA4"/>
    <w:rsid w:val="71E8683F"/>
    <w:rsid w:val="71F41601"/>
    <w:rsid w:val="71F72C8D"/>
    <w:rsid w:val="72062279"/>
    <w:rsid w:val="720E1DF4"/>
    <w:rsid w:val="72271A8A"/>
    <w:rsid w:val="723B526F"/>
    <w:rsid w:val="724577C8"/>
    <w:rsid w:val="72553024"/>
    <w:rsid w:val="7279017C"/>
    <w:rsid w:val="728371F4"/>
    <w:rsid w:val="72B6645D"/>
    <w:rsid w:val="72D74258"/>
    <w:rsid w:val="72EC1E49"/>
    <w:rsid w:val="73010267"/>
    <w:rsid w:val="73122968"/>
    <w:rsid w:val="731F5D5E"/>
    <w:rsid w:val="734A4FCE"/>
    <w:rsid w:val="736230A3"/>
    <w:rsid w:val="738C766F"/>
    <w:rsid w:val="738E7BD7"/>
    <w:rsid w:val="73945FA0"/>
    <w:rsid w:val="73B43545"/>
    <w:rsid w:val="73BE1BAE"/>
    <w:rsid w:val="73C51AD5"/>
    <w:rsid w:val="73C977F8"/>
    <w:rsid w:val="73E62FB9"/>
    <w:rsid w:val="73F92CEC"/>
    <w:rsid w:val="73FA7A0A"/>
    <w:rsid w:val="74127D7C"/>
    <w:rsid w:val="7416765A"/>
    <w:rsid w:val="741E793C"/>
    <w:rsid w:val="74492C3F"/>
    <w:rsid w:val="744E212E"/>
    <w:rsid w:val="74566390"/>
    <w:rsid w:val="74570D43"/>
    <w:rsid w:val="745E3944"/>
    <w:rsid w:val="747244DF"/>
    <w:rsid w:val="747C60FC"/>
    <w:rsid w:val="74A422E7"/>
    <w:rsid w:val="74C70284"/>
    <w:rsid w:val="74D63FEF"/>
    <w:rsid w:val="74DC0322"/>
    <w:rsid w:val="74E21026"/>
    <w:rsid w:val="74FC5CC0"/>
    <w:rsid w:val="750455BF"/>
    <w:rsid w:val="750C118F"/>
    <w:rsid w:val="751B1A14"/>
    <w:rsid w:val="75214F3E"/>
    <w:rsid w:val="7536481C"/>
    <w:rsid w:val="75512244"/>
    <w:rsid w:val="7557416E"/>
    <w:rsid w:val="756004EA"/>
    <w:rsid w:val="75BB195B"/>
    <w:rsid w:val="75BD26DA"/>
    <w:rsid w:val="75CB5509"/>
    <w:rsid w:val="75EE68BC"/>
    <w:rsid w:val="75F81FD2"/>
    <w:rsid w:val="761A73D1"/>
    <w:rsid w:val="7630676D"/>
    <w:rsid w:val="7635099D"/>
    <w:rsid w:val="763B56BA"/>
    <w:rsid w:val="76456855"/>
    <w:rsid w:val="7662471B"/>
    <w:rsid w:val="766A26E8"/>
    <w:rsid w:val="76833E03"/>
    <w:rsid w:val="76B50BCF"/>
    <w:rsid w:val="76ED6462"/>
    <w:rsid w:val="770A6DF7"/>
    <w:rsid w:val="770D4192"/>
    <w:rsid w:val="77212C85"/>
    <w:rsid w:val="7723160E"/>
    <w:rsid w:val="774C7E39"/>
    <w:rsid w:val="77560603"/>
    <w:rsid w:val="77671204"/>
    <w:rsid w:val="77762421"/>
    <w:rsid w:val="77821C8D"/>
    <w:rsid w:val="77840291"/>
    <w:rsid w:val="778B2CEC"/>
    <w:rsid w:val="77B533CE"/>
    <w:rsid w:val="77B56B1F"/>
    <w:rsid w:val="77C02195"/>
    <w:rsid w:val="77D55F5A"/>
    <w:rsid w:val="77EE4F8E"/>
    <w:rsid w:val="77FD657E"/>
    <w:rsid w:val="78014BB4"/>
    <w:rsid w:val="780F09F4"/>
    <w:rsid w:val="78141B22"/>
    <w:rsid w:val="781E0F73"/>
    <w:rsid w:val="782C6886"/>
    <w:rsid w:val="782D7D71"/>
    <w:rsid w:val="784C165A"/>
    <w:rsid w:val="78562538"/>
    <w:rsid w:val="785D5F3F"/>
    <w:rsid w:val="78945A9C"/>
    <w:rsid w:val="78A66AE2"/>
    <w:rsid w:val="78A90480"/>
    <w:rsid w:val="78BC0035"/>
    <w:rsid w:val="78C61BC5"/>
    <w:rsid w:val="7949758D"/>
    <w:rsid w:val="7951035B"/>
    <w:rsid w:val="7957795B"/>
    <w:rsid w:val="79720F5A"/>
    <w:rsid w:val="79A80DA0"/>
    <w:rsid w:val="7A040805"/>
    <w:rsid w:val="7A364017"/>
    <w:rsid w:val="7A3F500E"/>
    <w:rsid w:val="7A62590C"/>
    <w:rsid w:val="7A793DBD"/>
    <w:rsid w:val="7A8265E1"/>
    <w:rsid w:val="7A846783"/>
    <w:rsid w:val="7A923009"/>
    <w:rsid w:val="7A953C40"/>
    <w:rsid w:val="7A9C24FE"/>
    <w:rsid w:val="7AAF3D34"/>
    <w:rsid w:val="7AC41FEB"/>
    <w:rsid w:val="7AE715F0"/>
    <w:rsid w:val="7AFF1E00"/>
    <w:rsid w:val="7B0B4804"/>
    <w:rsid w:val="7B242693"/>
    <w:rsid w:val="7B4C4049"/>
    <w:rsid w:val="7B5C1AD4"/>
    <w:rsid w:val="7B686D42"/>
    <w:rsid w:val="7B762E74"/>
    <w:rsid w:val="7B841746"/>
    <w:rsid w:val="7B966E80"/>
    <w:rsid w:val="7BCF3E3B"/>
    <w:rsid w:val="7BEF37A1"/>
    <w:rsid w:val="7BF70458"/>
    <w:rsid w:val="7BFE17E7"/>
    <w:rsid w:val="7C431BF7"/>
    <w:rsid w:val="7C6C5AC7"/>
    <w:rsid w:val="7C853A0A"/>
    <w:rsid w:val="7C8F083E"/>
    <w:rsid w:val="7CB24ADB"/>
    <w:rsid w:val="7CB94A66"/>
    <w:rsid w:val="7CC6544B"/>
    <w:rsid w:val="7CD072C4"/>
    <w:rsid w:val="7CFA5F9D"/>
    <w:rsid w:val="7D0239FF"/>
    <w:rsid w:val="7D347AD1"/>
    <w:rsid w:val="7D4C1263"/>
    <w:rsid w:val="7D5561A2"/>
    <w:rsid w:val="7D5E40CD"/>
    <w:rsid w:val="7D6438CC"/>
    <w:rsid w:val="7D705761"/>
    <w:rsid w:val="7D7A0737"/>
    <w:rsid w:val="7DA63155"/>
    <w:rsid w:val="7DA72945"/>
    <w:rsid w:val="7DCD56F2"/>
    <w:rsid w:val="7DD86068"/>
    <w:rsid w:val="7DDE7DBA"/>
    <w:rsid w:val="7DEB0C27"/>
    <w:rsid w:val="7DFD4C87"/>
    <w:rsid w:val="7E2A4658"/>
    <w:rsid w:val="7E4649E6"/>
    <w:rsid w:val="7E7E563C"/>
    <w:rsid w:val="7E984997"/>
    <w:rsid w:val="7EB659F7"/>
    <w:rsid w:val="7EC11C74"/>
    <w:rsid w:val="7ED81144"/>
    <w:rsid w:val="7EE06CB6"/>
    <w:rsid w:val="7EE14741"/>
    <w:rsid w:val="7EE47CEF"/>
    <w:rsid w:val="7EEA37CA"/>
    <w:rsid w:val="7F001CE7"/>
    <w:rsid w:val="7F1135E0"/>
    <w:rsid w:val="7F390D88"/>
    <w:rsid w:val="7F442696"/>
    <w:rsid w:val="7F7227B4"/>
    <w:rsid w:val="7F810BD7"/>
    <w:rsid w:val="7F9B734D"/>
    <w:rsid w:val="7FC76394"/>
    <w:rsid w:val="7FDC6936"/>
    <w:rsid w:val="7FE47E50"/>
    <w:rsid w:val="7FE93979"/>
    <w:rsid w:val="CD7F3ED1"/>
    <w:rsid w:val="D6B1CD2A"/>
    <w:rsid w:val="FF33C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6"/>
    <w:qFormat/>
    <w:uiPriority w:val="99"/>
    <w:pPr>
      <w:keepNext/>
      <w:numPr>
        <w:ilvl w:val="0"/>
        <w:numId w:val="1"/>
      </w:numPr>
      <w:overflowPunct w:val="0"/>
      <w:snapToGrid w:val="0"/>
      <w:spacing w:before="120" w:after="160" w:line="259" w:lineRule="auto"/>
      <w:ind w:left="840"/>
      <w:outlineLvl w:val="0"/>
    </w:pPr>
    <w:rPr>
      <w:rFonts w:eastAsia="黑体"/>
      <w:b/>
      <w:bCs/>
      <w:color w:val="000000"/>
      <w:kern w:val="44"/>
      <w:sz w:val="30"/>
      <w:szCs w:val="30"/>
    </w:rPr>
  </w:style>
  <w:style w:type="paragraph" w:styleId="3">
    <w:name w:val="heading 2"/>
    <w:basedOn w:val="1"/>
    <w:next w:val="1"/>
    <w:link w:val="67"/>
    <w:qFormat/>
    <w:uiPriority w:val="99"/>
    <w:pPr>
      <w:keepNext/>
      <w:keepLines/>
      <w:spacing w:before="260" w:after="260" w:line="416" w:lineRule="auto"/>
      <w:outlineLvl w:val="1"/>
    </w:pPr>
    <w:rPr>
      <w:b/>
      <w:bCs/>
      <w:sz w:val="32"/>
      <w:szCs w:val="32"/>
    </w:rPr>
  </w:style>
  <w:style w:type="paragraph" w:styleId="4">
    <w:name w:val="heading 3"/>
    <w:basedOn w:val="1"/>
    <w:next w:val="1"/>
    <w:link w:val="68"/>
    <w:qFormat/>
    <w:uiPriority w:val="99"/>
    <w:pPr>
      <w:keepNext/>
      <w:keepLines/>
      <w:numPr>
        <w:ilvl w:val="2"/>
        <w:numId w:val="2"/>
      </w:numPr>
      <w:spacing w:line="360" w:lineRule="auto"/>
      <w:ind w:firstLine="200" w:firstLineChars="200"/>
      <w:jc w:val="left"/>
      <w:outlineLvl w:val="2"/>
    </w:pPr>
    <w:rPr>
      <w:b/>
      <w:bCs/>
      <w:sz w:val="24"/>
      <w:szCs w:val="21"/>
    </w:rPr>
  </w:style>
  <w:style w:type="paragraph" w:styleId="5">
    <w:name w:val="heading 4"/>
    <w:basedOn w:val="1"/>
    <w:next w:val="1"/>
    <w:link w:val="65"/>
    <w:qFormat/>
    <w:uiPriority w:val="99"/>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69"/>
    <w:qFormat/>
    <w:uiPriority w:val="9"/>
    <w:pPr>
      <w:keepNext/>
      <w:keepLines/>
      <w:spacing w:before="280" w:after="290" w:line="376" w:lineRule="auto"/>
      <w:ind w:firstLine="480" w:firstLineChars="200"/>
      <w:outlineLvl w:val="4"/>
    </w:pPr>
    <w:rPr>
      <w:b/>
      <w:bCs/>
      <w:sz w:val="28"/>
      <w:szCs w:val="28"/>
    </w:rPr>
  </w:style>
  <w:style w:type="character" w:default="1" w:styleId="52">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rPr>
      <w:rFonts w:eastAsia="仿宋_GB2312"/>
      <w:snapToGrid w:val="0"/>
      <w:color w:val="000000"/>
      <w:kern w:val="0"/>
      <w:sz w:val="28"/>
      <w:szCs w:val="32"/>
    </w:rPr>
  </w:style>
  <w:style w:type="paragraph" w:styleId="8">
    <w:name w:val="toc 7"/>
    <w:basedOn w:val="1"/>
    <w:next w:val="1"/>
    <w:qFormat/>
    <w:uiPriority w:val="99"/>
    <w:pPr>
      <w:spacing w:line="360" w:lineRule="auto"/>
      <w:ind w:left="2520" w:leftChars="1200" w:firstLine="480" w:firstLineChars="200"/>
    </w:pPr>
    <w:rPr>
      <w:color w:val="000000"/>
      <w:sz w:val="24"/>
    </w:rPr>
  </w:style>
  <w:style w:type="paragraph" w:styleId="9">
    <w:name w:val="Note Heading"/>
    <w:basedOn w:val="1"/>
    <w:next w:val="1"/>
    <w:link w:val="70"/>
    <w:qFormat/>
    <w:uiPriority w:val="99"/>
    <w:pPr>
      <w:jc w:val="center"/>
    </w:pPr>
    <w:rPr>
      <w:kern w:val="0"/>
      <w:sz w:val="28"/>
      <w:szCs w:val="20"/>
    </w:rPr>
  </w:style>
  <w:style w:type="paragraph" w:styleId="10">
    <w:name w:val="Normal Indent"/>
    <w:basedOn w:val="1"/>
    <w:next w:val="5"/>
    <w:link w:val="64"/>
    <w:qFormat/>
    <w:uiPriority w:val="99"/>
    <w:pPr>
      <w:adjustRightInd w:val="0"/>
      <w:spacing w:line="312" w:lineRule="atLeast"/>
      <w:ind w:firstLine="420" w:firstLineChars="200"/>
      <w:textAlignment w:val="baseline"/>
    </w:pPr>
  </w:style>
  <w:style w:type="paragraph" w:styleId="11">
    <w:name w:val="caption"/>
    <w:basedOn w:val="1"/>
    <w:next w:val="1"/>
    <w:qFormat/>
    <w:uiPriority w:val="0"/>
    <w:pPr>
      <w:keepNext/>
      <w:spacing w:before="163"/>
    </w:pPr>
  </w:style>
  <w:style w:type="paragraph" w:styleId="12">
    <w:name w:val="Document Map"/>
    <w:basedOn w:val="1"/>
    <w:link w:val="73"/>
    <w:qFormat/>
    <w:uiPriority w:val="99"/>
    <w:pPr>
      <w:spacing w:line="360" w:lineRule="auto"/>
      <w:ind w:firstLine="480" w:firstLineChars="200"/>
    </w:pPr>
    <w:rPr>
      <w:rFonts w:ascii="宋体"/>
      <w:sz w:val="18"/>
      <w:szCs w:val="18"/>
    </w:rPr>
  </w:style>
  <w:style w:type="paragraph" w:styleId="13">
    <w:name w:val="annotation text"/>
    <w:basedOn w:val="1"/>
    <w:link w:val="74"/>
    <w:qFormat/>
    <w:uiPriority w:val="0"/>
    <w:pPr>
      <w:jc w:val="left"/>
    </w:pPr>
    <w:rPr>
      <w:kern w:val="0"/>
      <w:sz w:val="24"/>
      <w:szCs w:val="20"/>
    </w:rPr>
  </w:style>
  <w:style w:type="paragraph" w:styleId="14">
    <w:name w:val="Salutation"/>
    <w:basedOn w:val="1"/>
    <w:next w:val="1"/>
    <w:unhideWhenUsed/>
    <w:qFormat/>
    <w:uiPriority w:val="99"/>
    <w:rPr>
      <w:rFonts w:ascii="Calibri" w:hAnsi="Calibri"/>
    </w:rPr>
  </w:style>
  <w:style w:type="paragraph" w:styleId="15">
    <w:name w:val="Body Text 3"/>
    <w:basedOn w:val="1"/>
    <w:link w:val="75"/>
    <w:qFormat/>
    <w:uiPriority w:val="99"/>
    <w:pPr>
      <w:spacing w:after="120" w:line="360" w:lineRule="auto"/>
      <w:ind w:firstLine="480" w:firstLineChars="200"/>
    </w:pPr>
    <w:rPr>
      <w:sz w:val="16"/>
      <w:szCs w:val="16"/>
    </w:rPr>
  </w:style>
  <w:style w:type="paragraph" w:styleId="16">
    <w:name w:val="Body Text"/>
    <w:basedOn w:val="1"/>
    <w:link w:val="71"/>
    <w:qFormat/>
    <w:uiPriority w:val="99"/>
    <w:pPr>
      <w:widowControl/>
      <w:snapToGrid w:val="0"/>
      <w:spacing w:before="60" w:after="160" w:line="259" w:lineRule="auto"/>
      <w:ind w:right="113"/>
    </w:pPr>
    <w:rPr>
      <w:kern w:val="0"/>
      <w:sz w:val="18"/>
      <w:szCs w:val="20"/>
    </w:rPr>
  </w:style>
  <w:style w:type="paragraph" w:styleId="17">
    <w:name w:val="Body Text Indent"/>
    <w:basedOn w:val="1"/>
    <w:next w:val="18"/>
    <w:link w:val="76"/>
    <w:qFormat/>
    <w:uiPriority w:val="99"/>
    <w:pPr>
      <w:spacing w:after="120"/>
      <w:ind w:left="420" w:leftChars="200"/>
    </w:pPr>
    <w:rPr>
      <w:kern w:val="0"/>
      <w:sz w:val="24"/>
      <w:szCs w:val="20"/>
    </w:rPr>
  </w:style>
  <w:style w:type="paragraph" w:styleId="18">
    <w:name w:val="Balloon Text"/>
    <w:basedOn w:val="1"/>
    <w:link w:val="82"/>
    <w:qFormat/>
    <w:uiPriority w:val="0"/>
    <w:rPr>
      <w:kern w:val="0"/>
      <w:sz w:val="18"/>
      <w:szCs w:val="20"/>
    </w:rPr>
  </w:style>
  <w:style w:type="paragraph" w:styleId="19">
    <w:name w:val="List 2"/>
    <w:basedOn w:val="1"/>
    <w:link w:val="77"/>
    <w:qFormat/>
    <w:uiPriority w:val="99"/>
    <w:pPr>
      <w:ind w:left="100" w:leftChars="200" w:hanging="200" w:hangingChars="200"/>
    </w:pPr>
    <w:rPr>
      <w:sz w:val="30"/>
      <w:szCs w:val="20"/>
    </w:rPr>
  </w:style>
  <w:style w:type="paragraph" w:styleId="20">
    <w:name w:val="Block Text"/>
    <w:basedOn w:val="1"/>
    <w:qFormat/>
    <w:uiPriority w:val="99"/>
    <w:pPr>
      <w:adjustRightInd w:val="0"/>
      <w:spacing w:line="500" w:lineRule="atLeast"/>
      <w:ind w:left="21" w:leftChars="10" w:right="21" w:rightChars="10" w:firstLine="570" w:firstLineChars="200"/>
      <w:textAlignment w:val="baseline"/>
    </w:pPr>
    <w:rPr>
      <w:rFonts w:eastAsia="楷体_GB2312"/>
      <w:color w:val="000000"/>
      <w:kern w:val="0"/>
      <w:sz w:val="28"/>
      <w:szCs w:val="20"/>
    </w:rPr>
  </w:style>
  <w:style w:type="paragraph" w:styleId="21">
    <w:name w:val="toc 5"/>
    <w:basedOn w:val="1"/>
    <w:next w:val="1"/>
    <w:qFormat/>
    <w:uiPriority w:val="99"/>
    <w:pPr>
      <w:ind w:left="1120"/>
      <w:jc w:val="left"/>
    </w:pPr>
    <w:rPr>
      <w:rFonts w:ascii="Calibri" w:hAnsi="Calibri" w:cs="Calibri"/>
      <w:sz w:val="18"/>
      <w:szCs w:val="18"/>
    </w:rPr>
  </w:style>
  <w:style w:type="paragraph" w:styleId="22">
    <w:name w:val="toc 3"/>
    <w:basedOn w:val="1"/>
    <w:next w:val="1"/>
    <w:qFormat/>
    <w:uiPriority w:val="99"/>
    <w:pPr>
      <w:ind w:left="560"/>
      <w:jc w:val="left"/>
    </w:pPr>
    <w:rPr>
      <w:rFonts w:ascii="Calibri" w:hAnsi="Calibri" w:cs="Calibri"/>
      <w:i/>
      <w:iCs/>
      <w:sz w:val="20"/>
      <w:szCs w:val="20"/>
    </w:rPr>
  </w:style>
  <w:style w:type="paragraph" w:styleId="23">
    <w:name w:val="Plain Text"/>
    <w:basedOn w:val="1"/>
    <w:link w:val="78"/>
    <w:qFormat/>
    <w:uiPriority w:val="99"/>
    <w:rPr>
      <w:rFonts w:ascii="宋体" w:hAnsi="Courier New"/>
    </w:rPr>
  </w:style>
  <w:style w:type="paragraph" w:styleId="24">
    <w:name w:val="toc 8"/>
    <w:basedOn w:val="1"/>
    <w:next w:val="1"/>
    <w:qFormat/>
    <w:uiPriority w:val="99"/>
    <w:pPr>
      <w:ind w:left="1960"/>
      <w:jc w:val="left"/>
    </w:pPr>
    <w:rPr>
      <w:rFonts w:ascii="Calibri" w:hAnsi="Calibri" w:cs="Calibri"/>
      <w:sz w:val="18"/>
      <w:szCs w:val="18"/>
    </w:rPr>
  </w:style>
  <w:style w:type="paragraph" w:styleId="25">
    <w:name w:val="Date"/>
    <w:basedOn w:val="1"/>
    <w:next w:val="1"/>
    <w:link w:val="79"/>
    <w:qFormat/>
    <w:uiPriority w:val="99"/>
    <w:pPr>
      <w:ind w:left="100" w:leftChars="2500"/>
    </w:pPr>
    <w:rPr>
      <w:kern w:val="0"/>
      <w:sz w:val="24"/>
      <w:szCs w:val="20"/>
    </w:rPr>
  </w:style>
  <w:style w:type="paragraph" w:styleId="26">
    <w:name w:val="Body Text Indent 2"/>
    <w:basedOn w:val="1"/>
    <w:next w:val="1"/>
    <w:link w:val="80"/>
    <w:unhideWhenUsed/>
    <w:qFormat/>
    <w:uiPriority w:val="99"/>
    <w:pPr>
      <w:spacing w:after="120" w:line="300" w:lineRule="auto"/>
      <w:ind w:left="200" w:leftChars="200"/>
    </w:pPr>
  </w:style>
  <w:style w:type="paragraph" w:styleId="27">
    <w:name w:val="endnote text"/>
    <w:basedOn w:val="1"/>
    <w:link w:val="81"/>
    <w:unhideWhenUsed/>
    <w:qFormat/>
    <w:uiPriority w:val="99"/>
    <w:pPr>
      <w:snapToGrid w:val="0"/>
      <w:spacing w:line="360" w:lineRule="auto"/>
      <w:ind w:firstLine="480" w:firstLineChars="200"/>
      <w:jc w:val="left"/>
    </w:pPr>
    <w:rPr>
      <w:szCs w:val="21"/>
    </w:rPr>
  </w:style>
  <w:style w:type="paragraph" w:styleId="28">
    <w:name w:val="footer"/>
    <w:basedOn w:val="1"/>
    <w:link w:val="83"/>
    <w:qFormat/>
    <w:uiPriority w:val="99"/>
    <w:pPr>
      <w:tabs>
        <w:tab w:val="center" w:pos="4153"/>
        <w:tab w:val="right" w:pos="8306"/>
      </w:tabs>
      <w:snapToGrid w:val="0"/>
      <w:jc w:val="left"/>
    </w:pPr>
    <w:rPr>
      <w:kern w:val="0"/>
      <w:sz w:val="18"/>
      <w:szCs w:val="20"/>
    </w:rPr>
  </w:style>
  <w:style w:type="paragraph" w:styleId="29">
    <w:name w:val="header"/>
    <w:basedOn w:val="1"/>
    <w:link w:val="84"/>
    <w:qFormat/>
    <w:uiPriority w:val="99"/>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qFormat/>
    <w:uiPriority w:val="99"/>
    <w:pPr>
      <w:spacing w:line="360" w:lineRule="auto"/>
      <w:ind w:firstLine="480" w:firstLineChars="200"/>
    </w:pPr>
    <w:rPr>
      <w:color w:val="000000"/>
      <w:sz w:val="24"/>
    </w:rPr>
  </w:style>
  <w:style w:type="paragraph" w:styleId="31">
    <w:name w:val="toc 4"/>
    <w:basedOn w:val="1"/>
    <w:next w:val="1"/>
    <w:qFormat/>
    <w:uiPriority w:val="99"/>
    <w:pPr>
      <w:spacing w:line="360" w:lineRule="auto"/>
      <w:ind w:left="630" w:firstLine="480" w:firstLineChars="200"/>
      <w:jc w:val="left"/>
    </w:pPr>
    <w:rPr>
      <w:color w:val="000000"/>
      <w:sz w:val="24"/>
      <w:szCs w:val="21"/>
    </w:rPr>
  </w:style>
  <w:style w:type="paragraph" w:styleId="32">
    <w:name w:val="Subtitle"/>
    <w:basedOn w:val="3"/>
    <w:next w:val="1"/>
    <w:qFormat/>
    <w:uiPriority w:val="0"/>
    <w:pPr>
      <w:spacing w:before="240" w:after="60" w:line="312" w:lineRule="auto"/>
      <w:jc w:val="left"/>
    </w:pPr>
    <w:rPr>
      <w:rFonts w:ascii="Cambria" w:hAnsi="Cambria"/>
      <w:b w:val="0"/>
      <w:kern w:val="28"/>
      <w:sz w:val="28"/>
    </w:rPr>
  </w:style>
  <w:style w:type="paragraph" w:styleId="33">
    <w:name w:val="List"/>
    <w:basedOn w:val="1"/>
    <w:link w:val="85"/>
    <w:qFormat/>
    <w:uiPriority w:val="0"/>
    <w:pPr>
      <w:spacing w:line="360" w:lineRule="auto"/>
      <w:ind w:left="200" w:hanging="200" w:hangingChars="200"/>
    </w:pPr>
    <w:rPr>
      <w:color w:val="000000"/>
      <w:kern w:val="0"/>
      <w:sz w:val="20"/>
      <w:szCs w:val="20"/>
    </w:rPr>
  </w:style>
  <w:style w:type="paragraph" w:styleId="34">
    <w:name w:val="footnote text"/>
    <w:basedOn w:val="1"/>
    <w:link w:val="86"/>
    <w:qFormat/>
    <w:uiPriority w:val="99"/>
    <w:pPr>
      <w:snapToGrid w:val="0"/>
      <w:spacing w:line="360" w:lineRule="auto"/>
      <w:ind w:firstLine="480" w:firstLineChars="200"/>
      <w:jc w:val="left"/>
    </w:pPr>
    <w:rPr>
      <w:kern w:val="0"/>
      <w:sz w:val="18"/>
      <w:szCs w:val="20"/>
    </w:rPr>
  </w:style>
  <w:style w:type="paragraph" w:styleId="35">
    <w:name w:val="toc 6"/>
    <w:basedOn w:val="1"/>
    <w:next w:val="1"/>
    <w:qFormat/>
    <w:uiPriority w:val="99"/>
    <w:pPr>
      <w:ind w:left="1400"/>
      <w:jc w:val="left"/>
    </w:pPr>
    <w:rPr>
      <w:rFonts w:ascii="Calibri" w:hAnsi="Calibri" w:cs="Calibri"/>
      <w:sz w:val="18"/>
      <w:szCs w:val="18"/>
    </w:rPr>
  </w:style>
  <w:style w:type="paragraph" w:styleId="36">
    <w:name w:val="Body Text Indent 3"/>
    <w:basedOn w:val="1"/>
    <w:link w:val="87"/>
    <w:qFormat/>
    <w:uiPriority w:val="99"/>
    <w:pPr>
      <w:spacing w:after="120" w:line="360" w:lineRule="auto"/>
      <w:ind w:left="420" w:leftChars="200" w:firstLine="480" w:firstLineChars="200"/>
    </w:pPr>
    <w:rPr>
      <w:kern w:val="0"/>
      <w:sz w:val="16"/>
      <w:szCs w:val="16"/>
    </w:rPr>
  </w:style>
  <w:style w:type="paragraph" w:styleId="37">
    <w:name w:val="table of figures"/>
    <w:basedOn w:val="1"/>
    <w:next w:val="1"/>
    <w:qFormat/>
    <w:uiPriority w:val="99"/>
    <w:pPr>
      <w:ind w:left="200" w:leftChars="200" w:hanging="200" w:hangingChars="200"/>
    </w:pPr>
  </w:style>
  <w:style w:type="paragraph" w:styleId="38">
    <w:name w:val="toc 2"/>
    <w:basedOn w:val="1"/>
    <w:next w:val="1"/>
    <w:qFormat/>
    <w:uiPriority w:val="99"/>
    <w:pPr>
      <w:ind w:left="280"/>
      <w:jc w:val="left"/>
    </w:pPr>
    <w:rPr>
      <w:rFonts w:ascii="Calibri" w:hAnsi="Calibri" w:cs="Calibri"/>
      <w:smallCaps/>
      <w:sz w:val="20"/>
      <w:szCs w:val="20"/>
    </w:rPr>
  </w:style>
  <w:style w:type="paragraph" w:styleId="39">
    <w:name w:val="toc 9"/>
    <w:basedOn w:val="1"/>
    <w:next w:val="1"/>
    <w:qFormat/>
    <w:uiPriority w:val="99"/>
    <w:pPr>
      <w:ind w:left="2240"/>
      <w:jc w:val="left"/>
    </w:pPr>
    <w:rPr>
      <w:rFonts w:ascii="Calibri" w:hAnsi="Calibri" w:cs="Calibri"/>
      <w:sz w:val="18"/>
      <w:szCs w:val="18"/>
    </w:rPr>
  </w:style>
  <w:style w:type="paragraph" w:styleId="40">
    <w:name w:val="Body Text 2"/>
    <w:basedOn w:val="1"/>
    <w:link w:val="88"/>
    <w:qFormat/>
    <w:uiPriority w:val="99"/>
    <w:pPr>
      <w:spacing w:after="120" w:line="480" w:lineRule="auto"/>
      <w:ind w:firstLine="480" w:firstLineChars="200"/>
    </w:pPr>
  </w:style>
  <w:style w:type="paragraph" w:styleId="41">
    <w:name w:val="HTML Preformatted"/>
    <w:basedOn w:val="1"/>
    <w:link w:val="8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宋体" w:hAnsi="宋体"/>
      <w:kern w:val="0"/>
      <w:sz w:val="24"/>
    </w:rPr>
  </w:style>
  <w:style w:type="paragraph" w:styleId="42">
    <w:name w:val="Normal (Web)"/>
    <w:basedOn w:val="1"/>
    <w:link w:val="90"/>
    <w:qFormat/>
    <w:uiPriority w:val="99"/>
    <w:pPr>
      <w:widowControl/>
      <w:spacing w:before="100" w:beforeAutospacing="1" w:after="100" w:afterAutospacing="1"/>
      <w:jc w:val="left"/>
    </w:pPr>
    <w:rPr>
      <w:rFonts w:ascii="宋体" w:hAnsi="宋体"/>
      <w:kern w:val="0"/>
      <w:sz w:val="24"/>
      <w:szCs w:val="20"/>
    </w:rPr>
  </w:style>
  <w:style w:type="paragraph" w:styleId="43">
    <w:name w:val="index 1"/>
    <w:basedOn w:val="1"/>
    <w:next w:val="1"/>
    <w:qFormat/>
    <w:uiPriority w:val="99"/>
    <w:rPr>
      <w:sz w:val="28"/>
      <w:szCs w:val="20"/>
    </w:rPr>
  </w:style>
  <w:style w:type="paragraph" w:styleId="44">
    <w:name w:val="Title"/>
    <w:basedOn w:val="1"/>
    <w:next w:val="1"/>
    <w:link w:val="91"/>
    <w:qFormat/>
    <w:uiPriority w:val="0"/>
    <w:pPr>
      <w:spacing w:before="240" w:after="60" w:line="360" w:lineRule="auto"/>
      <w:ind w:firstLine="480" w:firstLineChars="200"/>
      <w:jc w:val="center"/>
      <w:outlineLvl w:val="0"/>
    </w:pPr>
    <w:rPr>
      <w:rFonts w:ascii="Arial" w:hAnsi="Arial"/>
      <w:b/>
      <w:bCs/>
      <w:sz w:val="32"/>
      <w:szCs w:val="32"/>
    </w:rPr>
  </w:style>
  <w:style w:type="paragraph" w:styleId="45">
    <w:name w:val="annotation subject"/>
    <w:basedOn w:val="13"/>
    <w:next w:val="13"/>
    <w:link w:val="92"/>
    <w:qFormat/>
    <w:uiPriority w:val="99"/>
    <w:rPr>
      <w:b/>
      <w:kern w:val="2"/>
    </w:rPr>
  </w:style>
  <w:style w:type="paragraph" w:styleId="46">
    <w:name w:val="Body Text First Indent"/>
    <w:basedOn w:val="16"/>
    <w:next w:val="1"/>
    <w:link w:val="93"/>
    <w:qFormat/>
    <w:uiPriority w:val="0"/>
    <w:pPr>
      <w:ind w:firstLine="420" w:firstLineChars="100"/>
    </w:pPr>
  </w:style>
  <w:style w:type="paragraph" w:styleId="47">
    <w:name w:val="Body Text First Indent 2"/>
    <w:basedOn w:val="17"/>
    <w:next w:val="1"/>
    <w:link w:val="94"/>
    <w:unhideWhenUsed/>
    <w:qFormat/>
    <w:uiPriority w:val="99"/>
    <w:pPr>
      <w:ind w:firstLine="420" w:firstLineChars="200"/>
    </w:pPr>
  </w:style>
  <w:style w:type="table" w:styleId="49">
    <w:name w:val="Table Grid"/>
    <w:basedOn w:val="4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Table Theme"/>
    <w:basedOn w:val="48"/>
    <w:qFormat/>
    <w:uiPriority w:val="0"/>
    <w:pPr>
      <w:widowControl w:val="0"/>
      <w:jc w:val="both"/>
    </w:pPr>
    <w:rPr>
      <w:sz w:val="24"/>
    </w:rPr>
    <w:tblPr>
      <w:tblBorders>
        <w:top w:val="single" w:color="auto" w:sz="12" w:space="0"/>
        <w:bottom w:val="single" w:color="auto" w:sz="12" w:space="0"/>
        <w:insideH w:val="single" w:color="auto" w:sz="4" w:space="0"/>
        <w:insideV w:val="single" w:color="auto" w:sz="4" w:space="0"/>
      </w:tblBorders>
    </w:tblPr>
  </w:style>
  <w:style w:type="table" w:styleId="51">
    <w:name w:val="Table Elegant"/>
    <w:basedOn w:val="48"/>
    <w:qFormat/>
    <w:uiPriority w:val="0"/>
    <w:pPr>
      <w:widowControl w:val="0"/>
      <w:jc w:val="both"/>
    </w:pPr>
    <w:rPr>
      <w:rFonts w:eastAsia="Times New Roman"/>
      <w:sz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3">
    <w:name w:val="Strong"/>
    <w:qFormat/>
    <w:uiPriority w:val="22"/>
    <w:rPr>
      <w:rFonts w:cs="Times New Roman"/>
      <w:b/>
      <w:bCs/>
    </w:rPr>
  </w:style>
  <w:style w:type="character" w:styleId="54">
    <w:name w:val="endnote reference"/>
    <w:unhideWhenUsed/>
    <w:qFormat/>
    <w:uiPriority w:val="99"/>
    <w:rPr>
      <w:vertAlign w:val="superscript"/>
    </w:rPr>
  </w:style>
  <w:style w:type="character" w:styleId="55">
    <w:name w:val="page number"/>
    <w:qFormat/>
    <w:uiPriority w:val="99"/>
  </w:style>
  <w:style w:type="character" w:styleId="56">
    <w:name w:val="FollowedHyperlink"/>
    <w:unhideWhenUsed/>
    <w:qFormat/>
    <w:uiPriority w:val="99"/>
    <w:rPr>
      <w:rFonts w:hint="eastAsia" w:ascii="Arial" w:hAnsi="Arial" w:cs="Arial"/>
      <w:color w:val="3F3F3F"/>
      <w:sz w:val="18"/>
      <w:szCs w:val="18"/>
      <w:u w:val="none"/>
    </w:rPr>
  </w:style>
  <w:style w:type="character" w:styleId="57">
    <w:name w:val="Emphasis"/>
    <w:qFormat/>
    <w:uiPriority w:val="20"/>
    <w:rPr>
      <w:rFonts w:cs="Times New Roman"/>
      <w:color w:val="auto"/>
    </w:rPr>
  </w:style>
  <w:style w:type="character" w:styleId="58">
    <w:name w:val="Hyperlink"/>
    <w:qFormat/>
    <w:uiPriority w:val="99"/>
    <w:rPr>
      <w:rFonts w:hint="default" w:ascii="Arial" w:hAnsi="Arial" w:cs="Arial"/>
      <w:color w:val="3F3F3F"/>
      <w:sz w:val="18"/>
      <w:szCs w:val="18"/>
      <w:u w:val="none"/>
    </w:rPr>
  </w:style>
  <w:style w:type="character" w:styleId="59">
    <w:name w:val="annotation reference"/>
    <w:qFormat/>
    <w:uiPriority w:val="0"/>
    <w:rPr>
      <w:sz w:val="21"/>
    </w:rPr>
  </w:style>
  <w:style w:type="character" w:styleId="60">
    <w:name w:val="footnote reference"/>
    <w:qFormat/>
    <w:uiPriority w:val="99"/>
    <w:rPr>
      <w:rFonts w:cs="Times New Roman"/>
      <w:vertAlign w:val="superscript"/>
    </w:rPr>
  </w:style>
  <w:style w:type="paragraph" w:customStyle="1" w:styleId="61">
    <w:name w:val="表头"/>
    <w:basedOn w:val="11"/>
    <w:next w:val="1"/>
    <w:link w:val="72"/>
    <w:qFormat/>
    <w:uiPriority w:val="0"/>
    <w:pPr>
      <w:adjustRightInd w:val="0"/>
      <w:spacing w:beforeLines="50"/>
      <w:ind w:firstLine="420" w:firstLineChars="200"/>
      <w:jc w:val="center"/>
    </w:pPr>
    <w:rPr>
      <w:rFonts w:eastAsia="黑体"/>
      <w:color w:val="000000"/>
      <w:szCs w:val="21"/>
    </w:rPr>
  </w:style>
  <w:style w:type="paragraph" w:customStyle="1" w:styleId="62">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480" w:firstLineChars="200"/>
      <w:jc w:val="center"/>
      <w:textAlignment w:val="top"/>
    </w:pPr>
    <w:rPr>
      <w:rFonts w:ascii="宋体" w:hAnsi="宋体"/>
      <w:color w:val="000000"/>
      <w:kern w:val="0"/>
      <w:sz w:val="24"/>
    </w:rPr>
  </w:style>
  <w:style w:type="paragraph" w:customStyle="1" w:styleId="63">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rPr>
  </w:style>
  <w:style w:type="character" w:customStyle="1" w:styleId="64">
    <w:name w:val="正文缩进 字符1"/>
    <w:link w:val="10"/>
    <w:qFormat/>
    <w:uiPriority w:val="99"/>
    <w:rPr>
      <w:kern w:val="2"/>
      <w:sz w:val="21"/>
      <w:szCs w:val="24"/>
    </w:rPr>
  </w:style>
  <w:style w:type="character" w:customStyle="1" w:styleId="65">
    <w:name w:val="标题 4 字符"/>
    <w:link w:val="5"/>
    <w:qFormat/>
    <w:uiPriority w:val="99"/>
    <w:rPr>
      <w:rFonts w:ascii="等线 Light" w:hAnsi="等线 Light" w:eastAsia="等线 Light" w:cs="Times New Roman"/>
      <w:b/>
      <w:bCs/>
      <w:kern w:val="2"/>
      <w:sz w:val="28"/>
      <w:szCs w:val="28"/>
    </w:rPr>
  </w:style>
  <w:style w:type="character" w:customStyle="1" w:styleId="66">
    <w:name w:val="标题 1 字符1"/>
    <w:link w:val="2"/>
    <w:qFormat/>
    <w:uiPriority w:val="99"/>
    <w:rPr>
      <w:rFonts w:eastAsia="黑体"/>
      <w:b/>
      <w:bCs/>
      <w:color w:val="000000"/>
      <w:kern w:val="44"/>
      <w:sz w:val="30"/>
      <w:szCs w:val="30"/>
    </w:rPr>
  </w:style>
  <w:style w:type="character" w:customStyle="1" w:styleId="67">
    <w:name w:val="标题 2 字符1"/>
    <w:link w:val="3"/>
    <w:qFormat/>
    <w:uiPriority w:val="99"/>
    <w:rPr>
      <w:b/>
      <w:bCs/>
      <w:kern w:val="2"/>
      <w:sz w:val="32"/>
      <w:szCs w:val="32"/>
    </w:rPr>
  </w:style>
  <w:style w:type="character" w:customStyle="1" w:styleId="68">
    <w:name w:val="标题 3 字符1"/>
    <w:link w:val="4"/>
    <w:qFormat/>
    <w:uiPriority w:val="99"/>
    <w:rPr>
      <w:b/>
      <w:bCs/>
      <w:kern w:val="2"/>
      <w:sz w:val="24"/>
      <w:szCs w:val="21"/>
    </w:rPr>
  </w:style>
  <w:style w:type="character" w:customStyle="1" w:styleId="69">
    <w:name w:val="标题 5 字符1"/>
    <w:link w:val="6"/>
    <w:qFormat/>
    <w:uiPriority w:val="9"/>
    <w:rPr>
      <w:b/>
      <w:bCs/>
      <w:kern w:val="2"/>
      <w:sz w:val="28"/>
      <w:szCs w:val="28"/>
    </w:rPr>
  </w:style>
  <w:style w:type="character" w:customStyle="1" w:styleId="70">
    <w:name w:val="注释标题 字符"/>
    <w:link w:val="9"/>
    <w:qFormat/>
    <w:uiPriority w:val="99"/>
    <w:rPr>
      <w:sz w:val="28"/>
    </w:rPr>
  </w:style>
  <w:style w:type="character" w:customStyle="1" w:styleId="71">
    <w:name w:val="正文文本 字符"/>
    <w:link w:val="16"/>
    <w:qFormat/>
    <w:uiPriority w:val="99"/>
    <w:rPr>
      <w:sz w:val="18"/>
    </w:rPr>
  </w:style>
  <w:style w:type="character" w:customStyle="1" w:styleId="72">
    <w:name w:val="表头 字符"/>
    <w:link w:val="61"/>
    <w:qFormat/>
    <w:uiPriority w:val="0"/>
    <w:rPr>
      <w:rFonts w:eastAsia="黑体"/>
      <w:color w:val="000000"/>
      <w:kern w:val="2"/>
      <w:sz w:val="21"/>
      <w:szCs w:val="21"/>
    </w:rPr>
  </w:style>
  <w:style w:type="character" w:customStyle="1" w:styleId="73">
    <w:name w:val="文档结构图 字符"/>
    <w:link w:val="12"/>
    <w:qFormat/>
    <w:uiPriority w:val="99"/>
    <w:rPr>
      <w:rFonts w:ascii="宋体"/>
      <w:kern w:val="2"/>
      <w:sz w:val="18"/>
      <w:szCs w:val="18"/>
    </w:rPr>
  </w:style>
  <w:style w:type="character" w:customStyle="1" w:styleId="74">
    <w:name w:val="批注文字 字符"/>
    <w:link w:val="13"/>
    <w:qFormat/>
    <w:uiPriority w:val="0"/>
    <w:rPr>
      <w:rFonts w:ascii="Times New Roman" w:hAnsi="Times New Roman" w:eastAsia="宋体"/>
      <w:sz w:val="24"/>
    </w:rPr>
  </w:style>
  <w:style w:type="character" w:customStyle="1" w:styleId="75">
    <w:name w:val="正文文本 3 字符1"/>
    <w:link w:val="15"/>
    <w:qFormat/>
    <w:uiPriority w:val="99"/>
    <w:rPr>
      <w:kern w:val="2"/>
      <w:sz w:val="16"/>
      <w:szCs w:val="16"/>
    </w:rPr>
  </w:style>
  <w:style w:type="character" w:customStyle="1" w:styleId="76">
    <w:name w:val="正文文本缩进 字符"/>
    <w:link w:val="17"/>
    <w:qFormat/>
    <w:uiPriority w:val="99"/>
    <w:rPr>
      <w:rFonts w:ascii="Times New Roman" w:hAnsi="Times New Roman" w:eastAsia="宋体"/>
      <w:sz w:val="24"/>
    </w:rPr>
  </w:style>
  <w:style w:type="character" w:customStyle="1" w:styleId="77">
    <w:name w:val="列表 2 字符"/>
    <w:link w:val="19"/>
    <w:qFormat/>
    <w:uiPriority w:val="99"/>
    <w:rPr>
      <w:kern w:val="2"/>
      <w:sz w:val="30"/>
    </w:rPr>
  </w:style>
  <w:style w:type="character" w:customStyle="1" w:styleId="78">
    <w:name w:val="纯文本 字符"/>
    <w:link w:val="23"/>
    <w:qFormat/>
    <w:uiPriority w:val="99"/>
    <w:rPr>
      <w:rFonts w:ascii="宋体" w:hAnsi="Courier New"/>
      <w:kern w:val="2"/>
      <w:sz w:val="21"/>
      <w:szCs w:val="24"/>
    </w:rPr>
  </w:style>
  <w:style w:type="character" w:customStyle="1" w:styleId="79">
    <w:name w:val="日期 字符1"/>
    <w:link w:val="25"/>
    <w:qFormat/>
    <w:uiPriority w:val="99"/>
    <w:rPr>
      <w:rFonts w:ascii="Times New Roman" w:hAnsi="Times New Roman" w:eastAsia="宋体"/>
      <w:sz w:val="24"/>
    </w:rPr>
  </w:style>
  <w:style w:type="character" w:customStyle="1" w:styleId="80">
    <w:name w:val="正文文本缩进 2 字符"/>
    <w:link w:val="26"/>
    <w:qFormat/>
    <w:uiPriority w:val="99"/>
    <w:rPr>
      <w:kern w:val="2"/>
      <w:sz w:val="21"/>
      <w:szCs w:val="24"/>
    </w:rPr>
  </w:style>
  <w:style w:type="character" w:customStyle="1" w:styleId="81">
    <w:name w:val="尾注文本 字符"/>
    <w:link w:val="27"/>
    <w:qFormat/>
    <w:uiPriority w:val="99"/>
    <w:rPr>
      <w:kern w:val="2"/>
      <w:sz w:val="21"/>
      <w:szCs w:val="21"/>
    </w:rPr>
  </w:style>
  <w:style w:type="character" w:customStyle="1" w:styleId="82">
    <w:name w:val="批注框文本 字符"/>
    <w:link w:val="18"/>
    <w:qFormat/>
    <w:uiPriority w:val="0"/>
    <w:rPr>
      <w:rFonts w:ascii="Times New Roman" w:hAnsi="Times New Roman" w:eastAsia="宋体"/>
      <w:sz w:val="18"/>
    </w:rPr>
  </w:style>
  <w:style w:type="character" w:customStyle="1" w:styleId="83">
    <w:name w:val="页脚 字符1"/>
    <w:link w:val="28"/>
    <w:qFormat/>
    <w:uiPriority w:val="99"/>
    <w:rPr>
      <w:sz w:val="18"/>
    </w:rPr>
  </w:style>
  <w:style w:type="character" w:customStyle="1" w:styleId="84">
    <w:name w:val="页眉 字符"/>
    <w:link w:val="29"/>
    <w:qFormat/>
    <w:uiPriority w:val="99"/>
    <w:rPr>
      <w:sz w:val="18"/>
    </w:rPr>
  </w:style>
  <w:style w:type="character" w:customStyle="1" w:styleId="85">
    <w:name w:val="列表 字符"/>
    <w:link w:val="33"/>
    <w:qFormat/>
    <w:uiPriority w:val="0"/>
    <w:rPr>
      <w:color w:val="000000"/>
    </w:rPr>
  </w:style>
  <w:style w:type="character" w:customStyle="1" w:styleId="86">
    <w:name w:val="脚注文本 字符"/>
    <w:link w:val="34"/>
    <w:qFormat/>
    <w:uiPriority w:val="99"/>
    <w:rPr>
      <w:sz w:val="18"/>
    </w:rPr>
  </w:style>
  <w:style w:type="character" w:customStyle="1" w:styleId="87">
    <w:name w:val="正文文本缩进 3 字符"/>
    <w:link w:val="36"/>
    <w:qFormat/>
    <w:uiPriority w:val="99"/>
    <w:rPr>
      <w:sz w:val="16"/>
      <w:szCs w:val="16"/>
    </w:rPr>
  </w:style>
  <w:style w:type="character" w:customStyle="1" w:styleId="88">
    <w:name w:val="正文文本 2 字符"/>
    <w:link w:val="40"/>
    <w:qFormat/>
    <w:uiPriority w:val="99"/>
    <w:rPr>
      <w:kern w:val="2"/>
      <w:sz w:val="21"/>
      <w:szCs w:val="24"/>
    </w:rPr>
  </w:style>
  <w:style w:type="character" w:customStyle="1" w:styleId="89">
    <w:name w:val="HTML 预设格式 字符1"/>
    <w:link w:val="41"/>
    <w:qFormat/>
    <w:uiPriority w:val="99"/>
    <w:rPr>
      <w:rFonts w:ascii="宋体" w:hAnsi="宋体"/>
      <w:sz w:val="24"/>
      <w:szCs w:val="24"/>
    </w:rPr>
  </w:style>
  <w:style w:type="character" w:customStyle="1" w:styleId="90">
    <w:name w:val="普通(网站) 字符"/>
    <w:link w:val="42"/>
    <w:qFormat/>
    <w:uiPriority w:val="99"/>
    <w:rPr>
      <w:rFonts w:ascii="宋体" w:hAnsi="宋体" w:eastAsia="宋体"/>
      <w:sz w:val="24"/>
    </w:rPr>
  </w:style>
  <w:style w:type="character" w:customStyle="1" w:styleId="91">
    <w:name w:val="标题 字符1"/>
    <w:link w:val="44"/>
    <w:qFormat/>
    <w:uiPriority w:val="0"/>
    <w:rPr>
      <w:rFonts w:ascii="Arial" w:hAnsi="Arial"/>
      <w:b/>
      <w:bCs/>
      <w:kern w:val="2"/>
      <w:sz w:val="32"/>
      <w:szCs w:val="32"/>
    </w:rPr>
  </w:style>
  <w:style w:type="character" w:customStyle="1" w:styleId="92">
    <w:name w:val="批注主题 字符"/>
    <w:link w:val="45"/>
    <w:qFormat/>
    <w:uiPriority w:val="99"/>
    <w:rPr>
      <w:rFonts w:ascii="Times New Roman" w:hAnsi="Times New Roman" w:eastAsia="宋体"/>
      <w:b/>
      <w:kern w:val="2"/>
      <w:sz w:val="24"/>
    </w:rPr>
  </w:style>
  <w:style w:type="character" w:customStyle="1" w:styleId="93">
    <w:name w:val="正文文本首行缩进 字符"/>
    <w:link w:val="46"/>
    <w:qFormat/>
    <w:uiPriority w:val="0"/>
    <w:rPr>
      <w:sz w:val="18"/>
    </w:rPr>
  </w:style>
  <w:style w:type="character" w:customStyle="1" w:styleId="94">
    <w:name w:val="正文文本首行缩进 2 字符"/>
    <w:link w:val="47"/>
    <w:qFormat/>
    <w:uiPriority w:val="99"/>
    <w:rPr>
      <w:sz w:val="21"/>
      <w:szCs w:val="24"/>
    </w:rPr>
  </w:style>
  <w:style w:type="paragraph" w:customStyle="1" w:styleId="95">
    <w:name w:val="样式1"/>
    <w:basedOn w:val="1"/>
    <w:qFormat/>
    <w:uiPriority w:val="99"/>
    <w:pPr>
      <w:adjustRightInd w:val="0"/>
      <w:spacing w:line="420" w:lineRule="auto"/>
      <w:ind w:firstLine="480" w:firstLineChars="200"/>
      <w:jc w:val="center"/>
      <w:textAlignment w:val="baseline"/>
    </w:pPr>
    <w:rPr>
      <w:rFonts w:ascii="宋体" w:cs="宋体"/>
      <w:color w:val="000000"/>
      <w:kern w:val="0"/>
      <w:sz w:val="24"/>
    </w:rPr>
  </w:style>
  <w:style w:type="character" w:customStyle="1" w:styleId="96">
    <w:name w:val="标题 2 Char"/>
    <w:qFormat/>
    <w:uiPriority w:val="99"/>
    <w:rPr>
      <w:rFonts w:ascii="Arial" w:hAnsi="Arial" w:eastAsia="黑体"/>
      <w:b/>
      <w:kern w:val="2"/>
      <w:sz w:val="32"/>
    </w:rPr>
  </w:style>
  <w:style w:type="character" w:customStyle="1" w:styleId="97">
    <w:name w:val="批注文字 字符1"/>
    <w:qFormat/>
    <w:uiPriority w:val="99"/>
    <w:rPr>
      <w:rFonts w:ascii="Times New Roman" w:hAnsi="Times New Roman" w:eastAsia="宋体"/>
      <w:sz w:val="24"/>
    </w:rPr>
  </w:style>
  <w:style w:type="character" w:customStyle="1" w:styleId="98">
    <w:name w:val="表格 Char"/>
    <w:link w:val="99"/>
    <w:qFormat/>
    <w:uiPriority w:val="0"/>
    <w:rPr>
      <w:rFonts w:ascii="宋体"/>
      <w:sz w:val="21"/>
    </w:rPr>
  </w:style>
  <w:style w:type="paragraph" w:customStyle="1" w:styleId="99">
    <w:name w:val="表格"/>
    <w:basedOn w:val="1"/>
    <w:link w:val="98"/>
    <w:qFormat/>
    <w:uiPriority w:val="0"/>
    <w:pPr>
      <w:adjustRightInd w:val="0"/>
      <w:snapToGrid w:val="0"/>
      <w:spacing w:beforeLines="10" w:afterLines="10" w:line="259" w:lineRule="auto"/>
      <w:jc w:val="center"/>
    </w:pPr>
    <w:rPr>
      <w:rFonts w:ascii="宋体"/>
      <w:kern w:val="0"/>
      <w:szCs w:val="20"/>
    </w:rPr>
  </w:style>
  <w:style w:type="character" w:customStyle="1" w:styleId="100">
    <w:name w:val="正文文本 字符1"/>
    <w:qFormat/>
    <w:uiPriority w:val="99"/>
    <w:rPr>
      <w:rFonts w:ascii="Times New Roman" w:hAnsi="Times New Roman" w:eastAsia="宋体"/>
      <w:sz w:val="24"/>
    </w:rPr>
  </w:style>
  <w:style w:type="character" w:customStyle="1" w:styleId="101">
    <w:name w:val="页脚 字符"/>
    <w:qFormat/>
    <w:uiPriority w:val="99"/>
  </w:style>
  <w:style w:type="character" w:customStyle="1" w:styleId="102">
    <w:name w:val="日期 字符"/>
    <w:qFormat/>
    <w:uiPriority w:val="99"/>
    <w:rPr>
      <w:rFonts w:ascii="Times New Roman" w:hAnsi="Times New Roman" w:eastAsia="宋体"/>
      <w:sz w:val="24"/>
    </w:rPr>
  </w:style>
  <w:style w:type="paragraph" w:customStyle="1" w:styleId="103">
    <w:name w:val="真·正文"/>
    <w:basedOn w:val="1"/>
    <w:next w:val="1"/>
    <w:link w:val="104"/>
    <w:qFormat/>
    <w:uiPriority w:val="0"/>
    <w:pPr>
      <w:adjustRightInd w:val="0"/>
      <w:snapToGrid w:val="0"/>
      <w:spacing w:line="360" w:lineRule="auto"/>
      <w:ind w:firstLine="200" w:firstLineChars="200"/>
      <w:jc w:val="left"/>
    </w:pPr>
    <w:rPr>
      <w:sz w:val="24"/>
      <w:szCs w:val="21"/>
    </w:rPr>
  </w:style>
  <w:style w:type="character" w:customStyle="1" w:styleId="104">
    <w:name w:val="真·正文 Char"/>
    <w:link w:val="103"/>
    <w:qFormat/>
    <w:uiPriority w:val="0"/>
    <w:rPr>
      <w:kern w:val="2"/>
      <w:sz w:val="24"/>
      <w:szCs w:val="21"/>
    </w:rPr>
  </w:style>
  <w:style w:type="paragraph" w:customStyle="1" w:styleId="105">
    <w:name w:val="0 表格"/>
    <w:basedOn w:val="1"/>
    <w:qFormat/>
    <w:uiPriority w:val="0"/>
    <w:pPr>
      <w:jc w:val="center"/>
    </w:pPr>
    <w:rPr>
      <w:kern w:val="0"/>
      <w:sz w:val="20"/>
      <w:szCs w:val="21"/>
    </w:rPr>
  </w:style>
  <w:style w:type="paragraph" w:customStyle="1" w:styleId="106">
    <w:name w:val="0正文"/>
    <w:basedOn w:val="1"/>
    <w:qFormat/>
    <w:uiPriority w:val="0"/>
    <w:pPr>
      <w:spacing w:line="360" w:lineRule="auto"/>
      <w:ind w:firstLine="480" w:firstLineChars="200"/>
    </w:pPr>
    <w:rPr>
      <w:sz w:val="24"/>
    </w:rPr>
  </w:style>
  <w:style w:type="paragraph" w:customStyle="1" w:styleId="107">
    <w:name w:val="正文-欣欣"/>
    <w:basedOn w:val="1"/>
    <w:next w:val="1"/>
    <w:qFormat/>
    <w:uiPriority w:val="0"/>
    <w:pPr>
      <w:spacing w:line="360" w:lineRule="auto"/>
      <w:ind w:firstLine="480" w:firstLineChars="200"/>
    </w:pPr>
    <w:rPr>
      <w:bCs/>
      <w:sz w:val="24"/>
    </w:rPr>
  </w:style>
  <w:style w:type="paragraph" w:customStyle="1" w:styleId="108">
    <w:name w:val="表格文字"/>
    <w:basedOn w:val="23"/>
    <w:next w:val="1"/>
    <w:link w:val="109"/>
    <w:qFormat/>
    <w:uiPriority w:val="0"/>
    <w:pPr>
      <w:spacing w:beforeLines="10" w:afterLines="10" w:line="0" w:lineRule="atLeast"/>
      <w:jc w:val="center"/>
    </w:pPr>
    <w:rPr>
      <w:sz w:val="18"/>
      <w:szCs w:val="21"/>
    </w:rPr>
  </w:style>
  <w:style w:type="character" w:customStyle="1" w:styleId="109">
    <w:name w:val="表格文字 字符"/>
    <w:link w:val="108"/>
    <w:qFormat/>
    <w:uiPriority w:val="0"/>
    <w:rPr>
      <w:rFonts w:ascii="宋体" w:hAnsi="Courier New"/>
      <w:kern w:val="2"/>
      <w:sz w:val="18"/>
      <w:szCs w:val="21"/>
    </w:rPr>
  </w:style>
  <w:style w:type="paragraph" w:customStyle="1" w:styleId="11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列表段落1"/>
    <w:basedOn w:val="1"/>
    <w:qFormat/>
    <w:uiPriority w:val="34"/>
    <w:pPr>
      <w:ind w:firstLine="420" w:firstLineChars="200"/>
    </w:pPr>
  </w:style>
  <w:style w:type="paragraph" w:customStyle="1" w:styleId="112">
    <w:name w:val="表格标题-5"/>
    <w:basedOn w:val="1"/>
    <w:next w:val="1"/>
    <w:qFormat/>
    <w:uiPriority w:val="0"/>
    <w:pPr>
      <w:numPr>
        <w:ilvl w:val="0"/>
        <w:numId w:val="2"/>
      </w:numPr>
      <w:adjustRightInd w:val="0"/>
      <w:snapToGrid w:val="0"/>
      <w:spacing w:line="360" w:lineRule="auto"/>
      <w:jc w:val="center"/>
    </w:pPr>
    <w:rPr>
      <w:rFonts w:eastAsia="黑体"/>
    </w:rPr>
  </w:style>
  <w:style w:type="paragraph" w:customStyle="1" w:styleId="11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4">
    <w:name w:val="Default"/>
    <w:basedOn w:val="115"/>
    <w:link w:val="117"/>
    <w:qFormat/>
    <w:uiPriority w:val="0"/>
    <w:rPr>
      <w:rFonts w:hAnsi="Calibri"/>
      <w:color w:val="000000"/>
      <w:sz w:val="24"/>
      <w:szCs w:val="24"/>
    </w:rPr>
  </w:style>
  <w:style w:type="paragraph" w:customStyle="1" w:styleId="115">
    <w:name w:val="纯文本1"/>
    <w:basedOn w:val="1"/>
    <w:qFormat/>
    <w:uiPriority w:val="0"/>
    <w:pPr>
      <w:autoSpaceDE w:val="0"/>
      <w:autoSpaceDN w:val="0"/>
      <w:adjustRightInd w:val="0"/>
      <w:textAlignment w:val="baseline"/>
    </w:pPr>
    <w:rPr>
      <w:rFonts w:ascii="宋体"/>
      <w:szCs w:val="20"/>
    </w:rPr>
  </w:style>
  <w:style w:type="paragraph" w:customStyle="1" w:styleId="11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117">
    <w:name w:val="Default Char"/>
    <w:link w:val="114"/>
    <w:qFormat/>
    <w:uiPriority w:val="0"/>
    <w:rPr>
      <w:rFonts w:ascii="宋体" w:hAnsi="Calibri"/>
      <w:color w:val="000000"/>
      <w:sz w:val="24"/>
      <w:szCs w:val="24"/>
      <w:lang w:bidi="ar-SA"/>
    </w:rPr>
  </w:style>
  <w:style w:type="paragraph" w:customStyle="1" w:styleId="118">
    <w:name w:val="报告"/>
    <w:basedOn w:val="1"/>
    <w:link w:val="119"/>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19">
    <w:name w:val="报告 Char Char"/>
    <w:link w:val="118"/>
    <w:qFormat/>
    <w:uiPriority w:val="0"/>
    <w:rPr>
      <w:rFonts w:ascii="TimesNewRoman" w:hAnsi="TimesNewRoman"/>
      <w:sz w:val="24"/>
    </w:rPr>
  </w:style>
  <w:style w:type="character" w:customStyle="1" w:styleId="120">
    <w:name w:val="图题 字符"/>
    <w:link w:val="121"/>
    <w:qFormat/>
    <w:uiPriority w:val="0"/>
    <w:rPr>
      <w:rFonts w:eastAsia="黑体"/>
      <w:sz w:val="21"/>
      <w:szCs w:val="21"/>
      <w:lang w:val="zh-CN"/>
    </w:rPr>
  </w:style>
  <w:style w:type="paragraph" w:customStyle="1" w:styleId="121">
    <w:name w:val="图题"/>
    <w:basedOn w:val="1"/>
    <w:link w:val="120"/>
    <w:qFormat/>
    <w:uiPriority w:val="0"/>
    <w:pPr>
      <w:widowControl/>
      <w:adjustRightInd w:val="0"/>
      <w:snapToGrid w:val="0"/>
      <w:spacing w:afterLines="50" w:line="360" w:lineRule="auto"/>
      <w:ind w:firstLine="420" w:firstLineChars="200"/>
      <w:jc w:val="center"/>
    </w:pPr>
    <w:rPr>
      <w:rFonts w:eastAsia="黑体"/>
      <w:kern w:val="0"/>
      <w:szCs w:val="21"/>
      <w:lang w:val="zh-CN"/>
    </w:rPr>
  </w:style>
  <w:style w:type="character" w:customStyle="1" w:styleId="122">
    <w:name w:val="环评正文 Char"/>
    <w:link w:val="123"/>
    <w:qFormat/>
    <w:uiPriority w:val="99"/>
    <w:rPr>
      <w:rFonts w:eastAsia="Times New Roman"/>
      <w:kern w:val="2"/>
      <w:sz w:val="24"/>
    </w:rPr>
  </w:style>
  <w:style w:type="paragraph" w:customStyle="1" w:styleId="123">
    <w:name w:val="环评正文"/>
    <w:basedOn w:val="1"/>
    <w:link w:val="122"/>
    <w:qFormat/>
    <w:uiPriority w:val="99"/>
    <w:pPr>
      <w:spacing w:line="360" w:lineRule="auto"/>
      <w:ind w:firstLine="480" w:firstLineChars="200"/>
    </w:pPr>
    <w:rPr>
      <w:rFonts w:eastAsia="Times New Roman"/>
      <w:sz w:val="24"/>
      <w:szCs w:val="20"/>
    </w:rPr>
  </w:style>
  <w:style w:type="character" w:customStyle="1" w:styleId="124">
    <w:name w:val="表格后文字 字符"/>
    <w:link w:val="125"/>
    <w:qFormat/>
    <w:uiPriority w:val="0"/>
    <w:rPr>
      <w:sz w:val="24"/>
      <w:szCs w:val="22"/>
    </w:rPr>
  </w:style>
  <w:style w:type="paragraph" w:customStyle="1" w:styleId="125">
    <w:name w:val="表格后文字"/>
    <w:basedOn w:val="1"/>
    <w:link w:val="124"/>
    <w:qFormat/>
    <w:uiPriority w:val="0"/>
    <w:pPr>
      <w:widowControl/>
      <w:adjustRightInd w:val="0"/>
      <w:snapToGrid w:val="0"/>
      <w:spacing w:beforeLines="50" w:line="360" w:lineRule="auto"/>
      <w:ind w:firstLine="480" w:firstLineChars="200"/>
    </w:pPr>
    <w:rPr>
      <w:kern w:val="0"/>
      <w:sz w:val="24"/>
      <w:szCs w:val="22"/>
    </w:rPr>
  </w:style>
  <w:style w:type="character" w:customStyle="1" w:styleId="126">
    <w:name w:val="表格内容 Char"/>
    <w:link w:val="127"/>
    <w:qFormat/>
    <w:uiPriority w:val="0"/>
    <w:rPr>
      <w:color w:val="000000"/>
      <w:kern w:val="2"/>
      <w:sz w:val="21"/>
      <w:szCs w:val="21"/>
      <w:lang w:val="zh-CN"/>
    </w:rPr>
  </w:style>
  <w:style w:type="paragraph" w:customStyle="1" w:styleId="127">
    <w:name w:val="表格内容"/>
    <w:basedOn w:val="61"/>
    <w:next w:val="1"/>
    <w:link w:val="126"/>
    <w:qFormat/>
    <w:uiPriority w:val="0"/>
    <w:pPr>
      <w:snapToGrid w:val="0"/>
    </w:pPr>
    <w:rPr>
      <w:lang w:val="zh-CN"/>
    </w:rPr>
  </w:style>
  <w:style w:type="character" w:customStyle="1" w:styleId="128">
    <w:name w:val="【正文】 Char"/>
    <w:link w:val="129"/>
    <w:qFormat/>
    <w:uiPriority w:val="0"/>
    <w:rPr>
      <w:rFonts w:cs="宋体"/>
      <w:kern w:val="2"/>
      <w:sz w:val="21"/>
    </w:rPr>
  </w:style>
  <w:style w:type="paragraph" w:customStyle="1" w:styleId="129">
    <w:name w:val="【正文】"/>
    <w:basedOn w:val="1"/>
    <w:link w:val="128"/>
    <w:qFormat/>
    <w:uiPriority w:val="0"/>
    <w:pPr>
      <w:spacing w:line="300" w:lineRule="auto"/>
      <w:ind w:firstLine="200" w:firstLineChars="200"/>
      <w:jc w:val="left"/>
    </w:pPr>
    <w:rPr>
      <w:szCs w:val="20"/>
    </w:rPr>
  </w:style>
  <w:style w:type="paragraph" w:customStyle="1" w:styleId="130">
    <w:name w:val="环评表格"/>
    <w:basedOn w:val="1"/>
    <w:qFormat/>
    <w:uiPriority w:val="0"/>
    <w:pPr>
      <w:jc w:val="center"/>
      <w:outlineLvl w:val="0"/>
    </w:pPr>
    <w:rPr>
      <w:kern w:val="0"/>
      <w:szCs w:val="20"/>
    </w:rPr>
  </w:style>
  <w:style w:type="paragraph" w:customStyle="1" w:styleId="131">
    <w:name w:val="表文字"/>
    <w:basedOn w:val="1"/>
    <w:qFormat/>
    <w:uiPriority w:val="0"/>
    <w:pPr>
      <w:wordWrap w:val="0"/>
      <w:topLinePunct/>
      <w:jc w:val="center"/>
    </w:pPr>
  </w:style>
  <w:style w:type="character" w:customStyle="1" w:styleId="132">
    <w:name w:val="标题 3 字符"/>
    <w:qFormat/>
    <w:uiPriority w:val="99"/>
    <w:rPr>
      <w:b/>
      <w:bCs/>
      <w:kern w:val="2"/>
      <w:sz w:val="32"/>
      <w:szCs w:val="32"/>
    </w:rPr>
  </w:style>
  <w:style w:type="character" w:customStyle="1" w:styleId="133">
    <w:name w:val="标题 5 字符"/>
    <w:qFormat/>
    <w:uiPriority w:val="0"/>
    <w:rPr>
      <w:b/>
      <w:bCs/>
      <w:kern w:val="2"/>
      <w:sz w:val="28"/>
      <w:szCs w:val="28"/>
    </w:rPr>
  </w:style>
  <w:style w:type="character" w:customStyle="1" w:styleId="134">
    <w:name w:val="标题 1 字符"/>
    <w:qFormat/>
    <w:uiPriority w:val="99"/>
    <w:rPr>
      <w:b/>
      <w:bCs/>
      <w:color w:val="000000"/>
      <w:kern w:val="44"/>
      <w:sz w:val="44"/>
      <w:szCs w:val="44"/>
    </w:rPr>
  </w:style>
  <w:style w:type="character" w:customStyle="1" w:styleId="135">
    <w:name w:val="标题 2 字符"/>
    <w:qFormat/>
    <w:uiPriority w:val="99"/>
    <w:rPr>
      <w:rFonts w:ascii="等线 Light" w:hAnsi="等线 Light" w:eastAsia="等线 Light" w:cs="Times New Roman"/>
      <w:b/>
      <w:bCs/>
      <w:color w:val="000000"/>
      <w:kern w:val="2"/>
      <w:sz w:val="32"/>
      <w:szCs w:val="32"/>
    </w:rPr>
  </w:style>
  <w:style w:type="paragraph" w:customStyle="1" w:styleId="136">
    <w:name w:val="标题1"/>
    <w:basedOn w:val="3"/>
    <w:qFormat/>
    <w:uiPriority w:val="0"/>
    <w:pPr>
      <w:keepNext w:val="0"/>
      <w:keepLines w:val="0"/>
      <w:adjustRightInd w:val="0"/>
      <w:snapToGrid w:val="0"/>
      <w:spacing w:before="0" w:after="0" w:line="360" w:lineRule="auto"/>
      <w:ind w:left="185" w:hanging="425"/>
    </w:pPr>
    <w:rPr>
      <w:bCs w:val="0"/>
      <w:szCs w:val="24"/>
    </w:rPr>
  </w:style>
  <w:style w:type="paragraph" w:customStyle="1" w:styleId="137">
    <w:name w:val="环评标题1"/>
    <w:basedOn w:val="1"/>
    <w:link w:val="138"/>
    <w:qFormat/>
    <w:uiPriority w:val="0"/>
    <w:pPr>
      <w:spacing w:line="360" w:lineRule="auto"/>
    </w:pPr>
    <w:rPr>
      <w:b/>
      <w:sz w:val="28"/>
    </w:rPr>
  </w:style>
  <w:style w:type="character" w:customStyle="1" w:styleId="138">
    <w:name w:val="环评标题1 字符"/>
    <w:link w:val="137"/>
    <w:qFormat/>
    <w:uiPriority w:val="0"/>
    <w:rPr>
      <w:b/>
      <w:kern w:val="2"/>
      <w:sz w:val="28"/>
      <w:szCs w:val="24"/>
    </w:rPr>
  </w:style>
  <w:style w:type="character" w:customStyle="1" w:styleId="139">
    <w:name w:val="标题 4 字符1"/>
    <w:qFormat/>
    <w:uiPriority w:val="99"/>
    <w:rPr>
      <w:b/>
      <w:bCs/>
      <w:kern w:val="2"/>
      <w:sz w:val="24"/>
      <w:szCs w:val="21"/>
    </w:rPr>
  </w:style>
  <w:style w:type="character" w:customStyle="1" w:styleId="140">
    <w:name w:val="正文文本 3 字符"/>
    <w:qFormat/>
    <w:uiPriority w:val="99"/>
    <w:rPr>
      <w:kern w:val="2"/>
      <w:sz w:val="16"/>
      <w:szCs w:val="16"/>
    </w:rPr>
  </w:style>
  <w:style w:type="character" w:customStyle="1" w:styleId="141">
    <w:name w:val="正文文本缩进 字符1"/>
    <w:qFormat/>
    <w:uiPriority w:val="99"/>
    <w:rPr>
      <w:kern w:val="2"/>
      <w:sz w:val="21"/>
      <w:szCs w:val="22"/>
    </w:rPr>
  </w:style>
  <w:style w:type="character" w:customStyle="1" w:styleId="142">
    <w:name w:val="批注框文本 字符1"/>
    <w:qFormat/>
    <w:uiPriority w:val="0"/>
    <w:rPr>
      <w:sz w:val="18"/>
      <w:szCs w:val="18"/>
    </w:rPr>
  </w:style>
  <w:style w:type="character" w:customStyle="1" w:styleId="143">
    <w:name w:val="页眉 字符1"/>
    <w:qFormat/>
    <w:uiPriority w:val="99"/>
    <w:rPr>
      <w:sz w:val="18"/>
      <w:szCs w:val="18"/>
    </w:rPr>
  </w:style>
  <w:style w:type="character" w:customStyle="1" w:styleId="144">
    <w:name w:val="HTML 预设格式 字符"/>
    <w:qFormat/>
    <w:uiPriority w:val="99"/>
    <w:rPr>
      <w:rFonts w:ascii="Courier New" w:hAnsi="Courier New" w:cs="Courier New"/>
      <w:kern w:val="2"/>
    </w:rPr>
  </w:style>
  <w:style w:type="character" w:customStyle="1" w:styleId="145">
    <w:name w:val="标题 字符"/>
    <w:qFormat/>
    <w:uiPriority w:val="99"/>
    <w:rPr>
      <w:rFonts w:ascii="等线 Light" w:hAnsi="等线 Light" w:cs="Times New Roman"/>
      <w:b/>
      <w:bCs/>
      <w:kern w:val="2"/>
      <w:sz w:val="32"/>
      <w:szCs w:val="32"/>
    </w:rPr>
  </w:style>
  <w:style w:type="character" w:customStyle="1" w:styleId="146">
    <w:name w:val="批注主题 字符1"/>
    <w:qFormat/>
    <w:uiPriority w:val="99"/>
    <w:rPr>
      <w:b/>
      <w:bCs/>
      <w:kern w:val="2"/>
      <w:sz w:val="21"/>
      <w:szCs w:val="22"/>
    </w:rPr>
  </w:style>
  <w:style w:type="character" w:customStyle="1" w:styleId="147">
    <w:name w:val="Plain Text Char1"/>
    <w:semiHidden/>
    <w:qFormat/>
    <w:uiPriority w:val="99"/>
    <w:rPr>
      <w:rFonts w:ascii="宋体" w:hAnsi="Courier New" w:cs="Courier New"/>
      <w:sz w:val="21"/>
      <w:szCs w:val="21"/>
    </w:rPr>
  </w:style>
  <w:style w:type="character" w:customStyle="1" w:styleId="148">
    <w:name w:val="headline-content2"/>
    <w:qFormat/>
    <w:uiPriority w:val="0"/>
    <w:rPr>
      <w:rFonts w:cs="Times New Roman"/>
    </w:rPr>
  </w:style>
  <w:style w:type="character" w:customStyle="1" w:styleId="149">
    <w:name w:val="Footnote Text Char1"/>
    <w:semiHidden/>
    <w:qFormat/>
    <w:uiPriority w:val="99"/>
    <w:rPr>
      <w:rFonts w:ascii="Times New Roman" w:hAnsi="Times New Roman" w:cs="Times New Roman"/>
      <w:sz w:val="18"/>
      <w:szCs w:val="18"/>
    </w:rPr>
  </w:style>
  <w:style w:type="character" w:customStyle="1" w:styleId="150">
    <w:name w:val="正文文本 2 字符1"/>
    <w:semiHidden/>
    <w:qFormat/>
    <w:uiPriority w:val="99"/>
    <w:rPr>
      <w:kern w:val="2"/>
      <w:sz w:val="21"/>
      <w:szCs w:val="22"/>
    </w:rPr>
  </w:style>
  <w:style w:type="character" w:customStyle="1" w:styleId="151">
    <w:name w:val="未处理的提及1"/>
    <w:unhideWhenUsed/>
    <w:qFormat/>
    <w:uiPriority w:val="99"/>
    <w:rPr>
      <w:color w:val="605E5C"/>
      <w:shd w:val="clear" w:color="auto" w:fill="E1DFDD"/>
    </w:rPr>
  </w:style>
  <w:style w:type="character" w:customStyle="1" w:styleId="152">
    <w:name w:val="纯文本 Char1"/>
    <w:qFormat/>
    <w:uiPriority w:val="0"/>
    <w:rPr>
      <w:rFonts w:ascii="宋体" w:hAnsi="Courier New" w:eastAsia="宋体" w:cs="宋体"/>
      <w:sz w:val="21"/>
      <w:szCs w:val="21"/>
    </w:rPr>
  </w:style>
  <w:style w:type="character" w:customStyle="1" w:styleId="153">
    <w:name w:val="title11"/>
    <w:qFormat/>
    <w:uiPriority w:val="99"/>
  </w:style>
  <w:style w:type="character" w:customStyle="1" w:styleId="154">
    <w:name w:val="正文首行缩进 2 + Times New Roman Char"/>
    <w:link w:val="155"/>
    <w:qFormat/>
    <w:uiPriority w:val="0"/>
    <w:rPr>
      <w:rFonts w:ascii="宋体" w:hAnsi="宋体"/>
      <w:sz w:val="24"/>
      <w:szCs w:val="24"/>
    </w:rPr>
  </w:style>
  <w:style w:type="paragraph" w:customStyle="1" w:styleId="155">
    <w:name w:val="正文首行缩进 2 + Times New Roman"/>
    <w:basedOn w:val="1"/>
    <w:link w:val="154"/>
    <w:qFormat/>
    <w:uiPriority w:val="0"/>
    <w:pPr>
      <w:tabs>
        <w:tab w:val="left" w:pos="0"/>
        <w:tab w:val="left" w:pos="870"/>
        <w:tab w:val="left" w:pos="3150"/>
      </w:tabs>
      <w:autoSpaceDE w:val="0"/>
      <w:autoSpaceDN w:val="0"/>
      <w:spacing w:line="360" w:lineRule="auto"/>
      <w:ind w:firstLine="480" w:firstLineChars="200"/>
    </w:pPr>
    <w:rPr>
      <w:rFonts w:ascii="宋体" w:hAnsi="宋体"/>
      <w:kern w:val="0"/>
      <w:sz w:val="24"/>
    </w:rPr>
  </w:style>
  <w:style w:type="character" w:customStyle="1" w:styleId="156">
    <w:name w:val="表 头 Char"/>
    <w:link w:val="157"/>
    <w:qFormat/>
    <w:uiPriority w:val="0"/>
    <w:rPr>
      <w:rFonts w:eastAsia="黑体"/>
      <w:color w:val="000000"/>
      <w:kern w:val="2"/>
      <w:sz w:val="21"/>
      <w:szCs w:val="21"/>
    </w:rPr>
  </w:style>
  <w:style w:type="paragraph" w:customStyle="1" w:styleId="157">
    <w:name w:val="表 头"/>
    <w:basedOn w:val="61"/>
    <w:next w:val="1"/>
    <w:link w:val="156"/>
    <w:qFormat/>
    <w:uiPriority w:val="0"/>
  </w:style>
  <w:style w:type="character" w:customStyle="1" w:styleId="158">
    <w:name w:val="日期 Char1"/>
    <w:qFormat/>
    <w:uiPriority w:val="0"/>
    <w:rPr>
      <w:kern w:val="2"/>
      <w:sz w:val="21"/>
      <w:szCs w:val="22"/>
    </w:rPr>
  </w:style>
  <w:style w:type="character" w:customStyle="1" w:styleId="159">
    <w:name w:val="正文四号 Char Char"/>
    <w:link w:val="160"/>
    <w:semiHidden/>
    <w:qFormat/>
    <w:uiPriority w:val="0"/>
    <w:rPr>
      <w:rFonts w:ascii="宋体" w:eastAsia="Times New Roman"/>
      <w:kern w:val="2"/>
      <w:sz w:val="28"/>
      <w:szCs w:val="28"/>
    </w:rPr>
  </w:style>
  <w:style w:type="paragraph" w:customStyle="1" w:styleId="160">
    <w:name w:val="正文四号"/>
    <w:basedOn w:val="1"/>
    <w:link w:val="159"/>
    <w:semiHidden/>
    <w:qFormat/>
    <w:uiPriority w:val="0"/>
    <w:pPr>
      <w:spacing w:line="360" w:lineRule="auto"/>
      <w:ind w:firstLine="200" w:firstLineChars="200"/>
      <w:jc w:val="left"/>
    </w:pPr>
    <w:rPr>
      <w:rFonts w:ascii="宋体" w:eastAsia="Times New Roman"/>
      <w:sz w:val="28"/>
      <w:szCs w:val="28"/>
    </w:rPr>
  </w:style>
  <w:style w:type="character" w:customStyle="1" w:styleId="161">
    <w:name w:val="尾注文本 字符1"/>
    <w:semiHidden/>
    <w:qFormat/>
    <w:uiPriority w:val="99"/>
    <w:rPr>
      <w:kern w:val="2"/>
      <w:sz w:val="21"/>
      <w:szCs w:val="22"/>
    </w:rPr>
  </w:style>
  <w:style w:type="character" w:customStyle="1" w:styleId="162">
    <w:name w:val="2正文 字符"/>
    <w:link w:val="163"/>
    <w:qFormat/>
    <w:uiPriority w:val="0"/>
    <w:rPr>
      <w:rFonts w:ascii="黑体" w:hAnsi="宋体"/>
      <w:sz w:val="24"/>
      <w:szCs w:val="24"/>
    </w:rPr>
  </w:style>
  <w:style w:type="paragraph" w:customStyle="1" w:styleId="163">
    <w:name w:val="2正文"/>
    <w:basedOn w:val="1"/>
    <w:link w:val="162"/>
    <w:qFormat/>
    <w:uiPriority w:val="0"/>
    <w:pPr>
      <w:adjustRightInd w:val="0"/>
      <w:snapToGrid w:val="0"/>
      <w:spacing w:line="360" w:lineRule="auto"/>
      <w:ind w:firstLine="200" w:firstLineChars="200"/>
      <w:jc w:val="left"/>
    </w:pPr>
    <w:rPr>
      <w:rFonts w:ascii="黑体" w:hAnsi="宋体"/>
      <w:kern w:val="0"/>
      <w:sz w:val="24"/>
    </w:rPr>
  </w:style>
  <w:style w:type="character" w:customStyle="1" w:styleId="164">
    <w:name w:val="正文文本 3 Char1"/>
    <w:qFormat/>
    <w:uiPriority w:val="0"/>
    <w:rPr>
      <w:rFonts w:ascii="Times New Roman" w:hAnsi="Times New Roman" w:eastAsia="宋体" w:cs="Times New Roman"/>
      <w:sz w:val="16"/>
      <w:szCs w:val="16"/>
    </w:rPr>
  </w:style>
  <w:style w:type="character" w:customStyle="1" w:styleId="165">
    <w:name w:val="font11"/>
    <w:qFormat/>
    <w:uiPriority w:val="0"/>
    <w:rPr>
      <w:rFonts w:hint="eastAsia" w:ascii="宋体" w:hAnsi="宋体" w:eastAsia="宋体" w:cs="宋体"/>
      <w:color w:val="000000"/>
      <w:sz w:val="22"/>
      <w:szCs w:val="22"/>
      <w:u w:val="none"/>
      <w:vertAlign w:val="superscript"/>
    </w:rPr>
  </w:style>
  <w:style w:type="character" w:customStyle="1" w:styleId="166">
    <w:name w:val="1级标题 字符"/>
    <w:link w:val="167"/>
    <w:qFormat/>
    <w:uiPriority w:val="0"/>
    <w:rPr>
      <w:rFonts w:eastAsia="黑体"/>
      <w:kern w:val="2"/>
      <w:sz w:val="32"/>
      <w:szCs w:val="24"/>
    </w:rPr>
  </w:style>
  <w:style w:type="paragraph" w:customStyle="1" w:styleId="167">
    <w:name w:val="1级标题"/>
    <w:basedOn w:val="2"/>
    <w:next w:val="1"/>
    <w:link w:val="166"/>
    <w:qFormat/>
    <w:uiPriority w:val="0"/>
    <w:pPr>
      <w:keepNext w:val="0"/>
      <w:numPr>
        <w:numId w:val="0"/>
      </w:numPr>
      <w:tabs>
        <w:tab w:val="left" w:pos="851"/>
      </w:tabs>
      <w:overflowPunct/>
      <w:adjustRightInd w:val="0"/>
      <w:spacing w:before="240" w:after="0" w:line="300" w:lineRule="auto"/>
      <w:jc w:val="center"/>
    </w:pPr>
    <w:rPr>
      <w:b w:val="0"/>
      <w:bCs w:val="0"/>
      <w:color w:val="auto"/>
      <w:kern w:val="2"/>
      <w:sz w:val="32"/>
      <w:szCs w:val="24"/>
    </w:rPr>
  </w:style>
  <w:style w:type="character" w:customStyle="1" w:styleId="168">
    <w:name w:val="text_edit1"/>
    <w:qFormat/>
    <w:uiPriority w:val="99"/>
    <w:rPr>
      <w:color w:val="auto"/>
      <w:sz w:val="18"/>
    </w:rPr>
  </w:style>
  <w:style w:type="character" w:customStyle="1" w:styleId="169">
    <w:name w:val="脚注文本 字符1"/>
    <w:semiHidden/>
    <w:qFormat/>
    <w:uiPriority w:val="99"/>
    <w:rPr>
      <w:kern w:val="2"/>
      <w:sz w:val="18"/>
      <w:szCs w:val="18"/>
    </w:rPr>
  </w:style>
  <w:style w:type="character" w:customStyle="1" w:styleId="170">
    <w:name w:val="3级标题 字符"/>
    <w:link w:val="171"/>
    <w:qFormat/>
    <w:uiPriority w:val="0"/>
    <w:rPr>
      <w:rFonts w:eastAsia="黑体"/>
      <w:bCs/>
      <w:kern w:val="2"/>
      <w:sz w:val="28"/>
      <w:szCs w:val="32"/>
    </w:rPr>
  </w:style>
  <w:style w:type="paragraph" w:customStyle="1" w:styleId="171">
    <w:name w:val="3级标题"/>
    <w:basedOn w:val="4"/>
    <w:next w:val="1"/>
    <w:link w:val="170"/>
    <w:qFormat/>
    <w:uiPriority w:val="0"/>
    <w:pPr>
      <w:numPr>
        <w:ilvl w:val="0"/>
        <w:numId w:val="0"/>
      </w:numPr>
      <w:tabs>
        <w:tab w:val="left" w:pos="420"/>
        <w:tab w:val="left" w:pos="840"/>
      </w:tabs>
      <w:spacing w:before="260" w:after="260" w:line="416" w:lineRule="auto"/>
      <w:ind w:left="425"/>
      <w:jc w:val="both"/>
    </w:pPr>
    <w:rPr>
      <w:rFonts w:eastAsia="黑体"/>
      <w:b w:val="0"/>
      <w:sz w:val="28"/>
      <w:szCs w:val="32"/>
    </w:rPr>
  </w:style>
  <w:style w:type="character" w:customStyle="1" w:styleId="172">
    <w:name w:val="报告 Char1"/>
    <w:semiHidden/>
    <w:qFormat/>
    <w:uiPriority w:val="0"/>
    <w:rPr>
      <w:kern w:val="2"/>
      <w:sz w:val="24"/>
      <w:szCs w:val="24"/>
    </w:rPr>
  </w:style>
  <w:style w:type="character" w:customStyle="1" w:styleId="173">
    <w:name w:val="脚注文本 Char1"/>
    <w:qFormat/>
    <w:uiPriority w:val="0"/>
    <w:rPr>
      <w:rFonts w:ascii="Times New Roman" w:hAnsi="Times New Roman" w:eastAsia="宋体" w:cs="Times New Roman"/>
      <w:sz w:val="18"/>
      <w:szCs w:val="18"/>
    </w:rPr>
  </w:style>
  <w:style w:type="character" w:customStyle="1" w:styleId="174">
    <w:name w:val="报告 Char"/>
    <w:qFormat/>
    <w:uiPriority w:val="0"/>
    <w:rPr>
      <w:rFonts w:ascii="TimesNewRoman" w:hAnsi="TimesNewRoman" w:eastAsia="宋体"/>
      <w:sz w:val="24"/>
      <w:lang w:val="en-US" w:eastAsia="zh-CN" w:bidi="ar-SA"/>
    </w:rPr>
  </w:style>
  <w:style w:type="character" w:customStyle="1" w:styleId="175">
    <w:name w:val="表格内文字 字符"/>
    <w:link w:val="176"/>
    <w:qFormat/>
    <w:uiPriority w:val="0"/>
    <w:rPr>
      <w:bCs/>
      <w:kern w:val="2"/>
      <w:sz w:val="21"/>
      <w:szCs w:val="21"/>
    </w:rPr>
  </w:style>
  <w:style w:type="paragraph" w:customStyle="1" w:styleId="176">
    <w:name w:val="表格内文字"/>
    <w:basedOn w:val="1"/>
    <w:link w:val="175"/>
    <w:qFormat/>
    <w:uiPriority w:val="0"/>
    <w:pPr>
      <w:adjustRightInd w:val="0"/>
      <w:snapToGrid w:val="0"/>
      <w:jc w:val="center"/>
    </w:pPr>
    <w:rPr>
      <w:bCs/>
      <w:szCs w:val="21"/>
    </w:rPr>
  </w:style>
  <w:style w:type="character" w:customStyle="1" w:styleId="177">
    <w:name w:val="正文 Char"/>
    <w:link w:val="178"/>
    <w:qFormat/>
    <w:uiPriority w:val="99"/>
    <w:rPr>
      <w:rFonts w:ascii="宋体" w:hAnsi="宋体"/>
      <w:sz w:val="24"/>
    </w:rPr>
  </w:style>
  <w:style w:type="paragraph" w:customStyle="1" w:styleId="178">
    <w:name w:val="正文1"/>
    <w:basedOn w:val="1"/>
    <w:link w:val="177"/>
    <w:qFormat/>
    <w:uiPriority w:val="99"/>
    <w:pPr>
      <w:spacing w:line="360" w:lineRule="auto"/>
      <w:ind w:firstLine="480" w:firstLineChars="200"/>
    </w:pPr>
    <w:rPr>
      <w:rFonts w:ascii="宋体" w:hAnsi="宋体"/>
      <w:kern w:val="0"/>
      <w:sz w:val="24"/>
      <w:szCs w:val="20"/>
    </w:rPr>
  </w:style>
  <w:style w:type="character" w:customStyle="1" w:styleId="179">
    <w:name w:val="正文文本首行缩进 字符1"/>
    <w:semiHidden/>
    <w:qFormat/>
    <w:uiPriority w:val="99"/>
    <w:rPr>
      <w:kern w:val="2"/>
      <w:sz w:val="21"/>
      <w:szCs w:val="22"/>
    </w:rPr>
  </w:style>
  <w:style w:type="character" w:customStyle="1" w:styleId="180">
    <w:name w:val="正文-蓝色 Char"/>
    <w:link w:val="181"/>
    <w:qFormat/>
    <w:uiPriority w:val="0"/>
    <w:rPr>
      <w:color w:val="0000FF"/>
      <w:sz w:val="24"/>
      <w:szCs w:val="24"/>
    </w:rPr>
  </w:style>
  <w:style w:type="paragraph" w:customStyle="1" w:styleId="181">
    <w:name w:val="正文-蓝色"/>
    <w:basedOn w:val="1"/>
    <w:link w:val="180"/>
    <w:qFormat/>
    <w:uiPriority w:val="0"/>
    <w:pPr>
      <w:spacing w:line="360" w:lineRule="auto"/>
      <w:ind w:firstLine="200" w:firstLineChars="200"/>
    </w:pPr>
    <w:rPr>
      <w:color w:val="0000FF"/>
      <w:kern w:val="0"/>
      <w:sz w:val="24"/>
    </w:rPr>
  </w:style>
  <w:style w:type="character" w:customStyle="1" w:styleId="182">
    <w:name w:val="正文文本缩进 2 字符1"/>
    <w:semiHidden/>
    <w:qFormat/>
    <w:uiPriority w:val="99"/>
    <w:rPr>
      <w:kern w:val="2"/>
      <w:sz w:val="21"/>
      <w:szCs w:val="22"/>
    </w:rPr>
  </w:style>
  <w:style w:type="character" w:customStyle="1" w:styleId="183">
    <w:name w:val="占位符文本1"/>
    <w:semiHidden/>
    <w:qFormat/>
    <w:uiPriority w:val="99"/>
    <w:rPr>
      <w:color w:val="808080"/>
    </w:rPr>
  </w:style>
  <w:style w:type="character" w:customStyle="1" w:styleId="184">
    <w:name w:val="2级标题 字符"/>
    <w:link w:val="185"/>
    <w:qFormat/>
    <w:uiPriority w:val="0"/>
    <w:rPr>
      <w:rFonts w:eastAsia="黑体"/>
      <w:kern w:val="2"/>
      <w:sz w:val="30"/>
      <w:szCs w:val="32"/>
    </w:rPr>
  </w:style>
  <w:style w:type="paragraph" w:customStyle="1" w:styleId="185">
    <w:name w:val="2级标题"/>
    <w:basedOn w:val="3"/>
    <w:next w:val="1"/>
    <w:link w:val="184"/>
    <w:qFormat/>
    <w:uiPriority w:val="0"/>
    <w:pPr>
      <w:keepNext w:val="0"/>
      <w:keepLines w:val="0"/>
      <w:numPr>
        <w:ilvl w:val="0"/>
        <w:numId w:val="3"/>
      </w:numPr>
      <w:tabs>
        <w:tab w:val="left" w:pos="720"/>
      </w:tabs>
      <w:adjustRightInd w:val="0"/>
      <w:snapToGrid w:val="0"/>
      <w:spacing w:before="120" w:after="0" w:line="300" w:lineRule="auto"/>
      <w:ind w:left="425" w:hanging="425"/>
    </w:pPr>
    <w:rPr>
      <w:rFonts w:eastAsia="黑体"/>
      <w:b w:val="0"/>
      <w:bCs w:val="0"/>
      <w:sz w:val="30"/>
    </w:rPr>
  </w:style>
  <w:style w:type="character" w:customStyle="1" w:styleId="186">
    <w:name w:val="Body Text 3 Char1"/>
    <w:semiHidden/>
    <w:qFormat/>
    <w:uiPriority w:val="99"/>
    <w:rPr>
      <w:rFonts w:ascii="Times New Roman" w:hAnsi="Times New Roman" w:cs="Times New Roman"/>
      <w:sz w:val="16"/>
      <w:szCs w:val="16"/>
    </w:rPr>
  </w:style>
  <w:style w:type="character" w:customStyle="1" w:styleId="187">
    <w:name w:val="样式 (中文) 仿宋_GB2312 小三"/>
    <w:semiHidden/>
    <w:qFormat/>
    <w:uiPriority w:val="0"/>
    <w:rPr>
      <w:rFonts w:eastAsia="仿宋_GB2312"/>
      <w:sz w:val="28"/>
    </w:rPr>
  </w:style>
  <w:style w:type="character" w:customStyle="1" w:styleId="188">
    <w:name w:val="正文缩进 字符"/>
    <w:qFormat/>
    <w:uiPriority w:val="99"/>
    <w:rPr>
      <w:rFonts w:eastAsia="宋体"/>
      <w:sz w:val="24"/>
    </w:rPr>
  </w:style>
  <w:style w:type="character" w:customStyle="1" w:styleId="189">
    <w:name w:val="00 Char"/>
    <w:link w:val="190"/>
    <w:semiHidden/>
    <w:qFormat/>
    <w:uiPriority w:val="0"/>
    <w:rPr>
      <w:rFonts w:hAnsi="宋体"/>
      <w:kern w:val="2"/>
      <w:sz w:val="24"/>
      <w:szCs w:val="24"/>
    </w:rPr>
  </w:style>
  <w:style w:type="paragraph" w:customStyle="1" w:styleId="190">
    <w:name w:val="00"/>
    <w:basedOn w:val="1"/>
    <w:link w:val="189"/>
    <w:semiHidden/>
    <w:qFormat/>
    <w:uiPriority w:val="0"/>
    <w:pPr>
      <w:spacing w:line="520" w:lineRule="exact"/>
      <w:ind w:firstLine="480" w:firstLineChars="200"/>
    </w:pPr>
    <w:rPr>
      <w:rFonts w:hAnsi="宋体"/>
      <w:sz w:val="24"/>
    </w:rPr>
  </w:style>
  <w:style w:type="character" w:customStyle="1" w:styleId="191">
    <w:name w:val="正文~ 字符"/>
    <w:link w:val="192"/>
    <w:qFormat/>
    <w:uiPriority w:val="0"/>
    <w:rPr>
      <w:bCs/>
      <w:color w:val="000000"/>
      <w:kern w:val="2"/>
      <w:sz w:val="24"/>
      <w:szCs w:val="32"/>
    </w:rPr>
  </w:style>
  <w:style w:type="paragraph" w:customStyle="1" w:styleId="192">
    <w:name w:val="正文~"/>
    <w:basedOn w:val="1"/>
    <w:link w:val="191"/>
    <w:qFormat/>
    <w:uiPriority w:val="0"/>
    <w:pPr>
      <w:autoSpaceDE w:val="0"/>
      <w:autoSpaceDN w:val="0"/>
      <w:adjustRightInd w:val="0"/>
      <w:snapToGrid w:val="0"/>
      <w:spacing w:line="360" w:lineRule="auto"/>
      <w:ind w:firstLine="480" w:firstLineChars="200"/>
    </w:pPr>
    <w:rPr>
      <w:bCs/>
      <w:color w:val="000000"/>
      <w:sz w:val="24"/>
      <w:szCs w:val="32"/>
    </w:rPr>
  </w:style>
  <w:style w:type="character" w:customStyle="1" w:styleId="193">
    <w:name w:val="font01"/>
    <w:qFormat/>
    <w:uiPriority w:val="0"/>
    <w:rPr>
      <w:rFonts w:hint="eastAsia" w:ascii="宋体" w:hAnsi="宋体" w:eastAsia="宋体" w:cs="宋体"/>
      <w:color w:val="000000"/>
      <w:sz w:val="22"/>
      <w:szCs w:val="22"/>
      <w:u w:val="none"/>
    </w:rPr>
  </w:style>
  <w:style w:type="character" w:customStyle="1" w:styleId="194">
    <w:name w:val="1) Char"/>
    <w:semiHidden/>
    <w:qFormat/>
    <w:uiPriority w:val="0"/>
    <w:rPr>
      <w:rFonts w:eastAsia="宋体"/>
      <w:bCs/>
      <w:snapToGrid/>
      <w:sz w:val="24"/>
      <w:szCs w:val="28"/>
      <w:lang w:val="en-US" w:eastAsia="zh-CN" w:bidi="ar-SA"/>
    </w:rPr>
  </w:style>
  <w:style w:type="character" w:customStyle="1" w:styleId="195">
    <w:name w:val="纯文本 字符1"/>
    <w:semiHidden/>
    <w:qFormat/>
    <w:uiPriority w:val="99"/>
    <w:rPr>
      <w:rFonts w:ascii="宋体" w:hAnsi="Courier New" w:cs="Courier New"/>
      <w:kern w:val="2"/>
      <w:sz w:val="21"/>
      <w:szCs w:val="21"/>
    </w:rPr>
  </w:style>
  <w:style w:type="character" w:customStyle="1" w:styleId="196">
    <w:name w:val="正文文本缩进 3 字符1"/>
    <w:semiHidden/>
    <w:qFormat/>
    <w:uiPriority w:val="99"/>
    <w:rPr>
      <w:kern w:val="2"/>
      <w:sz w:val="16"/>
      <w:szCs w:val="16"/>
    </w:rPr>
  </w:style>
  <w:style w:type="character" w:customStyle="1" w:styleId="197">
    <w:name w:val="文档结构图 字符1"/>
    <w:semiHidden/>
    <w:qFormat/>
    <w:uiPriority w:val="99"/>
    <w:rPr>
      <w:rFonts w:ascii="Microsoft YaHei UI" w:eastAsia="Microsoft YaHei UI"/>
      <w:kern w:val="2"/>
      <w:sz w:val="18"/>
      <w:szCs w:val="18"/>
    </w:rPr>
  </w:style>
  <w:style w:type="character" w:customStyle="1" w:styleId="198">
    <w:name w:val="count4"/>
    <w:qFormat/>
    <w:uiPriority w:val="99"/>
  </w:style>
  <w:style w:type="paragraph" w:styleId="199">
    <w:name w:val="List Paragraph"/>
    <w:basedOn w:val="1"/>
    <w:qFormat/>
    <w:uiPriority w:val="99"/>
    <w:pPr>
      <w:spacing w:line="360" w:lineRule="auto"/>
      <w:ind w:firstLine="420" w:firstLineChars="200"/>
    </w:pPr>
    <w:rPr>
      <w:color w:val="000000"/>
      <w:sz w:val="24"/>
      <w:szCs w:val="21"/>
    </w:rPr>
  </w:style>
  <w:style w:type="paragraph" w:customStyle="1" w:styleId="200">
    <w:name w:val="首行缩进2字符"/>
    <w:basedOn w:val="1"/>
    <w:semiHidden/>
    <w:qFormat/>
    <w:uiPriority w:val="0"/>
    <w:pPr>
      <w:overflowPunct w:val="0"/>
      <w:spacing w:line="360" w:lineRule="auto"/>
      <w:ind w:firstLine="200" w:firstLineChars="200"/>
    </w:pPr>
    <w:rPr>
      <w:rFonts w:cs="宋体"/>
      <w:color w:val="000000"/>
      <w:sz w:val="24"/>
    </w:rPr>
  </w:style>
  <w:style w:type="paragraph" w:customStyle="1" w:styleId="201">
    <w:name w:val="小五表格"/>
    <w:basedOn w:val="1"/>
    <w:qFormat/>
    <w:uiPriority w:val="0"/>
    <w:pPr>
      <w:spacing w:line="240" w:lineRule="exact"/>
      <w:ind w:firstLine="480" w:firstLineChars="200"/>
      <w:jc w:val="center"/>
    </w:pPr>
    <w:rPr>
      <w:rFonts w:ascii="宋体" w:hAnsi="宋体" w:eastAsia="Times New Roman"/>
      <w:color w:val="000000"/>
      <w:sz w:val="18"/>
      <w:szCs w:val="18"/>
    </w:rPr>
  </w:style>
  <w:style w:type="paragraph" w:customStyle="1" w:styleId="202">
    <w:name w:val="Char Char Char Char Char Char1 Char"/>
    <w:basedOn w:val="1"/>
    <w:qFormat/>
    <w:uiPriority w:val="99"/>
    <w:pPr>
      <w:spacing w:line="360" w:lineRule="auto"/>
      <w:ind w:firstLine="480" w:firstLineChars="200"/>
    </w:pPr>
    <w:rPr>
      <w:color w:val="000000"/>
      <w:sz w:val="24"/>
    </w:rPr>
  </w:style>
  <w:style w:type="paragraph" w:customStyle="1" w:styleId="203">
    <w:name w:val="首行缩进两字"/>
    <w:basedOn w:val="1"/>
    <w:qFormat/>
    <w:uiPriority w:val="0"/>
    <w:pPr>
      <w:spacing w:line="360" w:lineRule="auto"/>
      <w:ind w:firstLine="560" w:firstLineChars="200"/>
      <w:jc w:val="left"/>
    </w:pPr>
    <w:rPr>
      <w:color w:val="000000"/>
      <w:kern w:val="0"/>
      <w:sz w:val="28"/>
      <w:szCs w:val="20"/>
    </w:rPr>
  </w:style>
  <w:style w:type="paragraph" w:customStyle="1" w:styleId="204">
    <w:name w:val="文本框"/>
    <w:basedOn w:val="1"/>
    <w:qFormat/>
    <w:uiPriority w:val="0"/>
    <w:pPr>
      <w:spacing w:line="320" w:lineRule="exact"/>
      <w:ind w:firstLine="480" w:firstLineChars="200"/>
      <w:jc w:val="left"/>
    </w:pPr>
    <w:rPr>
      <w:rFonts w:ascii="宋体"/>
      <w:color w:val="000000"/>
      <w:spacing w:val="-16"/>
      <w:sz w:val="24"/>
    </w:rPr>
  </w:style>
  <w:style w:type="paragraph" w:customStyle="1" w:styleId="205">
    <w:name w:val="Char1 Char Char Char"/>
    <w:basedOn w:val="1"/>
    <w:qFormat/>
    <w:uiPriority w:val="99"/>
    <w:pPr>
      <w:spacing w:line="360" w:lineRule="auto"/>
      <w:ind w:firstLine="480" w:firstLineChars="200"/>
    </w:pPr>
    <w:rPr>
      <w:color w:val="000000"/>
      <w:sz w:val="24"/>
    </w:rPr>
  </w:style>
  <w:style w:type="paragraph" w:customStyle="1" w:styleId="206">
    <w:name w:val="Char Char Char Char"/>
    <w:basedOn w:val="1"/>
    <w:qFormat/>
    <w:uiPriority w:val="99"/>
    <w:pPr>
      <w:spacing w:line="360" w:lineRule="auto"/>
      <w:ind w:firstLine="480" w:firstLineChars="200"/>
    </w:pPr>
    <w:rPr>
      <w:color w:val="000000"/>
      <w:sz w:val="24"/>
      <w:szCs w:val="21"/>
    </w:rPr>
  </w:style>
  <w:style w:type="paragraph" w:customStyle="1" w:styleId="207">
    <w:name w:val="Char Char Char Char Char Char1 Char2"/>
    <w:basedOn w:val="1"/>
    <w:qFormat/>
    <w:uiPriority w:val="0"/>
    <w:pPr>
      <w:spacing w:line="360" w:lineRule="auto"/>
      <w:ind w:firstLine="480" w:firstLineChars="200"/>
    </w:pPr>
    <w:rPr>
      <w:color w:val="000000"/>
      <w:sz w:val="24"/>
    </w:rPr>
  </w:style>
  <w:style w:type="paragraph" w:customStyle="1" w:styleId="208">
    <w:name w:val="Char"/>
    <w:basedOn w:val="1"/>
    <w:qFormat/>
    <w:uiPriority w:val="0"/>
    <w:pPr>
      <w:spacing w:line="360" w:lineRule="auto"/>
      <w:ind w:firstLine="480" w:firstLineChars="200"/>
    </w:pPr>
    <w:rPr>
      <w:color w:val="000000"/>
      <w:sz w:val="24"/>
      <w:szCs w:val="21"/>
    </w:rPr>
  </w:style>
  <w:style w:type="paragraph" w:customStyle="1" w:styleId="209">
    <w:name w:val="pic-info"/>
    <w:basedOn w:val="1"/>
    <w:qFormat/>
    <w:uiPriority w:val="0"/>
    <w:pPr>
      <w:widowControl/>
      <w:spacing w:before="100" w:beforeAutospacing="1" w:after="100" w:afterAutospacing="1" w:line="360" w:lineRule="auto"/>
      <w:ind w:firstLine="480" w:firstLineChars="200"/>
      <w:jc w:val="left"/>
    </w:pPr>
    <w:rPr>
      <w:rFonts w:ascii="宋体" w:hAnsi="宋体" w:cs="宋体"/>
      <w:color w:val="000000"/>
      <w:kern w:val="0"/>
      <w:sz w:val="24"/>
    </w:rPr>
  </w:style>
  <w:style w:type="paragraph" w:customStyle="1" w:styleId="210">
    <w:name w:val="表中正文"/>
    <w:basedOn w:val="1"/>
    <w:qFormat/>
    <w:uiPriority w:val="1"/>
    <w:pPr>
      <w:spacing w:line="360" w:lineRule="auto"/>
      <w:ind w:firstLine="480" w:firstLineChars="200"/>
      <w:jc w:val="left"/>
    </w:pPr>
    <w:rPr>
      <w:color w:val="000000"/>
      <w:kern w:val="0"/>
      <w:sz w:val="24"/>
      <w:lang w:eastAsia="en-US"/>
    </w:rPr>
  </w:style>
  <w:style w:type="paragraph" w:customStyle="1" w:styleId="211">
    <w:name w:val="Char Char22"/>
    <w:basedOn w:val="1"/>
    <w:qFormat/>
    <w:uiPriority w:val="0"/>
    <w:pPr>
      <w:spacing w:line="360" w:lineRule="auto"/>
      <w:ind w:firstLine="480" w:firstLineChars="200"/>
    </w:pPr>
    <w:rPr>
      <w:color w:val="000000"/>
      <w:sz w:val="24"/>
    </w:rPr>
  </w:style>
  <w:style w:type="paragraph" w:customStyle="1" w:styleId="212">
    <w:name w:val="Char Char Char Char Char Char1 Char1"/>
    <w:basedOn w:val="1"/>
    <w:qFormat/>
    <w:uiPriority w:val="0"/>
    <w:pPr>
      <w:spacing w:line="360" w:lineRule="auto"/>
      <w:ind w:firstLine="480" w:firstLineChars="200"/>
    </w:pPr>
    <w:rPr>
      <w:color w:val="000000"/>
      <w:sz w:val="24"/>
    </w:rPr>
  </w:style>
  <w:style w:type="paragraph" w:customStyle="1" w:styleId="213">
    <w:name w:val="Char Char Char Char Char Char Char Char Char Char"/>
    <w:basedOn w:val="1"/>
    <w:semiHidden/>
    <w:qFormat/>
    <w:uiPriority w:val="0"/>
    <w:pPr>
      <w:spacing w:line="360" w:lineRule="auto"/>
      <w:ind w:firstLine="200" w:firstLineChars="200"/>
    </w:pPr>
    <w:rPr>
      <w:rFonts w:ascii="宋体" w:hAnsi="宋体" w:cs="宋体"/>
      <w:color w:val="000000"/>
      <w:sz w:val="24"/>
    </w:rPr>
  </w:style>
  <w:style w:type="paragraph" w:customStyle="1" w:styleId="214">
    <w:name w:val="标题4"/>
    <w:basedOn w:val="1"/>
    <w:qFormat/>
    <w:uiPriority w:val="99"/>
    <w:pPr>
      <w:spacing w:line="360" w:lineRule="auto"/>
      <w:ind w:left="-7" w:leftChars="-3" w:firstLine="554" w:firstLineChars="230"/>
      <w:jc w:val="left"/>
    </w:pPr>
    <w:rPr>
      <w:b/>
      <w:bCs/>
      <w:color w:val="000000"/>
      <w:sz w:val="24"/>
    </w:rPr>
  </w:style>
  <w:style w:type="paragraph" w:customStyle="1" w:styleId="215">
    <w:name w:val="默认段落字体 Para Char Char Char Char"/>
    <w:basedOn w:val="1"/>
    <w:qFormat/>
    <w:uiPriority w:val="99"/>
    <w:pPr>
      <w:spacing w:line="360" w:lineRule="auto"/>
      <w:ind w:firstLine="480" w:firstLineChars="200"/>
    </w:pPr>
    <w:rPr>
      <w:color w:val="000000"/>
      <w:sz w:val="24"/>
    </w:rPr>
  </w:style>
  <w:style w:type="paragraph" w:customStyle="1" w:styleId="216">
    <w:name w:val="表中齐小"/>
    <w:basedOn w:val="1"/>
    <w:semiHidden/>
    <w:qFormat/>
    <w:uiPriority w:val="0"/>
    <w:pPr>
      <w:adjustRightInd w:val="0"/>
      <w:snapToGrid w:val="0"/>
      <w:spacing w:line="360" w:lineRule="auto"/>
      <w:ind w:left="-63" w:leftChars="-23" w:right="-115" w:rightChars="-41" w:hanging="1" w:firstLineChars="200"/>
      <w:jc w:val="center"/>
    </w:pPr>
    <w:rPr>
      <w:rFonts w:ascii="仿宋_GB2312"/>
      <w:color w:val="000000"/>
      <w:kern w:val="18"/>
      <w:sz w:val="24"/>
      <w:shd w:val="clear" w:color="auto" w:fill="FFFFFF"/>
    </w:rPr>
  </w:style>
  <w:style w:type="paragraph" w:customStyle="1" w:styleId="217">
    <w:name w:val="列出段落11"/>
    <w:basedOn w:val="1"/>
    <w:qFormat/>
    <w:uiPriority w:val="0"/>
    <w:pPr>
      <w:spacing w:line="360" w:lineRule="auto"/>
      <w:ind w:firstLine="420" w:firstLineChars="200"/>
    </w:pPr>
    <w:rPr>
      <w:color w:val="000000"/>
      <w:sz w:val="24"/>
      <w:szCs w:val="21"/>
    </w:rPr>
  </w:style>
  <w:style w:type="paragraph" w:customStyle="1" w:styleId="218">
    <w:name w:val="a 表格标题 样式 (符号) 宋体 加粗 居中"/>
    <w:basedOn w:val="1"/>
    <w:semiHidden/>
    <w:qFormat/>
    <w:uiPriority w:val="0"/>
    <w:pPr>
      <w:spacing w:line="360" w:lineRule="auto"/>
      <w:ind w:firstLine="480" w:firstLineChars="200"/>
      <w:jc w:val="center"/>
    </w:pPr>
    <w:rPr>
      <w:rFonts w:hAnsi="宋体" w:cs="宋体"/>
      <w:b/>
      <w:bCs/>
      <w:color w:val="000000"/>
      <w:sz w:val="24"/>
      <w:szCs w:val="20"/>
    </w:rPr>
  </w:style>
  <w:style w:type="paragraph" w:customStyle="1" w:styleId="219">
    <w:name w:val="图文框"/>
    <w:basedOn w:val="1"/>
    <w:qFormat/>
    <w:uiPriority w:val="0"/>
    <w:pPr>
      <w:autoSpaceDE w:val="0"/>
      <w:autoSpaceDN w:val="0"/>
      <w:adjustRightInd w:val="0"/>
      <w:snapToGrid w:val="0"/>
      <w:spacing w:line="340" w:lineRule="exact"/>
      <w:ind w:firstLine="480" w:firstLineChars="200"/>
      <w:jc w:val="center"/>
      <w:textAlignment w:val="baseline"/>
    </w:pPr>
    <w:rPr>
      <w:rFonts w:ascii="宋体" w:hAnsi="宋体"/>
      <w:color w:val="000000"/>
      <w:sz w:val="24"/>
      <w:szCs w:val="14"/>
      <w:lang w:val="en-JM"/>
    </w:rPr>
  </w:style>
  <w:style w:type="paragraph" w:customStyle="1" w:styleId="220">
    <w:name w:val="表格标题"/>
    <w:basedOn w:val="1"/>
    <w:next w:val="1"/>
    <w:qFormat/>
    <w:uiPriority w:val="0"/>
    <w:pPr>
      <w:spacing w:line="360" w:lineRule="auto"/>
      <w:ind w:firstLine="482" w:firstLineChars="200"/>
      <w:jc w:val="center"/>
    </w:pPr>
    <w:rPr>
      <w:rFonts w:eastAsia="黑体"/>
      <w:b/>
      <w:color w:val="000000"/>
      <w:sz w:val="24"/>
      <w:szCs w:val="21"/>
    </w:rPr>
  </w:style>
  <w:style w:type="paragraph" w:customStyle="1" w:styleId="221">
    <w:name w:val="Char2"/>
    <w:basedOn w:val="1"/>
    <w:qFormat/>
    <w:uiPriority w:val="0"/>
    <w:pPr>
      <w:spacing w:line="360" w:lineRule="auto"/>
      <w:ind w:firstLine="480" w:firstLineChars="200"/>
    </w:pPr>
    <w:rPr>
      <w:color w:val="000000"/>
      <w:sz w:val="24"/>
    </w:rPr>
  </w:style>
  <w:style w:type="paragraph" w:customStyle="1" w:styleId="222">
    <w:name w:val="报告表格"/>
    <w:basedOn w:val="1"/>
    <w:next w:val="1"/>
    <w:link w:val="223"/>
    <w:qFormat/>
    <w:uiPriority w:val="99"/>
    <w:pPr>
      <w:autoSpaceDE w:val="0"/>
      <w:autoSpaceDN w:val="0"/>
      <w:adjustRightInd w:val="0"/>
      <w:spacing w:before="40" w:after="40" w:line="360" w:lineRule="auto"/>
      <w:ind w:firstLine="480" w:firstLineChars="200"/>
      <w:jc w:val="center"/>
      <w:textAlignment w:val="baseline"/>
    </w:pPr>
    <w:rPr>
      <w:color w:val="000000"/>
      <w:kern w:val="0"/>
      <w:sz w:val="24"/>
    </w:rPr>
  </w:style>
  <w:style w:type="character" w:customStyle="1" w:styleId="223">
    <w:name w:val="报告表格 Char"/>
    <w:link w:val="222"/>
    <w:qFormat/>
    <w:uiPriority w:val="99"/>
    <w:rPr>
      <w:color w:val="000000"/>
      <w:sz w:val="24"/>
      <w:szCs w:val="24"/>
    </w:rPr>
  </w:style>
  <w:style w:type="paragraph" w:customStyle="1" w:styleId="224">
    <w:name w:val="标题2"/>
    <w:basedOn w:val="10"/>
    <w:next w:val="4"/>
    <w:qFormat/>
    <w:uiPriority w:val="0"/>
    <w:pPr>
      <w:adjustRightInd/>
      <w:spacing w:line="360" w:lineRule="auto"/>
      <w:ind w:firstLine="0"/>
      <w:jc w:val="left"/>
      <w:textAlignment w:val="auto"/>
    </w:pPr>
    <w:rPr>
      <w:b/>
      <w:kern w:val="0"/>
      <w:sz w:val="28"/>
      <w:szCs w:val="20"/>
    </w:rPr>
  </w:style>
  <w:style w:type="paragraph" w:customStyle="1" w:styleId="225">
    <w:name w:val="++++++++正文"/>
    <w:basedOn w:val="1"/>
    <w:qFormat/>
    <w:uiPriority w:val="0"/>
    <w:pPr>
      <w:autoSpaceDE w:val="0"/>
      <w:autoSpaceDN w:val="0"/>
      <w:adjustRightInd w:val="0"/>
      <w:spacing w:line="360" w:lineRule="auto"/>
      <w:ind w:firstLine="480" w:firstLineChars="200"/>
    </w:pPr>
    <w:rPr>
      <w:color w:val="000000"/>
      <w:kern w:val="0"/>
      <w:sz w:val="20"/>
      <w:szCs w:val="20"/>
    </w:rPr>
  </w:style>
  <w:style w:type="paragraph" w:customStyle="1" w:styleId="226">
    <w:name w:val="表格标题-xin"/>
    <w:basedOn w:val="1"/>
    <w:next w:val="1"/>
    <w:semiHidden/>
    <w:qFormat/>
    <w:uiPriority w:val="0"/>
    <w:pPr>
      <w:adjustRightInd w:val="0"/>
      <w:snapToGrid w:val="0"/>
      <w:spacing w:line="360" w:lineRule="auto"/>
      <w:ind w:firstLine="480" w:firstLineChars="200"/>
      <w:jc w:val="center"/>
    </w:pPr>
    <w:rPr>
      <w:rFonts w:ascii="黑体" w:eastAsia="黑体"/>
      <w:color w:val="000000"/>
      <w:sz w:val="24"/>
    </w:rPr>
  </w:style>
  <w:style w:type="paragraph" w:customStyle="1" w:styleId="227">
    <w:name w:val="xl24"/>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480" w:firstLineChars="200"/>
      <w:jc w:val="center"/>
    </w:pPr>
    <w:rPr>
      <w:color w:val="000000"/>
      <w:kern w:val="0"/>
      <w:sz w:val="24"/>
    </w:rPr>
  </w:style>
  <w:style w:type="paragraph" w:customStyle="1" w:styleId="228">
    <w:name w:val="Char2 Char Char Char"/>
    <w:basedOn w:val="1"/>
    <w:semiHidden/>
    <w:qFormat/>
    <w:uiPriority w:val="0"/>
    <w:pPr>
      <w:spacing w:line="360" w:lineRule="auto"/>
      <w:ind w:firstLine="200" w:firstLineChars="200"/>
    </w:pPr>
    <w:rPr>
      <w:rFonts w:ascii="宋体" w:hAnsi="宋体" w:cs="宋体"/>
      <w:color w:val="000000"/>
      <w:sz w:val="24"/>
    </w:rPr>
  </w:style>
  <w:style w:type="paragraph" w:customStyle="1" w:styleId="229">
    <w:name w:val="表格文字2"/>
    <w:basedOn w:val="1"/>
    <w:qFormat/>
    <w:uiPriority w:val="99"/>
    <w:pPr>
      <w:adjustRightInd w:val="0"/>
      <w:spacing w:before="60" w:line="360" w:lineRule="auto"/>
      <w:ind w:firstLine="480" w:firstLineChars="200"/>
      <w:jc w:val="center"/>
      <w:textAlignment w:val="baseline"/>
    </w:pPr>
    <w:rPr>
      <w:rFonts w:ascii="宋体" w:cs="宋体"/>
      <w:color w:val="000000"/>
      <w:kern w:val="0"/>
      <w:sz w:val="24"/>
    </w:rPr>
  </w:style>
  <w:style w:type="paragraph" w:customStyle="1" w:styleId="230">
    <w:name w:val="1表格"/>
    <w:basedOn w:val="1"/>
    <w:qFormat/>
    <w:uiPriority w:val="99"/>
    <w:pPr>
      <w:snapToGrid w:val="0"/>
      <w:spacing w:line="160" w:lineRule="atLeast"/>
      <w:ind w:firstLine="480" w:firstLineChars="200"/>
      <w:jc w:val="center"/>
    </w:pPr>
    <w:rPr>
      <w:rFonts w:eastAsia="仿宋_GB2312"/>
      <w:color w:val="000000"/>
      <w:sz w:val="24"/>
      <w:szCs w:val="21"/>
    </w:rPr>
  </w:style>
  <w:style w:type="paragraph" w:customStyle="1" w:styleId="231">
    <w:name w:val="4级标题"/>
    <w:basedOn w:val="5"/>
    <w:next w:val="1"/>
    <w:qFormat/>
    <w:uiPriority w:val="0"/>
    <w:pPr>
      <w:tabs>
        <w:tab w:val="left" w:pos="420"/>
      </w:tabs>
      <w:spacing w:before="0" w:after="0"/>
      <w:ind w:firstLine="200"/>
    </w:pPr>
    <w:rPr>
      <w:rFonts w:ascii="Times New Roman" w:hAnsi="Times New Roman" w:eastAsia="黑体"/>
      <w:b w:val="0"/>
    </w:rPr>
  </w:style>
  <w:style w:type="paragraph" w:customStyle="1" w:styleId="232">
    <w:name w:val="Char1"/>
    <w:basedOn w:val="1"/>
    <w:qFormat/>
    <w:uiPriority w:val="99"/>
    <w:pPr>
      <w:spacing w:line="360" w:lineRule="auto"/>
      <w:ind w:left="510" w:firstLine="480" w:firstLineChars="200"/>
    </w:pPr>
    <w:rPr>
      <w:rFonts w:ascii="宋体" w:hAnsi="宋体" w:cs="宋体"/>
      <w:color w:val="000000"/>
      <w:kern w:val="0"/>
      <w:sz w:val="24"/>
    </w:rPr>
  </w:style>
  <w:style w:type="paragraph" w:customStyle="1" w:styleId="233">
    <w:name w:val="样式 报告表正文 + 首行缩进:  2 字符 行距: 1.5 倍行距"/>
    <w:basedOn w:val="1"/>
    <w:qFormat/>
    <w:uiPriority w:val="0"/>
    <w:pPr>
      <w:widowControl/>
      <w:adjustRightInd w:val="0"/>
      <w:spacing w:line="360" w:lineRule="auto"/>
      <w:ind w:left="113" w:right="113" w:firstLine="480"/>
      <w:jc w:val="left"/>
    </w:pPr>
    <w:rPr>
      <w:rFonts w:cs="宋体"/>
      <w:kern w:val="0"/>
    </w:rPr>
  </w:style>
  <w:style w:type="paragraph" w:customStyle="1" w:styleId="234">
    <w:name w:val="样式 表格 32 + 首行缩进:  2 字符"/>
    <w:basedOn w:val="1"/>
    <w:qFormat/>
    <w:uiPriority w:val="0"/>
    <w:pPr>
      <w:autoSpaceDE w:val="0"/>
      <w:autoSpaceDN w:val="0"/>
      <w:adjustRightInd w:val="0"/>
      <w:spacing w:line="0" w:lineRule="atLeast"/>
      <w:ind w:firstLine="480" w:firstLineChars="200"/>
      <w:jc w:val="center"/>
      <w:textAlignment w:val="baseline"/>
    </w:pPr>
    <w:rPr>
      <w:color w:val="000000"/>
      <w:kern w:val="0"/>
      <w:sz w:val="24"/>
      <w:szCs w:val="20"/>
    </w:rPr>
  </w:style>
  <w:style w:type="paragraph" w:customStyle="1" w:styleId="235">
    <w:name w:val="报告表表格标题"/>
    <w:basedOn w:val="236"/>
    <w:qFormat/>
    <w:uiPriority w:val="0"/>
    <w:pPr>
      <w:spacing w:line="360" w:lineRule="auto"/>
      <w:ind w:left="0" w:right="0" w:firstLine="0"/>
      <w:jc w:val="center"/>
    </w:pPr>
    <w:rPr>
      <w:rFonts w:cs="宋体"/>
      <w:b/>
      <w:sz w:val="21"/>
      <w:szCs w:val="20"/>
    </w:rPr>
  </w:style>
  <w:style w:type="paragraph" w:customStyle="1" w:styleId="236">
    <w:name w:val="报告表正文"/>
    <w:basedOn w:val="1"/>
    <w:link w:val="237"/>
    <w:qFormat/>
    <w:uiPriority w:val="99"/>
    <w:pPr>
      <w:adjustRightInd w:val="0"/>
      <w:spacing w:line="312" w:lineRule="auto"/>
      <w:ind w:left="113" w:right="113" w:firstLine="482" w:firstLineChars="200"/>
      <w:jc w:val="left"/>
      <w:textAlignment w:val="baseline"/>
    </w:pPr>
    <w:rPr>
      <w:color w:val="000000"/>
      <w:kern w:val="0"/>
      <w:sz w:val="24"/>
    </w:rPr>
  </w:style>
  <w:style w:type="character" w:customStyle="1" w:styleId="237">
    <w:name w:val="报告表正文 Char"/>
    <w:link w:val="236"/>
    <w:qFormat/>
    <w:uiPriority w:val="99"/>
    <w:rPr>
      <w:color w:val="000000"/>
      <w:sz w:val="24"/>
      <w:szCs w:val="24"/>
    </w:rPr>
  </w:style>
  <w:style w:type="paragraph" w:customStyle="1" w:styleId="238">
    <w:name w:val="Char11"/>
    <w:basedOn w:val="1"/>
    <w:qFormat/>
    <w:uiPriority w:val="0"/>
    <w:pPr>
      <w:spacing w:line="360" w:lineRule="auto"/>
      <w:ind w:left="510" w:firstLine="480" w:firstLineChars="200"/>
    </w:pPr>
    <w:rPr>
      <w:rFonts w:ascii="宋体" w:hAnsi="宋体"/>
      <w:color w:val="000000"/>
      <w:kern w:val="0"/>
      <w:sz w:val="24"/>
      <w:szCs w:val="20"/>
    </w:rPr>
  </w:style>
  <w:style w:type="paragraph" w:customStyle="1" w:styleId="239">
    <w:name w:val="样式 样式 首行缩进:  2 字符 + 首行缩进:  2 字符"/>
    <w:basedOn w:val="1"/>
    <w:qFormat/>
    <w:uiPriority w:val="0"/>
    <w:pPr>
      <w:spacing w:line="360" w:lineRule="auto"/>
      <w:ind w:firstLine="200" w:firstLineChars="200"/>
    </w:pPr>
    <w:rPr>
      <w:rFonts w:ascii="宋体" w:hAnsi="宋体" w:cs="宋体"/>
      <w:color w:val="0000FF"/>
      <w:sz w:val="24"/>
      <w:szCs w:val="20"/>
    </w:rPr>
  </w:style>
  <w:style w:type="paragraph" w:customStyle="1" w:styleId="240">
    <w:name w:val="修订1"/>
    <w:unhideWhenUsed/>
    <w:qFormat/>
    <w:uiPriority w:val="99"/>
    <w:rPr>
      <w:rFonts w:ascii="Times New Roman" w:hAnsi="Times New Roman" w:eastAsia="宋体" w:cs="Times New Roman"/>
      <w:color w:val="000000"/>
      <w:kern w:val="2"/>
      <w:sz w:val="24"/>
      <w:szCs w:val="24"/>
      <w:lang w:val="en-US" w:eastAsia="zh-CN" w:bidi="ar-SA"/>
    </w:rPr>
  </w:style>
  <w:style w:type="paragraph" w:customStyle="1" w:styleId="241">
    <w:name w:val="8--"/>
    <w:basedOn w:val="1"/>
    <w:qFormat/>
    <w:uiPriority w:val="0"/>
    <w:pPr>
      <w:adjustRightInd w:val="0"/>
      <w:spacing w:line="360" w:lineRule="atLeast"/>
      <w:ind w:firstLine="480" w:firstLineChars="200"/>
      <w:jc w:val="left"/>
      <w:textAlignment w:val="baseline"/>
    </w:pPr>
    <w:rPr>
      <w:color w:val="000000"/>
      <w:kern w:val="0"/>
      <w:sz w:val="24"/>
    </w:rPr>
  </w:style>
  <w:style w:type="paragraph" w:customStyle="1" w:styleId="242">
    <w:name w:val="Char Char Char Char Char Char Char"/>
    <w:basedOn w:val="1"/>
    <w:qFormat/>
    <w:uiPriority w:val="99"/>
    <w:pPr>
      <w:spacing w:line="360" w:lineRule="auto"/>
      <w:ind w:firstLine="480" w:firstLineChars="200"/>
    </w:pPr>
    <w:rPr>
      <w:color w:val="000000"/>
      <w:sz w:val="24"/>
      <w:szCs w:val="21"/>
    </w:rPr>
  </w:style>
  <w:style w:type="paragraph" w:customStyle="1" w:styleId="243">
    <w:name w:val="表格首行"/>
    <w:basedOn w:val="1"/>
    <w:next w:val="1"/>
    <w:qFormat/>
    <w:uiPriority w:val="99"/>
    <w:pPr>
      <w:spacing w:line="360" w:lineRule="auto"/>
      <w:ind w:firstLine="480" w:firstLineChars="200"/>
      <w:jc w:val="center"/>
    </w:pPr>
    <w:rPr>
      <w:rFonts w:cs="宋体"/>
      <w:b/>
      <w:color w:val="000000"/>
      <w:sz w:val="24"/>
      <w:szCs w:val="20"/>
    </w:rPr>
  </w:style>
  <w:style w:type="paragraph" w:customStyle="1" w:styleId="244">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245">
    <w:name w:val="表格标题-3"/>
    <w:basedOn w:val="1"/>
    <w:next w:val="1"/>
    <w:qFormat/>
    <w:uiPriority w:val="0"/>
    <w:pPr>
      <w:tabs>
        <w:tab w:val="left" w:pos="851"/>
      </w:tabs>
      <w:adjustRightInd w:val="0"/>
      <w:snapToGrid w:val="0"/>
      <w:spacing w:line="360" w:lineRule="auto"/>
      <w:ind w:firstLine="480" w:firstLineChars="200"/>
      <w:jc w:val="center"/>
    </w:pPr>
    <w:rPr>
      <w:b/>
      <w:color w:val="000000"/>
      <w:sz w:val="24"/>
    </w:rPr>
  </w:style>
  <w:style w:type="paragraph" w:customStyle="1" w:styleId="246">
    <w:name w:val="彩色列表1"/>
    <w:basedOn w:val="1"/>
    <w:qFormat/>
    <w:uiPriority w:val="99"/>
    <w:pPr>
      <w:spacing w:line="360" w:lineRule="auto"/>
      <w:ind w:firstLine="420" w:firstLineChars="200"/>
    </w:pPr>
    <w:rPr>
      <w:color w:val="000000"/>
      <w:sz w:val="24"/>
      <w:szCs w:val="21"/>
    </w:rPr>
  </w:style>
  <w:style w:type="paragraph" w:customStyle="1" w:styleId="247">
    <w:name w:val="1"/>
    <w:basedOn w:val="1"/>
    <w:next w:val="23"/>
    <w:qFormat/>
    <w:uiPriority w:val="0"/>
    <w:pPr>
      <w:adjustRightInd w:val="0"/>
      <w:spacing w:line="360" w:lineRule="atLeast"/>
      <w:ind w:firstLine="480" w:firstLineChars="200"/>
      <w:jc w:val="left"/>
      <w:textAlignment w:val="baseline"/>
    </w:pPr>
    <w:rPr>
      <w:rFonts w:ascii="宋体" w:hAnsi="Courier New" w:cs="宋体"/>
      <w:color w:val="000000"/>
      <w:kern w:val="0"/>
      <w:sz w:val="24"/>
    </w:rPr>
  </w:style>
  <w:style w:type="paragraph" w:customStyle="1" w:styleId="248">
    <w:name w:val="p0"/>
    <w:basedOn w:val="1"/>
    <w:qFormat/>
    <w:uiPriority w:val="99"/>
    <w:pPr>
      <w:widowControl/>
      <w:spacing w:line="360" w:lineRule="auto"/>
      <w:ind w:firstLine="480" w:firstLineChars="200"/>
    </w:pPr>
    <w:rPr>
      <w:color w:val="000000"/>
      <w:kern w:val="0"/>
      <w:sz w:val="24"/>
      <w:szCs w:val="21"/>
    </w:rPr>
  </w:style>
  <w:style w:type="paragraph" w:customStyle="1" w:styleId="249">
    <w:name w:val="3 Char"/>
    <w:basedOn w:val="1"/>
    <w:next w:val="1"/>
    <w:semiHidden/>
    <w:qFormat/>
    <w:uiPriority w:val="0"/>
    <w:pPr>
      <w:spacing w:line="360" w:lineRule="auto"/>
      <w:ind w:firstLine="200" w:firstLineChars="200"/>
    </w:pPr>
    <w:rPr>
      <w:rFonts w:ascii="宋体" w:hAnsi="宋体" w:eastAsia="汉鼎简书宋" w:cs="宋体"/>
      <w:color w:val="000000"/>
      <w:sz w:val="24"/>
    </w:rPr>
  </w:style>
  <w:style w:type="paragraph" w:customStyle="1" w:styleId="250">
    <w:name w:val="Char Char2"/>
    <w:basedOn w:val="1"/>
    <w:qFormat/>
    <w:uiPriority w:val="99"/>
    <w:pPr>
      <w:spacing w:line="360" w:lineRule="auto"/>
      <w:ind w:firstLine="480" w:firstLineChars="200"/>
    </w:pPr>
    <w:rPr>
      <w:color w:val="000000"/>
      <w:sz w:val="24"/>
      <w:szCs w:val="21"/>
    </w:rPr>
  </w:style>
  <w:style w:type="paragraph" w:customStyle="1" w:styleId="251">
    <w:name w:val="3级"/>
    <w:basedOn w:val="1"/>
    <w:qFormat/>
    <w:uiPriority w:val="0"/>
    <w:pPr>
      <w:spacing w:line="360" w:lineRule="auto"/>
      <w:ind w:firstLine="480" w:firstLineChars="200"/>
      <w:outlineLvl w:val="2"/>
    </w:pPr>
    <w:rPr>
      <w:rFonts w:ascii="宋体" w:hAnsi="宋体" w:cs="宋体"/>
      <w:b/>
      <w:bCs/>
      <w:color w:val="000000"/>
      <w:sz w:val="30"/>
      <w:szCs w:val="30"/>
    </w:rPr>
  </w:style>
  <w:style w:type="paragraph" w:styleId="252">
    <w:name w:val="No Spacing"/>
    <w:basedOn w:val="1"/>
    <w:qFormat/>
    <w:uiPriority w:val="99"/>
    <w:pPr>
      <w:spacing w:line="240" w:lineRule="atLeast"/>
      <w:jc w:val="center"/>
    </w:pPr>
    <w:rPr>
      <w:rFonts w:ascii="宋体"/>
      <w:sz w:val="28"/>
    </w:rPr>
  </w:style>
  <w:style w:type="paragraph" w:customStyle="1" w:styleId="253">
    <w:name w:val="默认段落字体 Para Char"/>
    <w:basedOn w:val="1"/>
    <w:qFormat/>
    <w:uiPriority w:val="0"/>
    <w:pPr>
      <w:spacing w:line="360" w:lineRule="auto"/>
      <w:ind w:firstLine="480" w:firstLineChars="200"/>
    </w:pPr>
    <w:rPr>
      <w:rFonts w:ascii="宋体" w:cs="宋体"/>
      <w:color w:val="000000"/>
      <w:sz w:val="28"/>
      <w:szCs w:val="28"/>
    </w:rPr>
  </w:style>
  <w:style w:type="paragraph" w:customStyle="1" w:styleId="254">
    <w:name w:val="正文 首行缩进:  2 字符"/>
    <w:basedOn w:val="1"/>
    <w:qFormat/>
    <w:uiPriority w:val="0"/>
    <w:pPr>
      <w:ind w:firstLine="579" w:firstLineChars="200"/>
    </w:pPr>
    <w:rPr>
      <w:rFonts w:hint="eastAsia" w:ascii="宋体" w:hAnsi="宋体"/>
      <w:color w:val="0000FF"/>
      <w:sz w:val="28"/>
      <w:szCs w:val="20"/>
    </w:rPr>
  </w:style>
  <w:style w:type="paragraph" w:customStyle="1" w:styleId="255">
    <w:name w:val="表格标题-1"/>
    <w:basedOn w:val="226"/>
    <w:next w:val="1"/>
    <w:qFormat/>
    <w:uiPriority w:val="0"/>
    <w:rPr>
      <w:b/>
    </w:rPr>
  </w:style>
  <w:style w:type="paragraph" w:customStyle="1" w:styleId="256">
    <w:name w:val="表"/>
    <w:basedOn w:val="1"/>
    <w:qFormat/>
    <w:uiPriority w:val="99"/>
    <w:pPr>
      <w:spacing w:line="240" w:lineRule="exact"/>
      <w:ind w:firstLine="480" w:firstLineChars="200"/>
    </w:pPr>
    <w:rPr>
      <w:rFonts w:ascii="仿宋_GB2312" w:hAnsi="宋体" w:eastAsia="仿宋_GB2312"/>
      <w:color w:val="000000"/>
      <w:sz w:val="18"/>
      <w:szCs w:val="20"/>
    </w:rPr>
  </w:style>
  <w:style w:type="paragraph" w:customStyle="1" w:styleId="257">
    <w:name w:val="1表格表头格式"/>
    <w:basedOn w:val="1"/>
    <w:semiHidden/>
    <w:qFormat/>
    <w:uiPriority w:val="0"/>
    <w:pPr>
      <w:numPr>
        <w:ilvl w:val="0"/>
        <w:numId w:val="4"/>
      </w:numPr>
      <w:spacing w:line="360" w:lineRule="auto"/>
      <w:ind w:firstLine="200" w:firstLineChars="200"/>
      <w:jc w:val="center"/>
    </w:pPr>
    <w:rPr>
      <w:rFonts w:hAnsi="宋体" w:cs="宋体"/>
      <w:b/>
      <w:bCs/>
      <w:color w:val="000000"/>
      <w:sz w:val="24"/>
      <w:szCs w:val="20"/>
    </w:rPr>
  </w:style>
  <w:style w:type="paragraph" w:customStyle="1" w:styleId="258">
    <w:name w:val="1.1.1"/>
    <w:basedOn w:val="1"/>
    <w:qFormat/>
    <w:uiPriority w:val="0"/>
    <w:pPr>
      <w:spacing w:line="360" w:lineRule="auto"/>
      <w:ind w:firstLine="480" w:firstLineChars="200"/>
    </w:pPr>
    <w:rPr>
      <w:rFonts w:ascii="黑体"/>
      <w:color w:val="000000"/>
      <w:sz w:val="24"/>
    </w:rPr>
  </w:style>
  <w:style w:type="paragraph" w:customStyle="1" w:styleId="259">
    <w:name w:val="二级目录"/>
    <w:basedOn w:val="1"/>
    <w:qFormat/>
    <w:uiPriority w:val="0"/>
    <w:pPr>
      <w:spacing w:line="360" w:lineRule="auto"/>
      <w:ind w:firstLine="480" w:firstLineChars="200"/>
      <w:outlineLvl w:val="1"/>
    </w:pPr>
    <w:rPr>
      <w:rFonts w:ascii="黑体" w:hAnsi="黑体" w:eastAsia="黑体"/>
      <w:color w:val="000000"/>
      <w:sz w:val="28"/>
      <w:szCs w:val="28"/>
    </w:rPr>
  </w:style>
  <w:style w:type="paragraph" w:customStyle="1" w:styleId="260">
    <w:name w:val="图表标题"/>
    <w:basedOn w:val="1"/>
    <w:next w:val="222"/>
    <w:qFormat/>
    <w:uiPriority w:val="0"/>
    <w:pPr>
      <w:adjustRightInd w:val="0"/>
      <w:snapToGrid w:val="0"/>
      <w:spacing w:line="360" w:lineRule="auto"/>
      <w:ind w:firstLine="480" w:firstLineChars="200"/>
      <w:jc w:val="center"/>
    </w:pPr>
    <w:rPr>
      <w:rFonts w:ascii="黑体" w:hAnsi="宋体" w:eastAsia="黑体" w:cs="黑体"/>
      <w:color w:val="000000"/>
      <w:sz w:val="24"/>
    </w:rPr>
  </w:style>
  <w:style w:type="paragraph" w:customStyle="1" w:styleId="261">
    <w:name w:val="Char12"/>
    <w:basedOn w:val="1"/>
    <w:qFormat/>
    <w:uiPriority w:val="0"/>
    <w:pPr>
      <w:spacing w:line="360" w:lineRule="auto"/>
      <w:ind w:left="510" w:firstLine="480" w:firstLineChars="200"/>
    </w:pPr>
    <w:rPr>
      <w:rFonts w:ascii="宋体" w:hAnsi="宋体"/>
      <w:color w:val="000000"/>
      <w:kern w:val="0"/>
      <w:sz w:val="24"/>
      <w:szCs w:val="20"/>
    </w:rPr>
  </w:style>
  <w:style w:type="paragraph" w:customStyle="1" w:styleId="262">
    <w:name w:val="报告书"/>
    <w:basedOn w:val="1"/>
    <w:qFormat/>
    <w:uiPriority w:val="0"/>
    <w:pPr>
      <w:autoSpaceDE w:val="0"/>
      <w:autoSpaceDN w:val="0"/>
      <w:adjustRightInd w:val="0"/>
      <w:spacing w:line="360" w:lineRule="auto"/>
      <w:ind w:firstLine="505" w:firstLineChars="200"/>
      <w:jc w:val="left"/>
      <w:textAlignment w:val="bottom"/>
    </w:pPr>
    <w:rPr>
      <w:color w:val="000000"/>
      <w:kern w:val="0"/>
      <w:sz w:val="24"/>
    </w:rPr>
  </w:style>
  <w:style w:type="paragraph" w:customStyle="1" w:styleId="263">
    <w:name w:val="Char Char Char Char2"/>
    <w:basedOn w:val="1"/>
    <w:qFormat/>
    <w:uiPriority w:val="0"/>
    <w:pPr>
      <w:tabs>
        <w:tab w:val="left" w:pos="360"/>
      </w:tabs>
      <w:spacing w:line="360" w:lineRule="auto"/>
      <w:ind w:firstLine="480" w:firstLineChars="200"/>
    </w:pPr>
    <w:rPr>
      <w:color w:val="000000"/>
      <w:sz w:val="24"/>
    </w:rPr>
  </w:style>
  <w:style w:type="paragraph" w:customStyle="1" w:styleId="264">
    <w:name w:val="Char Char21"/>
    <w:basedOn w:val="1"/>
    <w:qFormat/>
    <w:uiPriority w:val="0"/>
    <w:pPr>
      <w:spacing w:line="360" w:lineRule="auto"/>
      <w:ind w:firstLine="480" w:firstLineChars="200"/>
    </w:pPr>
    <w:rPr>
      <w:color w:val="000000"/>
      <w:sz w:val="24"/>
    </w:rPr>
  </w:style>
  <w:style w:type="paragraph" w:customStyle="1" w:styleId="265">
    <w:name w:val="Char4 Char Char Char Char Char Char1"/>
    <w:basedOn w:val="1"/>
    <w:qFormat/>
    <w:uiPriority w:val="0"/>
    <w:pPr>
      <w:spacing w:line="360" w:lineRule="auto"/>
      <w:ind w:firstLine="200" w:firstLineChars="200"/>
    </w:pPr>
    <w:rPr>
      <w:rFonts w:ascii="宋体" w:hAnsi="宋体" w:cs="宋体"/>
      <w:color w:val="000000"/>
      <w:sz w:val="24"/>
    </w:rPr>
  </w:style>
  <w:style w:type="paragraph" w:customStyle="1" w:styleId="266">
    <w:name w:val="列出段落1"/>
    <w:basedOn w:val="1"/>
    <w:qFormat/>
    <w:uiPriority w:val="99"/>
    <w:pPr>
      <w:spacing w:line="360" w:lineRule="auto"/>
      <w:ind w:firstLine="420" w:firstLineChars="200"/>
    </w:pPr>
    <w:rPr>
      <w:color w:val="000000"/>
      <w:sz w:val="24"/>
    </w:rPr>
  </w:style>
  <w:style w:type="paragraph" w:customStyle="1" w:styleId="267">
    <w:name w:val="报告书表格"/>
    <w:basedOn w:val="1"/>
    <w:qFormat/>
    <w:uiPriority w:val="0"/>
    <w:pPr>
      <w:adjustRightInd w:val="0"/>
      <w:spacing w:before="60" w:after="60" w:line="240" w:lineRule="atLeast"/>
      <w:ind w:firstLine="480" w:firstLineChars="200"/>
      <w:jc w:val="center"/>
      <w:textAlignment w:val="baseline"/>
    </w:pPr>
    <w:rPr>
      <w:color w:val="000000"/>
      <w:kern w:val="0"/>
      <w:sz w:val="24"/>
      <w:szCs w:val="20"/>
    </w:rPr>
  </w:style>
  <w:style w:type="paragraph" w:customStyle="1" w:styleId="268">
    <w:name w:val="Char3"/>
    <w:basedOn w:val="1"/>
    <w:qFormat/>
    <w:uiPriority w:val="0"/>
    <w:pPr>
      <w:spacing w:line="360" w:lineRule="auto"/>
      <w:ind w:firstLine="480" w:firstLineChars="200"/>
    </w:pPr>
    <w:rPr>
      <w:color w:val="000000"/>
      <w:sz w:val="24"/>
    </w:rPr>
  </w:style>
  <w:style w:type="paragraph" w:customStyle="1" w:styleId="269">
    <w:name w:val="表标题"/>
    <w:basedOn w:val="1"/>
    <w:qFormat/>
    <w:uiPriority w:val="0"/>
    <w:pPr>
      <w:spacing w:line="360" w:lineRule="auto"/>
      <w:ind w:firstLine="480" w:firstLineChars="200"/>
      <w:jc w:val="center"/>
    </w:pPr>
    <w:rPr>
      <w:bCs/>
      <w:color w:val="000000"/>
      <w:sz w:val="24"/>
      <w:szCs w:val="21"/>
    </w:rPr>
  </w:style>
  <w:style w:type="paragraph" w:customStyle="1" w:styleId="270">
    <w:name w:val="Char13"/>
    <w:basedOn w:val="1"/>
    <w:qFormat/>
    <w:uiPriority w:val="0"/>
    <w:pPr>
      <w:spacing w:line="360" w:lineRule="auto"/>
      <w:ind w:left="510" w:firstLine="480" w:firstLineChars="200"/>
    </w:pPr>
    <w:rPr>
      <w:rFonts w:ascii="宋体" w:hAnsi="宋体"/>
      <w:color w:val="000000"/>
      <w:kern w:val="0"/>
      <w:sz w:val="24"/>
      <w:szCs w:val="20"/>
    </w:rPr>
  </w:style>
  <w:style w:type="paragraph" w:customStyle="1" w:styleId="271">
    <w:name w:val="普通(网站)1"/>
    <w:basedOn w:val="1"/>
    <w:qFormat/>
    <w:uiPriority w:val="0"/>
    <w:pPr>
      <w:widowControl/>
      <w:spacing w:before="100" w:beforeAutospacing="1" w:after="100" w:afterAutospacing="1"/>
      <w:jc w:val="left"/>
    </w:pPr>
    <w:rPr>
      <w:rFonts w:hint="eastAsia" w:ascii="宋体" w:hAnsi="宋体"/>
      <w:sz w:val="24"/>
      <w:szCs w:val="20"/>
    </w:rPr>
  </w:style>
  <w:style w:type="paragraph" w:customStyle="1" w:styleId="272">
    <w:name w:val="Char Char Char Char1"/>
    <w:basedOn w:val="1"/>
    <w:qFormat/>
    <w:uiPriority w:val="0"/>
    <w:pPr>
      <w:tabs>
        <w:tab w:val="left" w:pos="360"/>
      </w:tabs>
      <w:spacing w:line="360" w:lineRule="auto"/>
      <w:ind w:firstLine="480" w:firstLineChars="200"/>
    </w:pPr>
    <w:rPr>
      <w:color w:val="000000"/>
      <w:sz w:val="24"/>
    </w:rPr>
  </w:style>
  <w:style w:type="paragraph" w:customStyle="1" w:styleId="273">
    <w:name w:val="表文"/>
    <w:basedOn w:val="1"/>
    <w:qFormat/>
    <w:uiPriority w:val="0"/>
    <w:pPr>
      <w:spacing w:beforeLines="20" w:afterLines="20" w:line="360" w:lineRule="auto"/>
      <w:ind w:firstLine="480" w:firstLineChars="200"/>
      <w:jc w:val="center"/>
    </w:pPr>
    <w:rPr>
      <w:color w:val="000000"/>
      <w:sz w:val="24"/>
      <w:szCs w:val="21"/>
    </w:rPr>
  </w:style>
  <w:style w:type="paragraph" w:customStyle="1" w:styleId="274">
    <w:name w:val="xl31"/>
    <w:basedOn w:val="1"/>
    <w:qFormat/>
    <w:uiPriority w:val="0"/>
    <w:pPr>
      <w:widowControl/>
      <w:spacing w:before="100" w:beforeAutospacing="1" w:after="100" w:afterAutospacing="1" w:line="360" w:lineRule="auto"/>
      <w:ind w:firstLine="480" w:firstLineChars="200"/>
      <w:jc w:val="center"/>
      <w:textAlignment w:val="center"/>
    </w:pPr>
    <w:rPr>
      <w:rFonts w:ascii="Arial Unicode MS" w:hAnsi="Arial Unicode MS" w:cs="Arial Unicode MS"/>
      <w:color w:val="000000"/>
      <w:kern w:val="0"/>
      <w:sz w:val="24"/>
    </w:rPr>
  </w:style>
  <w:style w:type="paragraph" w:customStyle="1" w:styleId="275">
    <w:name w:val="Char Char Char1 Char Char Char Char Char Char Char"/>
    <w:basedOn w:val="1"/>
    <w:semiHidden/>
    <w:qFormat/>
    <w:uiPriority w:val="0"/>
    <w:pPr>
      <w:adjustRightInd w:val="0"/>
      <w:spacing w:line="312" w:lineRule="auto"/>
      <w:ind w:firstLine="200" w:firstLineChars="200"/>
      <w:jc w:val="left"/>
      <w:textAlignment w:val="baseline"/>
    </w:pPr>
    <w:rPr>
      <w:color w:val="000000"/>
      <w:sz w:val="24"/>
      <w:szCs w:val="20"/>
    </w:rPr>
  </w:style>
  <w:style w:type="paragraph" w:customStyle="1" w:styleId="276">
    <w:name w:val="album-div"/>
    <w:basedOn w:val="1"/>
    <w:qFormat/>
    <w:uiPriority w:val="99"/>
    <w:pPr>
      <w:widowControl/>
      <w:spacing w:before="100" w:beforeAutospacing="1" w:after="100" w:afterAutospacing="1" w:line="360" w:lineRule="auto"/>
      <w:ind w:firstLine="480" w:firstLineChars="200"/>
      <w:jc w:val="left"/>
    </w:pPr>
    <w:rPr>
      <w:rFonts w:ascii="宋体" w:hAnsi="宋体" w:cs="宋体"/>
      <w:color w:val="000000"/>
      <w:kern w:val="0"/>
      <w:sz w:val="24"/>
    </w:rPr>
  </w:style>
  <w:style w:type="table" w:customStyle="1" w:styleId="277">
    <w:name w:val="网格型2"/>
    <w:basedOn w:val="4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网格型1"/>
    <w:basedOn w:val="4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网格型（pxg）2"/>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
    <w:name w:val="典雅型1"/>
    <w:basedOn w:val="48"/>
    <w:qFormat/>
    <w:uiPriority w:val="0"/>
    <w:pPr>
      <w:widowControl w:val="0"/>
      <w:jc w:val="both"/>
    </w:pPr>
    <w:rPr>
      <w:rFonts w:eastAsia="Times New Roman"/>
      <w:sz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81">
    <w:name w:val="nieniu1"/>
    <w:basedOn w:val="48"/>
    <w:qFormat/>
    <w:uiPriority w:val="0"/>
    <w:pPr>
      <w:widowControl w:val="0"/>
      <w:jc w:val="both"/>
    </w:pPr>
    <w:rPr>
      <w:sz w:val="24"/>
    </w:rPr>
    <w:tblPr>
      <w:tblBorders>
        <w:top w:val="single" w:color="auto" w:sz="12" w:space="0"/>
        <w:bottom w:val="single" w:color="auto" w:sz="12" w:space="0"/>
        <w:insideH w:val="single" w:color="auto" w:sz="4" w:space="0"/>
        <w:insideV w:val="single" w:color="auto" w:sz="4" w:space="0"/>
      </w:tblBorders>
    </w:tblPr>
  </w:style>
  <w:style w:type="table" w:customStyle="1" w:styleId="282">
    <w:name w:val="网格型（pxg）1"/>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3">
    <w:name w:val="环评表格标题"/>
    <w:basedOn w:val="1"/>
    <w:qFormat/>
    <w:uiPriority w:val="0"/>
    <w:pPr>
      <w:jc w:val="center"/>
      <w:outlineLvl w:val="0"/>
    </w:pPr>
    <w:rPr>
      <w:b/>
      <w:kern w:val="0"/>
      <w:szCs w:val="20"/>
    </w:rPr>
  </w:style>
  <w:style w:type="paragraph" w:customStyle="1" w:styleId="284">
    <w:name w:val="表1-x"/>
    <w:basedOn w:val="1"/>
    <w:next w:val="1"/>
    <w:link w:val="285"/>
    <w:qFormat/>
    <w:uiPriority w:val="0"/>
    <w:pPr>
      <w:numPr>
        <w:ilvl w:val="0"/>
        <w:numId w:val="5"/>
      </w:numPr>
      <w:wordWrap w:val="0"/>
      <w:topLinePunct/>
      <w:jc w:val="center"/>
    </w:pPr>
    <w:rPr>
      <w:b/>
      <w:szCs w:val="22"/>
    </w:rPr>
  </w:style>
  <w:style w:type="character" w:customStyle="1" w:styleId="285">
    <w:name w:val="表1-x 字符"/>
    <w:link w:val="284"/>
    <w:qFormat/>
    <w:uiPriority w:val="0"/>
    <w:rPr>
      <w:b/>
      <w:kern w:val="2"/>
      <w:sz w:val="21"/>
      <w:szCs w:val="22"/>
    </w:rPr>
  </w:style>
  <w:style w:type="table" w:customStyle="1" w:styleId="286">
    <w:name w:val="表格边框"/>
    <w:basedOn w:val="48"/>
    <w:qFormat/>
    <w:uiPriority w:val="99"/>
    <w:pPr>
      <w:jc w:val="center"/>
    </w:pPr>
    <w:rPr>
      <w:sz w:val="21"/>
    </w:rPr>
    <w:tblPr>
      <w:jc w:val="center"/>
      <w:tblBorders>
        <w:top w:val="single" w:color="auto" w:sz="12" w:space="0"/>
        <w:bottom w:val="single" w:color="auto" w:sz="12" w:space="0"/>
        <w:insideH w:val="single" w:color="auto" w:sz="6" w:space="0"/>
        <w:insideV w:val="single" w:color="auto" w:sz="6" w:space="0"/>
      </w:tblBorders>
      <w:tblCellMar>
        <w:left w:w="28" w:type="dxa"/>
        <w:right w:w="28" w:type="dxa"/>
      </w:tblCellMar>
    </w:tblPr>
    <w:trPr>
      <w:jc w:val="center"/>
    </w:trPr>
    <w:tcPr>
      <w:vAlign w:val="center"/>
    </w:tcPr>
  </w:style>
  <w:style w:type="character" w:customStyle="1" w:styleId="287">
    <w:name w:val="正文缩进 字符2"/>
    <w:qFormat/>
    <w:uiPriority w:val="0"/>
    <w:rPr>
      <w:rFonts w:ascii="宋体"/>
      <w:sz w:val="21"/>
    </w:rPr>
  </w:style>
  <w:style w:type="character" w:customStyle="1" w:styleId="288">
    <w:name w:val="页眉 Char"/>
    <w:qFormat/>
    <w:uiPriority w:val="99"/>
    <w:rPr>
      <w:kern w:val="2"/>
      <w:sz w:val="18"/>
      <w:szCs w:val="18"/>
    </w:rPr>
  </w:style>
  <w:style w:type="character" w:customStyle="1" w:styleId="289">
    <w:name w:val="纯文本 Char"/>
    <w:qFormat/>
    <w:uiPriority w:val="99"/>
    <w:rPr>
      <w:rFonts w:ascii="宋体" w:hAnsi="Courier New"/>
      <w:color w:val="0000FF"/>
      <w:sz w:val="21"/>
    </w:rPr>
  </w:style>
  <w:style w:type="paragraph" w:customStyle="1" w:styleId="290">
    <w:name w:val="样式3"/>
    <w:basedOn w:val="10"/>
    <w:qFormat/>
    <w:uiPriority w:val="0"/>
    <w:pPr>
      <w:adjustRightInd/>
      <w:spacing w:line="520" w:lineRule="atLeast"/>
      <w:ind w:firstLine="560" w:firstLineChars="0"/>
      <w:jc w:val="left"/>
      <w:textAlignment w:val="auto"/>
    </w:pPr>
    <w:rPr>
      <w:kern w:val="0"/>
      <w:sz w:val="28"/>
      <w:szCs w:val="20"/>
    </w:rPr>
  </w:style>
  <w:style w:type="paragraph" w:customStyle="1" w:styleId="291">
    <w:name w:val="环评正文加粗"/>
    <w:basedOn w:val="1"/>
    <w:qFormat/>
    <w:uiPriority w:val="0"/>
    <w:pPr>
      <w:spacing w:line="360" w:lineRule="auto"/>
      <w:ind w:firstLine="200" w:firstLineChars="200"/>
      <w:jc w:val="left"/>
      <w:outlineLvl w:val="0"/>
    </w:pPr>
    <w:rPr>
      <w:b/>
      <w:kern w:val="0"/>
      <w:sz w:val="24"/>
      <w:szCs w:val="20"/>
    </w:rPr>
  </w:style>
  <w:style w:type="paragraph" w:customStyle="1" w:styleId="292">
    <w:name w:val="样式 样式 行距: 1.5 倍行距 + 首行缩进:  2 字符"/>
    <w:basedOn w:val="1"/>
    <w:qFormat/>
    <w:uiPriority w:val="0"/>
    <w:pPr>
      <w:spacing w:line="360" w:lineRule="auto"/>
      <w:ind w:firstLine="420" w:firstLineChars="200"/>
    </w:pPr>
    <w:rPr>
      <w:rFonts w:cs="宋体"/>
      <w:sz w:val="24"/>
      <w:szCs w:val="20"/>
    </w:rPr>
  </w:style>
  <w:style w:type="paragraph" w:customStyle="1" w:styleId="293">
    <w:name w:val="表4-X"/>
    <w:basedOn w:val="1"/>
    <w:link w:val="294"/>
    <w:qFormat/>
    <w:uiPriority w:val="0"/>
    <w:pPr>
      <w:numPr>
        <w:ilvl w:val="0"/>
        <w:numId w:val="6"/>
      </w:numPr>
      <w:wordWrap w:val="0"/>
      <w:topLinePunct/>
      <w:jc w:val="center"/>
    </w:pPr>
    <w:rPr>
      <w:b/>
      <w:color w:val="000000"/>
      <w:szCs w:val="22"/>
    </w:rPr>
  </w:style>
  <w:style w:type="character" w:customStyle="1" w:styleId="294">
    <w:name w:val="表4-X 字符"/>
    <w:link w:val="293"/>
    <w:qFormat/>
    <w:uiPriority w:val="0"/>
    <w:rPr>
      <w:b/>
      <w:color w:val="000000"/>
      <w:kern w:val="2"/>
      <w:sz w:val="21"/>
      <w:szCs w:val="22"/>
    </w:rPr>
  </w:style>
  <w:style w:type="paragraph" w:customStyle="1" w:styleId="295">
    <w:name w:val="图5-X"/>
    <w:basedOn w:val="1"/>
    <w:link w:val="296"/>
    <w:qFormat/>
    <w:uiPriority w:val="0"/>
    <w:pPr>
      <w:framePr w:wrap="around" w:vAnchor="text" w:hAnchor="text" w:y="1"/>
      <w:numPr>
        <w:ilvl w:val="0"/>
        <w:numId w:val="7"/>
      </w:numPr>
      <w:wordWrap w:val="0"/>
      <w:topLinePunct/>
      <w:spacing w:line="360" w:lineRule="auto"/>
      <w:jc w:val="center"/>
    </w:pPr>
    <w:rPr>
      <w:b/>
    </w:rPr>
  </w:style>
  <w:style w:type="character" w:customStyle="1" w:styleId="296">
    <w:name w:val="图5-X 字符"/>
    <w:link w:val="295"/>
    <w:qFormat/>
    <w:uiPriority w:val="0"/>
    <w:rPr>
      <w:b/>
      <w:kern w:val="2"/>
      <w:sz w:val="21"/>
      <w:szCs w:val="24"/>
    </w:rPr>
  </w:style>
  <w:style w:type="paragraph" w:customStyle="1" w:styleId="297">
    <w:name w:val="表5-X"/>
    <w:basedOn w:val="1"/>
    <w:next w:val="1"/>
    <w:link w:val="298"/>
    <w:qFormat/>
    <w:uiPriority w:val="0"/>
    <w:pPr>
      <w:framePr w:wrap="around" w:vAnchor="text" w:hAnchor="text" w:y="1"/>
      <w:numPr>
        <w:ilvl w:val="0"/>
        <w:numId w:val="8"/>
      </w:numPr>
      <w:wordWrap w:val="0"/>
      <w:topLinePunct/>
      <w:jc w:val="center"/>
    </w:pPr>
    <w:rPr>
      <w:b/>
    </w:rPr>
  </w:style>
  <w:style w:type="character" w:customStyle="1" w:styleId="298">
    <w:name w:val="表5-X 字符"/>
    <w:link w:val="297"/>
    <w:qFormat/>
    <w:uiPriority w:val="0"/>
    <w:rPr>
      <w:b/>
      <w:kern w:val="2"/>
      <w:sz w:val="21"/>
      <w:szCs w:val="24"/>
    </w:rPr>
  </w:style>
  <w:style w:type="character" w:customStyle="1" w:styleId="299">
    <w:name w:val="font81"/>
    <w:qFormat/>
    <w:uiPriority w:val="0"/>
    <w:rPr>
      <w:rFonts w:hint="eastAsia" w:ascii="楷体" w:hAnsi="楷体" w:eastAsia="楷体" w:cs="楷体"/>
      <w:color w:val="000000"/>
      <w:sz w:val="20"/>
      <w:szCs w:val="20"/>
      <w:u w:val="none"/>
    </w:rPr>
  </w:style>
  <w:style w:type="paragraph" w:customStyle="1" w:styleId="300">
    <w:name w:val="正文(首行缩进)"/>
    <w:basedOn w:val="1"/>
    <w:link w:val="301"/>
    <w:qFormat/>
    <w:uiPriority w:val="99"/>
    <w:pPr>
      <w:spacing w:line="360" w:lineRule="auto"/>
      <w:ind w:firstLine="540" w:firstLineChars="225"/>
    </w:pPr>
    <w:rPr>
      <w:rFonts w:ascii="Calibri" w:hAnsi="Calibri"/>
      <w:color w:val="000000"/>
      <w:kern w:val="0"/>
      <w:sz w:val="24"/>
    </w:rPr>
  </w:style>
  <w:style w:type="character" w:customStyle="1" w:styleId="301">
    <w:name w:val="正文(首行缩进) Char1"/>
    <w:link w:val="300"/>
    <w:qFormat/>
    <w:uiPriority w:val="99"/>
    <w:rPr>
      <w:rFonts w:ascii="Calibri" w:hAnsi="Calibri"/>
      <w:color w:val="000000"/>
      <w:sz w:val="24"/>
      <w:szCs w:val="24"/>
    </w:rPr>
  </w:style>
  <w:style w:type="paragraph" w:customStyle="1" w:styleId="302">
    <w:name w:val="表7-X"/>
    <w:basedOn w:val="1"/>
    <w:link w:val="303"/>
    <w:qFormat/>
    <w:uiPriority w:val="0"/>
    <w:pPr>
      <w:framePr w:wrap="around" w:vAnchor="text" w:hAnchor="text" w:y="1"/>
      <w:numPr>
        <w:ilvl w:val="0"/>
        <w:numId w:val="9"/>
      </w:numPr>
      <w:wordWrap w:val="0"/>
      <w:topLinePunct/>
      <w:ind w:left="0" w:firstLine="0"/>
      <w:jc w:val="center"/>
    </w:pPr>
    <w:rPr>
      <w:b/>
    </w:rPr>
  </w:style>
  <w:style w:type="character" w:customStyle="1" w:styleId="303">
    <w:name w:val="表7-X 字符"/>
    <w:link w:val="302"/>
    <w:qFormat/>
    <w:uiPriority w:val="0"/>
    <w:rPr>
      <w:b/>
      <w:kern w:val="2"/>
      <w:sz w:val="21"/>
      <w:szCs w:val="24"/>
    </w:rPr>
  </w:style>
  <w:style w:type="character" w:customStyle="1" w:styleId="304">
    <w:name w:val="真·表头 Char"/>
    <w:link w:val="305"/>
    <w:qFormat/>
    <w:uiPriority w:val="0"/>
    <w:rPr>
      <w:rFonts w:eastAsia="黑体"/>
      <w:kern w:val="2"/>
      <w:sz w:val="24"/>
      <w:szCs w:val="30"/>
    </w:rPr>
  </w:style>
  <w:style w:type="paragraph" w:customStyle="1" w:styleId="305">
    <w:name w:val="真·表头"/>
    <w:basedOn w:val="1"/>
    <w:link w:val="304"/>
    <w:qFormat/>
    <w:uiPriority w:val="0"/>
    <w:pPr>
      <w:adjustRightInd w:val="0"/>
      <w:snapToGrid w:val="0"/>
      <w:spacing w:beforeLines="50" w:line="360" w:lineRule="auto"/>
      <w:jc w:val="center"/>
    </w:pPr>
    <w:rPr>
      <w:rFonts w:eastAsia="黑体"/>
      <w:sz w:val="24"/>
      <w:szCs w:val="30"/>
    </w:rPr>
  </w:style>
  <w:style w:type="character" w:customStyle="1" w:styleId="306">
    <w:name w:val="真·小标题 Char"/>
    <w:link w:val="307"/>
    <w:qFormat/>
    <w:uiPriority w:val="0"/>
    <w:rPr>
      <w:rFonts w:eastAsia="黑体"/>
      <w:sz w:val="24"/>
      <w:szCs w:val="24"/>
    </w:rPr>
  </w:style>
  <w:style w:type="paragraph" w:customStyle="1" w:styleId="307">
    <w:name w:val="真·小标题"/>
    <w:basedOn w:val="1"/>
    <w:next w:val="1"/>
    <w:link w:val="306"/>
    <w:qFormat/>
    <w:uiPriority w:val="0"/>
    <w:pPr>
      <w:adjustRightInd w:val="0"/>
      <w:snapToGrid w:val="0"/>
      <w:spacing w:line="360" w:lineRule="auto"/>
      <w:ind w:firstLine="200" w:firstLineChars="200"/>
      <w:jc w:val="left"/>
    </w:pPr>
    <w:rPr>
      <w:rFonts w:eastAsia="黑体"/>
      <w:kern w:val="0"/>
      <w:sz w:val="24"/>
    </w:rPr>
  </w:style>
  <w:style w:type="character" w:customStyle="1" w:styleId="308">
    <w:name w:val="2表格内容 字符"/>
    <w:link w:val="309"/>
    <w:qFormat/>
    <w:uiPriority w:val="0"/>
    <w:rPr>
      <w:rFonts w:ascii="黑体" w:hAnsi="宋体"/>
      <w:kern w:val="2"/>
      <w:sz w:val="21"/>
      <w:szCs w:val="24"/>
    </w:rPr>
  </w:style>
  <w:style w:type="paragraph" w:customStyle="1" w:styleId="309">
    <w:name w:val="2表格内容"/>
    <w:basedOn w:val="163"/>
    <w:link w:val="308"/>
    <w:qFormat/>
    <w:uiPriority w:val="0"/>
    <w:pPr>
      <w:spacing w:line="240" w:lineRule="auto"/>
      <w:ind w:firstLine="0" w:firstLineChars="0"/>
      <w:jc w:val="center"/>
    </w:pPr>
    <w:rPr>
      <w:kern w:val="2"/>
      <w:sz w:val="21"/>
    </w:rPr>
  </w:style>
  <w:style w:type="paragraph" w:customStyle="1" w:styleId="310">
    <w:name w:val="2"/>
    <w:next w:val="1"/>
    <w:qFormat/>
    <w:uiPriority w:val="0"/>
    <w:pPr>
      <w:adjustRightInd w:val="0"/>
      <w:snapToGrid w:val="0"/>
      <w:spacing w:beforeLines="50" w:line="360" w:lineRule="auto"/>
      <w:jc w:val="center"/>
    </w:pPr>
    <w:rPr>
      <w:rFonts w:ascii="Times New Roman" w:hAnsi="Times New Roman" w:eastAsia="黑体" w:cs="Courier New"/>
      <w:kern w:val="2"/>
      <w:sz w:val="24"/>
      <w:szCs w:val="32"/>
      <w:lang w:val="en-US" w:eastAsia="zh-CN" w:bidi="ar-SA"/>
    </w:rPr>
  </w:style>
  <w:style w:type="paragraph" w:customStyle="1" w:styleId="31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312">
    <w:name w:val="y正文"/>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paragraph" w:customStyle="1" w:styleId="313">
    <w:name w:val="2表格标题"/>
    <w:basedOn w:val="1"/>
    <w:qFormat/>
    <w:uiPriority w:val="0"/>
    <w:pPr>
      <w:adjustRightInd w:val="0"/>
      <w:snapToGrid w:val="0"/>
      <w:spacing w:beforeLines="50" w:after="100" w:afterAutospacing="1" w:line="360" w:lineRule="auto"/>
      <w:jc w:val="center"/>
    </w:pPr>
    <w:rPr>
      <w:rFonts w:ascii="黑体" w:hAnsi="宋体" w:eastAsia="黑体" w:cs="宋体"/>
      <w:sz w:val="24"/>
    </w:rPr>
  </w:style>
  <w:style w:type="paragraph" w:customStyle="1" w:styleId="314">
    <w:name w:val="1、表内字"/>
    <w:basedOn w:val="1"/>
    <w:qFormat/>
    <w:uiPriority w:val="0"/>
    <w:pPr>
      <w:adjustRightInd w:val="0"/>
      <w:snapToGrid w:val="0"/>
      <w:jc w:val="center"/>
    </w:pPr>
    <w:rPr>
      <w:sz w:val="24"/>
      <w:szCs w:val="21"/>
    </w:rPr>
  </w:style>
  <w:style w:type="paragraph" w:customStyle="1" w:styleId="315">
    <w:name w:val="空行"/>
    <w:basedOn w:val="1"/>
    <w:next w:val="46"/>
    <w:qFormat/>
    <w:uiPriority w:val="0"/>
    <w:pPr>
      <w:topLinePunct/>
      <w:adjustRightInd w:val="0"/>
      <w:snapToGrid w:val="0"/>
      <w:jc w:val="center"/>
    </w:pPr>
    <w:rPr>
      <w:kern w:val="0"/>
      <w:sz w:val="28"/>
      <w:szCs w:val="20"/>
    </w:rPr>
  </w:style>
  <w:style w:type="character" w:customStyle="1" w:styleId="316">
    <w:name w:val="节 Char"/>
    <w:qFormat/>
    <w:uiPriority w:val="99"/>
    <w:rPr>
      <w:rFonts w:ascii="Arial" w:hAnsi="Arial" w:eastAsia="黑体"/>
      <w:b/>
      <w:kern w:val="2"/>
      <w:sz w:val="32"/>
      <w:lang w:val="en-US" w:eastAsia="zh-CN"/>
    </w:rPr>
  </w:style>
  <w:style w:type="character" w:customStyle="1" w:styleId="317">
    <w:name w:val="表格文字 Char"/>
    <w:qFormat/>
    <w:uiPriority w:val="99"/>
    <w:rPr>
      <w:snapToGrid w:val="0"/>
      <w:sz w:val="18"/>
    </w:rPr>
  </w:style>
  <w:style w:type="character" w:customStyle="1" w:styleId="318">
    <w:name w:val="s_label1"/>
    <w:qFormat/>
    <w:uiPriority w:val="99"/>
    <w:rPr>
      <w:rFonts w:cs="Times New Roman"/>
    </w:rPr>
  </w:style>
  <w:style w:type="character" w:customStyle="1" w:styleId="319">
    <w:name w:val="W正文 Char"/>
    <w:link w:val="320"/>
    <w:qFormat/>
    <w:uiPriority w:val="99"/>
  </w:style>
  <w:style w:type="paragraph" w:customStyle="1" w:styleId="320">
    <w:name w:val="W正文"/>
    <w:basedOn w:val="1"/>
    <w:link w:val="319"/>
    <w:qFormat/>
    <w:uiPriority w:val="99"/>
    <w:pPr>
      <w:adjustRightInd w:val="0"/>
      <w:snapToGrid w:val="0"/>
      <w:spacing w:line="500" w:lineRule="exact"/>
      <w:ind w:firstLine="600" w:firstLineChars="200"/>
    </w:pPr>
    <w:rPr>
      <w:kern w:val="0"/>
      <w:sz w:val="20"/>
      <w:szCs w:val="20"/>
    </w:rPr>
  </w:style>
  <w:style w:type="character" w:customStyle="1" w:styleId="321">
    <w:name w:val="style21"/>
    <w:qFormat/>
    <w:uiPriority w:val="0"/>
    <w:rPr>
      <w:b/>
      <w:bCs/>
      <w:sz w:val="21"/>
      <w:szCs w:val="21"/>
    </w:rPr>
  </w:style>
  <w:style w:type="character" w:customStyle="1" w:styleId="322">
    <w:name w:val="Char Char"/>
    <w:qFormat/>
    <w:uiPriority w:val="99"/>
    <w:rPr>
      <w:rFonts w:ascii="仿宋_GB2312" w:eastAsia="仿宋_GB2312"/>
      <w:snapToGrid w:val="0"/>
      <w:sz w:val="28"/>
      <w:lang w:val="en-US" w:eastAsia="zh-CN"/>
    </w:rPr>
  </w:style>
  <w:style w:type="character" w:customStyle="1" w:styleId="323">
    <w:name w:val="表头 Char2"/>
    <w:qFormat/>
    <w:uiPriority w:val="99"/>
    <w:rPr>
      <w:rFonts w:eastAsia="宋体"/>
      <w:b/>
      <w:sz w:val="21"/>
      <w:lang w:val="en-US" w:eastAsia="zh-CN"/>
    </w:rPr>
  </w:style>
  <w:style w:type="character" w:customStyle="1" w:styleId="324">
    <w:name w:val="@他1"/>
    <w:qFormat/>
    <w:uiPriority w:val="99"/>
    <w:rPr>
      <w:color w:val="2B579A"/>
      <w:shd w:val="clear" w:color="auto" w:fill="E6E6E6"/>
    </w:rPr>
  </w:style>
  <w:style w:type="character" w:customStyle="1" w:styleId="325">
    <w:name w:val="正文首行缩进 Char"/>
    <w:qFormat/>
    <w:uiPriority w:val="99"/>
    <w:rPr>
      <w:rFonts w:cs="Times New Roman"/>
      <w:spacing w:val="-6"/>
      <w:kern w:val="2"/>
      <w:sz w:val="28"/>
      <w:lang w:val="en-US" w:eastAsia="zh-CN"/>
    </w:rPr>
  </w:style>
  <w:style w:type="character" w:customStyle="1" w:styleId="326">
    <w:name w:val="A 正文 Char Char"/>
    <w:link w:val="327"/>
    <w:qFormat/>
    <w:uiPriority w:val="0"/>
    <w:rPr>
      <w:kern w:val="2"/>
      <w:sz w:val="24"/>
      <w:szCs w:val="24"/>
    </w:rPr>
  </w:style>
  <w:style w:type="paragraph" w:customStyle="1" w:styleId="327">
    <w:name w:val="A 正文 Char"/>
    <w:basedOn w:val="1"/>
    <w:link w:val="326"/>
    <w:qFormat/>
    <w:uiPriority w:val="0"/>
    <w:pPr>
      <w:widowControl/>
      <w:spacing w:line="360" w:lineRule="auto"/>
      <w:ind w:firstLine="200" w:firstLineChars="200"/>
      <w:jc w:val="left"/>
    </w:pPr>
    <w:rPr>
      <w:sz w:val="24"/>
    </w:rPr>
  </w:style>
  <w:style w:type="character" w:customStyle="1" w:styleId="328">
    <w:name w:val="攀成钢正文 Char"/>
    <w:link w:val="329"/>
    <w:qFormat/>
    <w:uiPriority w:val="0"/>
    <w:rPr>
      <w:color w:val="008000"/>
      <w:sz w:val="24"/>
      <w:szCs w:val="24"/>
    </w:rPr>
  </w:style>
  <w:style w:type="paragraph" w:customStyle="1" w:styleId="329">
    <w:name w:val="攀成钢正文"/>
    <w:basedOn w:val="1"/>
    <w:link w:val="328"/>
    <w:qFormat/>
    <w:uiPriority w:val="0"/>
    <w:pPr>
      <w:widowControl/>
      <w:snapToGrid w:val="0"/>
      <w:spacing w:line="360" w:lineRule="auto"/>
      <w:ind w:firstLine="200" w:firstLineChars="200"/>
      <w:jc w:val="left"/>
    </w:pPr>
    <w:rPr>
      <w:color w:val="008000"/>
      <w:kern w:val="0"/>
      <w:sz w:val="24"/>
    </w:rPr>
  </w:style>
  <w:style w:type="character" w:customStyle="1" w:styleId="330">
    <w:name w:val="正文缩进 Char1"/>
    <w:qFormat/>
    <w:uiPriority w:val="99"/>
    <w:rPr>
      <w:rFonts w:ascii="宋体"/>
      <w:kern w:val="2"/>
      <w:sz w:val="24"/>
    </w:rPr>
  </w:style>
  <w:style w:type="character" w:customStyle="1" w:styleId="331">
    <w:name w:val="批注文字 Char"/>
    <w:qFormat/>
    <w:uiPriority w:val="99"/>
    <w:rPr>
      <w:kern w:val="2"/>
      <w:sz w:val="28"/>
    </w:rPr>
  </w:style>
  <w:style w:type="character" w:customStyle="1" w:styleId="332">
    <w:name w:val="报告正文格式 Char"/>
    <w:link w:val="333"/>
    <w:qFormat/>
    <w:uiPriority w:val="0"/>
    <w:rPr>
      <w:rFonts w:ascii="Calibri" w:hAnsi="Calibri"/>
      <w:kern w:val="2"/>
      <w:sz w:val="24"/>
      <w:szCs w:val="24"/>
    </w:rPr>
  </w:style>
  <w:style w:type="paragraph" w:customStyle="1" w:styleId="333">
    <w:name w:val="报告正文格式"/>
    <w:basedOn w:val="1"/>
    <w:link w:val="332"/>
    <w:qFormat/>
    <w:uiPriority w:val="0"/>
    <w:pPr>
      <w:spacing w:line="360" w:lineRule="auto"/>
      <w:ind w:firstLine="480" w:firstLineChars="200"/>
    </w:pPr>
    <w:rPr>
      <w:rFonts w:ascii="Calibri" w:hAnsi="Calibri"/>
      <w:sz w:val="24"/>
    </w:rPr>
  </w:style>
  <w:style w:type="character" w:customStyle="1" w:styleId="334">
    <w:name w:val="三级标题 Char"/>
    <w:link w:val="335"/>
    <w:qFormat/>
    <w:uiPriority w:val="99"/>
    <w:rPr>
      <w:rFonts w:eastAsia="黑体"/>
      <w:kern w:val="2"/>
      <w:sz w:val="24"/>
    </w:rPr>
  </w:style>
  <w:style w:type="paragraph" w:customStyle="1" w:styleId="335">
    <w:name w:val="三级标题"/>
    <w:basedOn w:val="1"/>
    <w:link w:val="334"/>
    <w:qFormat/>
    <w:uiPriority w:val="99"/>
    <w:pPr>
      <w:adjustRightInd w:val="0"/>
      <w:snapToGrid w:val="0"/>
      <w:spacing w:beforeLines="50" w:afterLines="50" w:line="300" w:lineRule="auto"/>
      <w:outlineLvl w:val="2"/>
    </w:pPr>
    <w:rPr>
      <w:rFonts w:eastAsia="黑体"/>
      <w:sz w:val="24"/>
      <w:szCs w:val="20"/>
    </w:rPr>
  </w:style>
  <w:style w:type="character" w:customStyle="1" w:styleId="336">
    <w:name w:val="标题 3 字符2"/>
    <w:qFormat/>
    <w:uiPriority w:val="99"/>
    <w:rPr>
      <w:b/>
      <w:bCs/>
      <w:kern w:val="2"/>
      <w:sz w:val="32"/>
      <w:szCs w:val="32"/>
    </w:rPr>
  </w:style>
  <w:style w:type="character" w:customStyle="1" w:styleId="337">
    <w:name w:val="真·标题 Char"/>
    <w:link w:val="338"/>
    <w:qFormat/>
    <w:uiPriority w:val="0"/>
    <w:rPr>
      <w:rFonts w:eastAsia="黑体"/>
      <w:kern w:val="2"/>
      <w:sz w:val="24"/>
      <w:szCs w:val="22"/>
      <w:lang w:val="en-US" w:eastAsia="zh-CN" w:bidi="ar-SA"/>
    </w:rPr>
  </w:style>
  <w:style w:type="paragraph" w:customStyle="1" w:styleId="338">
    <w:name w:val="真·标题"/>
    <w:link w:val="337"/>
    <w:qFormat/>
    <w:uiPriority w:val="0"/>
    <w:pPr>
      <w:adjustRightInd w:val="0"/>
      <w:snapToGrid w:val="0"/>
      <w:spacing w:line="360" w:lineRule="auto"/>
      <w:ind w:firstLine="200" w:firstLineChars="200"/>
      <w:jc w:val="both"/>
    </w:pPr>
    <w:rPr>
      <w:rFonts w:ascii="Times New Roman" w:hAnsi="Times New Roman" w:eastAsia="黑体" w:cs="Times New Roman"/>
      <w:kern w:val="2"/>
      <w:sz w:val="24"/>
      <w:szCs w:val="22"/>
      <w:lang w:val="en-US" w:eastAsia="zh-CN" w:bidi="ar-SA"/>
    </w:rPr>
  </w:style>
  <w:style w:type="character" w:customStyle="1" w:styleId="339">
    <w:name w:val="表头 Char1"/>
    <w:qFormat/>
    <w:uiPriority w:val="99"/>
    <w:rPr>
      <w:rFonts w:ascii="黑体" w:eastAsia="黑体"/>
      <w:sz w:val="21"/>
      <w:lang w:val="zh-CN" w:eastAsia="zh-CN"/>
    </w:rPr>
  </w:style>
  <w:style w:type="character" w:customStyle="1" w:styleId="340">
    <w:name w:val="正文文本 (2)_"/>
    <w:link w:val="341"/>
    <w:qFormat/>
    <w:uiPriority w:val="99"/>
    <w:rPr>
      <w:rFonts w:ascii="MingLiU" w:eastAsia="MingLiU" w:cs="MingLiU"/>
      <w:sz w:val="22"/>
      <w:szCs w:val="22"/>
      <w:shd w:val="clear" w:color="auto" w:fill="FFFFFF"/>
    </w:rPr>
  </w:style>
  <w:style w:type="paragraph" w:customStyle="1" w:styleId="341">
    <w:name w:val="正文文本 (2)1"/>
    <w:basedOn w:val="1"/>
    <w:link w:val="340"/>
    <w:qFormat/>
    <w:uiPriority w:val="99"/>
    <w:pPr>
      <w:shd w:val="clear" w:color="auto" w:fill="FFFFFF"/>
      <w:spacing w:line="466" w:lineRule="exact"/>
      <w:ind w:hanging="1340"/>
      <w:jc w:val="left"/>
    </w:pPr>
    <w:rPr>
      <w:rFonts w:ascii="MingLiU" w:eastAsia="MingLiU"/>
      <w:kern w:val="0"/>
      <w:sz w:val="22"/>
      <w:szCs w:val="22"/>
    </w:rPr>
  </w:style>
  <w:style w:type="character" w:customStyle="1" w:styleId="342">
    <w:name w:val="标题 3 Char1"/>
    <w:qFormat/>
    <w:uiPriority w:val="99"/>
    <w:rPr>
      <w:rFonts w:ascii="宋体" w:hAnsi="宋体" w:eastAsia="宋体"/>
      <w:b/>
      <w:kern w:val="2"/>
      <w:sz w:val="32"/>
      <w:lang w:val="en-US" w:eastAsia="zh-CN"/>
    </w:rPr>
  </w:style>
  <w:style w:type="character" w:customStyle="1" w:styleId="343">
    <w:name w:val="注释标题 Char1"/>
    <w:qFormat/>
    <w:uiPriority w:val="0"/>
    <w:rPr>
      <w:kern w:val="2"/>
      <w:sz w:val="30"/>
    </w:rPr>
  </w:style>
  <w:style w:type="character" w:customStyle="1" w:styleId="344">
    <w:name w:val="龚正文 Char"/>
    <w:link w:val="345"/>
    <w:qFormat/>
    <w:uiPriority w:val="99"/>
    <w:rPr>
      <w:rFonts w:ascii="宋体"/>
      <w:kern w:val="2"/>
      <w:sz w:val="24"/>
    </w:rPr>
  </w:style>
  <w:style w:type="paragraph" w:customStyle="1" w:styleId="345">
    <w:name w:val="龚正文"/>
    <w:basedOn w:val="1"/>
    <w:link w:val="344"/>
    <w:qFormat/>
    <w:uiPriority w:val="99"/>
    <w:pPr>
      <w:spacing w:line="360" w:lineRule="auto"/>
      <w:ind w:firstLine="480" w:firstLineChars="200"/>
    </w:pPr>
    <w:rPr>
      <w:rFonts w:ascii="宋体"/>
      <w:sz w:val="24"/>
      <w:szCs w:val="20"/>
    </w:rPr>
  </w:style>
  <w:style w:type="character" w:customStyle="1" w:styleId="346">
    <w:name w:val="HTML 预设格式 Char"/>
    <w:qFormat/>
    <w:uiPriority w:val="99"/>
    <w:rPr>
      <w:rFonts w:ascii="Courier New" w:hAnsi="Courier New" w:cs="Courier New"/>
      <w:kern w:val="2"/>
    </w:rPr>
  </w:style>
  <w:style w:type="character" w:customStyle="1" w:styleId="347">
    <w:name w:val="+++正文、 Char Char"/>
    <w:link w:val="348"/>
    <w:qFormat/>
    <w:uiPriority w:val="99"/>
    <w:rPr>
      <w:kern w:val="2"/>
      <w:sz w:val="24"/>
    </w:rPr>
  </w:style>
  <w:style w:type="paragraph" w:customStyle="1" w:styleId="348">
    <w:name w:val="正文、"/>
    <w:basedOn w:val="1"/>
    <w:link w:val="347"/>
    <w:qFormat/>
    <w:uiPriority w:val="99"/>
    <w:pPr>
      <w:autoSpaceDE w:val="0"/>
      <w:autoSpaceDN w:val="0"/>
      <w:adjustRightInd w:val="0"/>
      <w:spacing w:line="360" w:lineRule="auto"/>
      <w:ind w:firstLine="200" w:firstLineChars="200"/>
    </w:pPr>
    <w:rPr>
      <w:sz w:val="24"/>
      <w:szCs w:val="20"/>
    </w:rPr>
  </w:style>
  <w:style w:type="character" w:customStyle="1" w:styleId="349">
    <w:name w:val="表——大 Char"/>
    <w:link w:val="350"/>
    <w:qFormat/>
    <w:uiPriority w:val="99"/>
    <w:rPr>
      <w:sz w:val="24"/>
      <w:lang w:val="en-US" w:eastAsia="zh-CN" w:bidi="ar-SA"/>
    </w:rPr>
  </w:style>
  <w:style w:type="paragraph" w:customStyle="1" w:styleId="350">
    <w:name w:val="表——大"/>
    <w:link w:val="349"/>
    <w:qFormat/>
    <w:uiPriority w:val="99"/>
    <w:pPr>
      <w:jc w:val="center"/>
    </w:pPr>
    <w:rPr>
      <w:rFonts w:ascii="Times New Roman" w:hAnsi="Times New Roman" w:eastAsia="宋体" w:cs="Times New Roman"/>
      <w:sz w:val="24"/>
      <w:lang w:val="en-US" w:eastAsia="zh-CN" w:bidi="ar-SA"/>
    </w:rPr>
  </w:style>
  <w:style w:type="character" w:customStyle="1" w:styleId="351">
    <w:name w:val="15"/>
    <w:qFormat/>
    <w:uiPriority w:val="0"/>
    <w:rPr>
      <w:rFonts w:hint="default" w:ascii="Calibri" w:hAnsi="Calibri"/>
      <w:b/>
      <w:bCs/>
      <w:sz w:val="21"/>
      <w:szCs w:val="21"/>
    </w:rPr>
  </w:style>
  <w:style w:type="character" w:customStyle="1" w:styleId="352">
    <w:name w:val="引用 Char3"/>
    <w:qFormat/>
    <w:uiPriority w:val="99"/>
    <w:rPr>
      <w:rFonts w:cs="Times New Roman"/>
      <w:i/>
      <w:iCs/>
      <w:color w:val="000000"/>
      <w:kern w:val="2"/>
      <w:sz w:val="28"/>
    </w:rPr>
  </w:style>
  <w:style w:type="character" w:customStyle="1" w:styleId="353">
    <w:name w:val="fontstyle01"/>
    <w:qFormat/>
    <w:uiPriority w:val="0"/>
    <w:rPr>
      <w:rFonts w:ascii="宋体" w:hAnsi="宋体" w:eastAsia="宋体" w:cs="宋体"/>
      <w:color w:val="000000"/>
      <w:sz w:val="24"/>
      <w:szCs w:val="24"/>
    </w:rPr>
  </w:style>
  <w:style w:type="character" w:customStyle="1" w:styleId="354">
    <w:name w:val="表头 Char"/>
    <w:qFormat/>
    <w:uiPriority w:val="0"/>
    <w:rPr>
      <w:rFonts w:eastAsia="黑体"/>
      <w:color w:val="000000"/>
      <w:sz w:val="24"/>
      <w:szCs w:val="24"/>
    </w:rPr>
  </w:style>
  <w:style w:type="character" w:customStyle="1" w:styleId="355">
    <w:name w:val="contentwordstext1"/>
    <w:qFormat/>
    <w:uiPriority w:val="0"/>
    <w:rPr>
      <w:rFonts w:hint="default" w:ascii="ˎ̥" w:hAnsi="ˎ̥"/>
      <w:sz w:val="21"/>
      <w:szCs w:val="21"/>
    </w:rPr>
  </w:style>
  <w:style w:type="character" w:customStyle="1" w:styleId="356">
    <w:name w:val="引用 Char1"/>
    <w:qFormat/>
    <w:uiPriority w:val="99"/>
    <w:rPr>
      <w:i/>
      <w:color w:val="000000"/>
      <w:kern w:val="2"/>
      <w:sz w:val="24"/>
    </w:rPr>
  </w:style>
  <w:style w:type="character" w:customStyle="1" w:styleId="357">
    <w:name w:val="正文文字1 Char"/>
    <w:link w:val="358"/>
    <w:qFormat/>
    <w:uiPriority w:val="99"/>
    <w:rPr>
      <w:rFonts w:eastAsia="华文中宋"/>
      <w:kern w:val="2"/>
      <w:sz w:val="24"/>
    </w:rPr>
  </w:style>
  <w:style w:type="paragraph" w:customStyle="1" w:styleId="358">
    <w:name w:val="正文文字1"/>
    <w:basedOn w:val="1"/>
    <w:link w:val="357"/>
    <w:qFormat/>
    <w:uiPriority w:val="99"/>
    <w:pPr>
      <w:snapToGrid w:val="0"/>
      <w:spacing w:line="324" w:lineRule="auto"/>
      <w:ind w:firstLine="480" w:firstLineChars="200"/>
    </w:pPr>
    <w:rPr>
      <w:rFonts w:eastAsia="华文中宋"/>
      <w:sz w:val="24"/>
      <w:szCs w:val="20"/>
    </w:rPr>
  </w:style>
  <w:style w:type="character" w:customStyle="1" w:styleId="359">
    <w:name w:val="正文文本 (2) + 间距 0 pt"/>
    <w:qFormat/>
    <w:uiPriority w:val="99"/>
    <w:rPr>
      <w:rFonts w:ascii="MingLiU" w:eastAsia="MingLiU" w:cs="MingLiU"/>
      <w:spacing w:val="-10"/>
      <w:sz w:val="22"/>
      <w:szCs w:val="22"/>
      <w:u w:val="none"/>
      <w:shd w:val="clear" w:color="auto" w:fill="FFFFFF"/>
      <w:lang w:val="en-US" w:eastAsia="en-US"/>
    </w:rPr>
  </w:style>
  <w:style w:type="character" w:customStyle="1" w:styleId="360">
    <w:name w:val="标题 1 Char"/>
    <w:qFormat/>
    <w:uiPriority w:val="99"/>
    <w:rPr>
      <w:rFonts w:eastAsia="宋体"/>
      <w:b/>
      <w:kern w:val="44"/>
      <w:sz w:val="44"/>
      <w:lang w:val="en-US" w:eastAsia="zh-CN"/>
    </w:rPr>
  </w:style>
  <w:style w:type="character" w:customStyle="1" w:styleId="361">
    <w:name w:val="不明显强调1"/>
    <w:qFormat/>
    <w:uiPriority w:val="99"/>
    <w:rPr>
      <w:rFonts w:ascii="Times New Roman" w:hAnsi="Times New Roman" w:eastAsia="宋体"/>
      <w:color w:val="auto"/>
      <w:sz w:val="21"/>
    </w:rPr>
  </w:style>
  <w:style w:type="character" w:customStyle="1" w:styleId="362">
    <w:name w:val="批注框文本 Char"/>
    <w:semiHidden/>
    <w:qFormat/>
    <w:uiPriority w:val="99"/>
    <w:rPr>
      <w:rFonts w:eastAsia="宋体"/>
      <w:kern w:val="2"/>
      <w:sz w:val="18"/>
      <w:lang w:val="en-US" w:eastAsia="zh-CN"/>
    </w:rPr>
  </w:style>
  <w:style w:type="character" w:customStyle="1" w:styleId="363">
    <w:name w:val="表格内容 Char Char Char Char Char"/>
    <w:qFormat/>
    <w:uiPriority w:val="0"/>
    <w:rPr>
      <w:rFonts w:ascii="Times New Roman" w:hAnsi="Times New Roman" w:eastAsia="宋体" w:cs="Times New Roman"/>
      <w:bCs/>
      <w:sz w:val="21"/>
    </w:rPr>
  </w:style>
  <w:style w:type="character" w:customStyle="1" w:styleId="364">
    <w:name w:val="fontstyle21"/>
    <w:qFormat/>
    <w:uiPriority w:val="99"/>
    <w:rPr>
      <w:rFonts w:ascii="Times New Roman" w:hAnsi="Times New Roman" w:cs="Times New Roman"/>
      <w:color w:val="000000"/>
      <w:sz w:val="24"/>
      <w:szCs w:val="24"/>
    </w:rPr>
  </w:style>
  <w:style w:type="character" w:customStyle="1" w:styleId="365">
    <w:name w:val="引用 Char2"/>
    <w:link w:val="366"/>
    <w:qFormat/>
    <w:uiPriority w:val="0"/>
    <w:rPr>
      <w:i/>
      <w:color w:val="000000"/>
      <w:kern w:val="2"/>
      <w:sz w:val="24"/>
    </w:rPr>
  </w:style>
  <w:style w:type="paragraph" w:customStyle="1" w:styleId="366">
    <w:name w:val="引用1"/>
    <w:basedOn w:val="1"/>
    <w:next w:val="1"/>
    <w:link w:val="365"/>
    <w:qFormat/>
    <w:uiPriority w:val="0"/>
    <w:pPr>
      <w:jc w:val="center"/>
    </w:pPr>
    <w:rPr>
      <w:i/>
      <w:color w:val="000000"/>
      <w:sz w:val="24"/>
      <w:szCs w:val="20"/>
    </w:rPr>
  </w:style>
  <w:style w:type="character" w:customStyle="1" w:styleId="367">
    <w:name w:val="引用 字符"/>
    <w:qFormat/>
    <w:uiPriority w:val="99"/>
    <w:rPr>
      <w:i/>
      <w:color w:val="404040"/>
      <w:kern w:val="2"/>
      <w:sz w:val="24"/>
    </w:rPr>
  </w:style>
  <w:style w:type="character" w:customStyle="1" w:styleId="368">
    <w:name w:val="+正文 Char"/>
    <w:link w:val="369"/>
    <w:semiHidden/>
    <w:qFormat/>
    <w:uiPriority w:val="99"/>
    <w:rPr>
      <w:kern w:val="2"/>
      <w:sz w:val="28"/>
    </w:rPr>
  </w:style>
  <w:style w:type="paragraph" w:customStyle="1" w:styleId="369">
    <w:name w:val="+正文"/>
    <w:basedOn w:val="1"/>
    <w:link w:val="368"/>
    <w:semiHidden/>
    <w:qFormat/>
    <w:uiPriority w:val="99"/>
    <w:pPr>
      <w:spacing w:line="360" w:lineRule="auto"/>
      <w:ind w:firstLine="200" w:firstLineChars="200"/>
    </w:pPr>
    <w:rPr>
      <w:sz w:val="28"/>
      <w:szCs w:val="20"/>
    </w:rPr>
  </w:style>
  <w:style w:type="character" w:customStyle="1" w:styleId="370">
    <w:name w:val="引用 Char"/>
    <w:qFormat/>
    <w:uiPriority w:val="99"/>
    <w:rPr>
      <w:color w:val="000000"/>
      <w:sz w:val="21"/>
    </w:rPr>
  </w:style>
  <w:style w:type="character" w:customStyle="1" w:styleId="371">
    <w:name w:val="节 Char1"/>
    <w:qFormat/>
    <w:uiPriority w:val="99"/>
    <w:rPr>
      <w:rFonts w:ascii="Arial" w:hAnsi="Arial" w:eastAsia="黑体"/>
      <w:b/>
      <w:kern w:val="2"/>
      <w:sz w:val="32"/>
      <w:lang w:val="en-US" w:eastAsia="zh-CN"/>
    </w:rPr>
  </w:style>
  <w:style w:type="character" w:customStyle="1" w:styleId="372">
    <w:name w:val="普通文字 Char1"/>
    <w:qFormat/>
    <w:uiPriority w:val="99"/>
    <w:rPr>
      <w:rFonts w:ascii="宋体" w:hAnsi="Courier New"/>
      <w:kern w:val="10"/>
      <w:sz w:val="21"/>
    </w:rPr>
  </w:style>
  <w:style w:type="character" w:customStyle="1" w:styleId="373">
    <w:name w:val="蒲正文 Char"/>
    <w:link w:val="374"/>
    <w:qFormat/>
    <w:uiPriority w:val="99"/>
    <w:rPr>
      <w:sz w:val="24"/>
    </w:rPr>
  </w:style>
  <w:style w:type="paragraph" w:customStyle="1" w:styleId="374">
    <w:name w:val="蒲正文"/>
    <w:basedOn w:val="1"/>
    <w:link w:val="373"/>
    <w:qFormat/>
    <w:uiPriority w:val="99"/>
    <w:pPr>
      <w:spacing w:line="360" w:lineRule="auto"/>
      <w:ind w:firstLine="480" w:firstLineChars="200"/>
    </w:pPr>
    <w:rPr>
      <w:kern w:val="0"/>
      <w:sz w:val="24"/>
      <w:szCs w:val="20"/>
    </w:rPr>
  </w:style>
  <w:style w:type="character" w:customStyle="1" w:styleId="375">
    <w:name w:val="副标题2 Char"/>
    <w:link w:val="376"/>
    <w:qFormat/>
    <w:uiPriority w:val="99"/>
    <w:rPr>
      <w:b/>
      <w:kern w:val="2"/>
      <w:sz w:val="21"/>
    </w:rPr>
  </w:style>
  <w:style w:type="paragraph" w:customStyle="1" w:styleId="376">
    <w:name w:val="副标题2"/>
    <w:basedOn w:val="1"/>
    <w:link w:val="375"/>
    <w:qFormat/>
    <w:uiPriority w:val="99"/>
    <w:pPr>
      <w:adjustRightInd w:val="0"/>
      <w:snapToGrid w:val="0"/>
      <w:spacing w:beforeLines="50" w:line="360" w:lineRule="auto"/>
    </w:pPr>
    <w:rPr>
      <w:b/>
      <w:szCs w:val="20"/>
    </w:rPr>
  </w:style>
  <w:style w:type="character" w:customStyle="1" w:styleId="377">
    <w:name w:val="fontstyle11"/>
    <w:qFormat/>
    <w:uiPriority w:val="99"/>
    <w:rPr>
      <w:rFonts w:ascii="Times New Roman" w:hAnsi="Times New Roman" w:cs="Times New Roman"/>
      <w:color w:val="000000"/>
      <w:sz w:val="24"/>
      <w:szCs w:val="24"/>
    </w:rPr>
  </w:style>
  <w:style w:type="character" w:customStyle="1" w:styleId="378">
    <w:name w:val="制表格 Char"/>
    <w:link w:val="379"/>
    <w:qFormat/>
    <w:uiPriority w:val="99"/>
    <w:rPr>
      <w:color w:val="1F497D"/>
      <w:sz w:val="28"/>
      <w:lang w:val="zh-CN"/>
    </w:rPr>
  </w:style>
  <w:style w:type="paragraph" w:customStyle="1" w:styleId="379">
    <w:name w:val="制表格"/>
    <w:basedOn w:val="1"/>
    <w:link w:val="378"/>
    <w:qFormat/>
    <w:uiPriority w:val="99"/>
    <w:pPr>
      <w:jc w:val="center"/>
    </w:pPr>
    <w:rPr>
      <w:color w:val="1F497D"/>
      <w:kern w:val="0"/>
      <w:sz w:val="28"/>
      <w:szCs w:val="20"/>
      <w:lang w:val="zh-CN"/>
    </w:rPr>
  </w:style>
  <w:style w:type="character" w:customStyle="1" w:styleId="380">
    <w:name w:val="填表内容 Char"/>
    <w:link w:val="381"/>
    <w:qFormat/>
    <w:uiPriority w:val="99"/>
    <w:rPr>
      <w:rFonts w:eastAsia="Times New Roman"/>
      <w:sz w:val="21"/>
    </w:rPr>
  </w:style>
  <w:style w:type="paragraph" w:customStyle="1" w:styleId="381">
    <w:name w:val="填表内容"/>
    <w:basedOn w:val="1"/>
    <w:link w:val="380"/>
    <w:qFormat/>
    <w:uiPriority w:val="99"/>
    <w:pPr>
      <w:adjustRightInd w:val="0"/>
      <w:jc w:val="center"/>
    </w:pPr>
    <w:rPr>
      <w:rFonts w:eastAsia="Times New Roman"/>
      <w:kern w:val="0"/>
      <w:szCs w:val="20"/>
    </w:rPr>
  </w:style>
  <w:style w:type="character" w:customStyle="1" w:styleId="382">
    <w:name w:val="正文文本 2 Char1"/>
    <w:qFormat/>
    <w:uiPriority w:val="0"/>
    <w:rPr>
      <w:kern w:val="2"/>
      <w:sz w:val="30"/>
    </w:rPr>
  </w:style>
  <w:style w:type="character" w:customStyle="1" w:styleId="383">
    <w:name w:val="正文-lcc Char"/>
    <w:link w:val="384"/>
    <w:qFormat/>
    <w:uiPriority w:val="99"/>
    <w:rPr>
      <w:rFonts w:eastAsia="仿宋"/>
      <w:color w:val="000000"/>
      <w:sz w:val="24"/>
    </w:rPr>
  </w:style>
  <w:style w:type="paragraph" w:customStyle="1" w:styleId="384">
    <w:name w:val="正文-lcc"/>
    <w:basedOn w:val="1"/>
    <w:link w:val="383"/>
    <w:qFormat/>
    <w:uiPriority w:val="99"/>
    <w:pPr>
      <w:snapToGrid w:val="0"/>
      <w:spacing w:line="360" w:lineRule="auto"/>
      <w:ind w:firstLine="200" w:firstLineChars="200"/>
    </w:pPr>
    <w:rPr>
      <w:rFonts w:eastAsia="仿宋"/>
      <w:color w:val="000000"/>
      <w:kern w:val="0"/>
      <w:sz w:val="24"/>
      <w:szCs w:val="20"/>
    </w:rPr>
  </w:style>
  <w:style w:type="character" w:customStyle="1" w:styleId="385">
    <w:name w:val="无间隔 Char"/>
    <w:link w:val="386"/>
    <w:qFormat/>
    <w:uiPriority w:val="1"/>
    <w:rPr>
      <w:rFonts w:eastAsia="黑体"/>
      <w:sz w:val="24"/>
      <w:szCs w:val="22"/>
      <w:lang w:val="en-US" w:eastAsia="zh-CN" w:bidi="ar-SA"/>
    </w:rPr>
  </w:style>
  <w:style w:type="paragraph" w:customStyle="1" w:styleId="386">
    <w:name w:val="无间隔1"/>
    <w:link w:val="385"/>
    <w:qFormat/>
    <w:uiPriority w:val="1"/>
    <w:pPr>
      <w:adjustRightInd w:val="0"/>
      <w:snapToGrid w:val="0"/>
      <w:spacing w:line="360" w:lineRule="auto"/>
    </w:pPr>
    <w:rPr>
      <w:rFonts w:ascii="Times New Roman" w:hAnsi="Times New Roman" w:eastAsia="黑体" w:cs="Times New Roman"/>
      <w:sz w:val="24"/>
      <w:szCs w:val="22"/>
      <w:lang w:val="en-US" w:eastAsia="zh-CN" w:bidi="ar-SA"/>
    </w:rPr>
  </w:style>
  <w:style w:type="paragraph" w:customStyle="1" w:styleId="387">
    <w:name w:val="表格2"/>
    <w:basedOn w:val="1"/>
    <w:semiHidden/>
    <w:qFormat/>
    <w:uiPriority w:val="99"/>
    <w:pPr>
      <w:adjustRightInd w:val="0"/>
      <w:snapToGrid w:val="0"/>
      <w:jc w:val="center"/>
    </w:pPr>
    <w:rPr>
      <w:bCs/>
      <w:szCs w:val="21"/>
    </w:rPr>
  </w:style>
  <w:style w:type="paragraph" w:customStyle="1" w:styleId="388">
    <w:name w:val="正文样式1"/>
    <w:basedOn w:val="1"/>
    <w:qFormat/>
    <w:uiPriority w:val="99"/>
    <w:pPr>
      <w:adjustRightInd w:val="0"/>
      <w:spacing w:line="288" w:lineRule="auto"/>
      <w:ind w:firstLine="360" w:firstLineChars="150"/>
      <w:textAlignment w:val="baseline"/>
    </w:pPr>
    <w:rPr>
      <w:color w:val="1F497D"/>
      <w:kern w:val="0"/>
      <w:sz w:val="24"/>
      <w:szCs w:val="20"/>
    </w:rPr>
  </w:style>
  <w:style w:type="paragraph" w:customStyle="1" w:styleId="389">
    <w:name w:val="样式 正文缩进正文（首行缩进两字） + 宋体 行距: 1.5 倍行距"/>
    <w:basedOn w:val="10"/>
    <w:qFormat/>
    <w:uiPriority w:val="99"/>
    <w:pPr>
      <w:spacing w:line="300" w:lineRule="auto"/>
      <w:ind w:firstLine="482" w:firstLineChars="0"/>
      <w:jc w:val="left"/>
    </w:pPr>
    <w:rPr>
      <w:rFonts w:ascii="宋体" w:hAnsi="宋体" w:cs="宋体"/>
      <w:sz w:val="24"/>
    </w:rPr>
  </w:style>
  <w:style w:type="paragraph" w:customStyle="1" w:styleId="390">
    <w:name w:val="文章表头文字"/>
    <w:basedOn w:val="1"/>
    <w:qFormat/>
    <w:uiPriority w:val="99"/>
    <w:pPr>
      <w:spacing w:beforeLines="50" w:line="520" w:lineRule="exact"/>
      <w:jc w:val="center"/>
    </w:pPr>
    <w:rPr>
      <w:rFonts w:ascii="Arial" w:hAnsi="Arial" w:eastAsia="黑体"/>
      <w:sz w:val="24"/>
    </w:rPr>
  </w:style>
  <w:style w:type="paragraph" w:customStyle="1" w:styleId="391">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392">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3">
    <w:name w:val="表格填充1"/>
    <w:basedOn w:val="1"/>
    <w:qFormat/>
    <w:uiPriority w:val="0"/>
    <w:pPr>
      <w:snapToGrid w:val="0"/>
      <w:jc w:val="center"/>
    </w:pPr>
    <w:rPr>
      <w:rFonts w:eastAsia="仿宋_GB2312"/>
      <w:snapToGrid w:val="0"/>
      <w:color w:val="000000"/>
      <w:sz w:val="30"/>
      <w:szCs w:val="32"/>
    </w:rPr>
  </w:style>
  <w:style w:type="paragraph" w:customStyle="1" w:styleId="394">
    <w:name w:val="4 Char Char"/>
    <w:basedOn w:val="1"/>
    <w:qFormat/>
    <w:uiPriority w:val="99"/>
    <w:pPr>
      <w:autoSpaceDE w:val="0"/>
      <w:autoSpaceDN w:val="0"/>
      <w:adjustRightInd w:val="0"/>
      <w:snapToGrid w:val="0"/>
      <w:spacing w:line="360" w:lineRule="auto"/>
      <w:ind w:firstLine="567"/>
      <w:jc w:val="left"/>
    </w:pPr>
    <w:rPr>
      <w:sz w:val="28"/>
    </w:rPr>
  </w:style>
  <w:style w:type="paragraph" w:customStyle="1" w:styleId="395">
    <w:name w:val="样式 表中文字 + 加粗 行距: 固定值 18 磅"/>
    <w:basedOn w:val="1"/>
    <w:next w:val="1"/>
    <w:qFormat/>
    <w:uiPriority w:val="0"/>
    <w:pPr>
      <w:adjustRightInd w:val="0"/>
      <w:snapToGrid w:val="0"/>
      <w:spacing w:line="360" w:lineRule="exact"/>
      <w:ind w:firstLine="200" w:firstLineChars="200"/>
      <w:jc w:val="center"/>
    </w:pPr>
    <w:rPr>
      <w:rFonts w:cs="宋体"/>
      <w:b/>
      <w:bCs/>
      <w:kern w:val="28"/>
      <w:sz w:val="20"/>
      <w:szCs w:val="20"/>
    </w:rPr>
  </w:style>
  <w:style w:type="paragraph" w:customStyle="1" w:styleId="396">
    <w:name w:val="0"/>
    <w:basedOn w:val="1"/>
    <w:qFormat/>
    <w:uiPriority w:val="0"/>
    <w:pPr>
      <w:widowControl/>
      <w:spacing w:before="100" w:beforeAutospacing="1" w:after="100" w:afterAutospacing="1"/>
      <w:jc w:val="left"/>
    </w:pPr>
    <w:rPr>
      <w:rFonts w:ascii="宋体" w:hAnsi="宋体" w:cs="宋体"/>
      <w:kern w:val="0"/>
      <w:sz w:val="24"/>
    </w:rPr>
  </w:style>
  <w:style w:type="paragraph" w:customStyle="1" w:styleId="397">
    <w:name w:val="样式2"/>
    <w:basedOn w:val="1"/>
    <w:qFormat/>
    <w:uiPriority w:val="99"/>
    <w:pPr>
      <w:adjustRightInd w:val="0"/>
      <w:spacing w:line="360" w:lineRule="auto"/>
      <w:ind w:left="170"/>
      <w:textAlignment w:val="baseline"/>
    </w:pPr>
    <w:rPr>
      <w:rFonts w:ascii="Calibri" w:hAnsi="Calibri"/>
      <w:b/>
      <w:sz w:val="24"/>
      <w:szCs w:val="20"/>
    </w:rPr>
  </w:style>
  <w:style w:type="paragraph" w:customStyle="1" w:styleId="398">
    <w:name w:val="宁立"/>
    <w:basedOn w:val="1"/>
    <w:semiHidden/>
    <w:qFormat/>
    <w:uiPriority w:val="99"/>
    <w:rPr>
      <w:rFonts w:eastAsia="楷体_GB2312"/>
      <w:sz w:val="32"/>
      <w:szCs w:val="20"/>
    </w:rPr>
  </w:style>
  <w:style w:type="paragraph" w:customStyle="1" w:styleId="399">
    <w:name w:val="图表文字"/>
    <w:basedOn w:val="1"/>
    <w:semiHidden/>
    <w:qFormat/>
    <w:uiPriority w:val="99"/>
    <w:pPr>
      <w:adjustRightInd w:val="0"/>
      <w:snapToGrid w:val="0"/>
      <w:spacing w:line="360" w:lineRule="auto"/>
      <w:ind w:firstLine="420" w:firstLineChars="200"/>
    </w:pPr>
    <w:rPr>
      <w:szCs w:val="21"/>
    </w:rPr>
  </w:style>
  <w:style w:type="paragraph" w:customStyle="1" w:styleId="400">
    <w:name w:val="正文新 Char"/>
    <w:basedOn w:val="1"/>
    <w:qFormat/>
    <w:uiPriority w:val="99"/>
    <w:pPr>
      <w:spacing w:line="360" w:lineRule="auto"/>
      <w:ind w:firstLine="480" w:firstLineChars="200"/>
    </w:pPr>
    <w:rPr>
      <w:rFonts w:cs="宋体"/>
      <w:sz w:val="24"/>
      <w:szCs w:val="20"/>
    </w:rPr>
  </w:style>
  <w:style w:type="paragraph" w:customStyle="1" w:styleId="401">
    <w:name w:val="章标题"/>
    <w:basedOn w:val="1"/>
    <w:qFormat/>
    <w:uiPriority w:val="0"/>
    <w:pPr>
      <w:jc w:val="center"/>
    </w:pPr>
    <w:rPr>
      <w:rFonts w:ascii="宋体" w:hAnsi="宋体" w:eastAsia="黑体"/>
      <w:b/>
      <w:sz w:val="36"/>
      <w:szCs w:val="20"/>
    </w:rPr>
  </w:style>
  <w:style w:type="paragraph" w:customStyle="1" w:styleId="402">
    <w:name w:val="应填表格"/>
    <w:basedOn w:val="1"/>
    <w:qFormat/>
    <w:uiPriority w:val="99"/>
    <w:pPr>
      <w:adjustRightInd w:val="0"/>
      <w:spacing w:before="40" w:after="40"/>
      <w:jc w:val="left"/>
      <w:textAlignment w:val="baseline"/>
    </w:pPr>
    <w:rPr>
      <w:rFonts w:ascii="宋体"/>
      <w:kern w:val="0"/>
      <w:sz w:val="24"/>
      <w:szCs w:val="20"/>
    </w:rPr>
  </w:style>
  <w:style w:type="paragraph" w:customStyle="1" w:styleId="403">
    <w:name w:val="段落"/>
    <w:basedOn w:val="1"/>
    <w:qFormat/>
    <w:uiPriority w:val="99"/>
    <w:pPr>
      <w:spacing w:line="360" w:lineRule="auto"/>
      <w:ind w:firstLine="200" w:firstLineChars="200"/>
    </w:pPr>
    <w:rPr>
      <w:sz w:val="24"/>
    </w:rPr>
  </w:style>
  <w:style w:type="paragraph" w:customStyle="1" w:styleId="404">
    <w:name w:val="新格式表"/>
    <w:basedOn w:val="1"/>
    <w:qFormat/>
    <w:uiPriority w:val="99"/>
    <w:pPr>
      <w:spacing w:line="320" w:lineRule="atLeast"/>
      <w:ind w:left="-97" w:leftChars="-46"/>
      <w:jc w:val="center"/>
    </w:pPr>
    <w:rPr>
      <w:rFonts w:hAnsi="宋体"/>
      <w:bCs/>
      <w:kern w:val="0"/>
      <w:szCs w:val="21"/>
    </w:rPr>
  </w:style>
  <w:style w:type="paragraph" w:customStyle="1" w:styleId="405">
    <w:name w:val="注居中"/>
    <w:basedOn w:val="1"/>
    <w:qFormat/>
    <w:uiPriority w:val="0"/>
    <w:pPr>
      <w:spacing w:before="120" w:after="120" w:line="240" w:lineRule="exact"/>
      <w:jc w:val="center"/>
    </w:pPr>
    <w:rPr>
      <w:rFonts w:ascii="黑体" w:eastAsia="黑体"/>
      <w:color w:val="000000"/>
      <w:kern w:val="0"/>
      <w:szCs w:val="20"/>
    </w:rPr>
  </w:style>
  <w:style w:type="paragraph" w:customStyle="1" w:styleId="406">
    <w:name w:val="报告书正文"/>
    <w:basedOn w:val="1"/>
    <w:qFormat/>
    <w:uiPriority w:val="0"/>
    <w:pPr>
      <w:spacing w:line="500" w:lineRule="exact"/>
    </w:pPr>
    <w:rPr>
      <w:rFonts w:ascii="宋体" w:hAnsi="宋体"/>
      <w:bCs/>
      <w:sz w:val="24"/>
    </w:rPr>
  </w:style>
  <w:style w:type="paragraph" w:customStyle="1" w:styleId="407">
    <w:name w:val="li-正文(chushe)"/>
    <w:basedOn w:val="1"/>
    <w:qFormat/>
    <w:uiPriority w:val="99"/>
    <w:pPr>
      <w:spacing w:line="540" w:lineRule="exact"/>
    </w:pPr>
    <w:rPr>
      <w:sz w:val="28"/>
    </w:rPr>
  </w:style>
  <w:style w:type="paragraph" w:customStyle="1" w:styleId="408">
    <w:name w:val="居中正文"/>
    <w:next w:val="43"/>
    <w:qFormat/>
    <w:uiPriority w:val="99"/>
    <w:pPr>
      <w:widowControl w:val="0"/>
      <w:adjustRightInd w:val="0"/>
      <w:spacing w:before="120" w:line="360" w:lineRule="auto"/>
      <w:jc w:val="center"/>
      <w:textAlignment w:val="baseline"/>
    </w:pPr>
    <w:rPr>
      <w:rFonts w:ascii="宋体" w:hAnsi="Times New Roman" w:eastAsia="宋体" w:cs="Times New Roman"/>
      <w:kern w:val="28"/>
      <w:sz w:val="24"/>
      <w:lang w:val="en-US" w:eastAsia="zh-CN" w:bidi="ar-SA"/>
    </w:rPr>
  </w:style>
  <w:style w:type="paragraph" w:customStyle="1" w:styleId="409">
    <w:name w:val="Char Char Char Char Char Char3 Char Char Char Char Char Char Char"/>
    <w:basedOn w:val="1"/>
    <w:next w:val="1"/>
    <w:qFormat/>
    <w:uiPriority w:val="99"/>
  </w:style>
  <w:style w:type="paragraph" w:customStyle="1" w:styleId="410">
    <w:name w:val="_Style 44"/>
    <w:basedOn w:val="1"/>
    <w:next w:val="199"/>
    <w:qFormat/>
    <w:uiPriority w:val="34"/>
    <w:pPr>
      <w:ind w:firstLine="420" w:firstLineChars="200"/>
    </w:pPr>
    <w:rPr>
      <w:sz w:val="30"/>
      <w:szCs w:val="20"/>
    </w:rPr>
  </w:style>
  <w:style w:type="paragraph" w:customStyle="1" w:styleId="411">
    <w:name w:val="Char4"/>
    <w:basedOn w:val="1"/>
    <w:qFormat/>
    <w:uiPriority w:val="0"/>
    <w:pPr>
      <w:snapToGrid w:val="0"/>
      <w:spacing w:line="360" w:lineRule="auto"/>
      <w:ind w:firstLine="529" w:firstLineChars="200"/>
    </w:pPr>
    <w:rPr>
      <w:rFonts w:ascii="宋体" w:hAnsi="宋体"/>
      <w:b/>
    </w:rPr>
  </w:style>
  <w:style w:type="paragraph" w:customStyle="1" w:styleId="412">
    <w:name w:val="表格1"/>
    <w:basedOn w:val="1"/>
    <w:semiHidden/>
    <w:qFormat/>
    <w:uiPriority w:val="99"/>
    <w:pPr>
      <w:adjustRightInd w:val="0"/>
      <w:snapToGrid w:val="0"/>
      <w:spacing w:line="360" w:lineRule="auto"/>
      <w:jc w:val="center"/>
    </w:pPr>
    <w:rPr>
      <w:rFonts w:ascii="黑体" w:hAnsi="宋体" w:eastAsia="黑体"/>
      <w:szCs w:val="21"/>
    </w:rPr>
  </w:style>
  <w:style w:type="paragraph" w:customStyle="1" w:styleId="413">
    <w:name w:val="正文环评"/>
    <w:basedOn w:val="1"/>
    <w:qFormat/>
    <w:uiPriority w:val="99"/>
    <w:pPr>
      <w:spacing w:line="360" w:lineRule="auto"/>
      <w:ind w:firstLine="200" w:firstLineChars="200"/>
    </w:pPr>
    <w:rPr>
      <w:sz w:val="24"/>
      <w:szCs w:val="22"/>
    </w:rPr>
  </w:style>
  <w:style w:type="paragraph" w:customStyle="1" w:styleId="414">
    <w:name w:val="00表格内容"/>
    <w:basedOn w:val="1"/>
    <w:qFormat/>
    <w:uiPriority w:val="0"/>
    <w:pPr>
      <w:jc w:val="center"/>
    </w:pPr>
    <w:rPr>
      <w:rFonts w:ascii="宋体" w:hAnsi="宋体"/>
      <w:color w:val="000000"/>
      <w:szCs w:val="21"/>
    </w:rPr>
  </w:style>
  <w:style w:type="paragraph" w:customStyle="1" w:styleId="415">
    <w:name w:val="B表格内容"/>
    <w:basedOn w:val="1"/>
    <w:qFormat/>
    <w:uiPriority w:val="0"/>
    <w:pPr>
      <w:widowControl/>
      <w:adjustRightInd w:val="0"/>
      <w:snapToGrid w:val="0"/>
      <w:jc w:val="center"/>
    </w:pPr>
    <w:rPr>
      <w:kern w:val="0"/>
      <w:szCs w:val="21"/>
    </w:rPr>
  </w:style>
  <w:style w:type="paragraph" w:customStyle="1" w:styleId="416">
    <w:name w:val="表格3"/>
    <w:basedOn w:val="412"/>
    <w:semiHidden/>
    <w:qFormat/>
    <w:uiPriority w:val="99"/>
  </w:style>
  <w:style w:type="paragraph" w:customStyle="1" w:styleId="417">
    <w:name w:val="中文报告书样式"/>
    <w:basedOn w:val="1"/>
    <w:qFormat/>
    <w:uiPriority w:val="99"/>
    <w:pPr>
      <w:adjustRightInd w:val="0"/>
      <w:snapToGrid w:val="0"/>
      <w:spacing w:line="360" w:lineRule="auto"/>
      <w:ind w:firstLine="480" w:firstLineChars="200"/>
      <w:textAlignment w:val="baseline"/>
    </w:pPr>
    <w:rPr>
      <w:kern w:val="24"/>
      <w:sz w:val="24"/>
      <w:szCs w:val="20"/>
    </w:rPr>
  </w:style>
  <w:style w:type="paragraph" w:customStyle="1" w:styleId="418">
    <w:name w:val="TOC 标题1"/>
    <w:basedOn w:val="2"/>
    <w:next w:val="1"/>
    <w:qFormat/>
    <w:uiPriority w:val="99"/>
    <w:pPr>
      <w:keepLines/>
      <w:widowControl/>
      <w:overflowPunct/>
      <w:snapToGrid/>
      <w:spacing w:before="480" w:after="0" w:line="276" w:lineRule="auto"/>
      <w:ind w:left="0" w:firstLine="0"/>
      <w:jc w:val="left"/>
      <w:outlineLvl w:val="9"/>
    </w:pPr>
    <w:rPr>
      <w:rFonts w:ascii="Cambria" w:hAnsi="Cambria" w:eastAsia="宋体"/>
      <w:bCs w:val="0"/>
      <w:color w:val="365F91"/>
      <w:kern w:val="0"/>
      <w:sz w:val="28"/>
      <w:szCs w:val="28"/>
    </w:rPr>
  </w:style>
  <w:style w:type="paragraph" w:customStyle="1" w:styleId="419">
    <w:name w:val="蒲标题2"/>
    <w:basedOn w:val="3"/>
    <w:qFormat/>
    <w:uiPriority w:val="99"/>
    <w:pPr>
      <w:autoSpaceDE w:val="0"/>
      <w:autoSpaceDN w:val="0"/>
      <w:spacing w:before="100" w:beforeAutospacing="1" w:after="0" w:line="360" w:lineRule="auto"/>
      <w:outlineLvl w:val="3"/>
    </w:pPr>
    <w:rPr>
      <w:bCs w:val="0"/>
      <w:kern w:val="0"/>
      <w:sz w:val="24"/>
      <w:szCs w:val="24"/>
    </w:rPr>
  </w:style>
  <w:style w:type="paragraph" w:customStyle="1" w:styleId="420">
    <w:name w:val="正文（首行缩进两字）m"/>
    <w:basedOn w:val="10"/>
    <w:qFormat/>
    <w:uiPriority w:val="0"/>
    <w:pPr>
      <w:tabs>
        <w:tab w:val="left" w:pos="1848"/>
        <w:tab w:val="left" w:pos="6061"/>
        <w:tab w:val="left" w:pos="8665"/>
      </w:tabs>
      <w:adjustRightInd/>
      <w:snapToGrid w:val="0"/>
      <w:spacing w:beforeLines="50" w:line="460" w:lineRule="exact"/>
      <w:ind w:firstLine="480"/>
      <w:textAlignment w:val="auto"/>
    </w:pPr>
    <w:rPr>
      <w:rFonts w:ascii="宋体" w:hAnsi="宋体"/>
      <w:sz w:val="24"/>
      <w:szCs w:val="20"/>
    </w:rPr>
  </w:style>
  <w:style w:type="paragraph" w:customStyle="1" w:styleId="421">
    <w:name w:val="正文样式"/>
    <w:basedOn w:val="1"/>
    <w:qFormat/>
    <w:uiPriority w:val="99"/>
    <w:pPr>
      <w:spacing w:line="360" w:lineRule="auto"/>
      <w:ind w:firstLine="480" w:firstLineChars="200"/>
    </w:pPr>
    <w:rPr>
      <w:rFonts w:ascii="宋体" w:hAnsi="宋体"/>
      <w:sz w:val="24"/>
    </w:rPr>
  </w:style>
  <w:style w:type="paragraph" w:customStyle="1" w:styleId="422">
    <w:name w:val="样式 首行缩进:  2 字符1"/>
    <w:basedOn w:val="1"/>
    <w:qFormat/>
    <w:uiPriority w:val="99"/>
    <w:pPr>
      <w:spacing w:beforeLines="50" w:line="360" w:lineRule="auto"/>
      <w:ind w:firstLine="480" w:firstLineChars="200"/>
      <w:jc w:val="left"/>
    </w:pPr>
    <w:rPr>
      <w:bCs/>
      <w:sz w:val="24"/>
      <w:szCs w:val="20"/>
    </w:rPr>
  </w:style>
  <w:style w:type="paragraph" w:customStyle="1" w:styleId="423">
    <w:name w:val="1，与本项目有关的污染源"/>
    <w:basedOn w:val="1"/>
    <w:semiHidden/>
    <w:qFormat/>
    <w:uiPriority w:val="99"/>
    <w:pPr>
      <w:adjustRightInd w:val="0"/>
      <w:snapToGrid w:val="0"/>
      <w:spacing w:beforeLines="50" w:line="360" w:lineRule="auto"/>
      <w:ind w:firstLine="482" w:firstLineChars="200"/>
    </w:pPr>
    <w:rPr>
      <w:b/>
      <w:bCs/>
      <w:sz w:val="24"/>
      <w:szCs w:val="20"/>
    </w:rPr>
  </w:style>
  <w:style w:type="paragraph" w:customStyle="1" w:styleId="424">
    <w:name w:val="00表格内"/>
    <w:basedOn w:val="1"/>
    <w:qFormat/>
    <w:uiPriority w:val="0"/>
    <w:pPr>
      <w:adjustRightInd w:val="0"/>
      <w:snapToGrid w:val="0"/>
      <w:jc w:val="center"/>
    </w:pPr>
    <w:rPr>
      <w:szCs w:val="21"/>
    </w:rPr>
  </w:style>
  <w:style w:type="paragraph" w:customStyle="1" w:styleId="425">
    <w:name w:val="表格标题新"/>
    <w:basedOn w:val="1"/>
    <w:qFormat/>
    <w:uiPriority w:val="99"/>
    <w:pPr>
      <w:tabs>
        <w:tab w:val="left" w:pos="0"/>
      </w:tabs>
      <w:adjustRightInd w:val="0"/>
      <w:snapToGrid w:val="0"/>
      <w:spacing w:beforeLines="50"/>
      <w:jc w:val="center"/>
    </w:pPr>
    <w:rPr>
      <w:rFonts w:ascii="黑体" w:eastAsia="黑体"/>
      <w:spacing w:val="4"/>
      <w:kern w:val="0"/>
      <w:sz w:val="24"/>
    </w:rPr>
  </w:style>
  <w:style w:type="paragraph" w:customStyle="1" w:styleId="426">
    <w:name w:val="宋体"/>
    <w:basedOn w:val="1"/>
    <w:next w:val="3"/>
    <w:semiHidden/>
    <w:qFormat/>
    <w:uiPriority w:val="99"/>
    <w:pPr>
      <w:tabs>
        <w:tab w:val="left" w:pos="540"/>
      </w:tabs>
      <w:spacing w:line="360" w:lineRule="auto"/>
      <w:ind w:firstLine="560" w:firstLineChars="200"/>
    </w:pPr>
    <w:rPr>
      <w:b/>
      <w:sz w:val="28"/>
      <w:szCs w:val="28"/>
    </w:rPr>
  </w:style>
  <w:style w:type="paragraph" w:customStyle="1" w:styleId="427">
    <w:name w:val="表格式"/>
    <w:basedOn w:val="33"/>
    <w:qFormat/>
    <w:uiPriority w:val="0"/>
    <w:pPr>
      <w:spacing w:line="400" w:lineRule="exact"/>
      <w:ind w:left="0" w:firstLine="0" w:firstLineChars="0"/>
      <w:jc w:val="center"/>
    </w:pPr>
    <w:rPr>
      <w:rFonts w:ascii="宋体"/>
      <w:color w:val="auto"/>
      <w:kern w:val="2"/>
      <w:sz w:val="21"/>
    </w:rPr>
  </w:style>
  <w:style w:type="character" w:customStyle="1" w:styleId="428">
    <w:name w:val="页脚 字符2"/>
    <w:semiHidden/>
    <w:qFormat/>
    <w:uiPriority w:val="99"/>
    <w:rPr>
      <w:kern w:val="2"/>
      <w:sz w:val="18"/>
      <w:szCs w:val="18"/>
    </w:rPr>
  </w:style>
  <w:style w:type="paragraph" w:customStyle="1" w:styleId="429">
    <w:name w:val="封面正文"/>
    <w:qFormat/>
    <w:uiPriority w:val="0"/>
    <w:pPr>
      <w:jc w:val="both"/>
    </w:pPr>
    <w:rPr>
      <w:rFonts w:ascii="Times New Roman" w:hAnsi="Times New Roman" w:eastAsia="宋体" w:cs="Times New Roman"/>
      <w:lang w:val="en-US" w:eastAsia="zh-CN" w:bidi="ar-SA"/>
    </w:rPr>
  </w:style>
  <w:style w:type="paragraph" w:customStyle="1" w:styleId="430">
    <w:name w:val="样式 样式 12.5 磅 行距: 固定值 22 磅 首行缩进:  2 字符 + 首行缩进:  2 字符"/>
    <w:basedOn w:val="1"/>
    <w:qFormat/>
    <w:uiPriority w:val="99"/>
    <w:pPr>
      <w:spacing w:line="440" w:lineRule="exact"/>
      <w:ind w:firstLine="500" w:firstLineChars="200"/>
    </w:pPr>
  </w:style>
  <w:style w:type="paragraph" w:customStyle="1" w:styleId="431">
    <w:name w:val="Char1 Char Char Char Char Char Char"/>
    <w:basedOn w:val="1"/>
    <w:qFormat/>
    <w:uiPriority w:val="99"/>
    <w:pPr>
      <w:spacing w:beforeLines="100" w:afterLines="50" w:line="600" w:lineRule="exact"/>
      <w:ind w:firstLine="200" w:firstLineChars="200"/>
    </w:pPr>
    <w:rPr>
      <w:rFonts w:eastAsia="黑体"/>
      <w:sz w:val="28"/>
    </w:rPr>
  </w:style>
  <w:style w:type="paragraph" w:customStyle="1" w:styleId="432">
    <w:name w:val="+++正文、"/>
    <w:basedOn w:val="1"/>
    <w:qFormat/>
    <w:uiPriority w:val="0"/>
    <w:pPr>
      <w:autoSpaceDE w:val="0"/>
      <w:autoSpaceDN w:val="0"/>
      <w:adjustRightInd w:val="0"/>
      <w:spacing w:line="360" w:lineRule="auto"/>
      <w:ind w:firstLine="480" w:firstLineChars="200"/>
    </w:pPr>
    <w:rPr>
      <w:sz w:val="24"/>
    </w:rPr>
  </w:style>
  <w:style w:type="character" w:customStyle="1" w:styleId="433">
    <w:name w:val="注释标题 字符1"/>
    <w:semiHidden/>
    <w:qFormat/>
    <w:uiPriority w:val="99"/>
    <w:rPr>
      <w:color w:val="000000"/>
      <w:kern w:val="2"/>
      <w:sz w:val="24"/>
      <w:szCs w:val="24"/>
    </w:rPr>
  </w:style>
  <w:style w:type="paragraph" w:customStyle="1" w:styleId="434">
    <w:name w:val="表目"/>
    <w:basedOn w:val="1"/>
    <w:semiHidden/>
    <w:qFormat/>
    <w:uiPriority w:val="99"/>
    <w:pPr>
      <w:adjustRightInd w:val="0"/>
      <w:snapToGrid w:val="0"/>
      <w:jc w:val="center"/>
    </w:pPr>
    <w:rPr>
      <w:rFonts w:ascii="黑体" w:hAnsi="宋体" w:eastAsia="黑体"/>
      <w:sz w:val="28"/>
      <w:szCs w:val="21"/>
    </w:rPr>
  </w:style>
  <w:style w:type="paragraph" w:customStyle="1" w:styleId="435">
    <w:name w:val="用电"/>
    <w:basedOn w:val="1"/>
    <w:semiHidden/>
    <w:qFormat/>
    <w:uiPriority w:val="99"/>
    <w:pPr>
      <w:adjustRightInd w:val="0"/>
      <w:snapToGrid w:val="0"/>
      <w:spacing w:beforeLines="50" w:line="360" w:lineRule="auto"/>
      <w:ind w:firstLine="480" w:firstLineChars="200"/>
    </w:pPr>
    <w:rPr>
      <w:rFonts w:hAnsi="宋体"/>
      <w:bCs/>
      <w:sz w:val="24"/>
      <w:szCs w:val="20"/>
    </w:rPr>
  </w:style>
  <w:style w:type="paragraph" w:customStyle="1" w:styleId="436">
    <w:name w:val="表格样式1"/>
    <w:basedOn w:val="37"/>
    <w:next w:val="16"/>
    <w:qFormat/>
    <w:uiPriority w:val="99"/>
    <w:pPr>
      <w:spacing w:line="520" w:lineRule="exact"/>
      <w:jc w:val="left"/>
    </w:pPr>
    <w:rPr>
      <w:rFonts w:ascii="黑体" w:eastAsia="黑体"/>
      <w:sz w:val="24"/>
    </w:rPr>
  </w:style>
  <w:style w:type="table" w:customStyle="1" w:styleId="437">
    <w:name w:val="Table Normal1"/>
    <w:semiHidden/>
    <w:qFormat/>
    <w:uiPriority w:val="99"/>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438">
    <w:name w:val="op-b2b-product-company"/>
    <w:basedOn w:val="1"/>
    <w:qFormat/>
    <w:uiPriority w:val="0"/>
    <w:pPr>
      <w:widowControl/>
      <w:spacing w:before="100" w:beforeAutospacing="1" w:after="100" w:afterAutospacing="1"/>
      <w:jc w:val="left"/>
    </w:pPr>
    <w:rPr>
      <w:rFonts w:ascii="宋体" w:hAnsi="宋体" w:cs="宋体"/>
      <w:kern w:val="0"/>
      <w:sz w:val="24"/>
    </w:rPr>
  </w:style>
  <w:style w:type="paragraph" w:customStyle="1" w:styleId="439">
    <w:name w:val="op-b2b-product-item-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44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41">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442">
    <w:name w:val="font6"/>
    <w:basedOn w:val="1"/>
    <w:qFormat/>
    <w:uiPriority w:val="0"/>
    <w:pPr>
      <w:widowControl/>
      <w:spacing w:before="100" w:beforeAutospacing="1" w:after="100" w:afterAutospacing="1"/>
      <w:jc w:val="left"/>
    </w:pPr>
    <w:rPr>
      <w:color w:val="000000"/>
      <w:kern w:val="0"/>
      <w:sz w:val="22"/>
      <w:szCs w:val="22"/>
    </w:rPr>
  </w:style>
  <w:style w:type="paragraph" w:customStyle="1" w:styleId="443">
    <w:name w:val="font7"/>
    <w:basedOn w:val="1"/>
    <w:qFormat/>
    <w:uiPriority w:val="0"/>
    <w:pPr>
      <w:widowControl/>
      <w:spacing w:before="100" w:beforeAutospacing="1" w:after="100" w:afterAutospacing="1"/>
      <w:jc w:val="left"/>
    </w:pPr>
    <w:rPr>
      <w:kern w:val="0"/>
      <w:szCs w:val="21"/>
    </w:rPr>
  </w:style>
  <w:style w:type="paragraph" w:customStyle="1" w:styleId="444">
    <w:name w:val="font8"/>
    <w:basedOn w:val="1"/>
    <w:qFormat/>
    <w:uiPriority w:val="0"/>
    <w:pPr>
      <w:widowControl/>
      <w:spacing w:before="100" w:beforeAutospacing="1" w:after="100" w:afterAutospacing="1"/>
      <w:jc w:val="left"/>
    </w:pPr>
    <w:rPr>
      <w:rFonts w:ascii="宋体" w:hAnsi="宋体" w:cs="宋体"/>
      <w:kern w:val="0"/>
      <w:szCs w:val="21"/>
    </w:rPr>
  </w:style>
  <w:style w:type="paragraph" w:customStyle="1" w:styleId="445">
    <w:name w:val="font9"/>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446">
    <w:name w:val="font10"/>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44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44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44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45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4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4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45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4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21"/>
    </w:rPr>
  </w:style>
  <w:style w:type="paragraph" w:customStyle="1" w:styleId="45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character" w:customStyle="1" w:styleId="456">
    <w:name w:val="正文文本 Char1"/>
    <w:semiHidden/>
    <w:qFormat/>
    <w:uiPriority w:val="99"/>
  </w:style>
  <w:style w:type="paragraph" w:customStyle="1" w:styleId="457">
    <w:name w:val="*正文"/>
    <w:basedOn w:val="129"/>
    <w:link w:val="458"/>
    <w:qFormat/>
    <w:uiPriority w:val="0"/>
    <w:pPr>
      <w:spacing w:line="324" w:lineRule="auto"/>
      <w:jc w:val="both"/>
    </w:pPr>
    <w:rPr>
      <w:sz w:val="24"/>
    </w:rPr>
  </w:style>
  <w:style w:type="character" w:customStyle="1" w:styleId="458">
    <w:name w:val="*正文 字符"/>
    <w:link w:val="457"/>
    <w:qFormat/>
    <w:uiPriority w:val="0"/>
    <w:rPr>
      <w:rFonts w:cs="宋体"/>
      <w:kern w:val="2"/>
      <w:sz w:val="24"/>
    </w:rPr>
  </w:style>
  <w:style w:type="paragraph" w:customStyle="1" w:styleId="459">
    <w:name w:val="*表格后文字"/>
    <w:basedOn w:val="457"/>
    <w:link w:val="460"/>
    <w:qFormat/>
    <w:uiPriority w:val="0"/>
    <w:pPr>
      <w:spacing w:beforeLines="50"/>
    </w:pPr>
  </w:style>
  <w:style w:type="character" w:customStyle="1" w:styleId="460">
    <w:name w:val="*表格后文字 字符"/>
    <w:link w:val="459"/>
    <w:qFormat/>
    <w:uiPriority w:val="0"/>
    <w:rPr>
      <w:rFonts w:cs="宋体"/>
      <w:kern w:val="2"/>
      <w:sz w:val="24"/>
    </w:rPr>
  </w:style>
  <w:style w:type="paragraph" w:customStyle="1" w:styleId="461">
    <w:name w:val="*表格内容"/>
    <w:basedOn w:val="127"/>
    <w:link w:val="462"/>
    <w:qFormat/>
    <w:uiPriority w:val="0"/>
  </w:style>
  <w:style w:type="character" w:customStyle="1" w:styleId="462">
    <w:name w:val="*表格内容 字符"/>
    <w:link w:val="461"/>
    <w:qFormat/>
    <w:uiPriority w:val="0"/>
    <w:rPr>
      <w:color w:val="000000"/>
      <w:kern w:val="2"/>
      <w:sz w:val="21"/>
      <w:szCs w:val="21"/>
      <w:lang w:val="zh-CN"/>
    </w:rPr>
  </w:style>
  <w:style w:type="paragraph" w:customStyle="1" w:styleId="463">
    <w:name w:val="*表头"/>
    <w:basedOn w:val="61"/>
    <w:link w:val="464"/>
    <w:qFormat/>
    <w:uiPriority w:val="0"/>
    <w:pPr>
      <w:spacing w:before="50"/>
      <w:ind w:firstLine="0" w:firstLineChars="0"/>
    </w:pPr>
  </w:style>
  <w:style w:type="character" w:customStyle="1" w:styleId="464">
    <w:name w:val="*表头 字符"/>
    <w:link w:val="463"/>
    <w:qFormat/>
    <w:uiPriority w:val="0"/>
    <w:rPr>
      <w:rFonts w:eastAsia="黑体"/>
      <w:color w:val="000000"/>
      <w:kern w:val="2"/>
      <w:sz w:val="21"/>
      <w:szCs w:val="21"/>
    </w:rPr>
  </w:style>
  <w:style w:type="paragraph" w:customStyle="1" w:styleId="465">
    <w:name w:val="*图题"/>
    <w:basedOn w:val="121"/>
    <w:link w:val="466"/>
    <w:qFormat/>
    <w:uiPriority w:val="0"/>
    <w:pPr>
      <w:spacing w:after="120" w:line="240" w:lineRule="auto"/>
      <w:ind w:firstLine="0" w:firstLineChars="0"/>
    </w:pPr>
  </w:style>
  <w:style w:type="character" w:customStyle="1" w:styleId="466">
    <w:name w:val="*图题 字符"/>
    <w:link w:val="465"/>
    <w:qFormat/>
    <w:uiPriority w:val="0"/>
    <w:rPr>
      <w:rFonts w:eastAsia="黑体"/>
      <w:sz w:val="21"/>
      <w:szCs w:val="21"/>
      <w:lang w:val="zh-CN"/>
    </w:rPr>
  </w:style>
  <w:style w:type="paragraph" w:customStyle="1" w:styleId="467">
    <w:name w:val="*1级标题"/>
    <w:basedOn w:val="2"/>
    <w:next w:val="468"/>
    <w:link w:val="469"/>
    <w:qFormat/>
    <w:uiPriority w:val="0"/>
    <w:pPr>
      <w:jc w:val="center"/>
    </w:pPr>
  </w:style>
  <w:style w:type="paragraph" w:customStyle="1" w:styleId="468">
    <w:name w:val="*2级标题"/>
    <w:basedOn w:val="137"/>
    <w:link w:val="470"/>
    <w:qFormat/>
    <w:uiPriority w:val="0"/>
    <w:pPr>
      <w:numPr>
        <w:ilvl w:val="0"/>
        <w:numId w:val="10"/>
      </w:numPr>
      <w:spacing w:beforeLines="50" w:afterLines="50" w:line="300" w:lineRule="auto"/>
    </w:pPr>
    <w:rPr>
      <w:color w:val="000000"/>
      <w:szCs w:val="22"/>
    </w:rPr>
  </w:style>
  <w:style w:type="character" w:customStyle="1" w:styleId="469">
    <w:name w:val="*1级标题 字符"/>
    <w:link w:val="467"/>
    <w:qFormat/>
    <w:uiPriority w:val="0"/>
    <w:rPr>
      <w:rFonts w:eastAsia="黑体"/>
      <w:b/>
      <w:bCs/>
      <w:color w:val="000000"/>
      <w:kern w:val="44"/>
      <w:sz w:val="30"/>
      <w:szCs w:val="30"/>
    </w:rPr>
  </w:style>
  <w:style w:type="character" w:customStyle="1" w:styleId="470">
    <w:name w:val="*2级标题 字符"/>
    <w:link w:val="468"/>
    <w:qFormat/>
    <w:uiPriority w:val="0"/>
    <w:rPr>
      <w:b/>
      <w:color w:val="000000"/>
      <w:kern w:val="2"/>
      <w:sz w:val="28"/>
      <w:szCs w:val="22"/>
    </w:rPr>
  </w:style>
  <w:style w:type="paragraph" w:customStyle="1" w:styleId="471">
    <w:name w:val="*3级标题"/>
    <w:basedOn w:val="1"/>
    <w:link w:val="472"/>
    <w:qFormat/>
    <w:uiPriority w:val="0"/>
    <w:pPr>
      <w:numPr>
        <w:ilvl w:val="0"/>
        <w:numId w:val="11"/>
      </w:numPr>
      <w:spacing w:beforeLines="50" w:line="360" w:lineRule="auto"/>
      <w:jc w:val="left"/>
    </w:pPr>
    <w:rPr>
      <w:b/>
      <w:sz w:val="24"/>
      <w:szCs w:val="21"/>
    </w:rPr>
  </w:style>
  <w:style w:type="character" w:customStyle="1" w:styleId="472">
    <w:name w:val="*3级标题 字符"/>
    <w:link w:val="471"/>
    <w:qFormat/>
    <w:uiPriority w:val="0"/>
    <w:rPr>
      <w:b/>
      <w:kern w:val="2"/>
      <w:sz w:val="24"/>
      <w:szCs w:val="21"/>
    </w:rPr>
  </w:style>
  <w:style w:type="paragraph" w:customStyle="1" w:styleId="473">
    <w:name w:val="Table Paragraph"/>
    <w:basedOn w:val="1"/>
    <w:qFormat/>
    <w:uiPriority w:val="1"/>
    <w:pPr>
      <w:jc w:val="left"/>
    </w:pPr>
    <w:rPr>
      <w:rFonts w:ascii="Calibri" w:hAnsi="Calibri"/>
      <w:kern w:val="0"/>
      <w:sz w:val="22"/>
      <w:szCs w:val="22"/>
      <w:lang w:eastAsia="en-US"/>
    </w:rPr>
  </w:style>
  <w:style w:type="table" w:customStyle="1" w:styleId="474">
    <w:name w:val="Table Normal"/>
    <w:basedOn w:val="48"/>
    <w:unhideWhenUsed/>
    <w:qFormat/>
    <w:uiPriority w:val="2"/>
    <w:pPr>
      <w:widowControl w:val="0"/>
    </w:pPr>
    <w:rPr>
      <w:rFonts w:ascii="等线" w:hAnsi="等线" w:eastAsia="等线"/>
      <w:sz w:val="22"/>
      <w:szCs w:val="22"/>
      <w:lang w:eastAsia="en-US"/>
    </w:rPr>
    <w:tblPr>
      <w:tblCellMar>
        <w:left w:w="0" w:type="dxa"/>
        <w:right w:w="0" w:type="dxa"/>
      </w:tblCellMar>
    </w:tblPr>
  </w:style>
  <w:style w:type="paragraph" w:customStyle="1" w:styleId="475">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476">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val="en-US" w:eastAsia="zh-CN" w:bidi="ar-SA"/>
    </w:rPr>
  </w:style>
  <w:style w:type="character" w:customStyle="1" w:styleId="477">
    <w:name w:val="NormalCharacter"/>
    <w:qFormat/>
    <w:uiPriority w:val="0"/>
    <w:rPr>
      <w:rFonts w:ascii="Times New Roman" w:hAnsi="Times New Roman" w:eastAsia="宋体" w:cs="Times New Roman"/>
      <w:kern w:val="2"/>
      <w:sz w:val="21"/>
      <w:szCs w:val="24"/>
      <w:lang w:val="en-US" w:eastAsia="zh-CN" w:bidi="ar-SA"/>
    </w:rPr>
  </w:style>
  <w:style w:type="paragraph" w:customStyle="1" w:styleId="478">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479">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480">
    <w:name w:val="表内容"/>
    <w:basedOn w:val="481"/>
    <w:qFormat/>
    <w:uiPriority w:val="0"/>
    <w:pPr>
      <w:snapToGrid w:val="0"/>
      <w:jc w:val="center"/>
    </w:pPr>
    <w:rPr>
      <w:rFonts w:ascii="Calibri" w:hAnsi="Calibri"/>
      <w:szCs w:val="22"/>
    </w:rPr>
  </w:style>
  <w:style w:type="paragraph" w:customStyle="1" w:styleId="481">
    <w:name w:val="我的正文"/>
    <w:basedOn w:val="1"/>
    <w:qFormat/>
    <w:uiPriority w:val="0"/>
    <w:pPr>
      <w:spacing w:after="60" w:line="480" w:lineRule="exact"/>
      <w:ind w:firstLine="600"/>
      <w:jc w:val="left"/>
    </w:pPr>
    <w:rPr>
      <w:szCs w:val="22"/>
    </w:rPr>
  </w:style>
  <w:style w:type="paragraph" w:customStyle="1" w:styleId="482">
    <w:name w:val="L正文"/>
    <w:basedOn w:val="1"/>
    <w:qFormat/>
    <w:uiPriority w:val="0"/>
    <w:pPr>
      <w:adjustRightInd w:val="0"/>
      <w:snapToGrid w:val="0"/>
      <w:spacing w:line="360" w:lineRule="auto"/>
      <w:ind w:firstLine="200" w:firstLineChars="200"/>
    </w:pPr>
    <w:rPr>
      <w:sz w:val="24"/>
    </w:rPr>
  </w:style>
  <w:style w:type="character" w:customStyle="1" w:styleId="483">
    <w:name w:val="font21"/>
    <w:qFormat/>
    <w:uiPriority w:val="0"/>
    <w:rPr>
      <w:rFonts w:hint="eastAsia" w:ascii="宋体" w:hAnsi="宋体" w:eastAsia="宋体" w:cs="宋体"/>
      <w:color w:val="000000"/>
      <w:sz w:val="24"/>
      <w:szCs w:val="24"/>
      <w:u w:val="none"/>
      <w:vertAlign w:val="superscript"/>
    </w:rPr>
  </w:style>
  <w:style w:type="paragraph" w:customStyle="1" w:styleId="484">
    <w:name w:val="5段落"/>
    <w:basedOn w:val="1"/>
    <w:qFormat/>
    <w:uiPriority w:val="0"/>
    <w:pPr>
      <w:spacing w:line="360" w:lineRule="auto"/>
      <w:ind w:firstLine="480" w:firstLineChars="200"/>
    </w:pPr>
    <w:rPr>
      <w:color w:val="000000"/>
      <w:sz w:val="24"/>
    </w:rPr>
  </w:style>
  <w:style w:type="paragraph" w:customStyle="1" w:styleId="485">
    <w:name w:val="表格正文"/>
    <w:basedOn w:val="1"/>
    <w:qFormat/>
    <w:uiPriority w:val="0"/>
    <w:pPr>
      <w:spacing w:before="60" w:after="100" w:afterAutospacing="1" w:line="360" w:lineRule="exact"/>
      <w:jc w:val="center"/>
    </w:pPr>
    <w:rPr>
      <w:rFonts w:ascii="Arial" w:hAnsi="Arial" w:cs="Arial"/>
      <w:szCs w:val="21"/>
    </w:rPr>
  </w:style>
  <w:style w:type="paragraph" w:customStyle="1" w:styleId="486">
    <w:name w:val="自定义缩进"/>
    <w:basedOn w:val="1"/>
    <w:qFormat/>
    <w:uiPriority w:val="0"/>
    <w:pPr>
      <w:keepNext/>
      <w:spacing w:line="336" w:lineRule="auto"/>
      <w:ind w:firstLine="480" w:firstLineChars="200"/>
    </w:pPr>
    <w:rPr>
      <w:rFonts w:ascii="宋体" w:hAnsi="宋体"/>
      <w:color w:val="000000"/>
      <w:sz w:val="24"/>
      <w:szCs w:val="20"/>
    </w:rPr>
  </w:style>
  <w:style w:type="paragraph" w:customStyle="1" w:styleId="487">
    <w:name w:val="文本"/>
    <w:basedOn w:val="1"/>
    <w:next w:val="488"/>
    <w:qFormat/>
    <w:uiPriority w:val="0"/>
    <w:pPr>
      <w:spacing w:line="360" w:lineRule="auto"/>
      <w:ind w:firstLine="495"/>
    </w:pPr>
    <w:rPr>
      <w:sz w:val="24"/>
    </w:rPr>
  </w:style>
  <w:style w:type="paragraph" w:customStyle="1" w:styleId="488">
    <w:name w:val="正文文本缩进 21"/>
    <w:basedOn w:val="1"/>
    <w:qFormat/>
    <w:uiPriority w:val="0"/>
    <w:pPr>
      <w:ind w:firstLine="570"/>
    </w:pPr>
    <w:rPr>
      <w:sz w:val="28"/>
    </w:rPr>
  </w:style>
  <w:style w:type="paragraph" w:customStyle="1" w:styleId="48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9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91">
    <w:name w:val="图表内容"/>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492">
    <w:name w:val="lwx-表内文字"/>
    <w:basedOn w:val="1"/>
    <w:qFormat/>
    <w:uiPriority w:val="0"/>
    <w:pPr>
      <w:adjustRightInd w:val="0"/>
      <w:snapToGrid w:val="0"/>
      <w:jc w:val="center"/>
    </w:pPr>
    <w:rPr>
      <w:bCs/>
      <w:szCs w:val="21"/>
    </w:rPr>
  </w:style>
  <w:style w:type="paragraph" w:customStyle="1" w:styleId="493">
    <w:name w:val="正文-wl"/>
    <w:basedOn w:val="1"/>
    <w:qFormat/>
    <w:uiPriority w:val="0"/>
    <w:pPr>
      <w:spacing w:line="360" w:lineRule="auto"/>
      <w:ind w:firstLine="200" w:firstLineChars="200"/>
      <w:jc w:val="left"/>
    </w:pPr>
    <w:rPr>
      <w:sz w:val="24"/>
    </w:rPr>
  </w:style>
  <w:style w:type="character" w:customStyle="1" w:styleId="494">
    <w:name w:val="【正文】 Char Char"/>
    <w:qFormat/>
    <w:uiPriority w:val="0"/>
    <w:rPr>
      <w:kern w:val="2"/>
      <w:sz w:val="24"/>
    </w:rPr>
  </w:style>
  <w:style w:type="paragraph" w:customStyle="1" w:styleId="495">
    <w:name w:val="表内字"/>
    <w:basedOn w:val="1"/>
    <w:qFormat/>
    <w:uiPriority w:val="0"/>
    <w:pPr>
      <w:spacing w:line="240" w:lineRule="atLeast"/>
      <w:jc w:val="center"/>
    </w:pPr>
  </w:style>
  <w:style w:type="paragraph" w:customStyle="1" w:styleId="496">
    <w:name w:val="报告正文"/>
    <w:basedOn w:val="1"/>
    <w:qFormat/>
    <w:uiPriority w:val="0"/>
    <w:pPr>
      <w:adjustRightInd w:val="0"/>
      <w:snapToGrid w:val="0"/>
      <w:spacing w:line="360" w:lineRule="auto"/>
      <w:ind w:firstLine="200" w:firstLineChars="200"/>
    </w:pPr>
    <w:rPr>
      <w:sz w:val="24"/>
    </w:rPr>
  </w:style>
  <w:style w:type="paragraph" w:customStyle="1" w:styleId="497">
    <w:name w:val="正文首行缩进1"/>
    <w:basedOn w:val="16"/>
    <w:qFormat/>
    <w:uiPriority w:val="0"/>
    <w:pPr>
      <w:spacing w:after="0" w:line="480" w:lineRule="exact"/>
      <w:ind w:firstLine="567"/>
    </w:pPr>
    <w:rPr>
      <w:rFonts w:ascii="宋体"/>
      <w:sz w:val="28"/>
    </w:rPr>
  </w:style>
  <w:style w:type="paragraph" w:customStyle="1" w:styleId="498">
    <w:name w:val="表-正文"/>
    <w:basedOn w:val="1"/>
    <w:qFormat/>
    <w:uiPriority w:val="0"/>
    <w:pPr>
      <w:adjustRightInd w:val="0"/>
      <w:spacing w:line="360" w:lineRule="auto"/>
      <w:ind w:firstLine="200" w:firstLineChars="200"/>
    </w:pPr>
    <w:rPr>
      <w:kern w:val="0"/>
      <w:sz w:val="24"/>
      <w:szCs w:val="20"/>
    </w:rPr>
  </w:style>
  <w:style w:type="paragraph" w:customStyle="1" w:styleId="499">
    <w:name w:val="表格文本"/>
    <w:basedOn w:val="201"/>
    <w:qFormat/>
    <w:uiPriority w:val="0"/>
    <w:pPr>
      <w:adjustRightInd w:val="0"/>
      <w:snapToGrid w:val="0"/>
      <w:spacing w:beforeLines="10" w:afterLines="10" w:line="340" w:lineRule="exact"/>
      <w:ind w:firstLine="0" w:firstLineChars="0"/>
      <w:textAlignment w:val="center"/>
    </w:pPr>
    <w:rPr>
      <w:rFonts w:ascii="Times New Roman" w:hAnsi="Times New Roman" w:eastAsia="宋体"/>
      <w:kern w:val="21"/>
      <w:sz w:val="21"/>
    </w:rPr>
  </w:style>
  <w:style w:type="paragraph" w:customStyle="1" w:styleId="500">
    <w:name w:val="表格文字zh"/>
    <w:basedOn w:val="23"/>
    <w:qFormat/>
    <w:uiPriority w:val="0"/>
    <w:pPr>
      <w:adjustRightInd w:val="0"/>
      <w:snapToGrid w:val="0"/>
      <w:jc w:val="center"/>
    </w:pPr>
    <w:rPr>
      <w:rFonts w:ascii="Times New Roman" w:hAnsi="Times New Roman" w:eastAsia="Times New Roman"/>
      <w:color w:val="000000"/>
      <w:szCs w:val="21"/>
      <w:lang w:val="zh-CN"/>
    </w:rPr>
  </w:style>
  <w:style w:type="paragraph" w:customStyle="1" w:styleId="501">
    <w:name w:val="新表头"/>
    <w:basedOn w:val="1"/>
    <w:qFormat/>
    <w:uiPriority w:val="0"/>
    <w:pPr>
      <w:jc w:val="center"/>
    </w:pPr>
    <w:rPr>
      <w:rFonts w:eastAsia="黑体"/>
      <w:sz w:val="24"/>
    </w:rPr>
  </w:style>
  <w:style w:type="paragraph" w:customStyle="1" w:styleId="502">
    <w:name w:val="表 格"/>
    <w:basedOn w:val="1"/>
    <w:qFormat/>
    <w:uiPriority w:val="0"/>
    <w:pPr>
      <w:adjustRightInd w:val="0"/>
      <w:snapToGrid w:val="0"/>
      <w:jc w:val="center"/>
    </w:pPr>
    <w:rPr>
      <w:sz w:val="20"/>
      <w:szCs w:val="18"/>
    </w:rPr>
  </w:style>
  <w:style w:type="paragraph" w:customStyle="1" w:styleId="503">
    <w:name w:val="Table Text"/>
    <w:basedOn w:val="1"/>
    <w:semiHidden/>
    <w:qFormat/>
    <w:uiPriority w:val="0"/>
    <w:rPr>
      <w:rFonts w:ascii="宋体" w:hAnsi="宋体" w:cs="宋体"/>
      <w:sz w:val="24"/>
      <w:lang w:eastAsia="en-US"/>
    </w:rPr>
  </w:style>
  <w:style w:type="character" w:customStyle="1" w:styleId="504">
    <w:name w:val="10"/>
    <w:basedOn w:val="52"/>
    <w:qFormat/>
    <w:uiPriority w:val="0"/>
    <w:rPr>
      <w:rFonts w:hint="default" w:ascii="Times New Roman" w:hAnsi="Times New Roman" w:cs="Times New Roman"/>
    </w:rPr>
  </w:style>
  <w:style w:type="table" w:customStyle="1" w:styleId="505">
    <w:name w:val="Table Grid_0"/>
    <w:basedOn w:val="48"/>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customStyle="1" w:styleId="506">
    <w:name w:val="（居中）表格内容及格式"/>
    <w:basedOn w:val="1"/>
    <w:qFormat/>
    <w:uiPriority w:val="0"/>
    <w:pPr>
      <w:spacing w:line="360" w:lineRule="exact"/>
      <w:jc w:val="center"/>
    </w:pPr>
    <w:rPr>
      <w:color w:val="000000"/>
      <w:kern w:val="0"/>
      <w:szCs w:val="21"/>
    </w:rPr>
  </w:style>
  <w:style w:type="paragraph" w:customStyle="1" w:styleId="507">
    <w:name w:val="简单回函地址"/>
    <w:basedOn w:val="1"/>
    <w:qFormat/>
    <w:uiPriority w:val="0"/>
    <w:pPr>
      <w:spacing w:line="360" w:lineRule="auto"/>
      <w:ind w:firstLine="200" w:firstLineChars="200"/>
      <w:jc w:val="left"/>
    </w:pPr>
    <w:rPr>
      <w:bCs/>
      <w:szCs w:val="21"/>
    </w:rPr>
  </w:style>
  <w:style w:type="paragraph" w:customStyle="1" w:styleId="508">
    <w:name w:val="样式 样式 首行缩进: 2 字符 + 首行缩进: 2 字符"/>
    <w:basedOn w:val="1"/>
    <w:qFormat/>
    <w:uiPriority w:val="0"/>
    <w:pPr>
      <w:spacing w:line="360" w:lineRule="auto"/>
      <w:ind w:firstLine="200" w:firstLineChars="200"/>
    </w:pPr>
    <w:rPr>
      <w:szCs w:val="21"/>
    </w:rPr>
  </w:style>
  <w:style w:type="paragraph" w:customStyle="1" w:styleId="509">
    <w:name w:val="表内字体"/>
    <w:basedOn w:val="1"/>
    <w:qFormat/>
    <w:uiPriority w:val="0"/>
    <w:pPr>
      <w:snapToGrid w:val="0"/>
      <w:jc w:val="center"/>
    </w:pPr>
    <w:rPr>
      <w:sz w:val="18"/>
      <w:szCs w:val="18"/>
    </w:rPr>
  </w:style>
  <w:style w:type="paragraph" w:customStyle="1" w:styleId="510">
    <w:name w:val="表头编号格式jimmy"/>
    <w:qFormat/>
    <w:uiPriority w:val="0"/>
    <w:pPr>
      <w:spacing w:line="440" w:lineRule="exact"/>
      <w:jc w:val="center"/>
    </w:pPr>
    <w:rPr>
      <w:rFonts w:ascii="Times New Roman" w:hAnsi="Times New Roman" w:eastAsia="宋体" w:cs="Times New Roman"/>
      <w:b/>
      <w:color w:val="000000"/>
      <w:spacing w:val="8"/>
      <w:kern w:val="2"/>
      <w:sz w:val="24"/>
      <w:szCs w:val="24"/>
      <w:lang w:val="en-US" w:eastAsia="zh-CN" w:bidi="ar-SA"/>
    </w:rPr>
  </w:style>
  <w:style w:type="paragraph" w:customStyle="1" w:styleId="511">
    <w:name w:val="WPSOffice手动目录 1"/>
    <w:qFormat/>
    <w:uiPriority w:val="0"/>
    <w:rPr>
      <w:rFonts w:ascii="Times New Roman" w:hAnsi="Times New Roman" w:eastAsia="宋体" w:cs="Times New Roman"/>
      <w:lang w:val="en-US" w:eastAsia="zh-CN" w:bidi="ar-SA"/>
    </w:rPr>
  </w:style>
  <w:style w:type="paragraph" w:customStyle="1" w:styleId="512">
    <w:name w:val="S表格"/>
    <w:basedOn w:val="1"/>
    <w:qFormat/>
    <w:uiPriority w:val="0"/>
    <w:pPr>
      <w:jc w:val="center"/>
    </w:pPr>
    <w:rPr>
      <w:rFonts w:eastAsia="楷体_GB2312" w:cs="宋体"/>
      <w:szCs w:val="20"/>
    </w:rPr>
  </w:style>
  <w:style w:type="paragraph" w:customStyle="1" w:styleId="513">
    <w:name w:val="1正文"/>
    <w:basedOn w:val="1"/>
    <w:qFormat/>
    <w:uiPriority w:val="0"/>
    <w:pPr>
      <w:ind w:firstLine="480"/>
    </w:pPr>
  </w:style>
  <w:style w:type="paragraph" w:customStyle="1" w:styleId="514">
    <w:name w:val="3-表头"/>
    <w:basedOn w:val="1"/>
    <w:next w:val="1"/>
    <w:link w:val="515"/>
    <w:qFormat/>
    <w:uiPriority w:val="0"/>
    <w:pPr>
      <w:numPr>
        <w:ilvl w:val="0"/>
        <w:numId w:val="12"/>
      </w:numPr>
      <w:adjustRightInd w:val="0"/>
      <w:ind w:left="0" w:firstLine="0"/>
      <w:jc w:val="center"/>
      <w:textAlignment w:val="baseline"/>
    </w:pPr>
    <w:rPr>
      <w:rFonts w:eastAsia="黑体"/>
      <w:kern w:val="0"/>
      <w:szCs w:val="21"/>
    </w:rPr>
  </w:style>
  <w:style w:type="character" w:customStyle="1" w:styleId="515">
    <w:name w:val="3-表头 Char"/>
    <w:link w:val="514"/>
    <w:qFormat/>
    <w:uiPriority w:val="0"/>
    <w:rPr>
      <w:rFonts w:eastAsia="黑体"/>
      <w:kern w:val="0"/>
      <w:sz w:val="21"/>
      <w:szCs w:val="21"/>
    </w:rPr>
  </w:style>
  <w:style w:type="paragraph" w:customStyle="1" w:styleId="516">
    <w:name w:val="表中文字"/>
    <w:basedOn w:val="1"/>
    <w:next w:val="1"/>
    <w:qFormat/>
    <w:uiPriority w:val="0"/>
    <w:pPr>
      <w:jc w:val="center"/>
    </w:pPr>
    <w:rPr>
      <w:sz w:val="18"/>
      <w:szCs w:val="18"/>
    </w:rPr>
  </w:style>
  <w:style w:type="paragraph" w:customStyle="1" w:styleId="517">
    <w:name w:val="表1 表格标题格式"/>
    <w:basedOn w:val="1"/>
    <w:qFormat/>
    <w:uiPriority w:val="0"/>
    <w:pPr>
      <w:numPr>
        <w:ilvl w:val="0"/>
        <w:numId w:val="13"/>
      </w:numPr>
      <w:jc w:val="center"/>
    </w:pPr>
    <w:rPr>
      <w:rFonts w:hint="eastAsia"/>
      <w:b/>
      <w:color w:val="000000" w:themeColor="text1"/>
      <w:szCs w:val="21"/>
      <w14:textFill>
        <w14:solidFill>
          <w14:schemeClr w14:val="tx1"/>
        </w14:solidFill>
      </w14:textFill>
    </w:rPr>
  </w:style>
  <w:style w:type="paragraph" w:customStyle="1" w:styleId="518">
    <w:name w:val="表格内文字1"/>
    <w:basedOn w:val="1"/>
    <w:next w:val="1"/>
    <w:qFormat/>
    <w:uiPriority w:val="0"/>
    <w:pPr>
      <w:widowControl/>
      <w:spacing w:line="280" w:lineRule="exact"/>
      <w:jc w:val="center"/>
      <w:outlineLvl w:val="0"/>
    </w:pPr>
    <w:rPr>
      <w:kern w:val="0"/>
      <w:sz w:val="18"/>
      <w:szCs w:val="20"/>
    </w:rPr>
  </w:style>
  <w:style w:type="table" w:customStyle="1" w:styleId="519">
    <w:name w:val="网格型8"/>
    <w:basedOn w:val="48"/>
    <w:qFormat/>
    <w:uiPriority w:val="59"/>
    <w:pPr>
      <w:spacing w:line="360" w:lineRule="exact"/>
      <w:jc w:val="center"/>
    </w:pPr>
    <w:rPr>
      <w:sz w:val="21"/>
    </w:rPr>
    <w:tblPr>
      <w:tblBorders>
        <w:top w:val="single" w:color="000000" w:sz="12" w:space="0"/>
        <w:bottom w:val="single" w:color="000000" w:sz="12" w:space="0"/>
        <w:insideH w:val="single" w:color="000000" w:sz="4" w:space="0"/>
        <w:insideV w:val="single" w:color="000000" w:sz="4" w:space="0"/>
      </w:tblBorders>
    </w:tblPr>
    <w:tcPr>
      <w:vAlign w:val="center"/>
    </w:tcPr>
  </w:style>
  <w:style w:type="paragraph" w:customStyle="1" w:styleId="520">
    <w:name w:val="表格内容格式"/>
    <w:basedOn w:val="127"/>
    <w:qFormat/>
    <w:uiPriority w:val="0"/>
    <w:pPr>
      <w:ind w:firstLine="0" w:firstLineChars="0"/>
    </w:pPr>
    <w:rPr>
      <w:rFonts w:eastAsia="宋体"/>
      <w:szCs w:val="22"/>
    </w:rPr>
  </w:style>
  <w:style w:type="paragraph" w:customStyle="1" w:styleId="521">
    <w:name w:val="表名+图名"/>
    <w:basedOn w:val="1"/>
    <w:next w:val="1"/>
    <w:qFormat/>
    <w:uiPriority w:val="0"/>
    <w:pPr>
      <w:jc w:val="center"/>
    </w:pPr>
    <w:rPr>
      <w:rFonts w:eastAsia="黑体"/>
      <w:szCs w:val="21"/>
    </w:rPr>
  </w:style>
  <w:style w:type="paragraph" w:customStyle="1" w:styleId="522">
    <w:name w:val="样式 小四 居中 行距: 固定值 24 磅"/>
    <w:basedOn w:val="1"/>
    <w:qFormat/>
    <w:uiPriority w:val="0"/>
    <w:pPr>
      <w:spacing w:line="360" w:lineRule="auto"/>
      <w:jc w:val="center"/>
    </w:pPr>
    <w:rPr>
      <w:rFonts w:cs="宋体"/>
      <w:sz w:val="24"/>
      <w:szCs w:val="20"/>
    </w:rPr>
  </w:style>
  <w:style w:type="paragraph" w:customStyle="1" w:styleId="523">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524">
    <w:name w:val="表格文字专用"/>
    <w:basedOn w:val="1"/>
    <w:qFormat/>
    <w:uiPriority w:val="0"/>
    <w:pPr>
      <w:spacing w:line="240" w:lineRule="exact"/>
      <w:jc w:val="center"/>
    </w:pPr>
    <w:rPr>
      <w:rFonts w:cs="宋体"/>
      <w:color w:val="000000"/>
      <w:sz w:val="1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1.wmf"/><Relationship Id="rId31" Type="http://schemas.openxmlformats.org/officeDocument/2006/relationships/oleObject" Target="embeddings/oleObject7.bin"/><Relationship Id="rId30" Type="http://schemas.openxmlformats.org/officeDocument/2006/relationships/image" Target="media/image10.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9.wmf"/><Relationship Id="rId27" Type="http://schemas.openxmlformats.org/officeDocument/2006/relationships/oleObject" Target="embeddings/oleObject5.bin"/><Relationship Id="rId26" Type="http://schemas.openxmlformats.org/officeDocument/2006/relationships/image" Target="media/image8.wmf"/><Relationship Id="rId25" Type="http://schemas.openxmlformats.org/officeDocument/2006/relationships/oleObject" Target="embeddings/oleObject4.bin"/><Relationship Id="rId24" Type="http://schemas.openxmlformats.org/officeDocument/2006/relationships/image" Target="media/image7.wmf"/><Relationship Id="rId23" Type="http://schemas.openxmlformats.org/officeDocument/2006/relationships/oleObject" Target="embeddings/oleObject3.bin"/><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1.bin"/><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81</Pages>
  <Words>55542</Words>
  <Characters>61428</Characters>
  <Lines>3117</Lines>
  <Paragraphs>3820</Paragraphs>
  <TotalTime>79</TotalTime>
  <ScaleCrop>false</ScaleCrop>
  <LinksUpToDate>false</LinksUpToDate>
  <CharactersWithSpaces>61809</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2025-08-02T06:30:00Z</dcterms:created>
  <dc:creator>lhj</dc:creator>
  <cp:lastModifiedBy>XHX-HBJ-0013</cp:lastModifiedBy>
  <cp:lastPrinted>2024-07-21T04:56:00Z</cp:lastPrinted>
  <dcterms:modified xsi:type="dcterms:W3CDTF">2026-03-20T16:07:11Z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0F426A39C325FB8D2F00BD69359F21D6_43</vt:lpwstr>
  </property>
  <property fmtid="{D5CDD505-2E9C-101B-9397-08002B2CF9AE}" pid="4" name="KSOTemplateDocerSaveRecord">
    <vt:lpwstr>eyJoZGlkIjoiMjFmMGQ0OTg3OWU3N2ZiZDdjOWZiNTJjMDZjMDBlYjEiLCJ1c2VySWQiOiIyMzE1NTQ1MTEifQ==</vt:lpwstr>
  </property>
</Properties>
</file>