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uppressAutoHyphens/>
        <w:kinsoku/>
        <w:autoSpaceDE/>
        <w:autoSpaceDN/>
        <w:adjustRightInd/>
        <w:snapToGrid/>
        <w:spacing w:line="240" w:lineRule="auto"/>
        <w:ind w:firstLine="0" w:firstLineChars="0"/>
        <w:jc w:val="both"/>
        <w:textAlignment w:val="auto"/>
        <w:rPr>
          <w:rFonts w:cs="Times New Roman"/>
          <w:snapToGrid/>
          <w:color w:val="auto"/>
          <w:kern w:val="2"/>
          <w:szCs w:val="24"/>
          <w:lang w:eastAsia="zh-CN"/>
        </w:rPr>
      </w:pPr>
    </w:p>
    <w:p>
      <w:pPr>
        <w:suppressAutoHyphens/>
        <w:kinsoku/>
        <w:autoSpaceDE/>
        <w:autoSpaceDN/>
        <w:adjustRightInd/>
        <w:snapToGrid/>
        <w:spacing w:line="240" w:lineRule="auto"/>
        <w:ind w:firstLine="0" w:firstLineChars="0"/>
        <w:jc w:val="both"/>
        <w:textAlignment w:val="auto"/>
        <w:rPr>
          <w:rFonts w:cs="Times New Roman"/>
          <w:snapToGrid/>
          <w:color w:val="auto"/>
          <w:kern w:val="2"/>
          <w:szCs w:val="24"/>
          <w:lang w:eastAsia="zh-CN"/>
        </w:rPr>
      </w:pPr>
    </w:p>
    <w:p>
      <w:pPr>
        <w:suppressAutoHyphens/>
        <w:kinsoku/>
        <w:autoSpaceDE/>
        <w:autoSpaceDN/>
        <w:adjustRightInd/>
        <w:snapToGrid/>
        <w:spacing w:line="240" w:lineRule="auto"/>
        <w:ind w:firstLine="0" w:firstLineChars="0"/>
        <w:jc w:val="both"/>
        <w:textAlignment w:val="auto"/>
        <w:rPr>
          <w:rFonts w:cs="Times New Roman"/>
          <w:snapToGrid/>
          <w:color w:val="auto"/>
          <w:kern w:val="2"/>
          <w:szCs w:val="24"/>
          <w:lang w:eastAsia="zh-CN"/>
        </w:rPr>
      </w:pPr>
    </w:p>
    <w:p>
      <w:pPr>
        <w:widowControl w:val="0"/>
        <w:kinsoku/>
        <w:autoSpaceDE/>
        <w:autoSpaceDN/>
        <w:adjustRightInd/>
        <w:snapToGrid/>
        <w:spacing w:before="139" w:beforeLines="58" w:after="139" w:afterLines="58" w:line="240" w:lineRule="auto"/>
        <w:ind w:firstLine="0" w:firstLineChars="0"/>
        <w:jc w:val="center"/>
        <w:textAlignment w:val="auto"/>
        <w:rPr>
          <w:rFonts w:eastAsia="宋体" w:cs="Times New Roman"/>
          <w:snapToGrid/>
          <w:color w:val="auto"/>
          <w:kern w:val="2"/>
          <w:sz w:val="44"/>
          <w:szCs w:val="44"/>
          <w:lang w:eastAsia="zh-CN"/>
        </w:rPr>
      </w:pPr>
      <w:r>
        <w:rPr>
          <w:rFonts w:eastAsia="宋体" w:cs="Times New Roman"/>
          <w:snapToGrid/>
          <w:color w:val="auto"/>
          <w:kern w:val="2"/>
          <w:sz w:val="44"/>
          <w:szCs w:val="44"/>
          <w:lang w:eastAsia="zh-CN"/>
        </w:rPr>
        <w:t>达州正达凯乙二醇220千伏输电线路工程</w:t>
      </w:r>
    </w:p>
    <w:p>
      <w:pPr>
        <w:suppressAutoHyphens/>
        <w:kinsoku/>
        <w:autoSpaceDE/>
        <w:autoSpaceDN/>
        <w:spacing w:before="163" w:beforeLines="68" w:after="163" w:afterLines="68" w:line="240" w:lineRule="auto"/>
        <w:ind w:firstLine="0" w:firstLineChars="0"/>
        <w:jc w:val="center"/>
        <w:textAlignment w:val="auto"/>
        <w:rPr>
          <w:rFonts w:eastAsia="黑体" w:cs="Times New Roman"/>
          <w:snapToGrid/>
          <w:color w:val="auto"/>
          <w:sz w:val="84"/>
          <w:szCs w:val="84"/>
          <w:lang w:eastAsia="zh-CN"/>
        </w:rPr>
      </w:pPr>
      <w:r>
        <w:rPr>
          <w:rFonts w:eastAsia="黑体" w:cs="Times New Roman"/>
          <w:snapToGrid/>
          <w:color w:val="auto"/>
          <w:sz w:val="84"/>
          <w:szCs w:val="84"/>
          <w:lang w:eastAsia="zh-CN"/>
        </w:rPr>
        <w:t>水土保持方案报告表</w:t>
      </w:r>
    </w:p>
    <w:p>
      <w:pPr>
        <w:spacing w:before="139" w:beforeLines="58" w:after="120" w:afterLines="50" w:line="360" w:lineRule="auto"/>
        <w:ind w:firstLine="0" w:firstLineChars="0"/>
        <w:jc w:val="center"/>
        <w:rPr>
          <w:rFonts w:eastAsia="宋体"/>
          <w:color w:val="auto"/>
          <w:sz w:val="44"/>
          <w:szCs w:val="44"/>
          <w:lang w:eastAsia="zh-CN"/>
        </w:rPr>
      </w:pPr>
      <w:bookmarkStart w:id="0" w:name="_Toc110352341"/>
      <w:r>
        <w:rPr>
          <w:rFonts w:hint="eastAsia" w:eastAsia="宋体"/>
          <w:color w:val="auto"/>
          <w:sz w:val="44"/>
          <w:szCs w:val="44"/>
          <w:lang w:eastAsia="zh-CN"/>
        </w:rPr>
        <w:t>（公示</w:t>
      </w:r>
      <w:r>
        <w:rPr>
          <w:rFonts w:eastAsia="宋体"/>
          <w:color w:val="auto"/>
          <w:sz w:val="44"/>
          <w:szCs w:val="44"/>
          <w:lang w:eastAsia="zh-CN"/>
        </w:rPr>
        <w:t>稿</w:t>
      </w:r>
      <w:r>
        <w:rPr>
          <w:rFonts w:hint="eastAsia" w:eastAsia="宋体"/>
          <w:color w:val="auto"/>
          <w:sz w:val="44"/>
          <w:szCs w:val="44"/>
          <w:lang w:eastAsia="zh-CN"/>
        </w:rPr>
        <w:t>）</w:t>
      </w:r>
      <w:bookmarkEnd w:id="0"/>
    </w:p>
    <w:p>
      <w:pPr>
        <w:pStyle w:val="10"/>
        <w:widowControl w:val="0"/>
        <w:kinsoku/>
        <w:topLinePunct/>
        <w:autoSpaceDE/>
        <w:autoSpaceDN/>
        <w:spacing w:line="259" w:lineRule="auto"/>
        <w:ind w:firstLine="480"/>
        <w:rPr>
          <w:rFonts w:eastAsia="仿宋_GB2312" w:cs="Times New Roman"/>
          <w:color w:val="auto"/>
          <w:lang w:eastAsia="zh-CN"/>
        </w:rPr>
      </w:pPr>
    </w:p>
    <w:p>
      <w:pPr>
        <w:pStyle w:val="10"/>
        <w:widowControl w:val="0"/>
        <w:kinsoku/>
        <w:topLinePunct/>
        <w:autoSpaceDE/>
        <w:autoSpaceDN/>
        <w:spacing w:line="260" w:lineRule="auto"/>
        <w:ind w:firstLine="480"/>
        <w:rPr>
          <w:rFonts w:eastAsia="仿宋_GB2312" w:cs="Times New Roman"/>
          <w:color w:val="auto"/>
          <w:lang w:eastAsia="zh-CN"/>
        </w:rPr>
      </w:pPr>
    </w:p>
    <w:p>
      <w:pPr>
        <w:pStyle w:val="10"/>
        <w:widowControl w:val="0"/>
        <w:kinsoku/>
        <w:topLinePunct/>
        <w:autoSpaceDE/>
        <w:autoSpaceDN/>
        <w:spacing w:line="260"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2" w:lineRule="auto"/>
        <w:ind w:firstLine="480"/>
        <w:rPr>
          <w:rFonts w:eastAsia="仿宋_GB2312" w:cs="Times New Roman"/>
          <w:color w:val="auto"/>
          <w:lang w:eastAsia="zh-CN"/>
        </w:rPr>
      </w:pPr>
    </w:p>
    <w:p>
      <w:pPr>
        <w:pStyle w:val="10"/>
        <w:widowControl w:val="0"/>
        <w:kinsoku/>
        <w:topLinePunct/>
        <w:autoSpaceDE/>
        <w:autoSpaceDN/>
        <w:spacing w:line="253" w:lineRule="auto"/>
        <w:ind w:firstLine="480"/>
        <w:rPr>
          <w:rFonts w:eastAsia="仿宋_GB2312" w:cs="Times New Roman"/>
          <w:color w:val="auto"/>
          <w:lang w:eastAsia="zh-CN"/>
        </w:rPr>
      </w:pPr>
    </w:p>
    <w:tbl>
      <w:tblPr>
        <w:tblStyle w:val="3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3"/>
        <w:gridCol w:w="60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43" w:type="dxa"/>
          </w:tcPr>
          <w:p>
            <w:pPr>
              <w:widowControl w:val="0"/>
              <w:kinsoku/>
              <w:topLinePunct/>
              <w:autoSpaceDE/>
              <w:autoSpaceDN/>
              <w:adjustRightInd/>
              <w:snapToGrid/>
              <w:spacing w:line="360" w:lineRule="auto"/>
              <w:ind w:firstLine="160" w:firstLineChars="50"/>
              <w:jc w:val="both"/>
              <w:textAlignment w:val="auto"/>
              <w:rPr>
                <w:rFonts w:ascii="宋体" w:hAnsi="宋体" w:eastAsia="宋体" w:cs="Times New Roman"/>
                <w:bCs/>
                <w:snapToGrid/>
                <w:color w:val="auto"/>
                <w:kern w:val="2"/>
                <w:sz w:val="32"/>
                <w:szCs w:val="32"/>
                <w:lang w:eastAsia="zh-CN"/>
              </w:rPr>
            </w:pPr>
            <w:r>
              <w:rPr>
                <w:rFonts w:ascii="宋体" w:hAnsi="宋体" w:eastAsia="宋体" w:cs="Times New Roman"/>
                <w:bCs/>
                <w:snapToGrid/>
                <w:color w:val="auto"/>
                <w:kern w:val="2"/>
                <w:sz w:val="32"/>
                <w:szCs w:val="32"/>
                <w:lang w:eastAsia="zh-CN"/>
              </w:rPr>
              <w:t>建设单位：</w:t>
            </w:r>
          </w:p>
        </w:tc>
        <w:tc>
          <w:tcPr>
            <w:tcW w:w="6075" w:type="dxa"/>
          </w:tcPr>
          <w:p>
            <w:pPr>
              <w:widowControl w:val="0"/>
              <w:kinsoku/>
              <w:topLinePunct/>
              <w:autoSpaceDE/>
              <w:autoSpaceDN/>
              <w:adjustRightInd/>
              <w:snapToGrid/>
              <w:spacing w:line="360" w:lineRule="auto"/>
              <w:ind w:firstLine="0" w:firstLineChars="0"/>
              <w:jc w:val="both"/>
              <w:textAlignment w:val="auto"/>
              <w:rPr>
                <w:rFonts w:ascii="宋体" w:hAnsi="宋体" w:eastAsia="宋体" w:cs="Times New Roman"/>
                <w:bCs/>
                <w:snapToGrid/>
                <w:color w:val="auto"/>
                <w:spacing w:val="44"/>
                <w:kern w:val="2"/>
                <w:sz w:val="32"/>
                <w:szCs w:val="32"/>
                <w:lang w:eastAsia="zh-CN"/>
              </w:rPr>
            </w:pPr>
            <w:r>
              <w:rPr>
                <w:rFonts w:ascii="宋体" w:hAnsi="宋体" w:eastAsia="宋体" w:cs="Times New Roman"/>
                <w:bCs/>
                <w:snapToGrid/>
                <w:color w:val="auto"/>
                <w:spacing w:val="44"/>
                <w:kern w:val="2"/>
                <w:sz w:val="32"/>
                <w:szCs w:val="32"/>
                <w:lang w:eastAsia="zh-CN"/>
              </w:rPr>
              <w:t>达州普光建设开发有限公司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43" w:type="dxa"/>
          </w:tcPr>
          <w:p>
            <w:pPr>
              <w:widowControl w:val="0"/>
              <w:kinsoku/>
              <w:topLinePunct/>
              <w:autoSpaceDE/>
              <w:autoSpaceDN/>
              <w:adjustRightInd/>
              <w:snapToGrid/>
              <w:spacing w:line="360" w:lineRule="auto"/>
              <w:ind w:firstLine="160" w:firstLineChars="50"/>
              <w:jc w:val="both"/>
              <w:textAlignment w:val="auto"/>
              <w:rPr>
                <w:rFonts w:ascii="宋体" w:hAnsi="宋体" w:eastAsia="宋体" w:cs="Times New Roman"/>
                <w:bCs/>
                <w:snapToGrid/>
                <w:color w:val="auto"/>
                <w:kern w:val="2"/>
                <w:sz w:val="32"/>
                <w:szCs w:val="32"/>
                <w:lang w:eastAsia="zh-CN"/>
              </w:rPr>
            </w:pPr>
            <w:r>
              <w:rPr>
                <w:rFonts w:ascii="宋体" w:hAnsi="宋体" w:eastAsia="宋体" w:cs="Times New Roman"/>
                <w:bCs/>
                <w:snapToGrid/>
                <w:color w:val="auto"/>
                <w:kern w:val="2"/>
                <w:sz w:val="32"/>
                <w:szCs w:val="32"/>
                <w:lang w:eastAsia="zh-CN"/>
              </w:rPr>
              <w:t>编制单位：</w:t>
            </w:r>
          </w:p>
        </w:tc>
        <w:tc>
          <w:tcPr>
            <w:tcW w:w="6075" w:type="dxa"/>
          </w:tcPr>
          <w:p>
            <w:pPr>
              <w:widowControl w:val="0"/>
              <w:kinsoku/>
              <w:topLinePunct/>
              <w:autoSpaceDE/>
              <w:autoSpaceDN/>
              <w:adjustRightInd/>
              <w:snapToGrid/>
              <w:spacing w:line="360" w:lineRule="auto"/>
              <w:ind w:firstLine="0" w:firstLineChars="0"/>
              <w:jc w:val="both"/>
              <w:textAlignment w:val="auto"/>
              <w:rPr>
                <w:rFonts w:ascii="宋体" w:hAnsi="宋体" w:eastAsia="宋体" w:cs="Times New Roman"/>
                <w:bCs/>
                <w:snapToGrid/>
                <w:color w:val="auto"/>
                <w:kern w:val="2"/>
                <w:sz w:val="32"/>
                <w:szCs w:val="32"/>
                <w:lang w:eastAsia="zh-CN"/>
              </w:rPr>
            </w:pPr>
            <w:bookmarkStart w:id="1" w:name="_Hlk156901211"/>
            <w:r>
              <w:rPr>
                <w:rFonts w:ascii="宋体" w:hAnsi="宋体" w:eastAsia="宋体" w:cs="Times New Roman"/>
                <w:bCs/>
                <w:snapToGrid/>
                <w:color w:val="auto"/>
                <w:kern w:val="2"/>
                <w:sz w:val="32"/>
                <w:szCs w:val="32"/>
                <w:lang w:eastAsia="zh-CN"/>
              </w:rPr>
              <w:t>四川省川核鑫达地质工程有限公司</w:t>
            </w:r>
            <w:bookmarkEnd w:id="1"/>
          </w:p>
        </w:tc>
      </w:tr>
    </w:tbl>
    <w:p>
      <w:pPr>
        <w:widowControl w:val="0"/>
        <w:kinsoku/>
        <w:topLinePunct/>
        <w:autoSpaceDE/>
        <w:autoSpaceDN/>
        <w:spacing w:line="360" w:lineRule="auto"/>
        <w:ind w:firstLine="0" w:firstLineChars="0"/>
        <w:jc w:val="center"/>
        <w:rPr>
          <w:rFonts w:hAnsi="宋体" w:eastAsia="宋体" w:cs="Times New Roman"/>
          <w:color w:val="auto"/>
          <w:spacing w:val="-6"/>
          <w:sz w:val="32"/>
          <w:szCs w:val="32"/>
          <w:lang w:eastAsia="zh-CN"/>
        </w:rPr>
      </w:pPr>
      <w:r>
        <w:rPr>
          <w:rFonts w:eastAsia="宋体" w:cs="Times New Roman"/>
          <w:bCs/>
          <w:color w:val="auto"/>
          <w:spacing w:val="-6"/>
          <w:sz w:val="32"/>
          <w:szCs w:val="32"/>
          <w:lang w:eastAsia="zh-CN"/>
        </w:rPr>
        <w:t>2024</w:t>
      </w:r>
      <w:r>
        <w:rPr>
          <w:rFonts w:hAnsi="宋体" w:eastAsia="宋体" w:cs="Times New Roman"/>
          <w:color w:val="auto"/>
          <w:spacing w:val="-6"/>
          <w:sz w:val="32"/>
          <w:szCs w:val="32"/>
          <w:lang w:eastAsia="zh-CN"/>
        </w:rPr>
        <w:t>年</w:t>
      </w:r>
      <w:r>
        <w:rPr>
          <w:rFonts w:hint="eastAsia" w:eastAsia="宋体" w:cs="Times New Roman"/>
          <w:bCs/>
          <w:color w:val="auto"/>
          <w:spacing w:val="-6"/>
          <w:sz w:val="32"/>
          <w:szCs w:val="32"/>
          <w:lang w:eastAsia="zh-CN"/>
        </w:rPr>
        <w:t>7</w:t>
      </w:r>
      <w:r>
        <w:rPr>
          <w:rFonts w:hAnsi="宋体" w:eastAsia="宋体" w:cs="Times New Roman"/>
          <w:color w:val="auto"/>
          <w:spacing w:val="-6"/>
          <w:sz w:val="32"/>
          <w:szCs w:val="32"/>
          <w:lang w:eastAsia="zh-CN"/>
        </w:rPr>
        <w:t>月</w:t>
      </w:r>
    </w:p>
    <w:p>
      <w:pPr>
        <w:widowControl w:val="0"/>
        <w:kinsoku/>
        <w:topLinePunct/>
        <w:autoSpaceDE/>
        <w:autoSpaceDN/>
        <w:spacing w:line="360" w:lineRule="auto"/>
        <w:ind w:firstLine="0" w:firstLineChars="0"/>
        <w:jc w:val="center"/>
        <w:rPr>
          <w:rFonts w:hAnsi="宋体" w:eastAsia="宋体" w:cs="Times New Roman"/>
          <w:color w:val="auto"/>
          <w:spacing w:val="-6"/>
          <w:sz w:val="32"/>
          <w:szCs w:val="32"/>
          <w:lang w:eastAsia="zh-CN"/>
        </w:rPr>
      </w:pPr>
    </w:p>
    <w:p>
      <w:pPr>
        <w:widowControl w:val="0"/>
        <w:kinsoku/>
        <w:topLinePunct/>
        <w:autoSpaceDE/>
        <w:autoSpaceDN/>
        <w:spacing w:line="600" w:lineRule="auto"/>
        <w:ind w:firstLine="0" w:firstLineChars="0"/>
        <w:jc w:val="center"/>
        <w:rPr>
          <w:rFonts w:eastAsia="宋体" w:cs="Times New Roman"/>
          <w:color w:val="auto"/>
          <w:spacing w:val="-6"/>
          <w:sz w:val="32"/>
          <w:szCs w:val="32"/>
          <w:lang w:eastAsia="zh-CN"/>
        </w:rPr>
        <w:sectPr>
          <w:headerReference r:id="rId7" w:type="first"/>
          <w:footerReference r:id="rId10" w:type="first"/>
          <w:headerReference r:id="rId5" w:type="default"/>
          <w:footerReference r:id="rId8" w:type="default"/>
          <w:headerReference r:id="rId6" w:type="even"/>
          <w:footerReference r:id="rId9" w:type="even"/>
          <w:pgSz w:w="11909" w:h="16840"/>
          <w:pgMar w:top="1440" w:right="1797" w:bottom="1440" w:left="1797" w:header="0" w:footer="0" w:gutter="0"/>
          <w:cols w:space="720" w:num="1"/>
        </w:sectPr>
      </w:pPr>
    </w:p>
    <w:p>
      <w:pPr>
        <w:spacing w:line="300" w:lineRule="auto"/>
        <w:ind w:left="-600" w:leftChars="-250" w:firstLine="482"/>
        <w:rPr>
          <w:rFonts w:cs="Times New Roman"/>
          <w:b/>
          <w:bCs/>
          <w:color w:val="auto"/>
          <w:lang w:eastAsia="zh-CN"/>
        </w:rPr>
      </w:pPr>
      <w:r>
        <w:rPr>
          <w:rFonts w:cs="Times New Roman"/>
          <w:b/>
          <w:bCs/>
          <w:color w:val="auto"/>
          <w:lang w:eastAsia="zh-CN"/>
        </w:rPr>
        <w:t xml:space="preserve">        </w:t>
      </w:r>
    </w:p>
    <w:p>
      <w:pPr>
        <w:widowControl w:val="0"/>
        <w:kinsoku/>
        <w:snapToGrid/>
        <w:spacing w:line="300" w:lineRule="auto"/>
        <w:ind w:firstLine="0" w:firstLineChars="0"/>
        <w:jc w:val="center"/>
        <w:rPr>
          <w:rFonts w:ascii="仿宋" w:hAnsi="仿宋" w:eastAsia="仿宋" w:cs="Times New Roman"/>
          <w:b/>
          <w:snapToGrid/>
          <w:color w:val="auto"/>
          <w:sz w:val="30"/>
          <w:szCs w:val="30"/>
          <w:lang w:eastAsia="zh-CN"/>
        </w:rPr>
      </w:pPr>
    </w:p>
    <w:p>
      <w:pPr>
        <w:widowControl w:val="0"/>
        <w:kinsoku/>
        <w:snapToGrid/>
        <w:spacing w:line="360" w:lineRule="auto"/>
        <w:ind w:firstLine="0" w:firstLineChars="0"/>
        <w:jc w:val="center"/>
        <w:rPr>
          <w:rFonts w:ascii="仿宋" w:hAnsi="仿宋" w:eastAsia="仿宋" w:cs="Times New Roman"/>
          <w:b/>
          <w:snapToGrid/>
          <w:color w:val="auto"/>
          <w:sz w:val="30"/>
          <w:szCs w:val="30"/>
          <w:lang w:eastAsia="zh-CN"/>
        </w:rPr>
      </w:pPr>
      <w:r>
        <w:rPr>
          <w:rFonts w:ascii="仿宋" w:hAnsi="仿宋" w:eastAsia="仿宋" w:cs="Times New Roman"/>
          <w:b/>
          <w:snapToGrid/>
          <w:color w:val="auto"/>
          <w:sz w:val="30"/>
          <w:szCs w:val="30"/>
          <w:lang w:eastAsia="zh-CN"/>
        </w:rPr>
        <w:t>达州正达凯乙二醇220千伏输电线路工程</w:t>
      </w:r>
    </w:p>
    <w:p>
      <w:pPr>
        <w:widowControl w:val="0"/>
        <w:kinsoku/>
        <w:spacing w:line="360" w:lineRule="auto"/>
        <w:ind w:firstLine="0" w:firstLineChars="0"/>
        <w:jc w:val="center"/>
        <w:rPr>
          <w:rFonts w:ascii="仿宋" w:hAnsi="仿宋" w:eastAsia="仿宋" w:cs="Times New Roman"/>
          <w:b/>
          <w:snapToGrid/>
          <w:color w:val="auto"/>
          <w:sz w:val="30"/>
          <w:szCs w:val="30"/>
          <w:lang w:eastAsia="zh-CN"/>
        </w:rPr>
      </w:pPr>
      <w:r>
        <w:rPr>
          <w:rFonts w:ascii="仿宋" w:hAnsi="仿宋" w:eastAsia="仿宋" w:cs="Times New Roman"/>
          <w:b/>
          <w:snapToGrid/>
          <w:color w:val="auto"/>
          <w:sz w:val="30"/>
          <w:szCs w:val="30"/>
          <w:lang w:eastAsia="zh-CN"/>
        </w:rPr>
        <w:t>水土保持方案报告表</w:t>
      </w:r>
    </w:p>
    <w:p>
      <w:pPr>
        <w:widowControl w:val="0"/>
        <w:tabs>
          <w:tab w:val="left" w:pos="1995"/>
        </w:tabs>
        <w:kinsoku/>
        <w:spacing w:before="139" w:beforeLines="58" w:after="139" w:afterLines="58" w:line="360" w:lineRule="auto"/>
        <w:ind w:firstLine="0" w:firstLineChars="0"/>
        <w:jc w:val="center"/>
        <w:rPr>
          <w:rFonts w:ascii="仿宋" w:hAnsi="仿宋" w:eastAsia="仿宋" w:cs="Times New Roman"/>
          <w:b/>
          <w:snapToGrid/>
          <w:color w:val="auto"/>
          <w:sz w:val="30"/>
          <w:szCs w:val="30"/>
          <w:lang w:eastAsia="zh-CN"/>
        </w:rPr>
      </w:pPr>
      <w:r>
        <w:rPr>
          <w:rFonts w:ascii="仿宋" w:hAnsi="仿宋" w:eastAsia="仿宋" w:cs="Times New Roman"/>
          <w:b/>
          <w:snapToGrid/>
          <w:color w:val="auto"/>
          <w:sz w:val="30"/>
          <w:szCs w:val="30"/>
          <w:lang w:eastAsia="zh-CN"/>
        </w:rPr>
        <w:t>责 任 页</w:t>
      </w:r>
    </w:p>
    <w:p>
      <w:pPr>
        <w:widowControl w:val="0"/>
        <w:kinsoku/>
        <w:spacing w:line="360" w:lineRule="auto"/>
        <w:ind w:left="480" w:leftChars="200" w:firstLine="0" w:firstLineChars="0"/>
        <w:jc w:val="center"/>
        <w:rPr>
          <w:rFonts w:ascii="仿宋" w:hAnsi="仿宋" w:eastAsia="仿宋" w:cs="Times New Roman"/>
          <w:b/>
          <w:snapToGrid/>
          <w:color w:val="auto"/>
          <w:sz w:val="30"/>
          <w:szCs w:val="30"/>
          <w:lang w:eastAsia="zh-CN"/>
        </w:rPr>
      </w:pPr>
      <w:r>
        <w:rPr>
          <w:rFonts w:ascii="仿宋" w:hAnsi="仿宋" w:eastAsia="仿宋" w:cs="Times New Roman"/>
          <w:b/>
          <w:snapToGrid/>
          <w:color w:val="auto"/>
          <w:sz w:val="30"/>
          <w:szCs w:val="30"/>
          <w:lang w:eastAsia="zh-CN"/>
        </w:rPr>
        <w:t>四川省川核鑫达地质工程有限公司</w:t>
      </w:r>
    </w:p>
    <w:p>
      <w:pPr>
        <w:widowControl w:val="0"/>
        <w:kinsoku/>
        <w:spacing w:after="120" w:line="300" w:lineRule="auto"/>
        <w:ind w:left="480" w:leftChars="200" w:firstLine="0" w:firstLineChars="0"/>
        <w:jc w:val="center"/>
        <w:rPr>
          <w:rFonts w:ascii="仿宋" w:hAnsi="仿宋" w:eastAsia="仿宋" w:cs="Times New Roman"/>
          <w:b/>
          <w:snapToGrid/>
          <w:color w:val="auto"/>
          <w:sz w:val="30"/>
          <w:szCs w:val="30"/>
          <w:highlight w:val="yellow"/>
          <w:lang w:eastAsia="zh-CN"/>
        </w:rPr>
      </w:pPr>
    </w:p>
    <w:p>
      <w:pPr>
        <w:widowControl w:val="0"/>
        <w:kinsoku/>
        <w:snapToGrid/>
        <w:spacing w:before="120" w:beforeLines="50" w:after="120" w:afterLines="50" w:line="432" w:lineRule="auto"/>
        <w:ind w:firstLine="641" w:firstLineChars="0"/>
        <w:jc w:val="both"/>
        <w:rPr>
          <w:rFonts w:ascii="仿宋" w:hAnsi="仿宋" w:eastAsia="仿宋" w:cs="Times New Roman"/>
          <w:b/>
          <w:snapToGrid/>
          <w:color w:val="auto"/>
          <w:sz w:val="30"/>
          <w:szCs w:val="30"/>
          <w:lang w:eastAsia="zh-CN"/>
        </w:rPr>
      </w:pPr>
      <w:r>
        <w:rPr>
          <w:rFonts w:ascii="仿宋" w:hAnsi="仿宋" w:eastAsia="仿宋" w:cs="Times New Roman"/>
          <w:b/>
          <w:snapToGrid/>
          <w:color w:val="auto"/>
          <w:sz w:val="30"/>
          <w:szCs w:val="30"/>
          <w:lang w:eastAsia="zh-CN"/>
        </w:rPr>
        <w:t>批准：贾西平（总经理）</w:t>
      </w:r>
    </w:p>
    <w:p>
      <w:pPr>
        <w:widowControl w:val="0"/>
        <w:kinsoku/>
        <w:snapToGrid/>
        <w:spacing w:before="120" w:beforeLines="50" w:after="120" w:afterLines="50" w:line="432" w:lineRule="auto"/>
        <w:ind w:firstLine="641" w:firstLineChars="0"/>
        <w:jc w:val="both"/>
        <w:rPr>
          <w:rFonts w:ascii="仿宋" w:hAnsi="仿宋" w:eastAsia="仿宋" w:cs="Times New Roman"/>
          <w:b/>
          <w:snapToGrid/>
          <w:color w:val="auto"/>
          <w:sz w:val="30"/>
          <w:szCs w:val="30"/>
          <w:lang w:eastAsia="zh-CN"/>
        </w:rPr>
      </w:pPr>
      <w:r>
        <w:rPr>
          <w:rFonts w:ascii="仿宋" w:hAnsi="仿宋" w:eastAsia="仿宋" w:cs="Times New Roman"/>
          <w:b/>
          <w:snapToGrid/>
          <w:color w:val="auto"/>
          <w:sz w:val="30"/>
          <w:szCs w:val="30"/>
          <w:lang w:eastAsia="zh-CN"/>
        </w:rPr>
        <w:t>核定：王进军（高  工）</w:t>
      </w:r>
    </w:p>
    <w:p>
      <w:pPr>
        <w:widowControl w:val="0"/>
        <w:kinsoku/>
        <w:snapToGrid/>
        <w:spacing w:before="120" w:beforeLines="50" w:after="120" w:afterLines="50" w:line="432" w:lineRule="auto"/>
        <w:ind w:firstLine="641" w:firstLineChars="0"/>
        <w:jc w:val="both"/>
        <w:rPr>
          <w:rFonts w:ascii="仿宋" w:hAnsi="仿宋" w:eastAsia="仿宋" w:cs="Times New Roman"/>
          <w:b/>
          <w:snapToGrid/>
          <w:color w:val="auto"/>
          <w:sz w:val="30"/>
          <w:szCs w:val="30"/>
          <w:lang w:eastAsia="zh-CN"/>
        </w:rPr>
      </w:pPr>
      <w:r>
        <w:rPr>
          <w:rFonts w:ascii="仿宋" w:hAnsi="仿宋" w:eastAsia="仿宋" w:cs="Times New Roman"/>
          <w:b/>
          <w:snapToGrid/>
          <w:color w:val="auto"/>
          <w:sz w:val="30"/>
          <w:szCs w:val="30"/>
          <w:lang w:eastAsia="zh-CN"/>
        </w:rPr>
        <w:t>审查：苗  佳（高  工）</w:t>
      </w:r>
    </w:p>
    <w:p>
      <w:pPr>
        <w:widowControl w:val="0"/>
        <w:kinsoku/>
        <w:snapToGrid/>
        <w:spacing w:before="120" w:beforeLines="50" w:after="120" w:afterLines="50" w:line="432" w:lineRule="auto"/>
        <w:ind w:firstLine="641" w:firstLineChars="0"/>
        <w:jc w:val="both"/>
        <w:rPr>
          <w:rFonts w:ascii="仿宋" w:hAnsi="仿宋" w:eastAsia="仿宋" w:cs="Times New Roman"/>
          <w:b/>
          <w:snapToGrid/>
          <w:color w:val="auto"/>
          <w:sz w:val="30"/>
          <w:szCs w:val="30"/>
          <w:lang w:eastAsia="zh-CN"/>
        </w:rPr>
      </w:pPr>
      <w:r>
        <w:rPr>
          <w:rFonts w:ascii="仿宋" w:hAnsi="仿宋" w:eastAsia="仿宋" w:cs="Times New Roman"/>
          <w:b/>
          <w:snapToGrid/>
          <w:color w:val="auto"/>
          <w:sz w:val="30"/>
          <w:szCs w:val="30"/>
          <w:lang w:eastAsia="zh-CN"/>
        </w:rPr>
        <w:t>校核：邓良武（工程师）</w:t>
      </w:r>
    </w:p>
    <w:p>
      <w:pPr>
        <w:widowControl w:val="0"/>
        <w:kinsoku/>
        <w:snapToGrid/>
        <w:spacing w:before="120" w:beforeLines="50" w:after="120" w:afterLines="50" w:line="432" w:lineRule="auto"/>
        <w:ind w:firstLine="641" w:firstLineChars="0"/>
        <w:jc w:val="both"/>
        <w:rPr>
          <w:rFonts w:ascii="仿宋" w:hAnsi="仿宋" w:eastAsia="仿宋" w:cs="Times New Roman"/>
          <w:b/>
          <w:snapToGrid/>
          <w:color w:val="auto"/>
          <w:sz w:val="30"/>
          <w:szCs w:val="30"/>
          <w:lang w:eastAsia="zh-CN"/>
        </w:rPr>
      </w:pPr>
      <w:r>
        <w:rPr>
          <w:rFonts w:ascii="仿宋" w:hAnsi="仿宋" w:eastAsia="仿宋" w:cs="Times New Roman"/>
          <w:b/>
          <w:snapToGrid/>
          <w:color w:val="auto"/>
          <w:sz w:val="30"/>
          <w:szCs w:val="30"/>
          <w:lang w:eastAsia="zh-CN"/>
        </w:rPr>
        <w:t>项目负责人：齐兵德（高  工）</w:t>
      </w:r>
    </w:p>
    <w:p>
      <w:pPr>
        <w:widowControl w:val="0"/>
        <w:kinsoku/>
        <w:snapToGrid/>
        <w:spacing w:line="432" w:lineRule="auto"/>
        <w:ind w:firstLine="643" w:firstLineChars="0"/>
        <w:jc w:val="both"/>
        <w:rPr>
          <w:rFonts w:ascii="仿宋" w:hAnsi="仿宋" w:eastAsia="仿宋" w:cs="Times New Roman"/>
          <w:b/>
          <w:snapToGrid/>
          <w:color w:val="auto"/>
          <w:sz w:val="30"/>
          <w:szCs w:val="30"/>
          <w:lang w:eastAsia="zh-CN"/>
        </w:rPr>
      </w:pPr>
      <w:r>
        <w:rPr>
          <w:rFonts w:ascii="仿宋" w:hAnsi="仿宋" w:eastAsia="仿宋" w:cs="Times New Roman"/>
          <w:b/>
          <w:snapToGrid/>
          <w:color w:val="auto"/>
          <w:sz w:val="30"/>
          <w:szCs w:val="30"/>
          <w:lang w:eastAsia="zh-CN"/>
        </w:rPr>
        <w:t>编写：</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559"/>
        <w:gridCol w:w="3604"/>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vAlign w:val="center"/>
          </w:tcPr>
          <w:p>
            <w:pPr>
              <w:widowControl w:val="0"/>
              <w:tabs>
                <w:tab w:val="left" w:pos="1995"/>
              </w:tabs>
              <w:kinsoku/>
              <w:snapToGrid/>
              <w:spacing w:before="120" w:beforeLines="50" w:line="300" w:lineRule="auto"/>
              <w:ind w:firstLine="0" w:firstLineChars="0"/>
              <w:jc w:val="center"/>
              <w:rPr>
                <w:rFonts w:ascii="仿宋" w:hAnsi="仿宋" w:eastAsia="仿宋" w:cs="Times New Roman"/>
                <w:b/>
                <w:snapToGrid/>
                <w:color w:val="auto"/>
                <w:sz w:val="28"/>
                <w:szCs w:val="28"/>
                <w:lang w:eastAsia="zh-CN"/>
              </w:rPr>
            </w:pPr>
            <w:r>
              <w:rPr>
                <w:rFonts w:ascii="仿宋" w:hAnsi="仿宋" w:eastAsia="仿宋" w:cs="Times New Roman"/>
                <w:b/>
                <w:snapToGrid/>
                <w:color w:val="auto"/>
                <w:sz w:val="28"/>
                <w:szCs w:val="28"/>
                <w:lang w:eastAsia="zh-CN"/>
              </w:rPr>
              <w:t>姓名</w:t>
            </w:r>
          </w:p>
        </w:tc>
        <w:tc>
          <w:tcPr>
            <w:tcW w:w="1559" w:type="dxa"/>
            <w:vAlign w:val="center"/>
          </w:tcPr>
          <w:p>
            <w:pPr>
              <w:widowControl w:val="0"/>
              <w:tabs>
                <w:tab w:val="left" w:pos="1995"/>
              </w:tabs>
              <w:kinsoku/>
              <w:snapToGrid/>
              <w:spacing w:before="120" w:beforeLines="50" w:line="300" w:lineRule="auto"/>
              <w:ind w:firstLine="0" w:firstLineChars="0"/>
              <w:jc w:val="center"/>
              <w:rPr>
                <w:rFonts w:ascii="仿宋" w:hAnsi="仿宋" w:eastAsia="仿宋" w:cs="Times New Roman"/>
                <w:b/>
                <w:snapToGrid/>
                <w:color w:val="auto"/>
                <w:sz w:val="28"/>
                <w:szCs w:val="28"/>
                <w:lang w:eastAsia="zh-CN"/>
              </w:rPr>
            </w:pPr>
            <w:r>
              <w:rPr>
                <w:rFonts w:ascii="仿宋" w:hAnsi="仿宋" w:eastAsia="仿宋" w:cs="Times New Roman"/>
                <w:b/>
                <w:snapToGrid/>
                <w:color w:val="auto"/>
                <w:sz w:val="28"/>
                <w:szCs w:val="28"/>
                <w:lang w:eastAsia="zh-CN"/>
              </w:rPr>
              <w:t>职称</w:t>
            </w:r>
          </w:p>
        </w:tc>
        <w:tc>
          <w:tcPr>
            <w:tcW w:w="3604" w:type="dxa"/>
            <w:vAlign w:val="center"/>
          </w:tcPr>
          <w:p>
            <w:pPr>
              <w:widowControl w:val="0"/>
              <w:tabs>
                <w:tab w:val="left" w:pos="1995"/>
              </w:tabs>
              <w:kinsoku/>
              <w:snapToGrid/>
              <w:spacing w:before="120" w:beforeLines="50" w:line="300" w:lineRule="auto"/>
              <w:ind w:firstLine="0" w:firstLineChars="0"/>
              <w:jc w:val="center"/>
              <w:rPr>
                <w:rFonts w:ascii="仿宋" w:hAnsi="仿宋" w:eastAsia="仿宋" w:cs="Times New Roman"/>
                <w:b/>
                <w:snapToGrid/>
                <w:color w:val="auto"/>
                <w:sz w:val="28"/>
                <w:szCs w:val="28"/>
                <w:lang w:eastAsia="zh-CN"/>
              </w:rPr>
            </w:pPr>
            <w:r>
              <w:rPr>
                <w:rFonts w:ascii="仿宋" w:hAnsi="仿宋" w:eastAsia="仿宋" w:cs="Times New Roman"/>
                <w:b/>
                <w:snapToGrid/>
                <w:color w:val="auto"/>
                <w:sz w:val="28"/>
                <w:szCs w:val="28"/>
                <w:lang w:eastAsia="zh-CN"/>
              </w:rPr>
              <w:t>参编章节、内容或任务分工</w:t>
            </w:r>
          </w:p>
        </w:tc>
        <w:tc>
          <w:tcPr>
            <w:tcW w:w="1979" w:type="dxa"/>
            <w:vAlign w:val="center"/>
          </w:tcPr>
          <w:p>
            <w:pPr>
              <w:widowControl w:val="0"/>
              <w:tabs>
                <w:tab w:val="left" w:pos="1995"/>
              </w:tabs>
              <w:kinsoku/>
              <w:snapToGrid/>
              <w:spacing w:before="120" w:beforeLines="50" w:line="300" w:lineRule="auto"/>
              <w:ind w:firstLine="0" w:firstLineChars="0"/>
              <w:jc w:val="center"/>
              <w:rPr>
                <w:rFonts w:ascii="仿宋" w:hAnsi="仿宋" w:eastAsia="仿宋" w:cs="Times New Roman"/>
                <w:b/>
                <w:snapToGrid/>
                <w:color w:val="auto"/>
                <w:sz w:val="28"/>
                <w:szCs w:val="28"/>
                <w:lang w:eastAsia="zh-CN"/>
              </w:rPr>
            </w:pPr>
            <w:r>
              <w:rPr>
                <w:rFonts w:ascii="仿宋" w:hAnsi="仿宋" w:eastAsia="仿宋" w:cs="Times New Roman"/>
                <w:b/>
                <w:snapToGrid/>
                <w:color w:val="auto"/>
                <w:sz w:val="28"/>
                <w:szCs w:val="28"/>
                <w:lang w:eastAsia="zh-CN"/>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vAlign w:val="center"/>
          </w:tcPr>
          <w:p>
            <w:pPr>
              <w:widowControl w:val="0"/>
              <w:tabs>
                <w:tab w:val="left" w:pos="1995"/>
              </w:tabs>
              <w:kinsoku/>
              <w:snapToGrid/>
              <w:spacing w:before="120" w:beforeLines="50" w:line="300" w:lineRule="auto"/>
              <w:ind w:firstLine="0" w:firstLineChars="0"/>
              <w:jc w:val="center"/>
              <w:rPr>
                <w:rFonts w:ascii="仿宋" w:hAnsi="仿宋" w:eastAsia="仿宋" w:cs="Times New Roman"/>
                <w:b/>
                <w:snapToGrid/>
                <w:color w:val="auto"/>
                <w:sz w:val="28"/>
                <w:szCs w:val="28"/>
                <w:lang w:eastAsia="zh-CN"/>
              </w:rPr>
            </w:pPr>
            <w:r>
              <w:rPr>
                <w:rFonts w:ascii="仿宋" w:hAnsi="仿宋" w:eastAsia="仿宋" w:cs="Times New Roman"/>
                <w:b/>
                <w:snapToGrid/>
                <w:color w:val="auto"/>
                <w:sz w:val="28"/>
                <w:szCs w:val="28"/>
                <w:lang w:eastAsia="zh-CN"/>
              </w:rPr>
              <w:t>齐兵德</w:t>
            </w:r>
          </w:p>
        </w:tc>
        <w:tc>
          <w:tcPr>
            <w:tcW w:w="1559" w:type="dxa"/>
            <w:vAlign w:val="center"/>
          </w:tcPr>
          <w:p>
            <w:pPr>
              <w:widowControl w:val="0"/>
              <w:tabs>
                <w:tab w:val="left" w:pos="1995"/>
              </w:tabs>
              <w:kinsoku/>
              <w:snapToGrid/>
              <w:spacing w:before="120" w:beforeLines="50" w:line="300" w:lineRule="auto"/>
              <w:ind w:firstLine="0" w:firstLineChars="0"/>
              <w:jc w:val="center"/>
              <w:rPr>
                <w:rFonts w:ascii="仿宋" w:hAnsi="仿宋" w:eastAsia="仿宋" w:cs="Times New Roman"/>
                <w:b/>
                <w:snapToGrid/>
                <w:color w:val="auto"/>
                <w:sz w:val="28"/>
                <w:szCs w:val="28"/>
                <w:lang w:eastAsia="zh-CN"/>
              </w:rPr>
            </w:pPr>
            <w:r>
              <w:rPr>
                <w:rFonts w:ascii="仿宋" w:hAnsi="仿宋" w:eastAsia="仿宋" w:cs="Times New Roman"/>
                <w:b/>
                <w:snapToGrid/>
                <w:color w:val="auto"/>
                <w:sz w:val="28"/>
                <w:szCs w:val="28"/>
                <w:lang w:eastAsia="zh-CN"/>
              </w:rPr>
              <w:t>高  工</w:t>
            </w:r>
          </w:p>
        </w:tc>
        <w:tc>
          <w:tcPr>
            <w:tcW w:w="3604" w:type="dxa"/>
            <w:vAlign w:val="center"/>
          </w:tcPr>
          <w:p>
            <w:pPr>
              <w:widowControl w:val="0"/>
              <w:tabs>
                <w:tab w:val="left" w:pos="1995"/>
              </w:tabs>
              <w:kinsoku/>
              <w:snapToGrid/>
              <w:spacing w:before="120" w:beforeLines="50" w:line="300" w:lineRule="auto"/>
              <w:ind w:firstLine="0" w:firstLineChars="0"/>
              <w:jc w:val="center"/>
              <w:rPr>
                <w:rFonts w:ascii="仿宋" w:hAnsi="仿宋" w:eastAsia="仿宋" w:cs="Times New Roman"/>
                <w:b/>
                <w:snapToGrid/>
                <w:color w:val="auto"/>
                <w:sz w:val="28"/>
                <w:szCs w:val="28"/>
                <w:lang w:eastAsia="zh-CN"/>
              </w:rPr>
            </w:pPr>
            <w:r>
              <w:rPr>
                <w:rFonts w:ascii="仿宋" w:hAnsi="仿宋" w:eastAsia="仿宋" w:cs="Times New Roman"/>
                <w:b/>
                <w:snapToGrid/>
                <w:color w:val="auto"/>
                <w:sz w:val="28"/>
                <w:szCs w:val="28"/>
                <w:lang w:eastAsia="zh-CN"/>
              </w:rPr>
              <w:t>综合说明、项目概况、项目水土保持评价</w:t>
            </w:r>
          </w:p>
        </w:tc>
        <w:tc>
          <w:tcPr>
            <w:tcW w:w="1979" w:type="dxa"/>
            <w:vAlign w:val="center"/>
          </w:tcPr>
          <w:p>
            <w:pPr>
              <w:widowControl w:val="0"/>
              <w:tabs>
                <w:tab w:val="left" w:pos="1995"/>
              </w:tabs>
              <w:kinsoku/>
              <w:snapToGrid/>
              <w:spacing w:before="120" w:beforeLines="50" w:line="300" w:lineRule="auto"/>
              <w:ind w:firstLine="0" w:firstLineChars="0"/>
              <w:jc w:val="center"/>
              <w:rPr>
                <w:rFonts w:ascii="仿宋" w:hAnsi="仿宋" w:eastAsia="仿宋" w:cs="Times New Roman"/>
                <w:b/>
                <w:snapToGrid/>
                <w:color w:val="auto"/>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vAlign w:val="center"/>
          </w:tcPr>
          <w:p>
            <w:pPr>
              <w:widowControl w:val="0"/>
              <w:tabs>
                <w:tab w:val="left" w:pos="1995"/>
              </w:tabs>
              <w:kinsoku/>
              <w:snapToGrid/>
              <w:spacing w:before="120" w:beforeLines="50" w:line="300" w:lineRule="auto"/>
              <w:ind w:firstLine="0" w:firstLineChars="0"/>
              <w:jc w:val="center"/>
              <w:rPr>
                <w:rFonts w:ascii="仿宋" w:hAnsi="仿宋" w:eastAsia="仿宋" w:cs="Times New Roman"/>
                <w:b/>
                <w:snapToGrid/>
                <w:color w:val="auto"/>
                <w:sz w:val="28"/>
                <w:szCs w:val="28"/>
                <w:lang w:eastAsia="zh-CN"/>
              </w:rPr>
            </w:pPr>
            <w:r>
              <w:rPr>
                <w:rFonts w:ascii="仿宋" w:hAnsi="仿宋" w:eastAsia="仿宋" w:cs="Times New Roman"/>
                <w:b/>
                <w:snapToGrid/>
                <w:color w:val="auto"/>
                <w:sz w:val="28"/>
                <w:szCs w:val="28"/>
                <w:lang w:eastAsia="zh-CN"/>
              </w:rPr>
              <w:t>冯  平</w:t>
            </w:r>
          </w:p>
        </w:tc>
        <w:tc>
          <w:tcPr>
            <w:tcW w:w="1559" w:type="dxa"/>
            <w:vAlign w:val="center"/>
          </w:tcPr>
          <w:p>
            <w:pPr>
              <w:widowControl w:val="0"/>
              <w:tabs>
                <w:tab w:val="left" w:pos="1995"/>
              </w:tabs>
              <w:kinsoku/>
              <w:snapToGrid/>
              <w:spacing w:before="120" w:beforeLines="50" w:line="300" w:lineRule="auto"/>
              <w:ind w:firstLine="0" w:firstLineChars="0"/>
              <w:jc w:val="center"/>
              <w:rPr>
                <w:rFonts w:ascii="仿宋" w:hAnsi="仿宋" w:eastAsia="仿宋" w:cs="Times New Roman"/>
                <w:b/>
                <w:snapToGrid/>
                <w:color w:val="auto"/>
                <w:sz w:val="28"/>
                <w:szCs w:val="28"/>
                <w:lang w:eastAsia="zh-CN"/>
              </w:rPr>
            </w:pPr>
            <w:r>
              <w:rPr>
                <w:rFonts w:ascii="仿宋" w:hAnsi="仿宋" w:eastAsia="仿宋" w:cs="Times New Roman"/>
                <w:b/>
                <w:snapToGrid/>
                <w:color w:val="auto"/>
                <w:sz w:val="28"/>
                <w:szCs w:val="28"/>
                <w:lang w:eastAsia="zh-CN"/>
              </w:rPr>
              <w:t>高  工</w:t>
            </w:r>
          </w:p>
        </w:tc>
        <w:tc>
          <w:tcPr>
            <w:tcW w:w="3604" w:type="dxa"/>
            <w:vAlign w:val="center"/>
          </w:tcPr>
          <w:p>
            <w:pPr>
              <w:widowControl w:val="0"/>
              <w:tabs>
                <w:tab w:val="left" w:pos="1995"/>
              </w:tabs>
              <w:kinsoku/>
              <w:snapToGrid/>
              <w:spacing w:before="120" w:beforeLines="50" w:line="300" w:lineRule="auto"/>
              <w:ind w:firstLine="0" w:firstLineChars="0"/>
              <w:jc w:val="center"/>
              <w:rPr>
                <w:rFonts w:ascii="仿宋" w:hAnsi="仿宋" w:eastAsia="仿宋" w:cs="Times New Roman"/>
                <w:b/>
                <w:snapToGrid/>
                <w:color w:val="auto"/>
                <w:sz w:val="28"/>
                <w:szCs w:val="28"/>
                <w:lang w:eastAsia="zh-CN"/>
              </w:rPr>
            </w:pPr>
            <w:r>
              <w:rPr>
                <w:rFonts w:ascii="仿宋" w:hAnsi="仿宋" w:eastAsia="仿宋" w:cs="Times New Roman"/>
                <w:b/>
                <w:snapToGrid/>
                <w:color w:val="auto"/>
                <w:sz w:val="28"/>
                <w:szCs w:val="28"/>
                <w:lang w:eastAsia="zh-CN"/>
              </w:rPr>
              <w:t>水土流失分析与预测、水土保持措施、</w:t>
            </w:r>
            <w:r>
              <w:rPr>
                <w:b/>
                <w:color w:val="auto"/>
                <w:sz w:val="30"/>
                <w:szCs w:val="30"/>
                <w:lang w:eastAsia="zh-CN"/>
              </w:rPr>
              <w:t>水土保持管理</w:t>
            </w:r>
          </w:p>
        </w:tc>
        <w:tc>
          <w:tcPr>
            <w:tcW w:w="1979" w:type="dxa"/>
            <w:vAlign w:val="center"/>
          </w:tcPr>
          <w:p>
            <w:pPr>
              <w:widowControl w:val="0"/>
              <w:tabs>
                <w:tab w:val="left" w:pos="1995"/>
              </w:tabs>
              <w:kinsoku/>
              <w:snapToGrid/>
              <w:spacing w:before="120" w:beforeLines="50" w:line="300" w:lineRule="auto"/>
              <w:ind w:firstLine="0" w:firstLineChars="0"/>
              <w:jc w:val="center"/>
              <w:rPr>
                <w:rFonts w:ascii="仿宋" w:hAnsi="仿宋" w:eastAsia="仿宋" w:cs="Times New Roman"/>
                <w:b/>
                <w:snapToGrid/>
                <w:color w:val="auto"/>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0" w:type="dxa"/>
            <w:vAlign w:val="center"/>
          </w:tcPr>
          <w:p>
            <w:pPr>
              <w:widowControl w:val="0"/>
              <w:tabs>
                <w:tab w:val="left" w:pos="1995"/>
              </w:tabs>
              <w:kinsoku/>
              <w:snapToGrid/>
              <w:spacing w:before="120" w:beforeLines="50" w:line="300" w:lineRule="auto"/>
              <w:ind w:firstLine="0" w:firstLineChars="0"/>
              <w:jc w:val="center"/>
              <w:rPr>
                <w:rFonts w:ascii="仿宋" w:hAnsi="仿宋" w:eastAsia="仿宋" w:cs="Times New Roman"/>
                <w:b/>
                <w:snapToGrid/>
                <w:color w:val="auto"/>
                <w:sz w:val="28"/>
                <w:szCs w:val="28"/>
                <w:lang w:eastAsia="zh-CN"/>
              </w:rPr>
            </w:pPr>
            <w:r>
              <w:rPr>
                <w:rFonts w:ascii="仿宋" w:hAnsi="仿宋" w:eastAsia="仿宋" w:cs="Times New Roman"/>
                <w:b/>
                <w:snapToGrid/>
                <w:color w:val="auto"/>
                <w:sz w:val="28"/>
                <w:szCs w:val="28"/>
                <w:lang w:eastAsia="zh-CN"/>
              </w:rPr>
              <w:t xml:space="preserve">邢海国 </w:t>
            </w:r>
          </w:p>
        </w:tc>
        <w:tc>
          <w:tcPr>
            <w:tcW w:w="1559" w:type="dxa"/>
            <w:vAlign w:val="center"/>
          </w:tcPr>
          <w:p>
            <w:pPr>
              <w:widowControl w:val="0"/>
              <w:tabs>
                <w:tab w:val="left" w:pos="1995"/>
              </w:tabs>
              <w:kinsoku/>
              <w:snapToGrid/>
              <w:spacing w:before="120" w:beforeLines="50" w:line="300" w:lineRule="auto"/>
              <w:ind w:firstLine="0" w:firstLineChars="0"/>
              <w:jc w:val="center"/>
              <w:rPr>
                <w:rFonts w:ascii="仿宋" w:hAnsi="仿宋" w:eastAsia="仿宋" w:cs="Times New Roman"/>
                <w:b/>
                <w:snapToGrid/>
                <w:color w:val="auto"/>
                <w:sz w:val="28"/>
                <w:szCs w:val="28"/>
                <w:lang w:eastAsia="zh-CN"/>
              </w:rPr>
            </w:pPr>
            <w:r>
              <w:rPr>
                <w:rFonts w:ascii="仿宋" w:hAnsi="仿宋" w:eastAsia="仿宋" w:cs="Times New Roman"/>
                <w:b/>
                <w:snapToGrid/>
                <w:color w:val="auto"/>
                <w:sz w:val="28"/>
                <w:szCs w:val="28"/>
                <w:lang w:eastAsia="zh-CN"/>
              </w:rPr>
              <w:t>工程师</w:t>
            </w:r>
          </w:p>
        </w:tc>
        <w:tc>
          <w:tcPr>
            <w:tcW w:w="3604" w:type="dxa"/>
            <w:vAlign w:val="center"/>
          </w:tcPr>
          <w:p>
            <w:pPr>
              <w:widowControl w:val="0"/>
              <w:tabs>
                <w:tab w:val="left" w:pos="1995"/>
              </w:tabs>
              <w:kinsoku/>
              <w:snapToGrid/>
              <w:spacing w:before="120" w:beforeLines="50" w:line="300" w:lineRule="auto"/>
              <w:ind w:firstLine="0" w:firstLineChars="0"/>
              <w:jc w:val="center"/>
              <w:rPr>
                <w:rFonts w:ascii="仿宋" w:hAnsi="仿宋" w:eastAsia="仿宋" w:cs="Times New Roman"/>
                <w:b/>
                <w:snapToGrid/>
                <w:color w:val="auto"/>
                <w:sz w:val="28"/>
                <w:szCs w:val="28"/>
                <w:lang w:eastAsia="zh-CN"/>
              </w:rPr>
            </w:pPr>
            <w:r>
              <w:rPr>
                <w:rFonts w:ascii="仿宋" w:hAnsi="仿宋" w:eastAsia="仿宋" w:cs="Times New Roman"/>
                <w:b/>
                <w:snapToGrid/>
                <w:color w:val="auto"/>
                <w:sz w:val="28"/>
                <w:szCs w:val="28"/>
                <w:lang w:eastAsia="zh-CN"/>
              </w:rPr>
              <w:t>水土保持投资概算及效益分析、水土保持监测</w:t>
            </w:r>
          </w:p>
        </w:tc>
        <w:tc>
          <w:tcPr>
            <w:tcW w:w="1979" w:type="dxa"/>
            <w:vAlign w:val="center"/>
          </w:tcPr>
          <w:p>
            <w:pPr>
              <w:widowControl w:val="0"/>
              <w:tabs>
                <w:tab w:val="left" w:pos="1995"/>
              </w:tabs>
              <w:kinsoku/>
              <w:snapToGrid/>
              <w:spacing w:before="120" w:beforeLines="50" w:line="300" w:lineRule="auto"/>
              <w:ind w:firstLine="0" w:firstLineChars="0"/>
              <w:jc w:val="center"/>
              <w:rPr>
                <w:rFonts w:ascii="仿宋" w:hAnsi="仿宋" w:eastAsia="仿宋" w:cs="Times New Roman"/>
                <w:b/>
                <w:snapToGrid/>
                <w:color w:val="auto"/>
                <w:sz w:val="28"/>
                <w:szCs w:val="28"/>
                <w:lang w:eastAsia="zh-CN"/>
              </w:rPr>
            </w:pPr>
          </w:p>
        </w:tc>
      </w:tr>
    </w:tbl>
    <w:p>
      <w:pPr>
        <w:widowControl w:val="0"/>
        <w:kinsoku/>
        <w:snapToGrid/>
        <w:spacing w:line="300" w:lineRule="auto"/>
        <w:ind w:firstLine="480"/>
        <w:jc w:val="both"/>
        <w:rPr>
          <w:rFonts w:eastAsia="宋体" w:cs="Times New Roman"/>
          <w:snapToGrid/>
          <w:color w:val="auto"/>
          <w:szCs w:val="20"/>
          <w:lang w:eastAsia="zh-CN"/>
        </w:rPr>
      </w:pPr>
    </w:p>
    <w:p>
      <w:pPr>
        <w:kinsoku/>
        <w:autoSpaceDE/>
        <w:autoSpaceDN/>
        <w:adjustRightInd/>
        <w:snapToGrid/>
        <w:spacing w:line="300" w:lineRule="auto"/>
        <w:ind w:firstLine="480"/>
        <w:textAlignment w:val="auto"/>
        <w:rPr>
          <w:rFonts w:eastAsia="宋体" w:cs="Times New Roman"/>
          <w:snapToGrid/>
          <w:color w:val="auto"/>
          <w:szCs w:val="20"/>
          <w:lang w:eastAsia="zh-CN"/>
        </w:rPr>
      </w:pPr>
      <w:r>
        <w:rPr>
          <w:rFonts w:eastAsia="宋体" w:cs="Times New Roman"/>
          <w:snapToGrid/>
          <w:color w:val="auto"/>
          <w:szCs w:val="20"/>
          <w:lang w:eastAsia="zh-CN"/>
        </w:rPr>
        <w:br w:type="page"/>
      </w:r>
    </w:p>
    <w:p>
      <w:pPr>
        <w:widowControl w:val="0"/>
        <w:kinsoku/>
        <w:topLinePunct/>
        <w:autoSpaceDE/>
        <w:autoSpaceDN/>
        <w:spacing w:before="271" w:line="220" w:lineRule="auto"/>
        <w:ind w:firstLine="720"/>
        <w:rPr>
          <w:rFonts w:cs="Times New Roman"/>
          <w:color w:val="auto"/>
          <w:sz w:val="36"/>
          <w:szCs w:val="36"/>
          <w:lang w:eastAsia="zh-CN"/>
        </w:rPr>
      </w:pP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6"/>
        <w:gridCol w:w="4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pPr>
              <w:widowControl w:val="0"/>
              <w:kinsoku/>
              <w:autoSpaceDE/>
              <w:autoSpaceDN/>
              <w:adjustRightInd/>
              <w:snapToGrid/>
              <w:spacing w:line="300" w:lineRule="auto"/>
              <w:ind w:firstLine="0" w:firstLineChars="0"/>
              <w:jc w:val="center"/>
              <w:textAlignment w:val="auto"/>
              <w:rPr>
                <w:rFonts w:eastAsia="等线" w:cs="Times New Roman"/>
                <w:snapToGrid/>
                <w:color w:val="auto"/>
                <w:kern w:val="2"/>
                <w:lang w:eastAsia="zh-CN"/>
              </w:rPr>
            </w:pPr>
            <w:r>
              <w:rPr>
                <w:rFonts w:eastAsia="等线" w:cs="Times New Roman"/>
                <w:snapToGrid/>
                <w:color w:val="auto"/>
                <w:kern w:val="2"/>
                <w:lang w:eastAsia="zh-CN"/>
              </w:rPr>
              <w:drawing>
                <wp:inline distT="0" distB="0" distL="0" distR="0">
                  <wp:extent cx="6070600" cy="2413000"/>
                  <wp:effectExtent l="0" t="0" r="6350" b="6350"/>
                  <wp:docPr id="173327904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33279045" name="图片 1"/>
                          <pic:cNvPicPr>
                            <a:picLocks noChangeAspect="true"/>
                          </pic:cNvPicPr>
                        </pic:nvPicPr>
                        <pic:blipFill>
                          <a:blip r:embed="rId31" cstate="print"/>
                          <a:stretch>
                            <a:fillRect/>
                          </a:stretch>
                        </pic:blipFill>
                        <pic:spPr>
                          <a:xfrm>
                            <a:off x="0" y="0"/>
                            <a:ext cx="6070600" cy="2413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vAlign w:val="center"/>
          </w:tcPr>
          <w:p>
            <w:pPr>
              <w:widowControl w:val="0"/>
              <w:kinsoku/>
              <w:autoSpaceDE/>
              <w:autoSpaceDN/>
              <w:spacing w:line="300" w:lineRule="auto"/>
              <w:ind w:firstLine="0" w:firstLineChars="0"/>
              <w:jc w:val="center"/>
              <w:textAlignment w:val="auto"/>
              <w:rPr>
                <w:rFonts w:cs="Times New Roman"/>
                <w:bCs/>
                <w:snapToGrid/>
                <w:color w:val="auto"/>
                <w:kern w:val="2"/>
                <w:sz w:val="21"/>
                <w:lang w:eastAsia="zh-CN"/>
              </w:rPr>
            </w:pPr>
            <w:r>
              <w:rPr>
                <w:rFonts w:cs="Times New Roman"/>
                <w:bCs/>
                <w:snapToGrid/>
                <w:color w:val="auto"/>
                <w:kern w:val="2"/>
                <w:sz w:val="21"/>
                <w:lang w:eastAsia="zh-CN"/>
              </w:rPr>
              <w:t>图片1 芭蕉-正达凯220kV线路走向全貌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vAlign w:val="center"/>
          </w:tcPr>
          <w:p>
            <w:pPr>
              <w:widowControl w:val="0"/>
              <w:kinsoku/>
              <w:autoSpaceDE/>
              <w:autoSpaceDN/>
              <w:spacing w:line="300" w:lineRule="auto"/>
              <w:ind w:firstLine="0" w:firstLineChars="0"/>
              <w:jc w:val="center"/>
              <w:textAlignment w:val="auto"/>
              <w:rPr>
                <w:rFonts w:cs="Times New Roman"/>
                <w:bCs/>
                <w:snapToGrid/>
                <w:color w:val="auto"/>
                <w:kern w:val="2"/>
                <w:lang w:eastAsia="zh-CN"/>
              </w:rPr>
            </w:pPr>
            <w:r>
              <w:rPr>
                <w:rFonts w:eastAsia="等线" w:cs="Times New Roman"/>
                <w:snapToGrid/>
                <w:color w:val="auto"/>
                <w:kern w:val="2"/>
                <w:lang w:eastAsia="zh-CN"/>
              </w:rPr>
              <w:drawing>
                <wp:inline distT="0" distB="0" distL="0" distR="0">
                  <wp:extent cx="6070600" cy="2528570"/>
                  <wp:effectExtent l="0" t="0" r="6350" b="5080"/>
                  <wp:docPr id="102965621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9656213" name="图片 1"/>
                          <pic:cNvPicPr>
                            <a:picLocks noChangeAspect="true"/>
                          </pic:cNvPicPr>
                        </pic:nvPicPr>
                        <pic:blipFill>
                          <a:blip r:embed="rId32" cstate="print"/>
                          <a:stretch>
                            <a:fillRect/>
                          </a:stretch>
                        </pic:blipFill>
                        <pic:spPr>
                          <a:xfrm>
                            <a:off x="0" y="0"/>
                            <a:ext cx="6070600" cy="25285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vAlign w:val="center"/>
          </w:tcPr>
          <w:p>
            <w:pPr>
              <w:widowControl w:val="0"/>
              <w:kinsoku/>
              <w:autoSpaceDE/>
              <w:autoSpaceDN/>
              <w:spacing w:line="300" w:lineRule="auto"/>
              <w:ind w:firstLine="0" w:firstLineChars="0"/>
              <w:jc w:val="center"/>
              <w:textAlignment w:val="auto"/>
              <w:rPr>
                <w:rFonts w:cs="Times New Roman"/>
                <w:bCs/>
                <w:snapToGrid/>
                <w:color w:val="auto"/>
                <w:kern w:val="2"/>
                <w:lang w:eastAsia="zh-CN"/>
              </w:rPr>
            </w:pPr>
            <w:r>
              <w:rPr>
                <w:rFonts w:cs="Times New Roman"/>
                <w:bCs/>
                <w:snapToGrid/>
                <w:color w:val="auto"/>
                <w:kern w:val="2"/>
                <w:sz w:val="21"/>
                <w:lang w:eastAsia="zh-CN"/>
              </w:rPr>
              <w:t>图片2 玛瑙-正达凯220kV线路走向全貌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pct"/>
          </w:tcPr>
          <w:p>
            <w:pPr>
              <w:widowControl w:val="0"/>
              <w:kinsoku/>
              <w:autoSpaceDE/>
              <w:autoSpaceDN/>
              <w:adjustRightInd/>
              <w:snapToGrid/>
              <w:spacing w:line="300" w:lineRule="auto"/>
              <w:ind w:firstLine="0" w:firstLineChars="0"/>
              <w:jc w:val="both"/>
              <w:textAlignment w:val="auto"/>
              <w:rPr>
                <w:rFonts w:cs="Times New Roman"/>
                <w:bCs/>
                <w:snapToGrid/>
                <w:color w:val="auto"/>
                <w:kern w:val="2"/>
                <w:lang w:eastAsia="zh-CN"/>
              </w:rPr>
            </w:pPr>
            <w:r>
              <w:rPr>
                <w:rFonts w:cs="Times New Roman"/>
                <w:snapToGrid/>
                <w:color w:val="auto"/>
                <w:kern w:val="2"/>
                <w:lang w:eastAsia="zh-CN"/>
              </w:rPr>
              <w:drawing>
                <wp:inline distT="0" distB="0" distL="0" distR="0">
                  <wp:extent cx="2953385" cy="2571115"/>
                  <wp:effectExtent l="0" t="0" r="0" b="635"/>
                  <wp:docPr id="73081387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0813876" name="图片 1"/>
                          <pic:cNvPicPr>
                            <a:picLocks noChangeAspect="true"/>
                          </pic:cNvPicPr>
                        </pic:nvPicPr>
                        <pic:blipFill>
                          <a:blip r:embed="rId33" cstate="print"/>
                          <a:stretch>
                            <a:fillRect/>
                          </a:stretch>
                        </pic:blipFill>
                        <pic:spPr>
                          <a:xfrm>
                            <a:off x="0" y="0"/>
                            <a:ext cx="2953385" cy="2571115"/>
                          </a:xfrm>
                          <a:prstGeom prst="rect">
                            <a:avLst/>
                          </a:prstGeom>
                        </pic:spPr>
                      </pic:pic>
                    </a:graphicData>
                  </a:graphic>
                </wp:inline>
              </w:drawing>
            </w:r>
          </w:p>
        </w:tc>
        <w:tc>
          <w:tcPr>
            <w:tcW w:w="2494"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lang w:eastAsia="zh-CN"/>
              </w:rPr>
            </w:pPr>
            <w:r>
              <w:rPr>
                <w:rFonts w:cs="Times New Roman"/>
                <w:snapToGrid/>
                <w:color w:val="auto"/>
                <w:kern w:val="2"/>
                <w:lang w:eastAsia="zh-CN"/>
              </w:rPr>
              <w:drawing>
                <wp:inline distT="0" distB="0" distL="0" distR="0">
                  <wp:extent cx="2980055" cy="2519045"/>
                  <wp:effectExtent l="0" t="0" r="0" b="0"/>
                  <wp:docPr id="160942034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09420345" name="图片 1"/>
                          <pic:cNvPicPr>
                            <a:picLocks noChangeAspect="true"/>
                          </pic:cNvPicPr>
                        </pic:nvPicPr>
                        <pic:blipFill>
                          <a:blip r:embed="rId34" cstate="print"/>
                          <a:srcRect b="3490"/>
                          <a:stretch>
                            <a:fillRect/>
                          </a:stretch>
                        </pic:blipFill>
                        <pic:spPr>
                          <a:xfrm>
                            <a:off x="0" y="0"/>
                            <a:ext cx="2980055" cy="2519396"/>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pct"/>
          </w:tcPr>
          <w:p>
            <w:pPr>
              <w:widowControl w:val="0"/>
              <w:kinsoku/>
              <w:autoSpaceDE/>
              <w:autoSpaceDN/>
              <w:spacing w:line="300" w:lineRule="auto"/>
              <w:ind w:firstLine="0" w:firstLineChars="0"/>
              <w:jc w:val="center"/>
              <w:textAlignment w:val="auto"/>
              <w:rPr>
                <w:rFonts w:cs="Times New Roman"/>
                <w:bCs/>
                <w:snapToGrid/>
                <w:color w:val="auto"/>
                <w:kern w:val="2"/>
                <w:lang w:eastAsia="zh-CN"/>
              </w:rPr>
            </w:pPr>
            <w:r>
              <w:rPr>
                <w:rFonts w:cs="Times New Roman"/>
                <w:bCs/>
                <w:snapToGrid/>
                <w:color w:val="auto"/>
                <w:kern w:val="2"/>
                <w:sz w:val="21"/>
                <w:lang w:eastAsia="zh-CN"/>
              </w:rPr>
              <w:t>图片3 玛瑙变电站全景</w:t>
            </w:r>
          </w:p>
        </w:tc>
        <w:tc>
          <w:tcPr>
            <w:tcW w:w="2494" w:type="pct"/>
            <w:vAlign w:val="center"/>
          </w:tcPr>
          <w:p>
            <w:pPr>
              <w:widowControl w:val="0"/>
              <w:kinsoku/>
              <w:autoSpaceDE/>
              <w:autoSpaceDN/>
              <w:spacing w:line="300" w:lineRule="auto"/>
              <w:ind w:firstLine="0" w:firstLineChars="0"/>
              <w:jc w:val="center"/>
              <w:textAlignment w:val="auto"/>
              <w:rPr>
                <w:rFonts w:cs="Times New Roman"/>
                <w:bCs/>
                <w:snapToGrid/>
                <w:color w:val="auto"/>
                <w:kern w:val="2"/>
                <w:lang w:eastAsia="zh-CN"/>
              </w:rPr>
            </w:pPr>
            <w:r>
              <w:rPr>
                <w:rFonts w:cs="Times New Roman"/>
                <w:bCs/>
                <w:snapToGrid/>
                <w:color w:val="auto"/>
                <w:kern w:val="2"/>
                <w:sz w:val="21"/>
                <w:lang w:eastAsia="zh-CN"/>
              </w:rPr>
              <w:t>图片4 芭蕉变电站全景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pct"/>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lang w:eastAsia="zh-CN"/>
              </w:rPr>
            </w:pPr>
            <w:r>
              <w:rPr>
                <w:rFonts w:cs="Times New Roman"/>
                <w:bCs/>
                <w:snapToGrid/>
                <w:color w:val="auto"/>
                <w:kern w:val="2"/>
                <w:lang w:eastAsia="zh-CN"/>
              </w:rPr>
              <w:drawing>
                <wp:inline distT="0" distB="0" distL="0" distR="0">
                  <wp:extent cx="3081020" cy="2141855"/>
                  <wp:effectExtent l="0" t="0" r="5080" b="0"/>
                  <wp:docPr id="645042223"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5042223" name="图片 6"/>
                          <pic:cNvPicPr preferRelativeResize="false">
                            <a:picLocks noChangeAspect="true" noChangeArrowheads="true"/>
                          </pic:cNvPicPr>
                        </pic:nvPicPr>
                        <pic:blipFill>
                          <a:blip r:embed="rId35" cstate="print">
                            <a:extLst>
                              <a:ext uri="{28A0092B-C50C-407E-A947-70E740481C1C}">
                                <a14:useLocalDpi xmlns:a14="http://schemas.microsoft.com/office/drawing/2010/main" val="false"/>
                              </a:ext>
                            </a:extLst>
                          </a:blip>
                          <a:srcRect/>
                          <a:stretch>
                            <a:fillRect/>
                          </a:stretch>
                        </pic:blipFill>
                        <pic:spPr>
                          <a:xfrm>
                            <a:off x="0" y="0"/>
                            <a:ext cx="3081600" cy="2142000"/>
                          </a:xfrm>
                          <a:prstGeom prst="rect">
                            <a:avLst/>
                          </a:prstGeom>
                          <a:noFill/>
                          <a:ln>
                            <a:noFill/>
                          </a:ln>
                        </pic:spPr>
                      </pic:pic>
                    </a:graphicData>
                  </a:graphic>
                </wp:inline>
              </w:drawing>
            </w:r>
          </w:p>
        </w:tc>
        <w:tc>
          <w:tcPr>
            <w:tcW w:w="2494"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lang w:eastAsia="zh-CN"/>
              </w:rPr>
            </w:pPr>
            <w:r>
              <w:rPr>
                <w:rFonts w:cs="Times New Roman"/>
                <w:bCs/>
                <w:snapToGrid/>
                <w:color w:val="auto"/>
                <w:kern w:val="2"/>
                <w:lang w:eastAsia="zh-CN"/>
              </w:rPr>
              <w:drawing>
                <wp:inline distT="0" distB="0" distL="0" distR="0">
                  <wp:extent cx="3081020" cy="2141855"/>
                  <wp:effectExtent l="0" t="0" r="5080" b="0"/>
                  <wp:docPr id="16466707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4667079" name="图片 7"/>
                          <pic:cNvPicPr preferRelativeResize="false">
                            <a:picLocks noChangeAspect="true" noChangeArrowheads="true"/>
                          </pic:cNvPicPr>
                        </pic:nvPicPr>
                        <pic:blipFill>
                          <a:blip r:embed="rId36" cstate="print">
                            <a:extLst>
                              <a:ext uri="{28A0092B-C50C-407E-A947-70E740481C1C}">
                                <a14:useLocalDpi xmlns:a14="http://schemas.microsoft.com/office/drawing/2010/main" val="false"/>
                              </a:ext>
                            </a:extLst>
                          </a:blip>
                          <a:srcRect/>
                          <a:stretch>
                            <a:fillRect/>
                          </a:stretch>
                        </pic:blipFill>
                        <pic:spPr>
                          <a:xfrm>
                            <a:off x="0" y="0"/>
                            <a:ext cx="3081600" cy="2142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pct"/>
          </w:tcPr>
          <w:p>
            <w:pPr>
              <w:widowControl w:val="0"/>
              <w:kinsoku/>
              <w:autoSpaceDE/>
              <w:autoSpaceDN/>
              <w:spacing w:line="300" w:lineRule="auto"/>
              <w:ind w:firstLine="0" w:firstLineChars="0"/>
              <w:jc w:val="center"/>
              <w:textAlignment w:val="auto"/>
              <w:rPr>
                <w:rFonts w:cs="Times New Roman"/>
                <w:bCs/>
                <w:snapToGrid/>
                <w:color w:val="auto"/>
                <w:kern w:val="2"/>
                <w:lang w:eastAsia="zh-CN"/>
              </w:rPr>
            </w:pPr>
            <w:r>
              <w:rPr>
                <w:rFonts w:cs="Times New Roman"/>
                <w:bCs/>
                <w:snapToGrid/>
                <w:color w:val="auto"/>
                <w:kern w:val="2"/>
                <w:sz w:val="21"/>
                <w:lang w:eastAsia="zh-CN"/>
              </w:rPr>
              <w:t>照片1 玛瑙变电站</w:t>
            </w:r>
          </w:p>
        </w:tc>
        <w:tc>
          <w:tcPr>
            <w:tcW w:w="2494" w:type="pct"/>
            <w:vAlign w:val="center"/>
          </w:tcPr>
          <w:p>
            <w:pPr>
              <w:widowControl w:val="0"/>
              <w:kinsoku/>
              <w:autoSpaceDE/>
              <w:autoSpaceDN/>
              <w:spacing w:line="300" w:lineRule="auto"/>
              <w:ind w:firstLine="0" w:firstLineChars="0"/>
              <w:jc w:val="center"/>
              <w:textAlignment w:val="auto"/>
              <w:rPr>
                <w:rFonts w:cs="Times New Roman"/>
                <w:bCs/>
                <w:snapToGrid/>
                <w:color w:val="auto"/>
                <w:kern w:val="2"/>
                <w:lang w:eastAsia="zh-CN"/>
              </w:rPr>
            </w:pPr>
            <w:r>
              <w:rPr>
                <w:rFonts w:cs="Times New Roman"/>
                <w:bCs/>
                <w:snapToGrid/>
                <w:color w:val="auto"/>
                <w:kern w:val="2"/>
                <w:sz w:val="21"/>
                <w:lang w:eastAsia="zh-CN"/>
              </w:rPr>
              <w:t>照片2 芭蕉变电站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lang w:eastAsia="zh-CN"/>
              </w:rPr>
            </w:pPr>
            <w:r>
              <w:rPr>
                <w:rFonts w:cs="Times New Roman"/>
                <w:bCs/>
                <w:snapToGrid/>
                <w:color w:val="auto"/>
                <w:kern w:val="2"/>
                <w:lang w:eastAsia="zh-CN"/>
              </w:rPr>
              <w:drawing>
                <wp:inline distT="0" distB="0" distL="0" distR="0">
                  <wp:extent cx="3081020" cy="2141855"/>
                  <wp:effectExtent l="0" t="0" r="5080" b="0"/>
                  <wp:docPr id="407211111"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7211111" name="图片 9"/>
                          <pic:cNvPicPr preferRelativeResize="false">
                            <a:picLocks noChangeAspect="true" noChangeArrowheads="true"/>
                          </pic:cNvPicPr>
                        </pic:nvPicPr>
                        <pic:blipFill>
                          <a:blip r:embed="rId37" cstate="print">
                            <a:extLst>
                              <a:ext uri="{28A0092B-C50C-407E-A947-70E740481C1C}">
                                <a14:useLocalDpi xmlns:a14="http://schemas.microsoft.com/office/drawing/2010/main" val="false"/>
                              </a:ext>
                            </a:extLst>
                          </a:blip>
                          <a:srcRect l="5573" b="24446"/>
                          <a:stretch>
                            <a:fillRect/>
                          </a:stretch>
                        </pic:blipFill>
                        <pic:spPr>
                          <a:xfrm>
                            <a:off x="0" y="0"/>
                            <a:ext cx="3081600" cy="2142000"/>
                          </a:xfrm>
                          <a:prstGeom prst="rect">
                            <a:avLst/>
                          </a:prstGeom>
                          <a:noFill/>
                          <a:ln>
                            <a:noFill/>
                          </a:ln>
                        </pic:spPr>
                      </pic:pic>
                    </a:graphicData>
                  </a:graphic>
                </wp:inline>
              </w:drawing>
            </w:r>
          </w:p>
        </w:tc>
        <w:tc>
          <w:tcPr>
            <w:tcW w:w="2494"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lang w:eastAsia="zh-CN"/>
              </w:rPr>
            </w:pPr>
            <w:r>
              <w:rPr>
                <w:rFonts w:cs="Times New Roman"/>
                <w:bCs/>
                <w:snapToGrid/>
                <w:color w:val="auto"/>
                <w:kern w:val="2"/>
                <w:lang w:eastAsia="zh-CN"/>
              </w:rPr>
              <w:drawing>
                <wp:inline distT="0" distB="0" distL="0" distR="0">
                  <wp:extent cx="3081020" cy="2141855"/>
                  <wp:effectExtent l="0" t="0" r="5080" b="0"/>
                  <wp:docPr id="277764969"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7764969" name="图片 10"/>
                          <pic:cNvPicPr preferRelativeResize="false">
                            <a:picLocks noChangeAspect="true" noChangeArrowheads="true"/>
                          </pic:cNvPicPr>
                        </pic:nvPicPr>
                        <pic:blipFill>
                          <a:blip r:embed="rId38" cstate="print">
                            <a:extLst>
                              <a:ext uri="{28A0092B-C50C-407E-A947-70E740481C1C}">
                                <a14:useLocalDpi xmlns:a14="http://schemas.microsoft.com/office/drawing/2010/main" val="false"/>
                              </a:ext>
                            </a:extLst>
                          </a:blip>
                          <a:srcRect l="10163" b="30560"/>
                          <a:stretch>
                            <a:fillRect/>
                          </a:stretch>
                        </pic:blipFill>
                        <pic:spPr>
                          <a:xfrm>
                            <a:off x="0" y="0"/>
                            <a:ext cx="3081600" cy="2142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pct"/>
            <w:vAlign w:val="center"/>
          </w:tcPr>
          <w:p>
            <w:pPr>
              <w:widowControl w:val="0"/>
              <w:kinsoku/>
              <w:autoSpaceDE/>
              <w:autoSpaceDN/>
              <w:spacing w:line="300" w:lineRule="auto"/>
              <w:ind w:firstLine="0" w:firstLineChars="0"/>
              <w:jc w:val="center"/>
              <w:textAlignment w:val="auto"/>
              <w:rPr>
                <w:rFonts w:cs="Times New Roman"/>
                <w:bCs/>
                <w:snapToGrid/>
                <w:color w:val="auto"/>
                <w:kern w:val="2"/>
                <w:lang w:eastAsia="zh-CN"/>
              </w:rPr>
            </w:pPr>
            <w:r>
              <w:rPr>
                <w:rFonts w:cs="Times New Roman"/>
                <w:bCs/>
                <w:snapToGrid/>
                <w:color w:val="auto"/>
                <w:kern w:val="2"/>
                <w:sz w:val="21"/>
                <w:lang w:eastAsia="zh-CN"/>
              </w:rPr>
              <w:t>照片3 塔位NA2</w:t>
            </w:r>
          </w:p>
        </w:tc>
        <w:tc>
          <w:tcPr>
            <w:tcW w:w="2494" w:type="pct"/>
            <w:vAlign w:val="center"/>
          </w:tcPr>
          <w:p>
            <w:pPr>
              <w:widowControl w:val="0"/>
              <w:kinsoku/>
              <w:autoSpaceDE/>
              <w:autoSpaceDN/>
              <w:spacing w:line="300" w:lineRule="auto"/>
              <w:ind w:firstLine="0" w:firstLineChars="0"/>
              <w:jc w:val="center"/>
              <w:textAlignment w:val="auto"/>
              <w:rPr>
                <w:rFonts w:cs="Times New Roman"/>
                <w:bCs/>
                <w:snapToGrid/>
                <w:color w:val="auto"/>
                <w:kern w:val="2"/>
                <w:lang w:eastAsia="zh-CN"/>
              </w:rPr>
            </w:pPr>
            <w:r>
              <w:rPr>
                <w:rFonts w:cs="Times New Roman"/>
                <w:bCs/>
                <w:snapToGrid/>
                <w:color w:val="auto"/>
                <w:kern w:val="2"/>
                <w:sz w:val="21"/>
                <w:lang w:eastAsia="zh-CN"/>
              </w:rPr>
              <w:t>照片4 塔位NA6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pct"/>
          </w:tcPr>
          <w:p>
            <w:pPr>
              <w:widowControl w:val="0"/>
              <w:kinsoku/>
              <w:autoSpaceDE/>
              <w:autoSpaceDN/>
              <w:adjustRightInd/>
              <w:snapToGrid/>
              <w:spacing w:line="300" w:lineRule="auto"/>
              <w:ind w:firstLine="0" w:firstLineChars="0"/>
              <w:jc w:val="both"/>
              <w:textAlignment w:val="auto"/>
              <w:rPr>
                <w:rFonts w:cs="Times New Roman"/>
                <w:bCs/>
                <w:snapToGrid/>
                <w:color w:val="auto"/>
                <w:kern w:val="2"/>
                <w:lang w:eastAsia="zh-CN"/>
              </w:rPr>
            </w:pPr>
            <w:r>
              <w:rPr>
                <w:rFonts w:cs="Times New Roman"/>
                <w:bCs/>
                <w:snapToGrid/>
                <w:color w:val="auto"/>
                <w:kern w:val="2"/>
                <w:lang w:eastAsia="zh-CN"/>
              </w:rPr>
              <w:drawing>
                <wp:inline distT="0" distB="0" distL="0" distR="0">
                  <wp:extent cx="3081020" cy="2141855"/>
                  <wp:effectExtent l="0" t="0" r="5080" b="0"/>
                  <wp:docPr id="1453240475"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3240475" name="图片 11"/>
                          <pic:cNvPicPr preferRelativeResize="false">
                            <a:picLocks noChangeAspect="true" noChangeArrowheads="true"/>
                          </pic:cNvPicPr>
                        </pic:nvPicPr>
                        <pic:blipFill>
                          <a:blip r:embed="rId39" cstate="print">
                            <a:extLst>
                              <a:ext uri="{28A0092B-C50C-407E-A947-70E740481C1C}">
                                <a14:useLocalDpi xmlns:a14="http://schemas.microsoft.com/office/drawing/2010/main" val="false"/>
                              </a:ext>
                            </a:extLst>
                          </a:blip>
                          <a:srcRect l="15736" b="23572"/>
                          <a:stretch>
                            <a:fillRect/>
                          </a:stretch>
                        </pic:blipFill>
                        <pic:spPr>
                          <a:xfrm>
                            <a:off x="0" y="0"/>
                            <a:ext cx="3081600" cy="2142000"/>
                          </a:xfrm>
                          <a:prstGeom prst="rect">
                            <a:avLst/>
                          </a:prstGeom>
                          <a:noFill/>
                          <a:ln>
                            <a:noFill/>
                          </a:ln>
                        </pic:spPr>
                      </pic:pic>
                    </a:graphicData>
                  </a:graphic>
                </wp:inline>
              </w:drawing>
            </w:r>
          </w:p>
        </w:tc>
        <w:tc>
          <w:tcPr>
            <w:tcW w:w="2494" w:type="pct"/>
          </w:tcPr>
          <w:p>
            <w:pPr>
              <w:widowControl w:val="0"/>
              <w:kinsoku/>
              <w:autoSpaceDE/>
              <w:autoSpaceDN/>
              <w:adjustRightInd/>
              <w:snapToGrid/>
              <w:spacing w:line="300" w:lineRule="auto"/>
              <w:ind w:firstLine="0" w:firstLineChars="0"/>
              <w:jc w:val="both"/>
              <w:textAlignment w:val="auto"/>
              <w:rPr>
                <w:rFonts w:cs="Times New Roman"/>
                <w:bCs/>
                <w:snapToGrid/>
                <w:color w:val="auto"/>
                <w:kern w:val="2"/>
                <w:lang w:eastAsia="zh-CN"/>
              </w:rPr>
            </w:pPr>
            <w:r>
              <w:rPr>
                <w:rFonts w:cs="Times New Roman"/>
                <w:bCs/>
                <w:snapToGrid/>
                <w:color w:val="auto"/>
                <w:kern w:val="2"/>
                <w:lang w:eastAsia="zh-CN"/>
              </w:rPr>
              <w:drawing>
                <wp:inline distT="0" distB="0" distL="0" distR="0">
                  <wp:extent cx="3081020" cy="2141855"/>
                  <wp:effectExtent l="0" t="0" r="5080" b="0"/>
                  <wp:docPr id="905457069"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5457069" name="图片 12"/>
                          <pic:cNvPicPr preferRelativeResize="false">
                            <a:picLocks noChangeAspect="true" noChangeArrowheads="true"/>
                          </pic:cNvPicPr>
                        </pic:nvPicPr>
                        <pic:blipFill>
                          <a:blip r:embed="rId40" cstate="print">
                            <a:extLst>
                              <a:ext uri="{28A0092B-C50C-407E-A947-70E740481C1C}">
                                <a14:useLocalDpi xmlns:a14="http://schemas.microsoft.com/office/drawing/2010/main" val="false"/>
                              </a:ext>
                            </a:extLst>
                          </a:blip>
                          <a:srcRect l="6556" b="24009"/>
                          <a:stretch>
                            <a:fillRect/>
                          </a:stretch>
                        </pic:blipFill>
                        <pic:spPr>
                          <a:xfrm>
                            <a:off x="0" y="0"/>
                            <a:ext cx="3081600" cy="2142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pct"/>
            <w:vAlign w:val="center"/>
          </w:tcPr>
          <w:p>
            <w:pPr>
              <w:widowControl w:val="0"/>
              <w:kinsoku/>
              <w:autoSpaceDE/>
              <w:autoSpaceDN/>
              <w:spacing w:line="300" w:lineRule="auto"/>
              <w:ind w:firstLine="0" w:firstLineChars="0"/>
              <w:jc w:val="center"/>
              <w:textAlignment w:val="auto"/>
              <w:rPr>
                <w:rFonts w:cs="Times New Roman"/>
                <w:bCs/>
                <w:snapToGrid/>
                <w:color w:val="auto"/>
                <w:kern w:val="2"/>
                <w:lang w:eastAsia="zh-CN"/>
              </w:rPr>
            </w:pPr>
            <w:r>
              <w:rPr>
                <w:rFonts w:cs="Times New Roman"/>
                <w:bCs/>
                <w:snapToGrid/>
                <w:color w:val="auto"/>
                <w:kern w:val="2"/>
                <w:sz w:val="21"/>
                <w:lang w:eastAsia="zh-CN"/>
              </w:rPr>
              <w:t>照片5 塔位NA15</w:t>
            </w:r>
          </w:p>
        </w:tc>
        <w:tc>
          <w:tcPr>
            <w:tcW w:w="2494" w:type="pct"/>
            <w:vAlign w:val="center"/>
          </w:tcPr>
          <w:p>
            <w:pPr>
              <w:widowControl w:val="0"/>
              <w:kinsoku/>
              <w:autoSpaceDE/>
              <w:autoSpaceDN/>
              <w:spacing w:line="300" w:lineRule="auto"/>
              <w:ind w:firstLine="0" w:firstLineChars="0"/>
              <w:jc w:val="center"/>
              <w:textAlignment w:val="auto"/>
              <w:rPr>
                <w:rFonts w:cs="Times New Roman"/>
                <w:bCs/>
                <w:snapToGrid/>
                <w:color w:val="auto"/>
                <w:kern w:val="2"/>
                <w:lang w:eastAsia="zh-CN"/>
              </w:rPr>
            </w:pPr>
            <w:r>
              <w:rPr>
                <w:rFonts w:cs="Times New Roman"/>
                <w:bCs/>
                <w:snapToGrid/>
                <w:color w:val="auto"/>
                <w:kern w:val="2"/>
                <w:sz w:val="21"/>
                <w:lang w:eastAsia="zh-CN"/>
              </w:rPr>
              <w:t>照片6 塔位NA16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pct"/>
          </w:tcPr>
          <w:p>
            <w:pPr>
              <w:widowControl w:val="0"/>
              <w:kinsoku/>
              <w:autoSpaceDE/>
              <w:autoSpaceDN/>
              <w:adjustRightInd/>
              <w:snapToGrid/>
              <w:spacing w:line="300" w:lineRule="auto"/>
              <w:ind w:firstLine="0" w:firstLineChars="0"/>
              <w:jc w:val="both"/>
              <w:textAlignment w:val="auto"/>
              <w:rPr>
                <w:rFonts w:cs="Times New Roman"/>
                <w:bCs/>
                <w:snapToGrid/>
                <w:color w:val="auto"/>
                <w:kern w:val="2"/>
                <w:lang w:eastAsia="zh-CN"/>
              </w:rPr>
            </w:pPr>
            <w:r>
              <w:rPr>
                <w:rFonts w:cs="Times New Roman"/>
                <w:bCs/>
                <w:snapToGrid/>
                <w:color w:val="auto"/>
                <w:kern w:val="2"/>
                <w:lang w:eastAsia="zh-CN"/>
              </w:rPr>
              <w:drawing>
                <wp:inline distT="0" distB="0" distL="0" distR="0">
                  <wp:extent cx="3081020" cy="2141855"/>
                  <wp:effectExtent l="0" t="0" r="5080" b="0"/>
                  <wp:docPr id="1976440550"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76440550" name="图片 13"/>
                          <pic:cNvPicPr preferRelativeResize="false">
                            <a:picLocks noChangeAspect="true" noChangeArrowheads="true"/>
                          </pic:cNvPicPr>
                        </pic:nvPicPr>
                        <pic:blipFill>
                          <a:blip r:embed="rId41" cstate="print">
                            <a:extLst>
                              <a:ext uri="{28A0092B-C50C-407E-A947-70E740481C1C}">
                                <a14:useLocalDpi xmlns:a14="http://schemas.microsoft.com/office/drawing/2010/main" val="false"/>
                              </a:ext>
                            </a:extLst>
                          </a:blip>
                          <a:srcRect l="25244" b="29250"/>
                          <a:stretch>
                            <a:fillRect/>
                          </a:stretch>
                        </pic:blipFill>
                        <pic:spPr>
                          <a:xfrm>
                            <a:off x="0" y="0"/>
                            <a:ext cx="3081600" cy="2142000"/>
                          </a:xfrm>
                          <a:prstGeom prst="rect">
                            <a:avLst/>
                          </a:prstGeom>
                          <a:noFill/>
                          <a:ln>
                            <a:noFill/>
                          </a:ln>
                        </pic:spPr>
                      </pic:pic>
                    </a:graphicData>
                  </a:graphic>
                </wp:inline>
              </w:drawing>
            </w:r>
          </w:p>
        </w:tc>
        <w:tc>
          <w:tcPr>
            <w:tcW w:w="2494" w:type="pct"/>
          </w:tcPr>
          <w:p>
            <w:pPr>
              <w:widowControl w:val="0"/>
              <w:kinsoku/>
              <w:autoSpaceDE/>
              <w:autoSpaceDN/>
              <w:adjustRightInd/>
              <w:snapToGrid/>
              <w:spacing w:line="300" w:lineRule="auto"/>
              <w:ind w:firstLine="0" w:firstLineChars="0"/>
              <w:jc w:val="both"/>
              <w:textAlignment w:val="auto"/>
              <w:rPr>
                <w:rFonts w:cs="Times New Roman"/>
                <w:bCs/>
                <w:snapToGrid/>
                <w:color w:val="auto"/>
                <w:kern w:val="2"/>
                <w:lang w:eastAsia="zh-CN"/>
              </w:rPr>
            </w:pPr>
            <w:r>
              <w:rPr>
                <w:rFonts w:cs="Times New Roman"/>
                <w:bCs/>
                <w:snapToGrid/>
                <w:color w:val="auto"/>
                <w:kern w:val="2"/>
                <w:lang w:eastAsia="zh-CN"/>
              </w:rPr>
              <w:drawing>
                <wp:inline distT="0" distB="0" distL="0" distR="0">
                  <wp:extent cx="3081020" cy="2108835"/>
                  <wp:effectExtent l="0" t="0" r="5080" b="5715"/>
                  <wp:docPr id="1093444682"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3444682" name="图片 14"/>
                          <pic:cNvPicPr>
                            <a:picLocks noChangeAspect="true" noChangeArrowheads="true"/>
                          </pic:cNvPicPr>
                        </pic:nvPicPr>
                        <pic:blipFill>
                          <a:blip r:embed="rId42" cstate="print">
                            <a:extLst>
                              <a:ext uri="{28A0092B-C50C-407E-A947-70E740481C1C}">
                                <a14:useLocalDpi xmlns:a14="http://schemas.microsoft.com/office/drawing/2010/main" val="false"/>
                              </a:ext>
                            </a:extLst>
                          </a:blip>
                          <a:srcRect l="14753" b="22262"/>
                          <a:stretch>
                            <a:fillRect/>
                          </a:stretch>
                        </pic:blipFill>
                        <pic:spPr>
                          <a:xfrm>
                            <a:off x="0" y="0"/>
                            <a:ext cx="3081600" cy="210945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sz w:val="21"/>
                <w:lang w:eastAsia="zh-CN"/>
              </w:rPr>
            </w:pPr>
            <w:r>
              <w:rPr>
                <w:rFonts w:cs="Times New Roman"/>
                <w:bCs/>
                <w:snapToGrid/>
                <w:color w:val="auto"/>
                <w:kern w:val="2"/>
                <w:sz w:val="21"/>
                <w:lang w:eastAsia="zh-CN"/>
              </w:rPr>
              <w:t>照片7 塔位NB1</w:t>
            </w:r>
          </w:p>
        </w:tc>
        <w:tc>
          <w:tcPr>
            <w:tcW w:w="2494"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sz w:val="21"/>
                <w:lang w:eastAsia="zh-CN"/>
              </w:rPr>
            </w:pPr>
            <w:r>
              <w:rPr>
                <w:rFonts w:cs="Times New Roman"/>
                <w:bCs/>
                <w:snapToGrid/>
                <w:color w:val="auto"/>
                <w:kern w:val="2"/>
                <w:sz w:val="21"/>
                <w:lang w:eastAsia="zh-CN"/>
              </w:rPr>
              <w:t>照片8 塔位NB9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lang w:eastAsia="zh-CN"/>
              </w:rPr>
            </w:pPr>
            <w:r>
              <w:rPr>
                <w:rFonts w:eastAsia="等线" w:cs="Times New Roman"/>
                <w:snapToGrid/>
                <w:color w:val="auto"/>
                <w:kern w:val="2"/>
                <w:lang w:eastAsia="zh-CN"/>
              </w:rPr>
              <w:drawing>
                <wp:inline distT="0" distB="0" distL="0" distR="0">
                  <wp:extent cx="3081020" cy="2141855"/>
                  <wp:effectExtent l="0" t="0" r="5080" b="0"/>
                  <wp:docPr id="2093224626"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93224626" name="图片 15"/>
                          <pic:cNvPicPr preferRelativeResize="false">
                            <a:picLocks noChangeAspect="true" noChangeArrowheads="true"/>
                          </pic:cNvPicPr>
                        </pic:nvPicPr>
                        <pic:blipFill>
                          <a:blip r:embed="rId43" cstate="print">
                            <a:extLst>
                              <a:ext uri="{28A0092B-C50C-407E-A947-70E740481C1C}">
                                <a14:useLocalDpi xmlns:a14="http://schemas.microsoft.com/office/drawing/2010/main" val="false"/>
                              </a:ext>
                            </a:extLst>
                          </a:blip>
                          <a:srcRect/>
                          <a:stretch>
                            <a:fillRect/>
                          </a:stretch>
                        </pic:blipFill>
                        <pic:spPr>
                          <a:xfrm>
                            <a:off x="0" y="0"/>
                            <a:ext cx="3081600" cy="2142000"/>
                          </a:xfrm>
                          <a:prstGeom prst="rect">
                            <a:avLst/>
                          </a:prstGeom>
                          <a:noFill/>
                          <a:ln>
                            <a:noFill/>
                          </a:ln>
                        </pic:spPr>
                      </pic:pic>
                    </a:graphicData>
                  </a:graphic>
                </wp:inline>
              </w:drawing>
            </w:r>
          </w:p>
        </w:tc>
        <w:tc>
          <w:tcPr>
            <w:tcW w:w="2494"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lang w:eastAsia="zh-CN"/>
              </w:rPr>
            </w:pPr>
            <w:r>
              <w:rPr>
                <w:rFonts w:cs="Times New Roman"/>
                <w:bCs/>
                <w:snapToGrid/>
                <w:color w:val="auto"/>
                <w:kern w:val="2"/>
                <w:lang w:eastAsia="zh-CN"/>
              </w:rPr>
              <w:drawing>
                <wp:inline distT="0" distB="0" distL="0" distR="0">
                  <wp:extent cx="3081020" cy="2141855"/>
                  <wp:effectExtent l="0" t="0" r="5080" b="0"/>
                  <wp:docPr id="25098255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0982554" name="图片 3"/>
                          <pic:cNvPicPr preferRelativeResize="false">
                            <a:picLocks noChangeAspect="true" noChangeArrowheads="true"/>
                          </pic:cNvPicPr>
                        </pic:nvPicPr>
                        <pic:blipFill>
                          <a:blip r:embed="rId44" cstate="print">
                            <a:extLst>
                              <a:ext uri="{28A0092B-C50C-407E-A947-70E740481C1C}">
                                <a14:useLocalDpi xmlns:a14="http://schemas.microsoft.com/office/drawing/2010/main" val="false"/>
                              </a:ext>
                            </a:extLst>
                          </a:blip>
                          <a:srcRect/>
                          <a:stretch>
                            <a:fillRect/>
                          </a:stretch>
                        </pic:blipFill>
                        <pic:spPr>
                          <a:xfrm>
                            <a:off x="0" y="0"/>
                            <a:ext cx="3081600" cy="2142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sz w:val="21"/>
                <w:lang w:eastAsia="zh-CN"/>
              </w:rPr>
            </w:pPr>
            <w:r>
              <w:rPr>
                <w:rFonts w:cs="Times New Roman"/>
                <w:bCs/>
                <w:snapToGrid/>
                <w:color w:val="auto"/>
                <w:kern w:val="2"/>
                <w:sz w:val="21"/>
                <w:lang w:eastAsia="zh-CN"/>
              </w:rPr>
              <w:t>照片9 塔位NB11</w:t>
            </w:r>
          </w:p>
        </w:tc>
        <w:tc>
          <w:tcPr>
            <w:tcW w:w="2494"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sz w:val="21"/>
                <w:lang w:eastAsia="zh-CN"/>
              </w:rPr>
            </w:pPr>
            <w:r>
              <w:rPr>
                <w:rFonts w:cs="Times New Roman"/>
                <w:bCs/>
                <w:snapToGrid/>
                <w:color w:val="auto"/>
                <w:kern w:val="2"/>
                <w:sz w:val="21"/>
                <w:lang w:eastAsia="zh-CN"/>
              </w:rPr>
              <w:t>照片10 塔位NB12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lang w:eastAsia="zh-CN"/>
              </w:rPr>
            </w:pPr>
            <w:r>
              <w:rPr>
                <w:rFonts w:cs="Times New Roman"/>
                <w:bCs/>
                <w:snapToGrid/>
                <w:color w:val="auto"/>
                <w:kern w:val="2"/>
                <w:lang w:eastAsia="zh-CN"/>
              </w:rPr>
              <w:drawing>
                <wp:inline distT="0" distB="0" distL="0" distR="0">
                  <wp:extent cx="3082925" cy="2140585"/>
                  <wp:effectExtent l="0" t="0" r="3175" b="0"/>
                  <wp:docPr id="122762178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7621784" name="图片 2"/>
                          <pic:cNvPicPr>
                            <a:picLocks noChangeAspect="true" noChangeArrowheads="true"/>
                          </pic:cNvPicPr>
                        </pic:nvPicPr>
                        <pic:blipFill>
                          <a:blip r:embed="rId45" cstate="print">
                            <a:extLst>
                              <a:ext uri="{28A0092B-C50C-407E-A947-70E740481C1C}">
                                <a14:useLocalDpi xmlns:a14="http://schemas.microsoft.com/office/drawing/2010/main" val="false"/>
                              </a:ext>
                            </a:extLst>
                          </a:blip>
                          <a:srcRect/>
                          <a:stretch>
                            <a:fillRect/>
                          </a:stretch>
                        </pic:blipFill>
                        <pic:spPr>
                          <a:xfrm>
                            <a:off x="0" y="0"/>
                            <a:ext cx="3091210" cy="2146019"/>
                          </a:xfrm>
                          <a:prstGeom prst="rect">
                            <a:avLst/>
                          </a:prstGeom>
                          <a:noFill/>
                          <a:ln>
                            <a:noFill/>
                          </a:ln>
                        </pic:spPr>
                      </pic:pic>
                    </a:graphicData>
                  </a:graphic>
                </wp:inline>
              </w:drawing>
            </w:r>
          </w:p>
        </w:tc>
        <w:tc>
          <w:tcPr>
            <w:tcW w:w="2494"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lang w:eastAsia="zh-CN"/>
              </w:rPr>
            </w:pPr>
            <w:r>
              <w:rPr>
                <w:rFonts w:eastAsia="等线" w:cs="Times New Roman"/>
                <w:snapToGrid/>
                <w:color w:val="auto"/>
                <w:kern w:val="2"/>
                <w:lang w:eastAsia="zh-CN"/>
              </w:rPr>
              <w:drawing>
                <wp:inline distT="0" distB="0" distL="0" distR="0">
                  <wp:extent cx="3081020" cy="2141855"/>
                  <wp:effectExtent l="0" t="0" r="5080" b="0"/>
                  <wp:docPr id="1008765972"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8765972" name="图片 16"/>
                          <pic:cNvPicPr preferRelativeResize="false">
                            <a:picLocks noChangeAspect="true" noChangeArrowheads="true"/>
                          </pic:cNvPicPr>
                        </pic:nvPicPr>
                        <pic:blipFill>
                          <a:blip r:embed="rId46" cstate="print">
                            <a:extLst>
                              <a:ext uri="{28A0092B-C50C-407E-A947-70E740481C1C}">
                                <a14:useLocalDpi xmlns:a14="http://schemas.microsoft.com/office/drawing/2010/main" val="false"/>
                              </a:ext>
                            </a:extLst>
                          </a:blip>
                          <a:srcRect l="10910" b="22732"/>
                          <a:stretch>
                            <a:fillRect/>
                          </a:stretch>
                        </pic:blipFill>
                        <pic:spPr>
                          <a:xfrm>
                            <a:off x="0" y="0"/>
                            <a:ext cx="3081600" cy="2142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sz w:val="21"/>
                <w:lang w:eastAsia="zh-CN"/>
              </w:rPr>
            </w:pPr>
            <w:r>
              <w:rPr>
                <w:rFonts w:cs="Times New Roman"/>
                <w:bCs/>
                <w:snapToGrid/>
                <w:color w:val="auto"/>
                <w:kern w:val="2"/>
                <w:sz w:val="21"/>
                <w:lang w:eastAsia="zh-CN"/>
              </w:rPr>
              <w:t>照片11 塔位NB20</w:t>
            </w:r>
          </w:p>
        </w:tc>
        <w:tc>
          <w:tcPr>
            <w:tcW w:w="2494"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sz w:val="21"/>
                <w:lang w:eastAsia="zh-CN"/>
              </w:rPr>
            </w:pPr>
            <w:r>
              <w:rPr>
                <w:rFonts w:cs="Times New Roman"/>
                <w:bCs/>
                <w:snapToGrid/>
                <w:color w:val="auto"/>
                <w:kern w:val="2"/>
                <w:sz w:val="21"/>
                <w:lang w:eastAsia="zh-CN"/>
              </w:rPr>
              <w:t>照片12 塔位NB27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lang w:eastAsia="zh-CN"/>
              </w:rPr>
            </w:pPr>
            <w:r>
              <w:rPr>
                <w:rFonts w:cs="Times New Roman"/>
                <w:bCs/>
                <w:snapToGrid/>
                <w:color w:val="auto"/>
                <w:kern w:val="2"/>
                <w:lang w:eastAsia="zh-CN"/>
              </w:rPr>
              <w:drawing>
                <wp:inline distT="0" distB="0" distL="0" distR="0">
                  <wp:extent cx="3126740" cy="2078355"/>
                  <wp:effectExtent l="0" t="0" r="0" b="0"/>
                  <wp:docPr id="79515075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5150754" name="图片 4"/>
                          <pic:cNvPicPr>
                            <a:picLocks noChangeAspect="true" noChangeArrowheads="true"/>
                          </pic:cNvPicPr>
                        </pic:nvPicPr>
                        <pic:blipFill>
                          <a:blip r:embed="rId47" cstate="print">
                            <a:extLst>
                              <a:ext uri="{28A0092B-C50C-407E-A947-70E740481C1C}">
                                <a14:useLocalDpi xmlns:a14="http://schemas.microsoft.com/office/drawing/2010/main" val="false"/>
                              </a:ext>
                            </a:extLst>
                          </a:blip>
                          <a:srcRect/>
                          <a:stretch>
                            <a:fillRect/>
                          </a:stretch>
                        </pic:blipFill>
                        <pic:spPr>
                          <a:xfrm>
                            <a:off x="0" y="0"/>
                            <a:ext cx="3133494" cy="2083200"/>
                          </a:xfrm>
                          <a:prstGeom prst="rect">
                            <a:avLst/>
                          </a:prstGeom>
                          <a:noFill/>
                          <a:ln>
                            <a:noFill/>
                          </a:ln>
                        </pic:spPr>
                      </pic:pic>
                    </a:graphicData>
                  </a:graphic>
                </wp:inline>
              </w:drawing>
            </w:r>
          </w:p>
        </w:tc>
        <w:tc>
          <w:tcPr>
            <w:tcW w:w="2494"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lang w:eastAsia="zh-CN"/>
              </w:rPr>
            </w:pPr>
            <w:r>
              <w:rPr>
                <w:rFonts w:cs="Times New Roman"/>
                <w:bCs/>
                <w:snapToGrid/>
                <w:color w:val="auto"/>
                <w:kern w:val="2"/>
                <w:lang w:eastAsia="zh-CN"/>
              </w:rPr>
              <w:drawing>
                <wp:inline distT="0" distB="0" distL="0" distR="0">
                  <wp:extent cx="3110230" cy="2054225"/>
                  <wp:effectExtent l="0" t="0" r="0" b="3175"/>
                  <wp:docPr id="70574856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5748563" name="图片 5"/>
                          <pic:cNvPicPr>
                            <a:picLocks noChangeAspect="true" noChangeArrowheads="true"/>
                          </pic:cNvPicPr>
                        </pic:nvPicPr>
                        <pic:blipFill>
                          <a:blip r:embed="rId48" cstate="print">
                            <a:extLst>
                              <a:ext uri="{28A0092B-C50C-407E-A947-70E740481C1C}">
                                <a14:useLocalDpi xmlns:a14="http://schemas.microsoft.com/office/drawing/2010/main" val="false"/>
                              </a:ext>
                            </a:extLst>
                          </a:blip>
                          <a:srcRect/>
                          <a:stretch>
                            <a:fillRect/>
                          </a:stretch>
                        </pic:blipFill>
                        <pic:spPr>
                          <a:xfrm>
                            <a:off x="0" y="0"/>
                            <a:ext cx="3124286" cy="206333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sz w:val="21"/>
                <w:lang w:eastAsia="zh-CN"/>
              </w:rPr>
            </w:pPr>
            <w:r>
              <w:rPr>
                <w:rFonts w:cs="Times New Roman"/>
                <w:bCs/>
                <w:snapToGrid/>
                <w:color w:val="auto"/>
                <w:kern w:val="2"/>
                <w:sz w:val="21"/>
                <w:lang w:eastAsia="zh-CN"/>
              </w:rPr>
              <w:t>照片13 塔位NB03-NB04跨河段</w:t>
            </w:r>
          </w:p>
        </w:tc>
        <w:tc>
          <w:tcPr>
            <w:tcW w:w="2494" w:type="pct"/>
            <w:vAlign w:val="center"/>
          </w:tcPr>
          <w:p>
            <w:pPr>
              <w:widowControl w:val="0"/>
              <w:kinsoku/>
              <w:autoSpaceDE/>
              <w:autoSpaceDN/>
              <w:adjustRightInd/>
              <w:snapToGrid/>
              <w:spacing w:line="300" w:lineRule="auto"/>
              <w:ind w:firstLine="0" w:firstLineChars="0"/>
              <w:jc w:val="center"/>
              <w:textAlignment w:val="auto"/>
              <w:rPr>
                <w:rFonts w:cs="Times New Roman"/>
                <w:bCs/>
                <w:snapToGrid/>
                <w:color w:val="auto"/>
                <w:kern w:val="2"/>
                <w:sz w:val="21"/>
                <w:lang w:eastAsia="zh-CN"/>
              </w:rPr>
            </w:pPr>
            <w:r>
              <w:rPr>
                <w:rFonts w:cs="Times New Roman"/>
                <w:bCs/>
                <w:snapToGrid/>
                <w:color w:val="auto"/>
                <w:kern w:val="2"/>
                <w:sz w:val="21"/>
                <w:lang w:eastAsia="zh-CN"/>
              </w:rPr>
              <w:t>照片14 塔位NB09-NB10跨河段</w:t>
            </w:r>
          </w:p>
        </w:tc>
      </w:tr>
    </w:tbl>
    <w:p>
      <w:pPr>
        <w:widowControl w:val="0"/>
        <w:kinsoku/>
        <w:topLinePunct/>
        <w:autoSpaceDE/>
        <w:autoSpaceDN/>
        <w:spacing w:before="271" w:line="220" w:lineRule="auto"/>
        <w:ind w:left="3227" w:firstLine="720"/>
        <w:rPr>
          <w:rFonts w:cs="Times New Roman"/>
          <w:color w:val="auto"/>
          <w:sz w:val="36"/>
          <w:szCs w:val="36"/>
          <w:lang w:eastAsia="zh-CN"/>
        </w:rPr>
        <w:sectPr>
          <w:pgSz w:w="11909" w:h="16840"/>
          <w:pgMar w:top="1440" w:right="1797" w:bottom="1440" w:left="1797" w:header="0" w:footer="0" w:gutter="0"/>
          <w:cols w:space="720" w:num="1"/>
          <w:docGrid w:linePitch="286" w:charSpace="0"/>
        </w:sectPr>
      </w:pPr>
    </w:p>
    <w:p>
      <w:pPr>
        <w:widowControl w:val="0"/>
        <w:kinsoku/>
        <w:topLinePunct/>
        <w:autoSpaceDE/>
        <w:autoSpaceDN/>
        <w:spacing w:before="19" w:beforeLines="8" w:line="300" w:lineRule="auto"/>
        <w:ind w:firstLine="0" w:firstLineChars="0"/>
        <w:jc w:val="center"/>
        <w:rPr>
          <w:rFonts w:cs="Times New Roman"/>
          <w:b/>
          <w:bCs/>
          <w:color w:val="auto"/>
          <w:szCs w:val="24"/>
          <w:lang w:eastAsia="zh-CN"/>
        </w:rPr>
      </w:pPr>
      <w:r>
        <w:rPr>
          <w:rFonts w:cs="Times New Roman"/>
          <w:b/>
          <w:bCs/>
          <w:color w:val="auto"/>
          <w:szCs w:val="24"/>
          <w:lang w:eastAsia="zh-CN"/>
        </w:rPr>
        <w:t>达州正达凯乙二醇220千伏输电线路工程项目水土保持方案报告表</w:t>
      </w:r>
    </w:p>
    <w:tbl>
      <w:tblPr>
        <w:tblStyle w:val="50"/>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72"/>
        <w:gridCol w:w="256"/>
        <w:gridCol w:w="549"/>
        <w:gridCol w:w="706"/>
        <w:gridCol w:w="671"/>
        <w:gridCol w:w="697"/>
        <w:gridCol w:w="572"/>
        <w:gridCol w:w="256"/>
        <w:gridCol w:w="275"/>
        <w:gridCol w:w="268"/>
        <w:gridCol w:w="151"/>
        <w:gridCol w:w="464"/>
        <w:gridCol w:w="637"/>
        <w:gridCol w:w="210"/>
        <w:gridCol w:w="341"/>
        <w:gridCol w:w="97"/>
        <w:gridCol w:w="45"/>
        <w:gridCol w:w="130"/>
        <w:gridCol w:w="138"/>
        <w:gridCol w:w="12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98" w:type="pct"/>
            <w:gridSpan w:val="2"/>
            <w:vMerge w:val="restart"/>
            <w:tcBorders>
              <w:bottom w:val="nil"/>
            </w:tcBorders>
            <w:vAlign w:val="center"/>
          </w:tcPr>
          <w:p>
            <w:pPr>
              <w:pStyle w:val="13"/>
              <w:rPr>
                <w:rFonts w:cs="Times New Roman"/>
                <w:sz w:val="20"/>
                <w:szCs w:val="20"/>
              </w:rPr>
            </w:pPr>
            <w:r>
              <w:rPr>
                <w:rFonts w:cs="Times New Roman"/>
                <w:sz w:val="20"/>
                <w:szCs w:val="20"/>
              </w:rPr>
              <w:t>项目</w:t>
            </w:r>
          </w:p>
          <w:p>
            <w:pPr>
              <w:pStyle w:val="13"/>
              <w:rPr>
                <w:rFonts w:cs="Times New Roman"/>
                <w:sz w:val="20"/>
                <w:szCs w:val="20"/>
              </w:rPr>
            </w:pPr>
            <w:r>
              <w:rPr>
                <w:rFonts w:cs="Times New Roman"/>
                <w:spacing w:val="-1"/>
                <w:sz w:val="20"/>
                <w:szCs w:val="20"/>
              </w:rPr>
              <w:t>概况</w:t>
            </w:r>
          </w:p>
        </w:tc>
        <w:tc>
          <w:tcPr>
            <w:tcW w:w="1157" w:type="pct"/>
            <w:gridSpan w:val="3"/>
            <w:vAlign w:val="center"/>
          </w:tcPr>
          <w:p>
            <w:pPr>
              <w:pStyle w:val="13"/>
              <w:rPr>
                <w:rFonts w:cs="Times New Roman"/>
                <w:sz w:val="20"/>
                <w:szCs w:val="20"/>
              </w:rPr>
            </w:pPr>
            <w:r>
              <w:rPr>
                <w:rFonts w:cs="Times New Roman"/>
                <w:spacing w:val="-1"/>
                <w:sz w:val="20"/>
                <w:szCs w:val="20"/>
              </w:rPr>
              <w:t>位置</w:t>
            </w:r>
          </w:p>
        </w:tc>
        <w:tc>
          <w:tcPr>
            <w:tcW w:w="3345" w:type="pct"/>
            <w:gridSpan w:val="15"/>
            <w:vAlign w:val="center"/>
          </w:tcPr>
          <w:p>
            <w:pPr>
              <w:pStyle w:val="13"/>
              <w:ind w:firstLine="396"/>
              <w:jc w:val="both"/>
              <w:rPr>
                <w:rFonts w:cs="Times New Roman"/>
                <w:spacing w:val="-1"/>
                <w:sz w:val="20"/>
                <w:szCs w:val="20"/>
              </w:rPr>
            </w:pPr>
            <w:r>
              <w:rPr>
                <w:rFonts w:cs="Times New Roman"/>
                <w:spacing w:val="-1"/>
                <w:sz w:val="20"/>
                <w:szCs w:val="20"/>
              </w:rPr>
              <w:t>达州市宣汉县普光镇、双河镇（玛瑙500kV变电站220kV间隔扩建工程坐标107°38′17.01″E，31°30′23.19″N；芭蕉220kV变电站220kV间隔扩建工程坐标107°46′28.98″E，31°32′52.00″N；玛瑙-正达凯220kV线路工程起点坐标107°38′21.00″E，31°30′27.44″N，终点坐标107°40′45.44″E，31°30′51.65″N；芭蕉-正达凯220kV线路工程起点坐标107°46′28.24″E，31°32′49.94″N，终点坐标107°40′45.03″E，31°30′52.39″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98" w:type="pct"/>
            <w:gridSpan w:val="2"/>
            <w:vMerge w:val="continue"/>
            <w:tcBorders>
              <w:top w:val="nil"/>
              <w:bottom w:val="nil"/>
            </w:tcBorders>
          </w:tcPr>
          <w:p>
            <w:pPr>
              <w:pStyle w:val="13"/>
              <w:rPr>
                <w:rFonts w:cs="Times New Roman"/>
                <w:sz w:val="20"/>
                <w:szCs w:val="20"/>
              </w:rPr>
            </w:pPr>
          </w:p>
        </w:tc>
        <w:tc>
          <w:tcPr>
            <w:tcW w:w="1157" w:type="pct"/>
            <w:gridSpan w:val="3"/>
            <w:vAlign w:val="center"/>
          </w:tcPr>
          <w:p>
            <w:pPr>
              <w:pStyle w:val="13"/>
              <w:rPr>
                <w:rFonts w:cs="Times New Roman"/>
                <w:sz w:val="20"/>
                <w:szCs w:val="20"/>
              </w:rPr>
            </w:pPr>
            <w:r>
              <w:rPr>
                <w:rFonts w:cs="Times New Roman"/>
                <w:spacing w:val="-1"/>
                <w:sz w:val="20"/>
                <w:szCs w:val="20"/>
              </w:rPr>
              <w:t>建设内容</w:t>
            </w:r>
          </w:p>
        </w:tc>
        <w:tc>
          <w:tcPr>
            <w:tcW w:w="3345" w:type="pct"/>
            <w:gridSpan w:val="15"/>
          </w:tcPr>
          <w:p>
            <w:pPr>
              <w:pStyle w:val="13"/>
              <w:ind w:firstLine="396"/>
              <w:jc w:val="both"/>
              <w:rPr>
                <w:rFonts w:cs="Times New Roman"/>
                <w:spacing w:val="-6"/>
                <w:sz w:val="20"/>
                <w:szCs w:val="20"/>
              </w:rPr>
            </w:pPr>
            <w:r>
              <w:rPr>
                <w:rFonts w:cs="Times New Roman"/>
                <w:spacing w:val="-1"/>
                <w:sz w:val="20"/>
                <w:szCs w:val="20"/>
              </w:rPr>
              <w:t>本项目在玛瑙500kV变电站220kV部分扩建正达凯出线间隔1个，在芭蕉220kV变电站220kV部分扩建正达凯出线间隔1个，新建玛瑙-正达凯220kV线路，线路长度4.683km，塔基16基；新建芭蕉-正达凯220kV线路，线路长度为12.452km，塔基32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98" w:type="pct"/>
            <w:gridSpan w:val="2"/>
            <w:vMerge w:val="continue"/>
            <w:tcBorders>
              <w:top w:val="nil"/>
              <w:bottom w:val="nil"/>
            </w:tcBorders>
          </w:tcPr>
          <w:p>
            <w:pPr>
              <w:pStyle w:val="13"/>
              <w:rPr>
                <w:rFonts w:cs="Times New Roman"/>
                <w:sz w:val="20"/>
                <w:szCs w:val="20"/>
              </w:rPr>
            </w:pPr>
          </w:p>
        </w:tc>
        <w:tc>
          <w:tcPr>
            <w:tcW w:w="1157" w:type="pct"/>
            <w:gridSpan w:val="3"/>
            <w:vAlign w:val="center"/>
          </w:tcPr>
          <w:p>
            <w:pPr>
              <w:pStyle w:val="13"/>
              <w:rPr>
                <w:rFonts w:cs="Times New Roman"/>
                <w:sz w:val="20"/>
                <w:szCs w:val="20"/>
              </w:rPr>
            </w:pPr>
            <w:r>
              <w:rPr>
                <w:rFonts w:cs="Times New Roman"/>
                <w:spacing w:val="-1"/>
                <w:sz w:val="20"/>
                <w:szCs w:val="20"/>
              </w:rPr>
              <w:t>建设性质</w:t>
            </w:r>
          </w:p>
        </w:tc>
        <w:tc>
          <w:tcPr>
            <w:tcW w:w="1082" w:type="pct"/>
            <w:gridSpan w:val="4"/>
            <w:vAlign w:val="center"/>
          </w:tcPr>
          <w:p>
            <w:pPr>
              <w:pStyle w:val="13"/>
              <w:rPr>
                <w:rFonts w:cs="Times New Roman"/>
                <w:sz w:val="20"/>
                <w:szCs w:val="20"/>
              </w:rPr>
            </w:pPr>
            <w:r>
              <w:rPr>
                <w:rFonts w:cs="Times New Roman"/>
                <w:sz w:val="20"/>
                <w:szCs w:val="20"/>
              </w:rPr>
              <w:t>新建</w:t>
            </w:r>
          </w:p>
        </w:tc>
        <w:tc>
          <w:tcPr>
            <w:tcW w:w="1040" w:type="pct"/>
            <w:gridSpan w:val="5"/>
            <w:vAlign w:val="center"/>
          </w:tcPr>
          <w:p>
            <w:pPr>
              <w:pStyle w:val="13"/>
              <w:rPr>
                <w:rFonts w:cs="Times New Roman"/>
                <w:sz w:val="20"/>
                <w:szCs w:val="20"/>
              </w:rPr>
            </w:pPr>
            <w:r>
              <w:rPr>
                <w:rFonts w:cs="Times New Roman"/>
                <w:sz w:val="20"/>
                <w:szCs w:val="20"/>
              </w:rPr>
              <w:t>总投资（万元）</w:t>
            </w:r>
          </w:p>
        </w:tc>
        <w:tc>
          <w:tcPr>
            <w:tcW w:w="1223" w:type="pct"/>
            <w:gridSpan w:val="6"/>
            <w:vAlign w:val="center"/>
          </w:tcPr>
          <w:p>
            <w:pPr>
              <w:pStyle w:val="13"/>
              <w:rPr>
                <w:rFonts w:cs="Times New Roman"/>
                <w:sz w:val="20"/>
                <w:szCs w:val="20"/>
              </w:rPr>
            </w:pPr>
            <w:r>
              <w:rPr>
                <w:rFonts w:cs="Times New Roman"/>
                <w:spacing w:val="-2"/>
                <w:sz w:val="20"/>
                <w:szCs w:val="20"/>
              </w:rPr>
              <w:t>9739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98" w:type="pct"/>
            <w:gridSpan w:val="2"/>
            <w:vMerge w:val="continue"/>
            <w:tcBorders>
              <w:top w:val="nil"/>
              <w:bottom w:val="nil"/>
            </w:tcBorders>
          </w:tcPr>
          <w:p>
            <w:pPr>
              <w:pStyle w:val="13"/>
              <w:rPr>
                <w:rFonts w:cs="Times New Roman"/>
                <w:sz w:val="20"/>
                <w:szCs w:val="20"/>
              </w:rPr>
            </w:pPr>
          </w:p>
        </w:tc>
        <w:tc>
          <w:tcPr>
            <w:tcW w:w="1157" w:type="pct"/>
            <w:gridSpan w:val="3"/>
            <w:vMerge w:val="restart"/>
            <w:tcBorders>
              <w:bottom w:val="nil"/>
            </w:tcBorders>
            <w:vAlign w:val="center"/>
          </w:tcPr>
          <w:p>
            <w:pPr>
              <w:pStyle w:val="13"/>
              <w:rPr>
                <w:rFonts w:cs="Times New Roman"/>
                <w:sz w:val="20"/>
                <w:szCs w:val="20"/>
              </w:rPr>
            </w:pPr>
            <w:r>
              <w:rPr>
                <w:rFonts w:cs="Times New Roman"/>
                <w:spacing w:val="-1"/>
                <w:sz w:val="20"/>
                <w:szCs w:val="20"/>
              </w:rPr>
              <w:t>土建投资（万元）</w:t>
            </w:r>
          </w:p>
        </w:tc>
        <w:tc>
          <w:tcPr>
            <w:tcW w:w="1082" w:type="pct"/>
            <w:gridSpan w:val="4"/>
            <w:vMerge w:val="restart"/>
            <w:tcBorders>
              <w:bottom w:val="nil"/>
            </w:tcBorders>
            <w:vAlign w:val="center"/>
          </w:tcPr>
          <w:p>
            <w:pPr>
              <w:pStyle w:val="13"/>
              <w:rPr>
                <w:rFonts w:cs="Times New Roman"/>
                <w:sz w:val="20"/>
                <w:szCs w:val="20"/>
              </w:rPr>
            </w:pPr>
            <w:r>
              <w:rPr>
                <w:rFonts w:cs="Times New Roman"/>
                <w:spacing w:val="-5"/>
                <w:sz w:val="20"/>
                <w:szCs w:val="20"/>
              </w:rPr>
              <w:t>2435</w:t>
            </w:r>
          </w:p>
        </w:tc>
        <w:tc>
          <w:tcPr>
            <w:tcW w:w="1040" w:type="pct"/>
            <w:gridSpan w:val="5"/>
            <w:vMerge w:val="restart"/>
            <w:tcBorders>
              <w:bottom w:val="nil"/>
            </w:tcBorders>
            <w:vAlign w:val="center"/>
          </w:tcPr>
          <w:p>
            <w:pPr>
              <w:pStyle w:val="13"/>
              <w:rPr>
                <w:rFonts w:cs="Times New Roman"/>
                <w:sz w:val="20"/>
                <w:szCs w:val="20"/>
              </w:rPr>
            </w:pPr>
            <w:r>
              <w:rPr>
                <w:rFonts w:cs="Times New Roman"/>
                <w:spacing w:val="-8"/>
                <w:sz w:val="20"/>
                <w:szCs w:val="20"/>
              </w:rPr>
              <w:t>占地面积（m</w:t>
            </w:r>
            <w:r>
              <w:rPr>
                <w:rFonts w:cs="Times New Roman"/>
                <w:spacing w:val="-8"/>
                <w:position w:val="6"/>
                <w:sz w:val="20"/>
                <w:szCs w:val="20"/>
              </w:rPr>
              <w:t xml:space="preserve">2 </w:t>
            </w:r>
            <w:r>
              <w:rPr>
                <w:rFonts w:cs="Times New Roman"/>
                <w:spacing w:val="-8"/>
                <w:sz w:val="20"/>
                <w:szCs w:val="20"/>
              </w:rPr>
              <w:t>）</w:t>
            </w:r>
          </w:p>
        </w:tc>
        <w:tc>
          <w:tcPr>
            <w:tcW w:w="451" w:type="pct"/>
            <w:gridSpan w:val="5"/>
            <w:vAlign w:val="center"/>
          </w:tcPr>
          <w:p>
            <w:pPr>
              <w:pStyle w:val="13"/>
              <w:rPr>
                <w:rFonts w:cs="Times New Roman"/>
                <w:sz w:val="20"/>
                <w:szCs w:val="20"/>
              </w:rPr>
            </w:pPr>
            <w:r>
              <w:rPr>
                <w:rFonts w:cs="Times New Roman"/>
                <w:spacing w:val="-15"/>
                <w:sz w:val="20"/>
                <w:szCs w:val="20"/>
              </w:rPr>
              <w:t>永久：</w:t>
            </w:r>
          </w:p>
        </w:tc>
        <w:tc>
          <w:tcPr>
            <w:tcW w:w="772" w:type="pct"/>
            <w:vAlign w:val="center"/>
          </w:tcPr>
          <w:p>
            <w:pPr>
              <w:pStyle w:val="13"/>
              <w:rPr>
                <w:rFonts w:cs="Times New Roman"/>
                <w:sz w:val="20"/>
                <w:szCs w:val="20"/>
              </w:rPr>
            </w:pPr>
            <w:r>
              <w:rPr>
                <w:rFonts w:cs="Times New Roman"/>
                <w:spacing w:val="-1"/>
                <w:sz w:val="20"/>
                <w:szCs w:val="20"/>
              </w:rPr>
              <w:t>1.02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98" w:type="pct"/>
            <w:gridSpan w:val="2"/>
            <w:vMerge w:val="continue"/>
            <w:tcBorders>
              <w:top w:val="nil"/>
              <w:bottom w:val="nil"/>
            </w:tcBorders>
          </w:tcPr>
          <w:p>
            <w:pPr>
              <w:pStyle w:val="13"/>
              <w:rPr>
                <w:rFonts w:cs="Times New Roman"/>
                <w:sz w:val="20"/>
                <w:szCs w:val="20"/>
              </w:rPr>
            </w:pPr>
          </w:p>
        </w:tc>
        <w:tc>
          <w:tcPr>
            <w:tcW w:w="1157" w:type="pct"/>
            <w:gridSpan w:val="3"/>
            <w:vMerge w:val="continue"/>
            <w:tcBorders>
              <w:top w:val="nil"/>
            </w:tcBorders>
            <w:vAlign w:val="center"/>
          </w:tcPr>
          <w:p>
            <w:pPr>
              <w:pStyle w:val="13"/>
              <w:rPr>
                <w:rFonts w:cs="Times New Roman"/>
                <w:sz w:val="20"/>
                <w:szCs w:val="20"/>
              </w:rPr>
            </w:pPr>
          </w:p>
        </w:tc>
        <w:tc>
          <w:tcPr>
            <w:tcW w:w="1082" w:type="pct"/>
            <w:gridSpan w:val="4"/>
            <w:vMerge w:val="continue"/>
            <w:tcBorders>
              <w:top w:val="nil"/>
            </w:tcBorders>
            <w:vAlign w:val="center"/>
          </w:tcPr>
          <w:p>
            <w:pPr>
              <w:pStyle w:val="13"/>
              <w:rPr>
                <w:rFonts w:cs="Times New Roman"/>
                <w:sz w:val="20"/>
                <w:szCs w:val="20"/>
              </w:rPr>
            </w:pPr>
          </w:p>
        </w:tc>
        <w:tc>
          <w:tcPr>
            <w:tcW w:w="1040" w:type="pct"/>
            <w:gridSpan w:val="5"/>
            <w:vMerge w:val="continue"/>
            <w:tcBorders>
              <w:top w:val="nil"/>
            </w:tcBorders>
            <w:vAlign w:val="center"/>
          </w:tcPr>
          <w:p>
            <w:pPr>
              <w:pStyle w:val="13"/>
              <w:rPr>
                <w:rFonts w:cs="Times New Roman"/>
                <w:sz w:val="20"/>
                <w:szCs w:val="20"/>
              </w:rPr>
            </w:pPr>
          </w:p>
        </w:tc>
        <w:tc>
          <w:tcPr>
            <w:tcW w:w="451" w:type="pct"/>
            <w:gridSpan w:val="5"/>
            <w:vAlign w:val="center"/>
          </w:tcPr>
          <w:p>
            <w:pPr>
              <w:pStyle w:val="13"/>
              <w:rPr>
                <w:rFonts w:cs="Times New Roman"/>
                <w:sz w:val="20"/>
                <w:szCs w:val="20"/>
              </w:rPr>
            </w:pPr>
            <w:r>
              <w:rPr>
                <w:rFonts w:cs="Times New Roman"/>
                <w:spacing w:val="-17"/>
                <w:sz w:val="20"/>
                <w:szCs w:val="20"/>
              </w:rPr>
              <w:t>临时：</w:t>
            </w:r>
          </w:p>
        </w:tc>
        <w:tc>
          <w:tcPr>
            <w:tcW w:w="772" w:type="pct"/>
            <w:vAlign w:val="center"/>
          </w:tcPr>
          <w:p>
            <w:pPr>
              <w:pStyle w:val="13"/>
              <w:rPr>
                <w:rFonts w:cs="Times New Roman"/>
                <w:sz w:val="20"/>
                <w:szCs w:val="20"/>
              </w:rPr>
            </w:pPr>
            <w:r>
              <w:rPr>
                <w:rFonts w:cs="Times New Roman"/>
                <w:spacing w:val="-1"/>
                <w:sz w:val="20"/>
                <w:szCs w:val="20"/>
              </w:rPr>
              <w:t>1.79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98" w:type="pct"/>
            <w:gridSpan w:val="2"/>
            <w:vMerge w:val="continue"/>
            <w:tcBorders>
              <w:top w:val="nil"/>
              <w:bottom w:val="nil"/>
            </w:tcBorders>
          </w:tcPr>
          <w:p>
            <w:pPr>
              <w:pStyle w:val="13"/>
              <w:rPr>
                <w:rFonts w:cs="Times New Roman"/>
                <w:sz w:val="20"/>
                <w:szCs w:val="20"/>
              </w:rPr>
            </w:pPr>
          </w:p>
        </w:tc>
        <w:tc>
          <w:tcPr>
            <w:tcW w:w="1157" w:type="pct"/>
            <w:gridSpan w:val="3"/>
            <w:vAlign w:val="center"/>
          </w:tcPr>
          <w:p>
            <w:pPr>
              <w:pStyle w:val="13"/>
              <w:rPr>
                <w:rFonts w:cs="Times New Roman"/>
                <w:sz w:val="20"/>
                <w:szCs w:val="20"/>
              </w:rPr>
            </w:pPr>
            <w:r>
              <w:rPr>
                <w:rFonts w:cs="Times New Roman"/>
                <w:spacing w:val="-5"/>
                <w:sz w:val="20"/>
                <w:szCs w:val="20"/>
              </w:rPr>
              <w:t>动工时间</w:t>
            </w:r>
          </w:p>
        </w:tc>
        <w:tc>
          <w:tcPr>
            <w:tcW w:w="1082" w:type="pct"/>
            <w:gridSpan w:val="4"/>
            <w:vAlign w:val="center"/>
          </w:tcPr>
          <w:p>
            <w:pPr>
              <w:pStyle w:val="13"/>
              <w:rPr>
                <w:rFonts w:cs="Times New Roman"/>
                <w:sz w:val="20"/>
                <w:szCs w:val="20"/>
              </w:rPr>
            </w:pPr>
            <w:r>
              <w:rPr>
                <w:rFonts w:cs="Times New Roman"/>
                <w:spacing w:val="-1"/>
                <w:sz w:val="20"/>
                <w:szCs w:val="20"/>
              </w:rPr>
              <w:t>2024.08</w:t>
            </w:r>
          </w:p>
        </w:tc>
        <w:tc>
          <w:tcPr>
            <w:tcW w:w="1040" w:type="pct"/>
            <w:gridSpan w:val="5"/>
            <w:vAlign w:val="center"/>
          </w:tcPr>
          <w:p>
            <w:pPr>
              <w:pStyle w:val="13"/>
              <w:rPr>
                <w:rFonts w:cs="Times New Roman"/>
                <w:sz w:val="20"/>
                <w:szCs w:val="20"/>
              </w:rPr>
            </w:pPr>
            <w:r>
              <w:rPr>
                <w:rFonts w:cs="Times New Roman"/>
                <w:spacing w:val="-5"/>
                <w:sz w:val="20"/>
                <w:szCs w:val="20"/>
              </w:rPr>
              <w:t>完工时间</w:t>
            </w:r>
          </w:p>
        </w:tc>
        <w:tc>
          <w:tcPr>
            <w:tcW w:w="1223" w:type="pct"/>
            <w:gridSpan w:val="6"/>
            <w:vAlign w:val="center"/>
          </w:tcPr>
          <w:p>
            <w:pPr>
              <w:pStyle w:val="13"/>
              <w:rPr>
                <w:rFonts w:cs="Times New Roman"/>
                <w:sz w:val="20"/>
                <w:szCs w:val="20"/>
              </w:rPr>
            </w:pPr>
            <w:r>
              <w:rPr>
                <w:rFonts w:cs="Times New Roman"/>
                <w:spacing w:val="-1"/>
                <w:sz w:val="20"/>
                <w:szCs w:val="20"/>
              </w:rPr>
              <w:t>2025.04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98" w:type="pct"/>
            <w:gridSpan w:val="2"/>
            <w:vMerge w:val="continue"/>
            <w:tcBorders>
              <w:top w:val="nil"/>
              <w:bottom w:val="nil"/>
            </w:tcBorders>
          </w:tcPr>
          <w:p>
            <w:pPr>
              <w:pStyle w:val="13"/>
              <w:rPr>
                <w:rFonts w:cs="Times New Roman"/>
                <w:sz w:val="20"/>
                <w:szCs w:val="20"/>
              </w:rPr>
            </w:pPr>
          </w:p>
        </w:tc>
        <w:tc>
          <w:tcPr>
            <w:tcW w:w="1157" w:type="pct"/>
            <w:gridSpan w:val="3"/>
            <w:vMerge w:val="restart"/>
            <w:tcBorders>
              <w:bottom w:val="nil"/>
            </w:tcBorders>
            <w:vAlign w:val="center"/>
          </w:tcPr>
          <w:p>
            <w:pPr>
              <w:pStyle w:val="13"/>
              <w:rPr>
                <w:rFonts w:cs="Times New Roman"/>
                <w:sz w:val="20"/>
                <w:szCs w:val="20"/>
              </w:rPr>
            </w:pPr>
            <w:r>
              <w:rPr>
                <w:rFonts w:cs="Times New Roman"/>
                <w:spacing w:val="-2"/>
                <w:sz w:val="20"/>
                <w:szCs w:val="20"/>
              </w:rPr>
              <w:t>土石方（</w:t>
            </w:r>
            <w:r>
              <w:rPr>
                <w:rFonts w:cs="Times New Roman"/>
                <w:spacing w:val="-45"/>
                <w:sz w:val="20"/>
                <w:szCs w:val="20"/>
              </w:rPr>
              <w:t xml:space="preserve"> </w:t>
            </w:r>
            <w:r>
              <w:rPr>
                <w:rFonts w:cs="Times New Roman"/>
                <w:spacing w:val="-2"/>
                <w:sz w:val="20"/>
                <w:szCs w:val="20"/>
              </w:rPr>
              <w:t>m</w:t>
            </w:r>
            <w:r>
              <w:rPr>
                <w:rFonts w:cs="Times New Roman"/>
                <w:spacing w:val="-2"/>
                <w:position w:val="6"/>
                <w:sz w:val="20"/>
                <w:szCs w:val="20"/>
              </w:rPr>
              <w:t xml:space="preserve">3 </w:t>
            </w:r>
            <w:r>
              <w:rPr>
                <w:rFonts w:cs="Times New Roman"/>
                <w:spacing w:val="-2"/>
                <w:sz w:val="20"/>
                <w:szCs w:val="20"/>
              </w:rPr>
              <w:t>）</w:t>
            </w:r>
          </w:p>
        </w:tc>
        <w:tc>
          <w:tcPr>
            <w:tcW w:w="763" w:type="pct"/>
            <w:gridSpan w:val="2"/>
          </w:tcPr>
          <w:p>
            <w:pPr>
              <w:pStyle w:val="13"/>
              <w:rPr>
                <w:rFonts w:cs="Times New Roman"/>
                <w:sz w:val="20"/>
                <w:szCs w:val="20"/>
              </w:rPr>
            </w:pPr>
            <w:r>
              <w:rPr>
                <w:rFonts w:cs="Times New Roman"/>
                <w:sz w:val="20"/>
                <w:szCs w:val="20"/>
              </w:rPr>
              <w:t>挖方</w:t>
            </w:r>
          </w:p>
        </w:tc>
        <w:tc>
          <w:tcPr>
            <w:tcW w:w="850" w:type="pct"/>
            <w:gridSpan w:val="5"/>
          </w:tcPr>
          <w:p>
            <w:pPr>
              <w:pStyle w:val="13"/>
              <w:rPr>
                <w:rFonts w:cs="Times New Roman"/>
                <w:sz w:val="20"/>
                <w:szCs w:val="20"/>
              </w:rPr>
            </w:pPr>
            <w:r>
              <w:rPr>
                <w:rFonts w:cs="Times New Roman"/>
                <w:spacing w:val="-2"/>
                <w:sz w:val="20"/>
                <w:szCs w:val="20"/>
              </w:rPr>
              <w:t>填方</w:t>
            </w:r>
          </w:p>
        </w:tc>
        <w:tc>
          <w:tcPr>
            <w:tcW w:w="772" w:type="pct"/>
            <w:gridSpan w:val="4"/>
          </w:tcPr>
          <w:p>
            <w:pPr>
              <w:pStyle w:val="13"/>
              <w:rPr>
                <w:rFonts w:cs="Times New Roman"/>
                <w:sz w:val="20"/>
                <w:szCs w:val="20"/>
              </w:rPr>
            </w:pPr>
            <w:r>
              <w:rPr>
                <w:rFonts w:cs="Times New Roman"/>
                <w:spacing w:val="-1"/>
                <w:sz w:val="20"/>
                <w:szCs w:val="20"/>
              </w:rPr>
              <w:t>借方</w:t>
            </w:r>
          </w:p>
        </w:tc>
        <w:tc>
          <w:tcPr>
            <w:tcW w:w="960" w:type="pct"/>
            <w:gridSpan w:val="4"/>
          </w:tcPr>
          <w:p>
            <w:pPr>
              <w:pStyle w:val="13"/>
              <w:rPr>
                <w:rFonts w:cs="Times New Roman"/>
                <w:sz w:val="20"/>
                <w:szCs w:val="20"/>
              </w:rPr>
            </w:pPr>
            <w:r>
              <w:rPr>
                <w:rFonts w:cs="Times New Roman"/>
                <w:spacing w:val="-4"/>
                <w:sz w:val="20"/>
                <w:szCs w:val="20"/>
              </w:rPr>
              <w:t>余（弃）方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98" w:type="pct"/>
            <w:gridSpan w:val="2"/>
            <w:vMerge w:val="continue"/>
            <w:tcBorders>
              <w:top w:val="nil"/>
              <w:bottom w:val="nil"/>
            </w:tcBorders>
          </w:tcPr>
          <w:p>
            <w:pPr>
              <w:pStyle w:val="13"/>
              <w:rPr>
                <w:rFonts w:cs="Times New Roman"/>
                <w:sz w:val="20"/>
                <w:szCs w:val="20"/>
              </w:rPr>
            </w:pPr>
          </w:p>
        </w:tc>
        <w:tc>
          <w:tcPr>
            <w:tcW w:w="1157" w:type="pct"/>
            <w:gridSpan w:val="3"/>
            <w:vMerge w:val="continue"/>
            <w:tcBorders>
              <w:top w:val="nil"/>
            </w:tcBorders>
          </w:tcPr>
          <w:p>
            <w:pPr>
              <w:pStyle w:val="13"/>
              <w:rPr>
                <w:rFonts w:cs="Times New Roman"/>
                <w:sz w:val="20"/>
                <w:szCs w:val="20"/>
              </w:rPr>
            </w:pPr>
          </w:p>
        </w:tc>
        <w:tc>
          <w:tcPr>
            <w:tcW w:w="763" w:type="pct"/>
            <w:gridSpan w:val="2"/>
            <w:vAlign w:val="center"/>
          </w:tcPr>
          <w:p>
            <w:pPr>
              <w:pStyle w:val="13"/>
              <w:rPr>
                <w:rFonts w:cs="Times New Roman"/>
                <w:sz w:val="20"/>
                <w:szCs w:val="20"/>
              </w:rPr>
            </w:pPr>
            <w:r>
              <w:rPr>
                <w:rFonts w:cs="Times New Roman"/>
                <w:spacing w:val="-1"/>
                <w:sz w:val="20"/>
                <w:szCs w:val="20"/>
              </w:rPr>
              <w:t>5461</w:t>
            </w:r>
          </w:p>
        </w:tc>
        <w:tc>
          <w:tcPr>
            <w:tcW w:w="850" w:type="pct"/>
            <w:gridSpan w:val="5"/>
            <w:vAlign w:val="center"/>
          </w:tcPr>
          <w:p>
            <w:pPr>
              <w:pStyle w:val="13"/>
              <w:rPr>
                <w:rFonts w:cs="Times New Roman"/>
                <w:sz w:val="20"/>
                <w:szCs w:val="20"/>
              </w:rPr>
            </w:pPr>
            <w:r>
              <w:rPr>
                <w:rFonts w:cs="Times New Roman"/>
                <w:spacing w:val="-1"/>
                <w:sz w:val="20"/>
                <w:szCs w:val="20"/>
              </w:rPr>
              <w:t>5461</w:t>
            </w:r>
          </w:p>
        </w:tc>
        <w:tc>
          <w:tcPr>
            <w:tcW w:w="772" w:type="pct"/>
            <w:gridSpan w:val="4"/>
          </w:tcPr>
          <w:p>
            <w:pPr>
              <w:pStyle w:val="13"/>
              <w:rPr>
                <w:rFonts w:cs="Times New Roman"/>
                <w:sz w:val="20"/>
                <w:szCs w:val="20"/>
              </w:rPr>
            </w:pPr>
            <w:r>
              <w:rPr>
                <w:rFonts w:cs="Times New Roman"/>
                <w:sz w:val="20"/>
                <w:szCs w:val="20"/>
              </w:rPr>
              <w:t>/</w:t>
            </w:r>
          </w:p>
        </w:tc>
        <w:tc>
          <w:tcPr>
            <w:tcW w:w="960" w:type="pct"/>
            <w:gridSpan w:val="4"/>
          </w:tcPr>
          <w:p>
            <w:pPr>
              <w:pStyle w:val="13"/>
              <w:rPr>
                <w:rFonts w:cs="Times New Roman"/>
                <w:sz w:val="20"/>
                <w:szCs w:val="20"/>
              </w:rPr>
            </w:pPr>
            <w:r>
              <w:rPr>
                <w:rFonts w:hint="eastAsia"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98" w:type="pct"/>
            <w:gridSpan w:val="2"/>
            <w:vMerge w:val="continue"/>
            <w:tcBorders>
              <w:top w:val="nil"/>
              <w:bottom w:val="nil"/>
            </w:tcBorders>
          </w:tcPr>
          <w:p>
            <w:pPr>
              <w:pStyle w:val="13"/>
              <w:rPr>
                <w:rFonts w:cs="Times New Roman"/>
                <w:sz w:val="20"/>
                <w:szCs w:val="20"/>
              </w:rPr>
            </w:pPr>
          </w:p>
        </w:tc>
        <w:tc>
          <w:tcPr>
            <w:tcW w:w="1157" w:type="pct"/>
            <w:gridSpan w:val="3"/>
          </w:tcPr>
          <w:p>
            <w:pPr>
              <w:pStyle w:val="13"/>
              <w:rPr>
                <w:rFonts w:cs="Times New Roman"/>
                <w:sz w:val="20"/>
                <w:szCs w:val="20"/>
              </w:rPr>
            </w:pPr>
            <w:r>
              <w:rPr>
                <w:rFonts w:cs="Times New Roman"/>
                <w:spacing w:val="-6"/>
                <w:sz w:val="20"/>
                <w:szCs w:val="20"/>
              </w:rPr>
              <w:t>取土（石、砂）场</w:t>
            </w:r>
          </w:p>
        </w:tc>
        <w:tc>
          <w:tcPr>
            <w:tcW w:w="3345" w:type="pct"/>
            <w:gridSpan w:val="15"/>
          </w:tcPr>
          <w:p>
            <w:pPr>
              <w:pStyle w:val="13"/>
              <w:rPr>
                <w:rFonts w:cs="Times New Roman"/>
                <w:sz w:val="20"/>
                <w:szCs w:val="20"/>
              </w:rPr>
            </w:pPr>
            <w:r>
              <w:rPr>
                <w:rFonts w:cs="Times New Roman"/>
                <w:sz w:val="20"/>
                <w:szCs w:val="20"/>
              </w:rPr>
              <w:t>未</w:t>
            </w:r>
            <w:r>
              <w:rPr>
                <w:rFonts w:hint="eastAsia" w:cs="Times New Roman"/>
                <w:sz w:val="20"/>
                <w:szCs w:val="20"/>
              </w:rPr>
              <w:t>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98" w:type="pct"/>
            <w:gridSpan w:val="2"/>
            <w:vMerge w:val="continue"/>
            <w:tcBorders>
              <w:top w:val="nil"/>
            </w:tcBorders>
          </w:tcPr>
          <w:p>
            <w:pPr>
              <w:pStyle w:val="13"/>
              <w:rPr>
                <w:rFonts w:cs="Times New Roman"/>
                <w:sz w:val="20"/>
                <w:szCs w:val="20"/>
              </w:rPr>
            </w:pPr>
          </w:p>
        </w:tc>
        <w:tc>
          <w:tcPr>
            <w:tcW w:w="1157" w:type="pct"/>
            <w:gridSpan w:val="3"/>
          </w:tcPr>
          <w:p>
            <w:pPr>
              <w:pStyle w:val="13"/>
              <w:rPr>
                <w:rFonts w:cs="Times New Roman"/>
                <w:sz w:val="20"/>
                <w:szCs w:val="20"/>
              </w:rPr>
            </w:pPr>
            <w:r>
              <w:rPr>
                <w:rFonts w:cs="Times New Roman"/>
                <w:spacing w:val="-7"/>
                <w:sz w:val="20"/>
                <w:szCs w:val="20"/>
              </w:rPr>
              <w:t>弃土（石、渣）场</w:t>
            </w:r>
          </w:p>
        </w:tc>
        <w:tc>
          <w:tcPr>
            <w:tcW w:w="3345" w:type="pct"/>
            <w:gridSpan w:val="15"/>
          </w:tcPr>
          <w:p>
            <w:pPr>
              <w:pStyle w:val="13"/>
              <w:rPr>
                <w:rFonts w:cs="Times New Roman"/>
                <w:sz w:val="20"/>
                <w:szCs w:val="20"/>
              </w:rPr>
            </w:pPr>
            <w:r>
              <w:rPr>
                <w:rFonts w:cs="Times New Roman"/>
                <w:sz w:val="20"/>
                <w:szCs w:val="20"/>
              </w:rPr>
              <w:t>未</w:t>
            </w:r>
            <w:r>
              <w:rPr>
                <w:rFonts w:hint="eastAsia" w:cs="Times New Roman"/>
                <w:sz w:val="20"/>
                <w:szCs w:val="20"/>
              </w:rPr>
              <w:t>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98" w:type="pct"/>
            <w:gridSpan w:val="2"/>
            <w:vMerge w:val="restart"/>
            <w:tcBorders>
              <w:bottom w:val="nil"/>
            </w:tcBorders>
            <w:vAlign w:val="center"/>
          </w:tcPr>
          <w:p>
            <w:pPr>
              <w:pStyle w:val="13"/>
              <w:rPr>
                <w:rFonts w:cs="Times New Roman"/>
                <w:sz w:val="20"/>
                <w:szCs w:val="20"/>
              </w:rPr>
            </w:pPr>
            <w:r>
              <w:rPr>
                <w:rFonts w:cs="Times New Roman"/>
                <w:sz w:val="20"/>
                <w:szCs w:val="20"/>
              </w:rPr>
              <w:t>项目区</w:t>
            </w:r>
            <w:r>
              <w:rPr>
                <w:rFonts w:cs="Times New Roman"/>
                <w:spacing w:val="-1"/>
                <w:sz w:val="20"/>
                <w:szCs w:val="20"/>
              </w:rPr>
              <w:t>概况</w:t>
            </w:r>
          </w:p>
        </w:tc>
        <w:tc>
          <w:tcPr>
            <w:tcW w:w="1157" w:type="pct"/>
            <w:gridSpan w:val="3"/>
            <w:vAlign w:val="center"/>
          </w:tcPr>
          <w:p>
            <w:pPr>
              <w:pStyle w:val="13"/>
              <w:rPr>
                <w:rFonts w:cs="Times New Roman"/>
                <w:sz w:val="20"/>
                <w:szCs w:val="20"/>
              </w:rPr>
            </w:pPr>
            <w:r>
              <w:rPr>
                <w:rFonts w:cs="Times New Roman"/>
                <w:sz w:val="20"/>
                <w:szCs w:val="20"/>
              </w:rPr>
              <w:t>涉及重点防治区</w:t>
            </w:r>
            <w:r>
              <w:rPr>
                <w:rFonts w:cs="Times New Roman"/>
                <w:spacing w:val="-4"/>
                <w:sz w:val="20"/>
                <w:szCs w:val="20"/>
              </w:rPr>
              <w:t>情况</w:t>
            </w:r>
          </w:p>
        </w:tc>
        <w:tc>
          <w:tcPr>
            <w:tcW w:w="1334" w:type="pct"/>
            <w:gridSpan w:val="6"/>
          </w:tcPr>
          <w:p>
            <w:pPr>
              <w:pStyle w:val="13"/>
              <w:rPr>
                <w:rFonts w:cs="Times New Roman"/>
                <w:sz w:val="20"/>
                <w:szCs w:val="20"/>
              </w:rPr>
            </w:pPr>
            <w:r>
              <w:rPr>
                <w:rFonts w:cs="Times New Roman"/>
                <w:spacing w:val="-1"/>
                <w:position w:val="7"/>
                <w:sz w:val="20"/>
                <w:szCs w:val="20"/>
              </w:rPr>
              <w:t>嘉陵江及沱江中下游国家级水土流失重点治理区</w:t>
            </w:r>
          </w:p>
        </w:tc>
        <w:tc>
          <w:tcPr>
            <w:tcW w:w="993" w:type="pct"/>
            <w:gridSpan w:val="4"/>
            <w:vAlign w:val="center"/>
          </w:tcPr>
          <w:p>
            <w:pPr>
              <w:pStyle w:val="13"/>
              <w:rPr>
                <w:rFonts w:cs="Times New Roman"/>
                <w:sz w:val="20"/>
                <w:szCs w:val="20"/>
              </w:rPr>
            </w:pPr>
            <w:r>
              <w:rPr>
                <w:rFonts w:cs="Times New Roman"/>
                <w:spacing w:val="-1"/>
                <w:sz w:val="20"/>
                <w:szCs w:val="20"/>
              </w:rPr>
              <w:t>地貌类型</w:t>
            </w:r>
          </w:p>
        </w:tc>
        <w:tc>
          <w:tcPr>
            <w:tcW w:w="1018" w:type="pct"/>
            <w:gridSpan w:val="5"/>
            <w:vAlign w:val="center"/>
          </w:tcPr>
          <w:p>
            <w:pPr>
              <w:pStyle w:val="13"/>
              <w:rPr>
                <w:rFonts w:cs="Times New Roman"/>
                <w:sz w:val="20"/>
                <w:szCs w:val="20"/>
              </w:rPr>
            </w:pPr>
            <w:r>
              <w:rPr>
                <w:rFonts w:cs="Times New Roman"/>
                <w:spacing w:val="-2"/>
                <w:sz w:val="20"/>
                <w:szCs w:val="20"/>
              </w:rPr>
              <w:t>低山、丘陵地貌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98" w:type="pct"/>
            <w:gridSpan w:val="2"/>
            <w:vMerge w:val="continue"/>
            <w:tcBorders>
              <w:top w:val="nil"/>
            </w:tcBorders>
          </w:tcPr>
          <w:p>
            <w:pPr>
              <w:pStyle w:val="13"/>
              <w:rPr>
                <w:rFonts w:cs="Times New Roman"/>
                <w:sz w:val="20"/>
                <w:szCs w:val="20"/>
              </w:rPr>
            </w:pPr>
          </w:p>
        </w:tc>
        <w:tc>
          <w:tcPr>
            <w:tcW w:w="1157" w:type="pct"/>
            <w:gridSpan w:val="3"/>
            <w:vAlign w:val="center"/>
          </w:tcPr>
          <w:p>
            <w:pPr>
              <w:pStyle w:val="13"/>
              <w:rPr>
                <w:rFonts w:cs="Times New Roman"/>
                <w:sz w:val="20"/>
                <w:szCs w:val="20"/>
              </w:rPr>
            </w:pPr>
            <w:r>
              <w:rPr>
                <w:rFonts w:cs="Times New Roman"/>
                <w:spacing w:val="-2"/>
                <w:sz w:val="20"/>
                <w:szCs w:val="20"/>
              </w:rPr>
              <w:t>原地貌土壤侵蚀</w:t>
            </w:r>
            <w:r>
              <w:rPr>
                <w:rFonts w:cs="Times New Roman"/>
                <w:sz w:val="20"/>
                <w:szCs w:val="20"/>
              </w:rPr>
              <w:t>模数[t/(km</w:t>
            </w:r>
            <w:r>
              <w:rPr>
                <w:rFonts w:cs="Times New Roman"/>
                <w:position w:val="6"/>
                <w:sz w:val="20"/>
                <w:szCs w:val="20"/>
              </w:rPr>
              <w:t>2</w:t>
            </w:r>
            <w:r>
              <w:rPr>
                <w:rFonts w:cs="Times New Roman"/>
                <w:sz w:val="20"/>
                <w:szCs w:val="20"/>
              </w:rPr>
              <w:t>.a)]</w:t>
            </w:r>
          </w:p>
        </w:tc>
        <w:tc>
          <w:tcPr>
            <w:tcW w:w="1334" w:type="pct"/>
            <w:gridSpan w:val="6"/>
            <w:vAlign w:val="center"/>
          </w:tcPr>
          <w:p>
            <w:pPr>
              <w:pStyle w:val="13"/>
              <w:rPr>
                <w:rFonts w:cs="Times New Roman"/>
                <w:sz w:val="20"/>
                <w:szCs w:val="20"/>
              </w:rPr>
            </w:pPr>
            <w:r>
              <w:rPr>
                <w:rFonts w:cs="Times New Roman"/>
                <w:spacing w:val="-1"/>
                <w:sz w:val="20"/>
                <w:szCs w:val="20"/>
              </w:rPr>
              <w:t>1511</w:t>
            </w:r>
          </w:p>
        </w:tc>
        <w:tc>
          <w:tcPr>
            <w:tcW w:w="993" w:type="pct"/>
            <w:gridSpan w:val="4"/>
            <w:vAlign w:val="center"/>
          </w:tcPr>
          <w:p>
            <w:pPr>
              <w:pStyle w:val="13"/>
              <w:rPr>
                <w:rFonts w:cs="Times New Roman"/>
                <w:sz w:val="20"/>
                <w:szCs w:val="20"/>
              </w:rPr>
            </w:pPr>
            <w:r>
              <w:rPr>
                <w:rFonts w:cs="Times New Roman"/>
                <w:spacing w:val="-2"/>
                <w:sz w:val="20"/>
                <w:szCs w:val="20"/>
              </w:rPr>
              <w:t>容许土壤流失量[t/(km</w:t>
            </w:r>
            <w:r>
              <w:rPr>
                <w:rFonts w:cs="Times New Roman"/>
                <w:spacing w:val="-2"/>
                <w:position w:val="6"/>
                <w:sz w:val="20"/>
                <w:szCs w:val="20"/>
              </w:rPr>
              <w:t>2</w:t>
            </w:r>
            <w:r>
              <w:rPr>
                <w:rFonts w:cs="Times New Roman"/>
                <w:spacing w:val="-2"/>
                <w:sz w:val="20"/>
                <w:szCs w:val="20"/>
              </w:rPr>
              <w:t>.a)]</w:t>
            </w:r>
          </w:p>
        </w:tc>
        <w:tc>
          <w:tcPr>
            <w:tcW w:w="1018" w:type="pct"/>
            <w:gridSpan w:val="5"/>
            <w:vAlign w:val="center"/>
          </w:tcPr>
          <w:p>
            <w:pPr>
              <w:pStyle w:val="13"/>
              <w:rPr>
                <w:rFonts w:cs="Times New Roman"/>
                <w:sz w:val="20"/>
                <w:szCs w:val="20"/>
              </w:rPr>
            </w:pPr>
            <w:r>
              <w:rPr>
                <w:rFonts w:cs="Times New Roman"/>
                <w:spacing w:val="-2"/>
                <w:sz w:val="20"/>
                <w:szCs w:val="20"/>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655" w:type="pct"/>
            <w:gridSpan w:val="5"/>
            <w:vAlign w:val="center"/>
          </w:tcPr>
          <w:p>
            <w:pPr>
              <w:pStyle w:val="13"/>
              <w:rPr>
                <w:rFonts w:cs="Times New Roman"/>
                <w:sz w:val="20"/>
                <w:szCs w:val="20"/>
              </w:rPr>
            </w:pPr>
            <w:r>
              <w:rPr>
                <w:rFonts w:cs="Times New Roman"/>
                <w:spacing w:val="-2"/>
                <w:sz w:val="20"/>
                <w:szCs w:val="20"/>
              </w:rPr>
              <w:t>项目选址（线）</w:t>
            </w:r>
            <w:r>
              <w:rPr>
                <w:rFonts w:cs="Times New Roman"/>
                <w:spacing w:val="-1"/>
                <w:sz w:val="20"/>
                <w:szCs w:val="20"/>
              </w:rPr>
              <w:t>水土保持评价</w:t>
            </w:r>
          </w:p>
        </w:tc>
        <w:tc>
          <w:tcPr>
            <w:tcW w:w="3345" w:type="pct"/>
            <w:gridSpan w:val="15"/>
          </w:tcPr>
          <w:p>
            <w:pPr>
              <w:pStyle w:val="13"/>
              <w:ind w:firstLine="400"/>
              <w:jc w:val="both"/>
              <w:rPr>
                <w:rFonts w:cs="Times New Roman"/>
                <w:sz w:val="20"/>
                <w:szCs w:val="20"/>
              </w:rPr>
            </w:pPr>
            <w:r>
              <w:rPr>
                <w:rFonts w:cs="Times New Roman"/>
                <w:sz w:val="20"/>
                <w:szCs w:val="20"/>
              </w:rPr>
              <w:t>工程选址（线）不涉及国家水土保持监测网络中的水土保持监测站点、重点试验区及国家确定的水土保持长期定位观测站，但工程选址无法避让“嘉陵江及沱江中下游国家级水土流失重点治理区”，通过适当提高防治目标值，后续设计和施工采取优化施工方案，减少工程占地和土石方量，提高植物措施标准等措施以控制水土流失。因此，本工程不存在水土保持重大制约性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655" w:type="pct"/>
            <w:gridSpan w:val="5"/>
            <w:vAlign w:val="center"/>
          </w:tcPr>
          <w:p>
            <w:pPr>
              <w:pStyle w:val="13"/>
              <w:rPr>
                <w:rFonts w:cs="Times New Roman"/>
                <w:sz w:val="20"/>
                <w:szCs w:val="20"/>
              </w:rPr>
            </w:pPr>
            <w:r>
              <w:rPr>
                <w:rFonts w:cs="Times New Roman"/>
                <w:sz w:val="20"/>
                <w:szCs w:val="20"/>
              </w:rPr>
              <w:t>预测水土流失总量</w:t>
            </w:r>
          </w:p>
        </w:tc>
        <w:tc>
          <w:tcPr>
            <w:tcW w:w="3345" w:type="pct"/>
            <w:gridSpan w:val="15"/>
            <w:vAlign w:val="center"/>
          </w:tcPr>
          <w:p>
            <w:pPr>
              <w:spacing w:line="240" w:lineRule="atLeast"/>
              <w:ind w:firstLine="400"/>
              <w:rPr>
                <w:color w:val="auto"/>
                <w:sz w:val="20"/>
                <w:szCs w:val="20"/>
                <w:lang w:eastAsia="zh-CN"/>
              </w:rPr>
            </w:pPr>
            <w:r>
              <w:rPr>
                <w:color w:val="auto"/>
                <w:sz w:val="20"/>
                <w:szCs w:val="20"/>
                <w:lang w:eastAsia="zh-CN"/>
              </w:rPr>
              <w:t>项目土壤流失预测总量</w:t>
            </w:r>
            <w:r>
              <w:rPr>
                <w:rFonts w:hint="eastAsia"/>
                <w:color w:val="auto"/>
                <w:sz w:val="20"/>
                <w:szCs w:val="20"/>
                <w:lang w:eastAsia="zh-CN"/>
              </w:rPr>
              <w:t>243</w:t>
            </w:r>
            <w:r>
              <w:rPr>
                <w:color w:val="auto"/>
                <w:sz w:val="20"/>
                <w:szCs w:val="20"/>
                <w:lang w:eastAsia="zh-CN"/>
              </w:rPr>
              <w:t>.</w:t>
            </w:r>
            <w:r>
              <w:rPr>
                <w:rFonts w:hint="eastAsia"/>
                <w:color w:val="auto"/>
                <w:sz w:val="20"/>
                <w:szCs w:val="20"/>
                <w:lang w:eastAsia="zh-CN"/>
              </w:rPr>
              <w:t>77</w:t>
            </w:r>
            <w:r>
              <w:rPr>
                <w:color w:val="auto"/>
                <w:sz w:val="20"/>
                <w:szCs w:val="20"/>
                <w:lang w:eastAsia="zh-CN"/>
              </w:rPr>
              <w:t>t，其中原地貌土壤流失量</w:t>
            </w:r>
            <w:r>
              <w:rPr>
                <w:rFonts w:hint="eastAsia"/>
                <w:color w:val="auto"/>
                <w:sz w:val="20"/>
                <w:szCs w:val="20"/>
                <w:lang w:eastAsia="zh-CN"/>
              </w:rPr>
              <w:t>129</w:t>
            </w:r>
            <w:r>
              <w:rPr>
                <w:color w:val="auto"/>
                <w:sz w:val="20"/>
                <w:szCs w:val="20"/>
                <w:lang w:eastAsia="zh-CN"/>
              </w:rPr>
              <w:t>.</w:t>
            </w:r>
            <w:r>
              <w:rPr>
                <w:rFonts w:hint="eastAsia"/>
                <w:color w:val="auto"/>
                <w:sz w:val="20"/>
                <w:szCs w:val="20"/>
                <w:lang w:eastAsia="zh-CN"/>
              </w:rPr>
              <w:t>03</w:t>
            </w:r>
            <w:r>
              <w:rPr>
                <w:color w:val="auto"/>
                <w:sz w:val="20"/>
                <w:szCs w:val="20"/>
                <w:lang w:eastAsia="zh-CN"/>
              </w:rPr>
              <w:t>t，新增土壤流失量为1</w:t>
            </w:r>
            <w:r>
              <w:rPr>
                <w:rFonts w:hint="eastAsia"/>
                <w:color w:val="auto"/>
                <w:sz w:val="20"/>
                <w:szCs w:val="20"/>
                <w:lang w:eastAsia="zh-CN"/>
              </w:rPr>
              <w:t>14</w:t>
            </w:r>
            <w:r>
              <w:rPr>
                <w:color w:val="auto"/>
                <w:sz w:val="20"/>
                <w:szCs w:val="20"/>
                <w:lang w:eastAsia="zh-CN"/>
              </w:rPr>
              <w:t>.</w:t>
            </w:r>
            <w:r>
              <w:rPr>
                <w:rFonts w:hint="eastAsia"/>
                <w:color w:val="auto"/>
                <w:sz w:val="20"/>
                <w:szCs w:val="20"/>
                <w:lang w:eastAsia="zh-CN"/>
              </w:rPr>
              <w:t>74</w:t>
            </w:r>
            <w:r>
              <w:rPr>
                <w:color w:val="auto"/>
                <w:sz w:val="20"/>
                <w:szCs w:val="20"/>
                <w:lang w:eastAsia="zh-CN"/>
              </w:rPr>
              <w:t>t。新增土壤流失量中，</w:t>
            </w:r>
            <w:r>
              <w:rPr>
                <w:rFonts w:hint="eastAsia" w:cs="Times New Roman"/>
                <w:snapToGrid/>
                <w:color w:val="auto"/>
                <w:sz w:val="21"/>
                <w:lang w:eastAsia="zh-CN"/>
              </w:rPr>
              <w:t>芭蕉</w:t>
            </w:r>
            <w:r>
              <w:rPr>
                <w:rFonts w:cs="Times New Roman"/>
                <w:snapToGrid/>
                <w:color w:val="auto"/>
                <w:sz w:val="21"/>
                <w:lang w:eastAsia="zh-CN"/>
              </w:rPr>
              <w:t>塔基及临时施工</w:t>
            </w:r>
            <w:r>
              <w:rPr>
                <w:color w:val="auto"/>
                <w:sz w:val="20"/>
                <w:szCs w:val="20"/>
                <w:lang w:eastAsia="zh-CN"/>
              </w:rPr>
              <w:t>区是新增土壤流失量最大的部位，占新增土壤流失总量的</w:t>
            </w:r>
            <w:r>
              <w:rPr>
                <w:rFonts w:hint="eastAsia"/>
                <w:color w:val="auto"/>
                <w:sz w:val="20"/>
                <w:szCs w:val="20"/>
                <w:lang w:eastAsia="zh-CN"/>
              </w:rPr>
              <w:t xml:space="preserve"> 52.7</w:t>
            </w:r>
            <w:r>
              <w:rPr>
                <w:color w:val="auto"/>
                <w:sz w:val="20"/>
                <w:szCs w:val="20"/>
                <w:lang w:eastAsia="zh-CN"/>
              </w:rPr>
              <w:t>%；施工期是新增土壤流失量最大的时段，占新增土壤流失总量的</w:t>
            </w:r>
            <w:r>
              <w:rPr>
                <w:rFonts w:hint="eastAsia"/>
                <w:color w:val="auto"/>
                <w:sz w:val="20"/>
                <w:szCs w:val="20"/>
                <w:lang w:eastAsia="zh-CN"/>
              </w:rPr>
              <w:t>84</w:t>
            </w:r>
            <w:r>
              <w:rPr>
                <w:color w:val="auto"/>
                <w:sz w:val="20"/>
                <w:szCs w:val="20"/>
                <w:lang w:eastAsia="zh-CN"/>
              </w:rPr>
              <w:t>.</w:t>
            </w:r>
            <w:r>
              <w:rPr>
                <w:rFonts w:hint="eastAsia"/>
                <w:color w:val="auto"/>
                <w:sz w:val="20"/>
                <w:szCs w:val="20"/>
                <w:lang w:eastAsia="zh-CN"/>
              </w:rPr>
              <w:t>8</w:t>
            </w:r>
            <w:r>
              <w:rPr>
                <w:color w:val="auto"/>
                <w:sz w:val="20"/>
                <w:szCs w:val="20"/>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655" w:type="pct"/>
            <w:gridSpan w:val="5"/>
            <w:vAlign w:val="center"/>
          </w:tcPr>
          <w:p>
            <w:pPr>
              <w:pStyle w:val="13"/>
              <w:rPr>
                <w:rFonts w:cs="Times New Roman"/>
                <w:sz w:val="20"/>
                <w:szCs w:val="20"/>
              </w:rPr>
            </w:pPr>
            <w:r>
              <w:rPr>
                <w:rFonts w:cs="Times New Roman"/>
                <w:sz w:val="20"/>
                <w:szCs w:val="20"/>
              </w:rPr>
              <w:t>防治责任范围（m2）</w:t>
            </w:r>
          </w:p>
        </w:tc>
        <w:tc>
          <w:tcPr>
            <w:tcW w:w="3345" w:type="pct"/>
            <w:gridSpan w:val="15"/>
            <w:vAlign w:val="center"/>
          </w:tcPr>
          <w:p>
            <w:pPr>
              <w:spacing w:line="240" w:lineRule="atLeast"/>
              <w:ind w:firstLine="400"/>
              <w:rPr>
                <w:color w:val="auto"/>
                <w:sz w:val="20"/>
                <w:szCs w:val="20"/>
                <w:lang w:eastAsia="zh-CN"/>
              </w:rPr>
            </w:pPr>
            <w:r>
              <w:rPr>
                <w:color w:val="auto"/>
                <w:sz w:val="20"/>
                <w:szCs w:val="20"/>
                <w:lang w:eastAsia="zh-CN"/>
              </w:rPr>
              <w:t>面积共计</w:t>
            </w:r>
            <w:r>
              <w:rPr>
                <w:rFonts w:hint="eastAsia"/>
                <w:color w:val="auto"/>
                <w:sz w:val="20"/>
                <w:szCs w:val="20"/>
                <w:lang w:eastAsia="zh-CN"/>
              </w:rPr>
              <w:t>3.81</w:t>
            </w:r>
            <w:r>
              <w:rPr>
                <w:color w:val="auto"/>
                <w:sz w:val="20"/>
                <w:szCs w:val="20"/>
                <w:lang w:eastAsia="zh-CN"/>
              </w:rPr>
              <w:t>m</w:t>
            </w:r>
            <w:r>
              <w:rPr>
                <w:color w:val="auto"/>
                <w:sz w:val="20"/>
                <w:szCs w:val="20"/>
                <w:vertAlign w:val="superscript"/>
                <w:lang w:eastAsia="zh-CN"/>
              </w:rPr>
              <w:t>2</w:t>
            </w:r>
            <w:r>
              <w:rPr>
                <w:color w:val="auto"/>
                <w:sz w:val="20"/>
                <w:szCs w:val="20"/>
                <w:lang w:eastAsia="zh-CN"/>
              </w:rPr>
              <w:t>，包括</w:t>
            </w:r>
            <w:r>
              <w:rPr>
                <w:rFonts w:cs="Times New Roman"/>
                <w:color w:val="auto"/>
                <w:sz w:val="20"/>
                <w:szCs w:val="20"/>
                <w:lang w:eastAsia="zh-CN"/>
              </w:rPr>
              <w:t>玛瑙500kV变电站220kV间隔扩建工程</w:t>
            </w:r>
            <w:r>
              <w:rPr>
                <w:rFonts w:hint="eastAsia" w:cs="Times New Roman"/>
                <w:color w:val="auto"/>
                <w:sz w:val="20"/>
                <w:szCs w:val="20"/>
                <w:lang w:eastAsia="zh-CN"/>
              </w:rPr>
              <w:t>区</w:t>
            </w:r>
            <w:r>
              <w:rPr>
                <w:rFonts w:cs="Times New Roman"/>
                <w:color w:val="auto"/>
                <w:sz w:val="20"/>
                <w:szCs w:val="20"/>
                <w:lang w:eastAsia="zh-CN"/>
              </w:rPr>
              <w:t>、芭蕉220kV变电站220kV间隔扩建工程</w:t>
            </w:r>
            <w:r>
              <w:rPr>
                <w:rFonts w:hint="eastAsia" w:cs="Times New Roman"/>
                <w:color w:val="auto"/>
                <w:sz w:val="20"/>
                <w:szCs w:val="20"/>
                <w:lang w:eastAsia="zh-CN"/>
              </w:rPr>
              <w:t>区</w:t>
            </w:r>
            <w:r>
              <w:rPr>
                <w:rFonts w:cs="Times New Roman"/>
                <w:color w:val="auto"/>
                <w:sz w:val="20"/>
                <w:szCs w:val="20"/>
                <w:lang w:eastAsia="zh-CN"/>
              </w:rPr>
              <w:t>、玛瑙-正达凯220kV线路工程</w:t>
            </w:r>
            <w:r>
              <w:rPr>
                <w:rFonts w:hint="eastAsia" w:cs="Times New Roman"/>
                <w:color w:val="auto"/>
                <w:sz w:val="20"/>
                <w:szCs w:val="20"/>
                <w:lang w:eastAsia="zh-CN"/>
              </w:rPr>
              <w:t>区</w:t>
            </w:r>
            <w:r>
              <w:rPr>
                <w:rFonts w:cs="Times New Roman"/>
                <w:color w:val="auto"/>
                <w:sz w:val="20"/>
                <w:szCs w:val="20"/>
                <w:lang w:eastAsia="zh-CN"/>
              </w:rPr>
              <w:t>、芭蕉-正达凯220kV线路工程</w:t>
            </w:r>
            <w:r>
              <w:rPr>
                <w:rFonts w:hint="eastAsia" w:cs="Times New Roman"/>
                <w:color w:val="auto"/>
                <w:sz w:val="20"/>
                <w:szCs w:val="20"/>
                <w:lang w:eastAsia="zh-CN"/>
              </w:rPr>
              <w:t>区</w:t>
            </w:r>
            <w:r>
              <w:rPr>
                <w:color w:val="auto"/>
                <w:sz w:val="20"/>
                <w:szCs w:val="20"/>
                <w:lang w:eastAsia="zh-CN"/>
              </w:rPr>
              <w:t>，均位于达州市</w:t>
            </w:r>
            <w:r>
              <w:rPr>
                <w:rFonts w:cs="Times New Roman"/>
                <w:color w:val="auto"/>
                <w:sz w:val="20"/>
                <w:szCs w:val="20"/>
                <w:lang w:eastAsia="zh-CN"/>
              </w:rPr>
              <w:t>宣汉县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828" w:type="pct"/>
            <w:gridSpan w:val="3"/>
            <w:vMerge w:val="restart"/>
            <w:vAlign w:val="center"/>
          </w:tcPr>
          <w:p>
            <w:pPr>
              <w:pStyle w:val="13"/>
              <w:rPr>
                <w:rFonts w:cs="Times New Roman"/>
                <w:sz w:val="20"/>
                <w:szCs w:val="20"/>
              </w:rPr>
            </w:pPr>
            <w:r>
              <w:rPr>
                <w:rFonts w:cs="Times New Roman"/>
                <w:spacing w:val="-8"/>
                <w:sz w:val="20"/>
                <w:szCs w:val="20"/>
              </w:rPr>
              <w:t>防治标</w:t>
            </w:r>
            <w:r>
              <w:rPr>
                <w:rFonts w:cs="Times New Roman"/>
                <w:spacing w:val="-1"/>
                <w:sz w:val="20"/>
                <w:szCs w:val="20"/>
              </w:rPr>
              <w:t>准等级及目标</w:t>
            </w:r>
          </w:p>
        </w:tc>
        <w:tc>
          <w:tcPr>
            <w:tcW w:w="1246" w:type="pct"/>
            <w:gridSpan w:val="3"/>
            <w:vAlign w:val="center"/>
          </w:tcPr>
          <w:p>
            <w:pPr>
              <w:pStyle w:val="13"/>
              <w:rPr>
                <w:rFonts w:cs="Times New Roman"/>
                <w:sz w:val="20"/>
                <w:szCs w:val="20"/>
              </w:rPr>
            </w:pPr>
            <w:r>
              <w:rPr>
                <w:rFonts w:cs="Times New Roman"/>
                <w:spacing w:val="-4"/>
                <w:sz w:val="20"/>
                <w:szCs w:val="20"/>
              </w:rPr>
              <w:t>防治标准等级</w:t>
            </w:r>
          </w:p>
        </w:tc>
        <w:tc>
          <w:tcPr>
            <w:tcW w:w="2926" w:type="pct"/>
            <w:gridSpan w:val="14"/>
            <w:vAlign w:val="center"/>
          </w:tcPr>
          <w:p>
            <w:pPr>
              <w:pStyle w:val="13"/>
              <w:rPr>
                <w:rFonts w:cs="Times New Roman"/>
                <w:spacing w:val="1"/>
                <w:sz w:val="20"/>
                <w:szCs w:val="20"/>
              </w:rPr>
            </w:pPr>
            <w:r>
              <w:rPr>
                <w:rFonts w:cs="Times New Roman"/>
                <w:spacing w:val="-2"/>
                <w:sz w:val="20"/>
                <w:szCs w:val="20"/>
              </w:rPr>
              <w:t>西南紫色土区一级标准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828" w:type="pct"/>
            <w:gridSpan w:val="3"/>
            <w:vMerge w:val="continue"/>
            <w:vAlign w:val="center"/>
          </w:tcPr>
          <w:p>
            <w:pPr>
              <w:pStyle w:val="13"/>
              <w:rPr>
                <w:rFonts w:cs="Times New Roman"/>
                <w:sz w:val="20"/>
                <w:szCs w:val="20"/>
              </w:rPr>
            </w:pPr>
          </w:p>
        </w:tc>
        <w:tc>
          <w:tcPr>
            <w:tcW w:w="1246" w:type="pct"/>
            <w:gridSpan w:val="3"/>
            <w:vAlign w:val="center"/>
          </w:tcPr>
          <w:p>
            <w:pPr>
              <w:pStyle w:val="13"/>
              <w:rPr>
                <w:rFonts w:cs="Times New Roman"/>
                <w:sz w:val="20"/>
                <w:szCs w:val="20"/>
              </w:rPr>
            </w:pPr>
            <w:r>
              <w:rPr>
                <w:rFonts w:cs="Times New Roman"/>
                <w:spacing w:val="-4"/>
                <w:sz w:val="20"/>
                <w:szCs w:val="20"/>
              </w:rPr>
              <w:t>水土流失治理度（%）</w:t>
            </w:r>
          </w:p>
        </w:tc>
        <w:tc>
          <w:tcPr>
            <w:tcW w:w="663" w:type="pct"/>
            <w:gridSpan w:val="3"/>
            <w:vAlign w:val="center"/>
          </w:tcPr>
          <w:p>
            <w:pPr>
              <w:pStyle w:val="13"/>
              <w:rPr>
                <w:rFonts w:cs="Times New Roman"/>
                <w:spacing w:val="1"/>
                <w:sz w:val="20"/>
                <w:szCs w:val="20"/>
              </w:rPr>
            </w:pPr>
            <w:r>
              <w:rPr>
                <w:rFonts w:cs="Times New Roman"/>
                <w:spacing w:val="-2"/>
                <w:sz w:val="20"/>
                <w:szCs w:val="20"/>
              </w:rPr>
              <w:t>97</w:t>
            </w:r>
          </w:p>
        </w:tc>
        <w:tc>
          <w:tcPr>
            <w:tcW w:w="1408" w:type="pct"/>
            <w:gridSpan w:val="9"/>
            <w:vAlign w:val="center"/>
          </w:tcPr>
          <w:p>
            <w:pPr>
              <w:pStyle w:val="13"/>
              <w:rPr>
                <w:rFonts w:cs="Times New Roman"/>
                <w:spacing w:val="1"/>
                <w:sz w:val="20"/>
                <w:szCs w:val="20"/>
              </w:rPr>
            </w:pPr>
            <w:r>
              <w:rPr>
                <w:rFonts w:cs="Times New Roman"/>
                <w:spacing w:val="-2"/>
                <w:sz w:val="20"/>
                <w:szCs w:val="20"/>
              </w:rPr>
              <w:t>土壤流失控制比</w:t>
            </w:r>
          </w:p>
        </w:tc>
        <w:tc>
          <w:tcPr>
            <w:tcW w:w="854" w:type="pct"/>
            <w:gridSpan w:val="2"/>
            <w:vAlign w:val="center"/>
          </w:tcPr>
          <w:p>
            <w:pPr>
              <w:pStyle w:val="13"/>
              <w:rPr>
                <w:rFonts w:cs="Times New Roman"/>
                <w:spacing w:val="1"/>
                <w:sz w:val="20"/>
                <w:szCs w:val="20"/>
              </w:rPr>
            </w:pPr>
            <w:r>
              <w:rPr>
                <w:rFonts w:cs="Times New Roman"/>
                <w:spacing w:val="-5"/>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828" w:type="pct"/>
            <w:gridSpan w:val="3"/>
            <w:vMerge w:val="continue"/>
            <w:vAlign w:val="center"/>
          </w:tcPr>
          <w:p>
            <w:pPr>
              <w:pStyle w:val="13"/>
              <w:rPr>
                <w:rFonts w:cs="Times New Roman"/>
                <w:sz w:val="20"/>
                <w:szCs w:val="20"/>
              </w:rPr>
            </w:pPr>
          </w:p>
        </w:tc>
        <w:tc>
          <w:tcPr>
            <w:tcW w:w="1246" w:type="pct"/>
            <w:gridSpan w:val="3"/>
            <w:vAlign w:val="center"/>
          </w:tcPr>
          <w:p>
            <w:pPr>
              <w:pStyle w:val="13"/>
              <w:rPr>
                <w:rFonts w:cs="Times New Roman"/>
                <w:sz w:val="20"/>
                <w:szCs w:val="20"/>
              </w:rPr>
            </w:pPr>
            <w:r>
              <w:rPr>
                <w:rFonts w:cs="Times New Roman"/>
                <w:spacing w:val="-2"/>
                <w:sz w:val="20"/>
                <w:szCs w:val="20"/>
              </w:rPr>
              <w:t>渣土防护率（%）</w:t>
            </w:r>
          </w:p>
        </w:tc>
        <w:tc>
          <w:tcPr>
            <w:tcW w:w="663" w:type="pct"/>
            <w:gridSpan w:val="3"/>
            <w:vAlign w:val="center"/>
          </w:tcPr>
          <w:p>
            <w:pPr>
              <w:pStyle w:val="13"/>
              <w:rPr>
                <w:rFonts w:cs="Times New Roman"/>
                <w:spacing w:val="1"/>
                <w:sz w:val="20"/>
                <w:szCs w:val="20"/>
              </w:rPr>
            </w:pPr>
            <w:r>
              <w:rPr>
                <w:rFonts w:cs="Times New Roman"/>
                <w:spacing w:val="-4"/>
                <w:sz w:val="20"/>
                <w:szCs w:val="20"/>
              </w:rPr>
              <w:t>92</w:t>
            </w:r>
          </w:p>
        </w:tc>
        <w:tc>
          <w:tcPr>
            <w:tcW w:w="1408" w:type="pct"/>
            <w:gridSpan w:val="9"/>
            <w:vAlign w:val="center"/>
          </w:tcPr>
          <w:p>
            <w:pPr>
              <w:pStyle w:val="13"/>
              <w:rPr>
                <w:rFonts w:cs="Times New Roman"/>
                <w:spacing w:val="1"/>
                <w:sz w:val="20"/>
                <w:szCs w:val="20"/>
              </w:rPr>
            </w:pPr>
            <w:r>
              <w:rPr>
                <w:rFonts w:cs="Times New Roman"/>
                <w:spacing w:val="-8"/>
                <w:sz w:val="20"/>
                <w:szCs w:val="20"/>
              </w:rPr>
              <w:t>表土保护率（%）</w:t>
            </w:r>
          </w:p>
        </w:tc>
        <w:tc>
          <w:tcPr>
            <w:tcW w:w="854" w:type="pct"/>
            <w:gridSpan w:val="2"/>
            <w:vAlign w:val="center"/>
          </w:tcPr>
          <w:p>
            <w:pPr>
              <w:pStyle w:val="13"/>
              <w:rPr>
                <w:rFonts w:cs="Times New Roman"/>
                <w:spacing w:val="1"/>
                <w:sz w:val="20"/>
                <w:szCs w:val="20"/>
              </w:rPr>
            </w:pPr>
            <w:r>
              <w:rPr>
                <w:rFonts w:cs="Times New Roman"/>
                <w:spacing w:val="-2"/>
                <w:sz w:val="20"/>
                <w:szCs w:val="20"/>
              </w:rPr>
              <w:t>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828" w:type="pct"/>
            <w:gridSpan w:val="3"/>
            <w:vMerge w:val="continue"/>
            <w:vAlign w:val="center"/>
          </w:tcPr>
          <w:p>
            <w:pPr>
              <w:pStyle w:val="13"/>
              <w:rPr>
                <w:rFonts w:cs="Times New Roman"/>
                <w:sz w:val="20"/>
                <w:szCs w:val="20"/>
              </w:rPr>
            </w:pPr>
          </w:p>
        </w:tc>
        <w:tc>
          <w:tcPr>
            <w:tcW w:w="1246" w:type="pct"/>
            <w:gridSpan w:val="3"/>
            <w:vAlign w:val="center"/>
          </w:tcPr>
          <w:p>
            <w:pPr>
              <w:pStyle w:val="13"/>
              <w:rPr>
                <w:rFonts w:cs="Times New Roman"/>
                <w:sz w:val="20"/>
                <w:szCs w:val="20"/>
              </w:rPr>
            </w:pPr>
            <w:r>
              <w:rPr>
                <w:rFonts w:cs="Times New Roman"/>
                <w:sz w:val="20"/>
                <w:szCs w:val="20"/>
              </w:rPr>
              <w:t>林草植被恢复率（%）</w:t>
            </w:r>
          </w:p>
        </w:tc>
        <w:tc>
          <w:tcPr>
            <w:tcW w:w="663" w:type="pct"/>
            <w:gridSpan w:val="3"/>
            <w:vAlign w:val="center"/>
          </w:tcPr>
          <w:p>
            <w:pPr>
              <w:pStyle w:val="13"/>
              <w:rPr>
                <w:rFonts w:cs="Times New Roman"/>
                <w:spacing w:val="1"/>
                <w:sz w:val="20"/>
                <w:szCs w:val="20"/>
              </w:rPr>
            </w:pPr>
            <w:r>
              <w:rPr>
                <w:rFonts w:cs="Times New Roman"/>
                <w:spacing w:val="-2"/>
                <w:sz w:val="20"/>
                <w:szCs w:val="20"/>
              </w:rPr>
              <w:t>97</w:t>
            </w:r>
          </w:p>
        </w:tc>
        <w:tc>
          <w:tcPr>
            <w:tcW w:w="1408" w:type="pct"/>
            <w:gridSpan w:val="9"/>
            <w:vAlign w:val="center"/>
          </w:tcPr>
          <w:p>
            <w:pPr>
              <w:pStyle w:val="13"/>
              <w:rPr>
                <w:rFonts w:cs="Times New Roman"/>
                <w:spacing w:val="1"/>
                <w:sz w:val="20"/>
                <w:szCs w:val="20"/>
              </w:rPr>
            </w:pPr>
            <w:r>
              <w:rPr>
                <w:rFonts w:cs="Times New Roman"/>
                <w:spacing w:val="-8"/>
                <w:sz w:val="20"/>
                <w:szCs w:val="20"/>
              </w:rPr>
              <w:t>林草覆盖率（%）</w:t>
            </w:r>
          </w:p>
        </w:tc>
        <w:tc>
          <w:tcPr>
            <w:tcW w:w="854" w:type="pct"/>
            <w:gridSpan w:val="2"/>
            <w:vAlign w:val="center"/>
          </w:tcPr>
          <w:p>
            <w:pPr>
              <w:pStyle w:val="13"/>
              <w:rPr>
                <w:rFonts w:cs="Times New Roman"/>
                <w:spacing w:val="1"/>
                <w:sz w:val="20"/>
                <w:szCs w:val="20"/>
              </w:rPr>
            </w:pPr>
            <w:r>
              <w:rPr>
                <w:rFonts w:cs="Times New Roman"/>
                <w:spacing w:val="-2"/>
                <w:sz w:val="20"/>
                <w:szCs w:val="20"/>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344" w:type="pct"/>
            <w:vAlign w:val="center"/>
          </w:tcPr>
          <w:p>
            <w:pPr>
              <w:pStyle w:val="13"/>
              <w:rPr>
                <w:rFonts w:cs="Times New Roman"/>
                <w:sz w:val="20"/>
                <w:szCs w:val="20"/>
              </w:rPr>
            </w:pPr>
            <w:r>
              <w:rPr>
                <w:rFonts w:cs="Times New Roman"/>
                <w:sz w:val="20"/>
                <w:szCs w:val="20"/>
              </w:rPr>
              <w:t>水土保持措施</w:t>
            </w:r>
          </w:p>
        </w:tc>
        <w:tc>
          <w:tcPr>
            <w:tcW w:w="4656" w:type="pct"/>
            <w:gridSpan w:val="19"/>
            <w:vAlign w:val="center"/>
          </w:tcPr>
          <w:p>
            <w:pPr>
              <w:spacing w:line="240" w:lineRule="atLeast"/>
              <w:ind w:firstLine="396"/>
              <w:rPr>
                <w:color w:val="auto"/>
                <w:sz w:val="20"/>
                <w:szCs w:val="20"/>
                <w:lang w:eastAsia="zh-CN"/>
              </w:rPr>
            </w:pPr>
            <w:r>
              <w:rPr>
                <w:rFonts w:cs="Times New Roman"/>
                <w:color w:val="auto"/>
                <w:spacing w:val="-1"/>
                <w:sz w:val="20"/>
                <w:szCs w:val="20"/>
                <w:lang w:eastAsia="zh-CN"/>
              </w:rPr>
              <w:t>本项目</w:t>
            </w:r>
            <w:r>
              <w:rPr>
                <w:rFonts w:cs="Times New Roman"/>
                <w:color w:val="auto"/>
                <w:sz w:val="20"/>
                <w:szCs w:val="20"/>
                <w:lang w:eastAsia="zh-CN"/>
              </w:rPr>
              <w:t>水土流失防治区划分为变电站工程区和线路工程区</w:t>
            </w:r>
            <w:r>
              <w:rPr>
                <w:rFonts w:hint="eastAsia" w:cs="Times New Roman"/>
                <w:color w:val="auto"/>
                <w:sz w:val="20"/>
                <w:szCs w:val="20"/>
                <w:lang w:eastAsia="zh-CN"/>
              </w:rPr>
              <w:t>2个一</w:t>
            </w:r>
            <w:r>
              <w:rPr>
                <w:rFonts w:cs="Times New Roman"/>
                <w:color w:val="auto"/>
                <w:sz w:val="20"/>
                <w:szCs w:val="20"/>
                <w:lang w:eastAsia="zh-CN"/>
              </w:rPr>
              <w:t>级防治区。变电站工程区划分为玛瑙500kV变电站220kV间隔扩建工程区、芭蕉220kV变电站220kV间隔扩建工程区</w:t>
            </w:r>
            <w:r>
              <w:rPr>
                <w:rFonts w:hint="eastAsia" w:cs="Times New Roman"/>
                <w:color w:val="auto"/>
                <w:sz w:val="20"/>
                <w:szCs w:val="20"/>
                <w:lang w:eastAsia="zh-CN"/>
              </w:rPr>
              <w:t>2</w:t>
            </w:r>
            <w:r>
              <w:rPr>
                <w:rFonts w:cs="Times New Roman"/>
                <w:color w:val="auto"/>
                <w:sz w:val="20"/>
                <w:szCs w:val="20"/>
                <w:lang w:eastAsia="zh-CN"/>
              </w:rPr>
              <w:t>个二级防治区</w:t>
            </w:r>
            <w:r>
              <w:rPr>
                <w:rFonts w:hint="eastAsia" w:cs="Times New Roman"/>
                <w:color w:val="auto"/>
                <w:sz w:val="20"/>
                <w:szCs w:val="20"/>
                <w:lang w:eastAsia="zh-CN"/>
              </w:rPr>
              <w:t>；</w:t>
            </w:r>
            <w:r>
              <w:rPr>
                <w:rFonts w:cs="Times New Roman"/>
                <w:color w:val="auto"/>
                <w:sz w:val="20"/>
                <w:szCs w:val="20"/>
                <w:lang w:eastAsia="zh-CN"/>
              </w:rPr>
              <w:t>线路工程区划分为玛瑙-正达凯220kV线路工程区</w:t>
            </w:r>
            <w:r>
              <w:rPr>
                <w:rFonts w:hint="eastAsia" w:cs="Times New Roman"/>
                <w:color w:val="auto"/>
                <w:sz w:val="20"/>
                <w:szCs w:val="20"/>
                <w:lang w:eastAsia="zh-CN"/>
              </w:rPr>
              <w:t>（</w:t>
            </w:r>
            <w:r>
              <w:rPr>
                <w:rFonts w:cs="Times New Roman"/>
                <w:color w:val="auto"/>
                <w:sz w:val="20"/>
                <w:szCs w:val="20"/>
                <w:lang w:eastAsia="zh-CN"/>
              </w:rPr>
              <w:t>划分为玛瑙塔基及施工临时占地区、玛瑙施工便道区、玛瑙牵张场区、玛瑙跨越场区</w:t>
            </w:r>
            <w:r>
              <w:rPr>
                <w:rFonts w:hint="eastAsia" w:cs="Times New Roman"/>
                <w:color w:val="auto"/>
                <w:sz w:val="20"/>
                <w:szCs w:val="20"/>
                <w:lang w:eastAsia="zh-CN"/>
              </w:rPr>
              <w:t>4</w:t>
            </w:r>
            <w:r>
              <w:rPr>
                <w:rFonts w:cs="Times New Roman"/>
                <w:color w:val="auto"/>
                <w:sz w:val="20"/>
                <w:szCs w:val="20"/>
                <w:lang w:eastAsia="zh-CN"/>
              </w:rPr>
              <w:t>个</w:t>
            </w:r>
            <w:r>
              <w:rPr>
                <w:rFonts w:hint="eastAsia" w:cs="Times New Roman"/>
                <w:color w:val="auto"/>
                <w:sz w:val="20"/>
                <w:szCs w:val="20"/>
                <w:lang w:eastAsia="zh-CN"/>
              </w:rPr>
              <w:t>三</w:t>
            </w:r>
            <w:r>
              <w:rPr>
                <w:rFonts w:cs="Times New Roman"/>
                <w:color w:val="auto"/>
                <w:sz w:val="20"/>
                <w:szCs w:val="20"/>
                <w:lang w:eastAsia="zh-CN"/>
              </w:rPr>
              <w:t>级防治区</w:t>
            </w:r>
            <w:r>
              <w:rPr>
                <w:rFonts w:hint="eastAsia" w:cs="Times New Roman"/>
                <w:color w:val="auto"/>
                <w:sz w:val="20"/>
                <w:szCs w:val="20"/>
                <w:lang w:eastAsia="zh-CN"/>
              </w:rPr>
              <w:t>）</w:t>
            </w:r>
            <w:r>
              <w:rPr>
                <w:rFonts w:cs="Times New Roman"/>
                <w:color w:val="auto"/>
                <w:sz w:val="20"/>
                <w:szCs w:val="20"/>
                <w:lang w:eastAsia="zh-CN"/>
              </w:rPr>
              <w:t>、芭蕉-正达凯220kV线路工程区</w:t>
            </w:r>
            <w:r>
              <w:rPr>
                <w:rFonts w:hint="eastAsia" w:cs="Times New Roman"/>
                <w:color w:val="auto"/>
                <w:sz w:val="20"/>
                <w:szCs w:val="20"/>
                <w:lang w:eastAsia="zh-CN"/>
              </w:rPr>
              <w:t>（</w:t>
            </w:r>
            <w:r>
              <w:rPr>
                <w:rFonts w:cs="Times New Roman"/>
                <w:color w:val="auto"/>
                <w:sz w:val="20"/>
                <w:szCs w:val="20"/>
                <w:lang w:eastAsia="zh-CN"/>
              </w:rPr>
              <w:t>划分为芭蕉塔基及施工临时占地区、芭蕉施工便道区、芭蕉牵张场区、芭蕉跨越场区</w:t>
            </w:r>
            <w:r>
              <w:rPr>
                <w:rFonts w:hint="eastAsia" w:cs="Times New Roman"/>
                <w:color w:val="auto"/>
                <w:sz w:val="20"/>
                <w:szCs w:val="20"/>
                <w:lang w:eastAsia="zh-CN"/>
              </w:rPr>
              <w:t>、</w:t>
            </w:r>
            <w:r>
              <w:rPr>
                <w:rFonts w:cs="Times New Roman"/>
                <w:color w:val="auto"/>
                <w:sz w:val="20"/>
                <w:szCs w:val="20"/>
                <w:lang w:eastAsia="zh-CN"/>
              </w:rPr>
              <w:t>芭蕉电缆工程区</w:t>
            </w:r>
            <w:r>
              <w:rPr>
                <w:rFonts w:hint="eastAsia" w:cs="Times New Roman"/>
                <w:color w:val="auto"/>
                <w:sz w:val="20"/>
                <w:szCs w:val="20"/>
                <w:lang w:eastAsia="zh-CN"/>
              </w:rPr>
              <w:t>5</w:t>
            </w:r>
            <w:r>
              <w:rPr>
                <w:rFonts w:cs="Times New Roman"/>
                <w:color w:val="auto"/>
                <w:sz w:val="20"/>
                <w:szCs w:val="20"/>
                <w:lang w:eastAsia="zh-CN"/>
              </w:rPr>
              <w:t>个</w:t>
            </w:r>
            <w:r>
              <w:rPr>
                <w:rFonts w:hint="eastAsia" w:cs="Times New Roman"/>
                <w:color w:val="auto"/>
                <w:sz w:val="20"/>
                <w:szCs w:val="20"/>
                <w:lang w:eastAsia="zh-CN"/>
              </w:rPr>
              <w:t>三</w:t>
            </w:r>
            <w:r>
              <w:rPr>
                <w:rFonts w:cs="Times New Roman"/>
                <w:color w:val="auto"/>
                <w:sz w:val="20"/>
                <w:szCs w:val="20"/>
                <w:lang w:eastAsia="zh-CN"/>
              </w:rPr>
              <w:t>级防治区</w:t>
            </w:r>
            <w:r>
              <w:rPr>
                <w:rFonts w:hint="eastAsia" w:cs="Times New Roman"/>
                <w:color w:val="auto"/>
                <w:sz w:val="20"/>
                <w:szCs w:val="20"/>
                <w:lang w:eastAsia="zh-CN"/>
              </w:rPr>
              <w:t>）2</w:t>
            </w:r>
            <w:r>
              <w:rPr>
                <w:rFonts w:cs="Times New Roman"/>
                <w:color w:val="auto"/>
                <w:sz w:val="20"/>
                <w:szCs w:val="20"/>
                <w:lang w:eastAsia="zh-CN"/>
              </w:rPr>
              <w:t>个二级防治区。</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各防治分区水土保持措施布设和工程量如下</w:t>
            </w:r>
            <w:r>
              <w:rPr>
                <w:rFonts w:hint="eastAsia" w:cs="Times New Roman"/>
                <w:color w:val="auto"/>
                <w:sz w:val="20"/>
                <w:szCs w:val="20"/>
                <w:lang w:eastAsia="zh-CN"/>
              </w:rPr>
              <w:t>（</w:t>
            </w:r>
            <w:r>
              <w:rPr>
                <w:rFonts w:cs="Times New Roman"/>
                <w:color w:val="auto"/>
                <w:sz w:val="20"/>
                <w:szCs w:val="20"/>
                <w:lang w:eastAsia="zh-CN"/>
              </w:rPr>
              <w:t>带下划线内容为主体工程设计中具有水土保持功能措施</w:t>
            </w:r>
            <w:r>
              <w:rPr>
                <w:rFonts w:hint="eastAsia"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（1）变电站工程</w:t>
            </w:r>
            <w:r>
              <w:rPr>
                <w:rFonts w:hint="eastAsia" w:cs="Times New Roman"/>
                <w:color w:val="auto"/>
                <w:sz w:val="20"/>
                <w:szCs w:val="20"/>
                <w:lang w:eastAsia="zh-CN"/>
              </w:rPr>
              <w:t>区</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①</w:t>
            </w:r>
            <w:r>
              <w:rPr>
                <w:rFonts w:cs="Times New Roman"/>
                <w:color w:val="auto"/>
                <w:sz w:val="20"/>
                <w:szCs w:val="20"/>
                <w:lang w:eastAsia="zh-CN"/>
              </w:rPr>
              <w:t>玛瑙500kV变电站220kV间隔扩建工程</w:t>
            </w:r>
            <w:r>
              <w:rPr>
                <w:rFonts w:hint="eastAsia" w:cs="Times New Roman"/>
                <w:color w:val="auto"/>
                <w:sz w:val="20"/>
                <w:szCs w:val="20"/>
                <w:lang w:eastAsia="zh-CN"/>
              </w:rPr>
              <w:t>区（</w:t>
            </w:r>
            <w:r>
              <w:rPr>
                <w:rFonts w:cs="Times New Roman"/>
                <w:color w:val="auto"/>
                <w:sz w:val="20"/>
                <w:szCs w:val="20"/>
                <w:lang w:eastAsia="zh-CN"/>
              </w:rPr>
              <w:t>玛瑙变电站站区</w:t>
            </w:r>
            <w:r>
              <w:rPr>
                <w:rFonts w:hint="eastAsia"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施工前对变电站可剥离表土处进行剥离，施工期</w:t>
            </w:r>
            <w:r>
              <w:rPr>
                <w:rFonts w:hint="eastAsia"/>
                <w:color w:val="auto"/>
                <w:sz w:val="20"/>
                <w:szCs w:val="20"/>
                <w:lang w:eastAsia="zh-CN"/>
              </w:rPr>
              <w:t>在临时</w:t>
            </w:r>
            <w:r>
              <w:rPr>
                <w:rFonts w:hint="eastAsia" w:cs="Times New Roman"/>
                <w:color w:val="auto"/>
                <w:sz w:val="20"/>
                <w:szCs w:val="20"/>
                <w:lang w:eastAsia="zh-CN"/>
              </w:rPr>
              <w:t>表土堆场采用</w:t>
            </w:r>
            <w:r>
              <w:rPr>
                <w:color w:val="auto"/>
                <w:sz w:val="20"/>
                <w:szCs w:val="20"/>
                <w:lang w:eastAsia="zh-CN"/>
              </w:rPr>
              <w:t>土袋</w:t>
            </w:r>
            <w:r>
              <w:rPr>
                <w:rFonts w:hint="eastAsia"/>
                <w:color w:val="auto"/>
                <w:sz w:val="20"/>
                <w:szCs w:val="20"/>
                <w:lang w:eastAsia="zh-CN"/>
              </w:rPr>
              <w:t>临时拦</w:t>
            </w:r>
            <w:r>
              <w:rPr>
                <w:color w:val="auto"/>
                <w:sz w:val="20"/>
                <w:szCs w:val="20"/>
                <w:lang w:eastAsia="zh-CN"/>
              </w:rPr>
              <w:t>挡</w:t>
            </w:r>
            <w:r>
              <w:rPr>
                <w:rFonts w:hint="eastAsia"/>
                <w:color w:val="auto"/>
                <w:sz w:val="20"/>
                <w:szCs w:val="20"/>
                <w:lang w:eastAsia="zh-CN"/>
              </w:rPr>
              <w:t>、</w:t>
            </w:r>
            <w:r>
              <w:rPr>
                <w:rFonts w:hint="eastAsia" w:cs="Times New Roman"/>
                <w:color w:val="auto"/>
                <w:sz w:val="20"/>
                <w:szCs w:val="20"/>
                <w:lang w:eastAsia="zh-CN"/>
              </w:rPr>
              <w:t>防雨布临时遮盖；施工后前对迹地进行土地整治、表土回覆，对绿化区域进行植树</w:t>
            </w:r>
            <w:r>
              <w:rPr>
                <w:rFonts w:cs="Times New Roman"/>
                <w:color w:val="auto"/>
                <w:sz w:val="20"/>
                <w:szCs w:val="20"/>
                <w:lang w:eastAsia="zh-CN"/>
              </w:rPr>
              <w:t>草</w:t>
            </w:r>
            <w:r>
              <w:rPr>
                <w:rFonts w:hint="eastAsia" w:cs="Times New Roman"/>
                <w:color w:val="auto"/>
                <w:sz w:val="20"/>
                <w:szCs w:val="20"/>
                <w:lang w:eastAsia="zh-CN"/>
              </w:rPr>
              <w:t>绿化。</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工程措施</w:t>
            </w:r>
            <w:r>
              <w:rPr>
                <w:rFonts w:hint="eastAsia" w:cs="Times New Roman"/>
                <w:color w:val="auto"/>
                <w:sz w:val="20"/>
                <w:szCs w:val="20"/>
                <w:lang w:eastAsia="zh-CN"/>
              </w:rPr>
              <w:t>：表土剥离5m</w:t>
            </w:r>
            <w:r>
              <w:rPr>
                <w:rFonts w:hint="eastAsia" w:cs="Times New Roman"/>
                <w:color w:val="auto"/>
                <w:sz w:val="20"/>
                <w:szCs w:val="20"/>
                <w:vertAlign w:val="superscript"/>
                <w:lang w:eastAsia="zh-CN"/>
              </w:rPr>
              <w:t>3</w:t>
            </w:r>
            <w:r>
              <w:rPr>
                <w:rFonts w:hint="eastAsia" w:cs="Times New Roman"/>
                <w:color w:val="auto"/>
                <w:sz w:val="20"/>
                <w:szCs w:val="20"/>
                <w:lang w:eastAsia="zh-CN"/>
              </w:rPr>
              <w:t>，土地整治25m</w:t>
            </w:r>
            <w:r>
              <w:rPr>
                <w:rFonts w:hint="eastAsia" w:cs="Times New Roman"/>
                <w:color w:val="auto"/>
                <w:sz w:val="20"/>
                <w:szCs w:val="20"/>
                <w:vertAlign w:val="superscript"/>
                <w:lang w:eastAsia="zh-CN"/>
              </w:rPr>
              <w:t>2</w:t>
            </w:r>
            <w:r>
              <w:rPr>
                <w:rFonts w:hint="eastAsia" w:cs="Times New Roman"/>
                <w:color w:val="auto"/>
                <w:sz w:val="20"/>
                <w:szCs w:val="20"/>
                <w:lang w:eastAsia="zh-CN"/>
              </w:rPr>
              <w:t>，表土回覆5m</w:t>
            </w:r>
            <w:r>
              <w:rPr>
                <w:rFonts w:hint="eastAsia" w:cs="Times New Roman"/>
                <w:color w:val="auto"/>
                <w:sz w:val="20"/>
                <w:szCs w:val="20"/>
                <w:vertAlign w:val="superscript"/>
                <w:lang w:eastAsia="zh-CN"/>
              </w:rPr>
              <w:t>3</w:t>
            </w:r>
            <w:r>
              <w:rPr>
                <w:rFonts w:hint="eastAsia"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植物措施</w:t>
            </w:r>
            <w:r>
              <w:rPr>
                <w:rFonts w:hint="eastAsia" w:cs="Times New Roman"/>
                <w:color w:val="auto"/>
                <w:sz w:val="20"/>
                <w:szCs w:val="20"/>
                <w:lang w:eastAsia="zh-CN"/>
              </w:rPr>
              <w:t>：植树</w:t>
            </w:r>
            <w:r>
              <w:rPr>
                <w:rFonts w:cs="Times New Roman"/>
                <w:color w:val="auto"/>
                <w:sz w:val="20"/>
                <w:szCs w:val="20"/>
                <w:lang w:eastAsia="zh-CN"/>
              </w:rPr>
              <w:t>草</w:t>
            </w:r>
            <w:r>
              <w:rPr>
                <w:rFonts w:hint="eastAsia" w:cs="Times New Roman"/>
                <w:color w:val="auto"/>
                <w:sz w:val="20"/>
                <w:szCs w:val="20"/>
                <w:lang w:eastAsia="zh-CN"/>
              </w:rPr>
              <w:t>绿化</w:t>
            </w:r>
            <w:r>
              <w:rPr>
                <w:rFonts w:cs="Times New Roman"/>
                <w:color w:val="auto"/>
                <w:sz w:val="20"/>
                <w:szCs w:val="20"/>
                <w:lang w:eastAsia="zh-CN"/>
              </w:rPr>
              <w:t>25m</w:t>
            </w:r>
            <w:r>
              <w:rPr>
                <w:rFonts w:cs="Times New Roman"/>
                <w:color w:val="auto"/>
                <w:sz w:val="20"/>
                <w:szCs w:val="20"/>
                <w:vertAlign w:val="superscript"/>
                <w:lang w:eastAsia="zh-CN"/>
              </w:rPr>
              <w:t>2</w:t>
            </w:r>
            <w:r>
              <w:rPr>
                <w:rFonts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临时措施：</w:t>
            </w:r>
            <w:r>
              <w:rPr>
                <w:color w:val="auto"/>
                <w:sz w:val="20"/>
                <w:szCs w:val="20"/>
                <w:lang w:eastAsia="zh-CN"/>
              </w:rPr>
              <w:t>土袋</w:t>
            </w:r>
            <w:r>
              <w:rPr>
                <w:rFonts w:hint="eastAsia"/>
                <w:color w:val="auto"/>
                <w:sz w:val="20"/>
                <w:szCs w:val="20"/>
                <w:lang w:eastAsia="zh-CN"/>
              </w:rPr>
              <w:t>临</w:t>
            </w:r>
            <w:r>
              <w:rPr>
                <w:color w:val="auto"/>
                <w:sz w:val="20"/>
                <w:szCs w:val="20"/>
                <w:lang w:eastAsia="zh-CN"/>
              </w:rPr>
              <w:t>挡</w:t>
            </w:r>
            <w:r>
              <w:rPr>
                <w:rFonts w:hint="eastAsia"/>
                <w:color w:val="auto"/>
                <w:sz w:val="20"/>
                <w:szCs w:val="20"/>
                <w:lang w:eastAsia="zh-CN"/>
              </w:rPr>
              <w:t>墙10</w:t>
            </w:r>
            <w:r>
              <w:rPr>
                <w:rFonts w:hint="eastAsia" w:cs="Times New Roman"/>
                <w:color w:val="auto"/>
                <w:sz w:val="20"/>
                <w:szCs w:val="20"/>
                <w:lang w:eastAsia="zh-CN"/>
              </w:rPr>
              <w:t>m、防雨布临时遮盖40</w:t>
            </w:r>
            <w:r>
              <w:rPr>
                <w:rFonts w:cs="Times New Roman"/>
                <w:color w:val="auto"/>
                <w:sz w:val="20"/>
                <w:szCs w:val="20"/>
                <w:lang w:eastAsia="zh-CN"/>
              </w:rPr>
              <w:t>m</w:t>
            </w:r>
            <w:r>
              <w:rPr>
                <w:rFonts w:cs="Times New Roman"/>
                <w:color w:val="auto"/>
                <w:sz w:val="20"/>
                <w:szCs w:val="20"/>
                <w:vertAlign w:val="superscript"/>
                <w:lang w:eastAsia="zh-CN"/>
              </w:rPr>
              <w:t>2</w:t>
            </w:r>
            <w:r>
              <w:rPr>
                <w:rFonts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②</w:t>
            </w:r>
            <w:r>
              <w:rPr>
                <w:rFonts w:cs="Times New Roman"/>
                <w:color w:val="auto"/>
                <w:sz w:val="20"/>
                <w:szCs w:val="20"/>
                <w:lang w:eastAsia="zh-CN"/>
              </w:rPr>
              <w:t>玛瑙500kV变电站220kV间隔扩建工程</w:t>
            </w:r>
            <w:r>
              <w:rPr>
                <w:rFonts w:hint="eastAsia" w:cs="Times New Roman"/>
                <w:color w:val="auto"/>
                <w:sz w:val="20"/>
                <w:szCs w:val="20"/>
                <w:lang w:eastAsia="zh-CN"/>
              </w:rPr>
              <w:t>区（</w:t>
            </w:r>
            <w:r>
              <w:rPr>
                <w:rFonts w:cs="Times New Roman"/>
                <w:color w:val="auto"/>
                <w:sz w:val="20"/>
                <w:szCs w:val="20"/>
                <w:lang w:eastAsia="zh-CN"/>
              </w:rPr>
              <w:t>玛瑙变电站站区</w:t>
            </w:r>
            <w:r>
              <w:rPr>
                <w:rFonts w:hint="eastAsia"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施工前对变电站可剥离表土处进行剥离，施工期</w:t>
            </w:r>
            <w:r>
              <w:rPr>
                <w:rFonts w:hint="eastAsia"/>
                <w:color w:val="auto"/>
                <w:sz w:val="20"/>
                <w:szCs w:val="20"/>
                <w:lang w:eastAsia="zh-CN"/>
              </w:rPr>
              <w:t>对临时</w:t>
            </w:r>
            <w:r>
              <w:rPr>
                <w:rFonts w:hint="eastAsia" w:cs="Times New Roman"/>
                <w:color w:val="auto"/>
                <w:sz w:val="20"/>
                <w:szCs w:val="20"/>
                <w:lang w:eastAsia="zh-CN"/>
              </w:rPr>
              <w:t>表土堆场采用</w:t>
            </w:r>
            <w:r>
              <w:rPr>
                <w:color w:val="auto"/>
                <w:sz w:val="20"/>
                <w:szCs w:val="20"/>
                <w:lang w:eastAsia="zh-CN"/>
              </w:rPr>
              <w:t>土袋</w:t>
            </w:r>
            <w:r>
              <w:rPr>
                <w:rFonts w:hint="eastAsia"/>
                <w:color w:val="auto"/>
                <w:sz w:val="20"/>
                <w:szCs w:val="20"/>
                <w:lang w:eastAsia="zh-CN"/>
              </w:rPr>
              <w:t>临时拦</w:t>
            </w:r>
            <w:r>
              <w:rPr>
                <w:color w:val="auto"/>
                <w:sz w:val="20"/>
                <w:szCs w:val="20"/>
                <w:lang w:eastAsia="zh-CN"/>
              </w:rPr>
              <w:t>挡</w:t>
            </w:r>
            <w:r>
              <w:rPr>
                <w:rFonts w:hint="eastAsia"/>
                <w:color w:val="auto"/>
                <w:sz w:val="20"/>
                <w:szCs w:val="20"/>
                <w:lang w:eastAsia="zh-CN"/>
              </w:rPr>
              <w:t>、</w:t>
            </w:r>
            <w:r>
              <w:rPr>
                <w:rFonts w:hint="eastAsia" w:cs="Times New Roman"/>
                <w:color w:val="auto"/>
                <w:sz w:val="20"/>
                <w:szCs w:val="20"/>
                <w:lang w:eastAsia="zh-CN"/>
              </w:rPr>
              <w:t>防雨布临时遮盖，在南侧至出入口段布设</w:t>
            </w:r>
            <w:r>
              <w:rPr>
                <w:rFonts w:cs="Times New Roman"/>
                <w:color w:val="auto"/>
                <w:sz w:val="20"/>
                <w:szCs w:val="20"/>
                <w:lang w:eastAsia="zh-CN"/>
              </w:rPr>
              <w:t>雨水管</w:t>
            </w:r>
            <w:r>
              <w:rPr>
                <w:rFonts w:hint="eastAsia" w:cs="Times New Roman"/>
                <w:color w:val="auto"/>
                <w:sz w:val="20"/>
                <w:szCs w:val="20"/>
                <w:lang w:eastAsia="zh-CN"/>
              </w:rPr>
              <w:t>；施工后前对迹地进行土地整治、表土回覆，对绿化区域进行植树</w:t>
            </w:r>
            <w:r>
              <w:rPr>
                <w:rFonts w:cs="Times New Roman"/>
                <w:color w:val="auto"/>
                <w:sz w:val="20"/>
                <w:szCs w:val="20"/>
                <w:lang w:eastAsia="zh-CN"/>
              </w:rPr>
              <w:t>草</w:t>
            </w:r>
            <w:r>
              <w:rPr>
                <w:rFonts w:hint="eastAsia" w:cs="Times New Roman"/>
                <w:color w:val="auto"/>
                <w:sz w:val="20"/>
                <w:szCs w:val="20"/>
                <w:lang w:eastAsia="zh-CN"/>
              </w:rPr>
              <w:t>绿化。</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工程措施</w:t>
            </w:r>
            <w:r>
              <w:rPr>
                <w:rFonts w:hint="eastAsia" w:cs="Times New Roman"/>
                <w:color w:val="auto"/>
                <w:sz w:val="20"/>
                <w:szCs w:val="20"/>
                <w:lang w:eastAsia="zh-CN"/>
              </w:rPr>
              <w:t>：表土剥离23m</w:t>
            </w:r>
            <w:r>
              <w:rPr>
                <w:rFonts w:hint="eastAsia" w:cs="Times New Roman"/>
                <w:color w:val="auto"/>
                <w:sz w:val="20"/>
                <w:szCs w:val="20"/>
                <w:vertAlign w:val="superscript"/>
                <w:lang w:eastAsia="zh-CN"/>
              </w:rPr>
              <w:t>3</w:t>
            </w:r>
            <w:r>
              <w:rPr>
                <w:rFonts w:hint="eastAsia" w:cs="Times New Roman"/>
                <w:color w:val="auto"/>
                <w:sz w:val="20"/>
                <w:szCs w:val="20"/>
                <w:lang w:eastAsia="zh-CN"/>
              </w:rPr>
              <w:t>，</w:t>
            </w:r>
            <w:r>
              <w:rPr>
                <w:rFonts w:cs="Times New Roman"/>
                <w:color w:val="auto"/>
                <w:sz w:val="20"/>
                <w:szCs w:val="20"/>
                <w:lang w:eastAsia="zh-CN"/>
              </w:rPr>
              <w:t>雨水管90m、雨水</w:t>
            </w:r>
            <w:r>
              <w:rPr>
                <w:rFonts w:hint="eastAsia" w:cs="Times New Roman"/>
                <w:color w:val="auto"/>
                <w:sz w:val="20"/>
                <w:szCs w:val="20"/>
                <w:lang w:eastAsia="zh-CN"/>
              </w:rPr>
              <w:t>口</w:t>
            </w:r>
            <w:r>
              <w:rPr>
                <w:rFonts w:cs="Times New Roman"/>
                <w:color w:val="auto"/>
                <w:sz w:val="20"/>
                <w:szCs w:val="20"/>
                <w:lang w:eastAsia="zh-CN"/>
              </w:rPr>
              <w:t>2</w:t>
            </w:r>
            <w:r>
              <w:rPr>
                <w:rFonts w:hint="eastAsia" w:cs="Times New Roman"/>
                <w:color w:val="auto"/>
                <w:sz w:val="20"/>
                <w:szCs w:val="20"/>
                <w:lang w:eastAsia="zh-CN"/>
              </w:rPr>
              <w:t>个，土地整治115m</w:t>
            </w:r>
            <w:r>
              <w:rPr>
                <w:rFonts w:hint="eastAsia" w:cs="Times New Roman"/>
                <w:color w:val="auto"/>
                <w:sz w:val="20"/>
                <w:szCs w:val="20"/>
                <w:vertAlign w:val="superscript"/>
                <w:lang w:eastAsia="zh-CN"/>
              </w:rPr>
              <w:t>2</w:t>
            </w:r>
            <w:r>
              <w:rPr>
                <w:rFonts w:hint="eastAsia" w:cs="Times New Roman"/>
                <w:color w:val="auto"/>
                <w:sz w:val="20"/>
                <w:szCs w:val="20"/>
                <w:lang w:eastAsia="zh-CN"/>
              </w:rPr>
              <w:t>，表土回覆23m</w:t>
            </w:r>
            <w:r>
              <w:rPr>
                <w:rFonts w:hint="eastAsia" w:cs="Times New Roman"/>
                <w:color w:val="auto"/>
                <w:sz w:val="20"/>
                <w:szCs w:val="20"/>
                <w:vertAlign w:val="superscript"/>
                <w:lang w:eastAsia="zh-CN"/>
              </w:rPr>
              <w:t>3</w:t>
            </w:r>
            <w:r>
              <w:rPr>
                <w:rFonts w:hint="eastAsia"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植物措施</w:t>
            </w:r>
            <w:r>
              <w:rPr>
                <w:rFonts w:hint="eastAsia" w:cs="Times New Roman"/>
                <w:color w:val="auto"/>
                <w:sz w:val="20"/>
                <w:szCs w:val="20"/>
                <w:lang w:eastAsia="zh-CN"/>
              </w:rPr>
              <w:t>：植树</w:t>
            </w:r>
            <w:r>
              <w:rPr>
                <w:rFonts w:cs="Times New Roman"/>
                <w:color w:val="auto"/>
                <w:sz w:val="20"/>
                <w:szCs w:val="20"/>
                <w:lang w:eastAsia="zh-CN"/>
              </w:rPr>
              <w:t>草</w:t>
            </w:r>
            <w:r>
              <w:rPr>
                <w:rFonts w:hint="eastAsia" w:cs="Times New Roman"/>
                <w:color w:val="auto"/>
                <w:sz w:val="20"/>
                <w:szCs w:val="20"/>
                <w:lang w:eastAsia="zh-CN"/>
              </w:rPr>
              <w:t>绿化11</w:t>
            </w:r>
            <w:r>
              <w:rPr>
                <w:rFonts w:cs="Times New Roman"/>
                <w:color w:val="auto"/>
                <w:sz w:val="20"/>
                <w:szCs w:val="20"/>
                <w:lang w:eastAsia="zh-CN"/>
              </w:rPr>
              <w:t>5m</w:t>
            </w:r>
            <w:r>
              <w:rPr>
                <w:rFonts w:cs="Times New Roman"/>
                <w:color w:val="auto"/>
                <w:sz w:val="20"/>
                <w:szCs w:val="20"/>
                <w:vertAlign w:val="superscript"/>
                <w:lang w:eastAsia="zh-CN"/>
              </w:rPr>
              <w:t>2</w:t>
            </w:r>
            <w:r>
              <w:rPr>
                <w:rFonts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临时措施：</w:t>
            </w:r>
            <w:r>
              <w:rPr>
                <w:color w:val="auto"/>
                <w:sz w:val="20"/>
                <w:szCs w:val="20"/>
                <w:lang w:eastAsia="zh-CN"/>
              </w:rPr>
              <w:t>土袋</w:t>
            </w:r>
            <w:r>
              <w:rPr>
                <w:rFonts w:hint="eastAsia"/>
                <w:color w:val="auto"/>
                <w:sz w:val="20"/>
                <w:szCs w:val="20"/>
                <w:lang w:eastAsia="zh-CN"/>
              </w:rPr>
              <w:t>临</w:t>
            </w:r>
            <w:r>
              <w:rPr>
                <w:color w:val="auto"/>
                <w:sz w:val="20"/>
                <w:szCs w:val="20"/>
                <w:lang w:eastAsia="zh-CN"/>
              </w:rPr>
              <w:t>挡</w:t>
            </w:r>
            <w:r>
              <w:rPr>
                <w:rFonts w:hint="eastAsia"/>
                <w:color w:val="auto"/>
                <w:sz w:val="20"/>
                <w:szCs w:val="20"/>
                <w:lang w:eastAsia="zh-CN"/>
              </w:rPr>
              <w:t>墙30</w:t>
            </w:r>
            <w:r>
              <w:rPr>
                <w:rFonts w:hint="eastAsia" w:cs="Times New Roman"/>
                <w:color w:val="auto"/>
                <w:sz w:val="20"/>
                <w:szCs w:val="20"/>
                <w:lang w:eastAsia="zh-CN"/>
              </w:rPr>
              <w:t>m、防雨布临时遮盖220</w:t>
            </w:r>
            <w:r>
              <w:rPr>
                <w:rFonts w:cs="Times New Roman"/>
                <w:color w:val="auto"/>
                <w:sz w:val="20"/>
                <w:szCs w:val="20"/>
                <w:lang w:eastAsia="zh-CN"/>
              </w:rPr>
              <w:t>m</w:t>
            </w:r>
            <w:r>
              <w:rPr>
                <w:rFonts w:cs="Times New Roman"/>
                <w:color w:val="auto"/>
                <w:sz w:val="20"/>
                <w:szCs w:val="20"/>
                <w:vertAlign w:val="superscript"/>
                <w:lang w:eastAsia="zh-CN"/>
              </w:rPr>
              <w:t>2</w:t>
            </w:r>
            <w:r>
              <w:rPr>
                <w:rFonts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w:t>
            </w:r>
            <w:r>
              <w:rPr>
                <w:rFonts w:hint="eastAsia" w:cs="Times New Roman"/>
                <w:color w:val="auto"/>
                <w:sz w:val="20"/>
                <w:szCs w:val="20"/>
                <w:lang w:eastAsia="zh-CN"/>
              </w:rPr>
              <w:t>2</w:t>
            </w:r>
            <w:r>
              <w:rPr>
                <w:rFonts w:cs="Times New Roman"/>
                <w:color w:val="auto"/>
                <w:sz w:val="20"/>
                <w:szCs w:val="20"/>
                <w:lang w:eastAsia="zh-CN"/>
              </w:rPr>
              <w:t>）线路工程区</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1）</w:t>
            </w:r>
            <w:r>
              <w:rPr>
                <w:rFonts w:hint="eastAsia" w:cs="Times New Roman"/>
                <w:color w:val="auto"/>
                <w:sz w:val="20"/>
                <w:szCs w:val="20"/>
                <w:lang w:eastAsia="zh-CN"/>
              </w:rPr>
              <w:t>玛瑙-正达凯220kV线路工程区</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①玛瑙塔基及临时施工区</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施工前对塔基及临时施工区可剥离表土处进行剥离，施工期</w:t>
            </w:r>
            <w:r>
              <w:rPr>
                <w:rFonts w:hint="eastAsia"/>
                <w:color w:val="auto"/>
                <w:sz w:val="20"/>
                <w:szCs w:val="20"/>
                <w:lang w:eastAsia="zh-CN"/>
              </w:rPr>
              <w:t>在临时</w:t>
            </w:r>
            <w:r>
              <w:rPr>
                <w:rFonts w:hint="eastAsia" w:cs="Times New Roman"/>
                <w:color w:val="auto"/>
                <w:sz w:val="20"/>
                <w:szCs w:val="20"/>
                <w:lang w:eastAsia="zh-CN"/>
              </w:rPr>
              <w:t>表土堆场采用</w:t>
            </w:r>
            <w:r>
              <w:rPr>
                <w:color w:val="auto"/>
                <w:sz w:val="20"/>
                <w:szCs w:val="20"/>
                <w:lang w:eastAsia="zh-CN"/>
              </w:rPr>
              <w:t>土袋</w:t>
            </w:r>
            <w:r>
              <w:rPr>
                <w:rFonts w:hint="eastAsia"/>
                <w:color w:val="auto"/>
                <w:sz w:val="20"/>
                <w:szCs w:val="20"/>
                <w:lang w:eastAsia="zh-CN"/>
              </w:rPr>
              <w:t>临时拦</w:t>
            </w:r>
            <w:r>
              <w:rPr>
                <w:color w:val="auto"/>
                <w:sz w:val="20"/>
                <w:szCs w:val="20"/>
                <w:lang w:eastAsia="zh-CN"/>
              </w:rPr>
              <w:t>挡</w:t>
            </w:r>
            <w:r>
              <w:rPr>
                <w:rFonts w:hint="eastAsia"/>
                <w:color w:val="auto"/>
                <w:sz w:val="20"/>
                <w:szCs w:val="20"/>
                <w:lang w:eastAsia="zh-CN"/>
              </w:rPr>
              <w:t>、</w:t>
            </w:r>
            <w:r>
              <w:rPr>
                <w:rFonts w:hint="eastAsia" w:cs="Times New Roman"/>
                <w:color w:val="auto"/>
                <w:sz w:val="20"/>
                <w:szCs w:val="20"/>
                <w:lang w:eastAsia="zh-CN"/>
              </w:rPr>
              <w:t>防雨布临时遮盖，</w:t>
            </w:r>
            <w:r>
              <w:rPr>
                <w:rFonts w:cs="Times New Roman"/>
                <w:color w:val="auto"/>
                <w:sz w:val="20"/>
                <w:szCs w:val="20"/>
                <w:lang w:eastAsia="zh-CN"/>
              </w:rPr>
              <w:t>在高陡处</w:t>
            </w:r>
            <w:r>
              <w:rPr>
                <w:rFonts w:hint="eastAsia" w:cs="Times New Roman"/>
                <w:color w:val="auto"/>
                <w:sz w:val="20"/>
                <w:szCs w:val="20"/>
                <w:lang w:eastAsia="zh-CN"/>
              </w:rPr>
              <w:t>的</w:t>
            </w:r>
            <w:r>
              <w:rPr>
                <w:rFonts w:cs="Times New Roman"/>
                <w:color w:val="auto"/>
                <w:sz w:val="20"/>
                <w:szCs w:val="20"/>
                <w:lang w:eastAsia="zh-CN"/>
              </w:rPr>
              <w:t>塔</w:t>
            </w:r>
            <w:r>
              <w:rPr>
                <w:rFonts w:hint="eastAsia" w:cs="Times New Roman"/>
                <w:color w:val="auto"/>
                <w:sz w:val="20"/>
                <w:szCs w:val="20"/>
                <w:lang w:eastAsia="zh-CN"/>
              </w:rPr>
              <w:t>基上方</w:t>
            </w:r>
            <w:r>
              <w:rPr>
                <w:rFonts w:cs="Times New Roman"/>
                <w:color w:val="auto"/>
                <w:sz w:val="20"/>
                <w:szCs w:val="20"/>
                <w:lang w:eastAsia="zh-CN"/>
              </w:rPr>
              <w:t>布置排洪沟</w:t>
            </w:r>
            <w:r>
              <w:rPr>
                <w:rFonts w:hint="eastAsia" w:cs="Times New Roman"/>
                <w:color w:val="auto"/>
                <w:sz w:val="20"/>
                <w:szCs w:val="20"/>
                <w:lang w:eastAsia="zh-CN"/>
              </w:rPr>
              <w:t>、下方</w:t>
            </w:r>
            <w:r>
              <w:rPr>
                <w:rFonts w:cs="Times New Roman"/>
                <w:color w:val="auto"/>
                <w:sz w:val="20"/>
                <w:szCs w:val="20"/>
                <w:lang w:eastAsia="zh-CN"/>
              </w:rPr>
              <w:t>布置护坡墙</w:t>
            </w:r>
            <w:r>
              <w:rPr>
                <w:rFonts w:hint="eastAsia" w:cs="Times New Roman"/>
                <w:color w:val="auto"/>
                <w:sz w:val="20"/>
                <w:szCs w:val="20"/>
                <w:lang w:eastAsia="zh-CN"/>
              </w:rPr>
              <w:t>；施工后前对迹地进行土地整治、表土回覆，对绿化区域进行植树</w:t>
            </w:r>
            <w:r>
              <w:rPr>
                <w:rFonts w:cs="Times New Roman"/>
                <w:color w:val="auto"/>
                <w:sz w:val="20"/>
                <w:szCs w:val="20"/>
                <w:lang w:eastAsia="zh-CN"/>
              </w:rPr>
              <w:t>草</w:t>
            </w:r>
            <w:r>
              <w:rPr>
                <w:rFonts w:hint="eastAsia" w:cs="Times New Roman"/>
                <w:color w:val="auto"/>
                <w:sz w:val="20"/>
                <w:szCs w:val="20"/>
                <w:lang w:eastAsia="zh-CN"/>
              </w:rPr>
              <w:t>绿化。</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工程措施</w:t>
            </w:r>
            <w:r>
              <w:rPr>
                <w:rFonts w:hint="eastAsia" w:cs="Times New Roman"/>
                <w:color w:val="auto"/>
                <w:sz w:val="20"/>
                <w:szCs w:val="20"/>
                <w:lang w:eastAsia="zh-CN"/>
              </w:rPr>
              <w:t>：表土剥离387m</w:t>
            </w:r>
            <w:r>
              <w:rPr>
                <w:rFonts w:hint="eastAsia" w:cs="Times New Roman"/>
                <w:color w:val="auto"/>
                <w:sz w:val="20"/>
                <w:szCs w:val="20"/>
                <w:vertAlign w:val="superscript"/>
                <w:lang w:eastAsia="zh-CN"/>
              </w:rPr>
              <w:t>3</w:t>
            </w:r>
            <w:r>
              <w:rPr>
                <w:rFonts w:hint="eastAsia" w:cs="Times New Roman"/>
                <w:color w:val="auto"/>
                <w:sz w:val="20"/>
                <w:szCs w:val="20"/>
                <w:lang w:eastAsia="zh-CN"/>
              </w:rPr>
              <w:t>，</w:t>
            </w:r>
            <w:r>
              <w:rPr>
                <w:rFonts w:cs="Times New Roman"/>
                <w:color w:val="auto"/>
                <w:sz w:val="20"/>
                <w:szCs w:val="20"/>
                <w:lang w:eastAsia="zh-CN"/>
              </w:rPr>
              <w:t>排洪沟</w:t>
            </w:r>
            <w:r>
              <w:rPr>
                <w:rFonts w:hint="eastAsia" w:cs="Times New Roman"/>
                <w:color w:val="auto"/>
                <w:sz w:val="20"/>
                <w:szCs w:val="20"/>
                <w:lang w:eastAsia="zh-CN"/>
              </w:rPr>
              <w:t>65</w:t>
            </w:r>
            <w:r>
              <w:rPr>
                <w:rFonts w:cs="Times New Roman"/>
                <w:color w:val="auto"/>
                <w:sz w:val="20"/>
                <w:szCs w:val="20"/>
                <w:lang w:eastAsia="zh-CN"/>
              </w:rPr>
              <w:t>m、护坡墙</w:t>
            </w:r>
            <w:r>
              <w:rPr>
                <w:rFonts w:hint="eastAsia" w:cs="Times New Roman"/>
                <w:color w:val="auto"/>
                <w:sz w:val="20"/>
                <w:szCs w:val="20"/>
                <w:lang w:eastAsia="zh-CN"/>
              </w:rPr>
              <w:t>70</w:t>
            </w:r>
            <w:r>
              <w:rPr>
                <w:rFonts w:cs="Times New Roman"/>
                <w:color w:val="auto"/>
                <w:sz w:val="20"/>
                <w:szCs w:val="20"/>
                <w:lang w:eastAsia="zh-CN"/>
              </w:rPr>
              <w:t>m</w:t>
            </w:r>
            <w:r>
              <w:rPr>
                <w:rFonts w:hint="eastAsia" w:cs="Times New Roman"/>
                <w:color w:val="auto"/>
                <w:sz w:val="20"/>
                <w:szCs w:val="20"/>
                <w:lang w:eastAsia="zh-CN"/>
              </w:rPr>
              <w:t>，土地整治6315m</w:t>
            </w:r>
            <w:r>
              <w:rPr>
                <w:rFonts w:hint="eastAsia" w:cs="Times New Roman"/>
                <w:color w:val="auto"/>
                <w:sz w:val="20"/>
                <w:szCs w:val="20"/>
                <w:vertAlign w:val="superscript"/>
                <w:lang w:eastAsia="zh-CN"/>
              </w:rPr>
              <w:t>2</w:t>
            </w:r>
            <w:r>
              <w:rPr>
                <w:rFonts w:hint="eastAsia" w:cs="Times New Roman"/>
                <w:color w:val="auto"/>
                <w:sz w:val="20"/>
                <w:szCs w:val="20"/>
                <w:lang w:eastAsia="zh-CN"/>
              </w:rPr>
              <w:t>，表土回覆387m</w:t>
            </w:r>
            <w:r>
              <w:rPr>
                <w:rFonts w:hint="eastAsia" w:cs="Times New Roman"/>
                <w:color w:val="auto"/>
                <w:sz w:val="20"/>
                <w:szCs w:val="20"/>
                <w:vertAlign w:val="superscript"/>
                <w:lang w:eastAsia="zh-CN"/>
              </w:rPr>
              <w:t>3</w:t>
            </w:r>
            <w:r>
              <w:rPr>
                <w:rFonts w:hint="eastAsia"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植物措施</w:t>
            </w:r>
            <w:r>
              <w:rPr>
                <w:rFonts w:hint="eastAsia" w:cs="Times New Roman"/>
                <w:color w:val="auto"/>
                <w:sz w:val="20"/>
                <w:szCs w:val="20"/>
                <w:lang w:eastAsia="zh-CN"/>
              </w:rPr>
              <w:t>：植树</w:t>
            </w:r>
            <w:r>
              <w:rPr>
                <w:rFonts w:cs="Times New Roman"/>
                <w:color w:val="auto"/>
                <w:sz w:val="20"/>
                <w:szCs w:val="20"/>
                <w:lang w:eastAsia="zh-CN"/>
              </w:rPr>
              <w:t>草</w:t>
            </w:r>
            <w:r>
              <w:rPr>
                <w:rFonts w:hint="eastAsia" w:cs="Times New Roman"/>
                <w:color w:val="auto"/>
                <w:sz w:val="20"/>
                <w:szCs w:val="20"/>
                <w:lang w:eastAsia="zh-CN"/>
              </w:rPr>
              <w:t>绿化6315</w:t>
            </w:r>
            <w:r>
              <w:rPr>
                <w:rFonts w:cs="Times New Roman"/>
                <w:color w:val="auto"/>
                <w:sz w:val="20"/>
                <w:szCs w:val="20"/>
                <w:lang w:eastAsia="zh-CN"/>
              </w:rPr>
              <w:t>m</w:t>
            </w:r>
            <w:r>
              <w:rPr>
                <w:rFonts w:cs="Times New Roman"/>
                <w:color w:val="auto"/>
                <w:sz w:val="20"/>
                <w:szCs w:val="20"/>
                <w:vertAlign w:val="superscript"/>
                <w:lang w:eastAsia="zh-CN"/>
              </w:rPr>
              <w:t>2</w:t>
            </w:r>
            <w:r>
              <w:rPr>
                <w:rFonts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临时措施：</w:t>
            </w:r>
            <w:r>
              <w:rPr>
                <w:color w:val="auto"/>
                <w:sz w:val="20"/>
                <w:szCs w:val="20"/>
                <w:lang w:eastAsia="zh-CN"/>
              </w:rPr>
              <w:t>土袋</w:t>
            </w:r>
            <w:r>
              <w:rPr>
                <w:rFonts w:hint="eastAsia"/>
                <w:color w:val="auto"/>
                <w:sz w:val="20"/>
                <w:szCs w:val="20"/>
                <w:lang w:eastAsia="zh-CN"/>
              </w:rPr>
              <w:t>临</w:t>
            </w:r>
            <w:r>
              <w:rPr>
                <w:color w:val="auto"/>
                <w:sz w:val="20"/>
                <w:szCs w:val="20"/>
                <w:lang w:eastAsia="zh-CN"/>
              </w:rPr>
              <w:t>挡</w:t>
            </w:r>
            <w:r>
              <w:rPr>
                <w:rFonts w:hint="eastAsia"/>
                <w:color w:val="auto"/>
                <w:sz w:val="20"/>
                <w:szCs w:val="20"/>
                <w:lang w:eastAsia="zh-CN"/>
              </w:rPr>
              <w:t>墙150</w:t>
            </w:r>
            <w:r>
              <w:rPr>
                <w:rFonts w:hint="eastAsia" w:cs="Times New Roman"/>
                <w:color w:val="auto"/>
                <w:sz w:val="20"/>
                <w:szCs w:val="20"/>
                <w:lang w:eastAsia="zh-CN"/>
              </w:rPr>
              <w:t>m、防雨布临时遮盖1200</w:t>
            </w:r>
            <w:r>
              <w:rPr>
                <w:rFonts w:cs="Times New Roman"/>
                <w:color w:val="auto"/>
                <w:sz w:val="20"/>
                <w:szCs w:val="20"/>
                <w:lang w:eastAsia="zh-CN"/>
              </w:rPr>
              <w:t>m</w:t>
            </w:r>
            <w:r>
              <w:rPr>
                <w:rFonts w:cs="Times New Roman"/>
                <w:color w:val="auto"/>
                <w:sz w:val="20"/>
                <w:szCs w:val="20"/>
                <w:vertAlign w:val="superscript"/>
                <w:lang w:eastAsia="zh-CN"/>
              </w:rPr>
              <w:t>2</w:t>
            </w:r>
            <w:r>
              <w:rPr>
                <w:rFonts w:cs="Times New Roman"/>
                <w:color w:val="auto"/>
                <w:sz w:val="20"/>
                <w:szCs w:val="20"/>
                <w:lang w:eastAsia="zh-CN"/>
              </w:rPr>
              <w:t>。</w:t>
            </w:r>
          </w:p>
          <w:p>
            <w:pPr>
              <w:widowControl w:val="0"/>
              <w:kinsoku/>
              <w:topLinePunct/>
              <w:autoSpaceDE/>
              <w:autoSpaceDN/>
              <w:spacing w:line="240" w:lineRule="atLeast"/>
              <w:ind w:firstLine="400"/>
              <w:jc w:val="both"/>
              <w:rPr>
                <w:rFonts w:cs="Times New Roman"/>
                <w:color w:val="auto"/>
                <w:sz w:val="20"/>
                <w:szCs w:val="20"/>
                <w:lang w:eastAsia="zh-CN"/>
              </w:rPr>
            </w:pPr>
            <w:r>
              <w:rPr>
                <w:rFonts w:hint="eastAsia" w:cs="Times New Roman"/>
                <w:color w:val="auto"/>
                <w:sz w:val="20"/>
                <w:szCs w:val="20"/>
                <w:lang w:eastAsia="zh-CN"/>
              </w:rPr>
              <w:t>②玛瑙施工便道区</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施工前对施工便道区可剥离表土处进行剥离，施工期</w:t>
            </w:r>
            <w:r>
              <w:rPr>
                <w:rFonts w:hint="eastAsia"/>
                <w:color w:val="auto"/>
                <w:sz w:val="20"/>
                <w:szCs w:val="20"/>
                <w:lang w:eastAsia="zh-CN"/>
              </w:rPr>
              <w:t>在临时</w:t>
            </w:r>
            <w:r>
              <w:rPr>
                <w:rFonts w:hint="eastAsia" w:cs="Times New Roman"/>
                <w:color w:val="auto"/>
                <w:sz w:val="20"/>
                <w:szCs w:val="20"/>
                <w:lang w:eastAsia="zh-CN"/>
              </w:rPr>
              <w:t>表土堆场采用</w:t>
            </w:r>
            <w:r>
              <w:rPr>
                <w:color w:val="auto"/>
                <w:sz w:val="20"/>
                <w:szCs w:val="20"/>
                <w:lang w:eastAsia="zh-CN"/>
              </w:rPr>
              <w:t>土袋</w:t>
            </w:r>
            <w:r>
              <w:rPr>
                <w:rFonts w:hint="eastAsia"/>
                <w:color w:val="auto"/>
                <w:sz w:val="20"/>
                <w:szCs w:val="20"/>
                <w:lang w:eastAsia="zh-CN"/>
              </w:rPr>
              <w:t>临时拦</w:t>
            </w:r>
            <w:r>
              <w:rPr>
                <w:color w:val="auto"/>
                <w:sz w:val="20"/>
                <w:szCs w:val="20"/>
                <w:lang w:eastAsia="zh-CN"/>
              </w:rPr>
              <w:t>挡</w:t>
            </w:r>
            <w:r>
              <w:rPr>
                <w:rFonts w:hint="eastAsia"/>
                <w:color w:val="auto"/>
                <w:sz w:val="20"/>
                <w:szCs w:val="20"/>
                <w:lang w:eastAsia="zh-CN"/>
              </w:rPr>
              <w:t>、</w:t>
            </w:r>
            <w:r>
              <w:rPr>
                <w:rFonts w:hint="eastAsia" w:cs="Times New Roman"/>
                <w:color w:val="auto"/>
                <w:sz w:val="20"/>
                <w:szCs w:val="20"/>
                <w:lang w:eastAsia="zh-CN"/>
              </w:rPr>
              <w:t>防雨布临时遮盖；施工后前对迹地进行土地整治、表土回覆，对绿化区域进行植树</w:t>
            </w:r>
            <w:r>
              <w:rPr>
                <w:rFonts w:cs="Times New Roman"/>
                <w:color w:val="auto"/>
                <w:sz w:val="20"/>
                <w:szCs w:val="20"/>
                <w:lang w:eastAsia="zh-CN"/>
              </w:rPr>
              <w:t>草</w:t>
            </w:r>
            <w:r>
              <w:rPr>
                <w:rFonts w:hint="eastAsia" w:cs="Times New Roman"/>
                <w:color w:val="auto"/>
                <w:sz w:val="20"/>
                <w:szCs w:val="20"/>
                <w:lang w:eastAsia="zh-CN"/>
              </w:rPr>
              <w:t>绿化。</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工程措施</w:t>
            </w:r>
            <w:r>
              <w:rPr>
                <w:rFonts w:hint="eastAsia" w:cs="Times New Roman"/>
                <w:color w:val="auto"/>
                <w:sz w:val="20"/>
                <w:szCs w:val="20"/>
                <w:lang w:eastAsia="zh-CN"/>
              </w:rPr>
              <w:t>：表土剥离144m</w:t>
            </w:r>
            <w:r>
              <w:rPr>
                <w:rFonts w:hint="eastAsia" w:cs="Times New Roman"/>
                <w:color w:val="auto"/>
                <w:sz w:val="20"/>
                <w:szCs w:val="20"/>
                <w:vertAlign w:val="superscript"/>
                <w:lang w:eastAsia="zh-CN"/>
              </w:rPr>
              <w:t>3</w:t>
            </w:r>
            <w:r>
              <w:rPr>
                <w:rFonts w:hint="eastAsia" w:cs="Times New Roman"/>
                <w:color w:val="auto"/>
                <w:sz w:val="20"/>
                <w:szCs w:val="20"/>
                <w:lang w:eastAsia="zh-CN"/>
              </w:rPr>
              <w:t>，土地整治3960m</w:t>
            </w:r>
            <w:r>
              <w:rPr>
                <w:rFonts w:hint="eastAsia" w:cs="Times New Roman"/>
                <w:color w:val="auto"/>
                <w:sz w:val="20"/>
                <w:szCs w:val="20"/>
                <w:vertAlign w:val="superscript"/>
                <w:lang w:eastAsia="zh-CN"/>
              </w:rPr>
              <w:t>2</w:t>
            </w:r>
            <w:r>
              <w:rPr>
                <w:rFonts w:hint="eastAsia" w:cs="Times New Roman"/>
                <w:color w:val="auto"/>
                <w:sz w:val="20"/>
                <w:szCs w:val="20"/>
                <w:lang w:eastAsia="zh-CN"/>
              </w:rPr>
              <w:t>，表土回覆144m</w:t>
            </w:r>
            <w:r>
              <w:rPr>
                <w:rFonts w:hint="eastAsia" w:cs="Times New Roman"/>
                <w:color w:val="auto"/>
                <w:sz w:val="20"/>
                <w:szCs w:val="20"/>
                <w:vertAlign w:val="superscript"/>
                <w:lang w:eastAsia="zh-CN"/>
              </w:rPr>
              <w:t>3</w:t>
            </w:r>
            <w:r>
              <w:rPr>
                <w:rFonts w:hint="eastAsia"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植物措施</w:t>
            </w:r>
            <w:r>
              <w:rPr>
                <w:rFonts w:hint="eastAsia" w:cs="Times New Roman"/>
                <w:color w:val="auto"/>
                <w:sz w:val="20"/>
                <w:szCs w:val="20"/>
                <w:lang w:eastAsia="zh-CN"/>
              </w:rPr>
              <w:t>：植树</w:t>
            </w:r>
            <w:r>
              <w:rPr>
                <w:rFonts w:cs="Times New Roman"/>
                <w:color w:val="auto"/>
                <w:sz w:val="20"/>
                <w:szCs w:val="20"/>
                <w:lang w:eastAsia="zh-CN"/>
              </w:rPr>
              <w:t>草</w:t>
            </w:r>
            <w:r>
              <w:rPr>
                <w:rFonts w:hint="eastAsia" w:cs="Times New Roman"/>
                <w:color w:val="auto"/>
                <w:sz w:val="20"/>
                <w:szCs w:val="20"/>
                <w:lang w:eastAsia="zh-CN"/>
              </w:rPr>
              <w:t>绿化3960</w:t>
            </w:r>
            <w:r>
              <w:rPr>
                <w:rFonts w:cs="Times New Roman"/>
                <w:color w:val="auto"/>
                <w:sz w:val="20"/>
                <w:szCs w:val="20"/>
                <w:lang w:eastAsia="zh-CN"/>
              </w:rPr>
              <w:t>m</w:t>
            </w:r>
            <w:r>
              <w:rPr>
                <w:rFonts w:cs="Times New Roman"/>
                <w:color w:val="auto"/>
                <w:sz w:val="20"/>
                <w:szCs w:val="20"/>
                <w:vertAlign w:val="superscript"/>
                <w:lang w:eastAsia="zh-CN"/>
              </w:rPr>
              <w:t>2</w:t>
            </w:r>
            <w:r>
              <w:rPr>
                <w:rFonts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临时措施：</w:t>
            </w:r>
            <w:r>
              <w:rPr>
                <w:color w:val="auto"/>
                <w:sz w:val="20"/>
                <w:szCs w:val="20"/>
                <w:lang w:eastAsia="zh-CN"/>
              </w:rPr>
              <w:t>土袋</w:t>
            </w:r>
            <w:r>
              <w:rPr>
                <w:rFonts w:hint="eastAsia"/>
                <w:color w:val="auto"/>
                <w:sz w:val="20"/>
                <w:szCs w:val="20"/>
                <w:lang w:eastAsia="zh-CN"/>
              </w:rPr>
              <w:t>临</w:t>
            </w:r>
            <w:r>
              <w:rPr>
                <w:color w:val="auto"/>
                <w:sz w:val="20"/>
                <w:szCs w:val="20"/>
                <w:lang w:eastAsia="zh-CN"/>
              </w:rPr>
              <w:t>挡</w:t>
            </w:r>
            <w:r>
              <w:rPr>
                <w:rFonts w:hint="eastAsia"/>
                <w:color w:val="auto"/>
                <w:sz w:val="20"/>
                <w:szCs w:val="20"/>
                <w:lang w:eastAsia="zh-CN"/>
              </w:rPr>
              <w:t>墙80</w:t>
            </w:r>
            <w:r>
              <w:rPr>
                <w:rFonts w:hint="eastAsia" w:cs="Times New Roman"/>
                <w:color w:val="auto"/>
                <w:sz w:val="20"/>
                <w:szCs w:val="20"/>
                <w:lang w:eastAsia="zh-CN"/>
              </w:rPr>
              <w:t>m、防雨布临时遮盖280</w:t>
            </w:r>
            <w:r>
              <w:rPr>
                <w:rFonts w:cs="Times New Roman"/>
                <w:color w:val="auto"/>
                <w:sz w:val="20"/>
                <w:szCs w:val="20"/>
                <w:lang w:eastAsia="zh-CN"/>
              </w:rPr>
              <w:t>m</w:t>
            </w:r>
            <w:r>
              <w:rPr>
                <w:rFonts w:cs="Times New Roman"/>
                <w:color w:val="auto"/>
                <w:sz w:val="20"/>
                <w:szCs w:val="20"/>
                <w:vertAlign w:val="superscript"/>
                <w:lang w:eastAsia="zh-CN"/>
              </w:rPr>
              <w:t>2</w:t>
            </w:r>
            <w:r>
              <w:rPr>
                <w:rFonts w:cs="Times New Roman"/>
                <w:color w:val="auto"/>
                <w:sz w:val="20"/>
                <w:szCs w:val="20"/>
                <w:lang w:eastAsia="zh-CN"/>
              </w:rPr>
              <w:t>。</w:t>
            </w:r>
          </w:p>
          <w:p>
            <w:pPr>
              <w:widowControl w:val="0"/>
              <w:kinsoku/>
              <w:topLinePunct/>
              <w:autoSpaceDE/>
              <w:autoSpaceDN/>
              <w:spacing w:line="240" w:lineRule="atLeast"/>
              <w:ind w:firstLine="400"/>
              <w:jc w:val="both"/>
              <w:rPr>
                <w:rFonts w:cs="Times New Roman"/>
                <w:color w:val="auto"/>
                <w:sz w:val="20"/>
                <w:szCs w:val="20"/>
                <w:lang w:eastAsia="zh-CN"/>
              </w:rPr>
            </w:pPr>
            <w:r>
              <w:rPr>
                <w:rFonts w:hint="eastAsia" w:cs="Times New Roman"/>
                <w:color w:val="auto"/>
                <w:sz w:val="20"/>
                <w:szCs w:val="20"/>
                <w:lang w:eastAsia="zh-CN"/>
              </w:rPr>
              <w:t>③玛瑙</w:t>
            </w:r>
            <w:r>
              <w:rPr>
                <w:rFonts w:cs="Times New Roman"/>
                <w:color w:val="auto"/>
                <w:sz w:val="20"/>
                <w:szCs w:val="20"/>
                <w:lang w:eastAsia="zh-CN"/>
              </w:rPr>
              <w:t>牵张场区</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施工后前对迹地进行土地整治。</w:t>
            </w:r>
          </w:p>
          <w:p>
            <w:pPr>
              <w:widowControl w:val="0"/>
              <w:kinsoku/>
              <w:topLinePunct/>
              <w:autoSpaceDE/>
              <w:autoSpaceDN/>
              <w:spacing w:line="240" w:lineRule="atLeast"/>
              <w:ind w:firstLine="400"/>
              <w:jc w:val="both"/>
              <w:rPr>
                <w:rFonts w:cs="Times New Roman"/>
                <w:color w:val="auto"/>
                <w:sz w:val="20"/>
                <w:szCs w:val="20"/>
                <w:lang w:eastAsia="zh-CN"/>
              </w:rPr>
            </w:pPr>
            <w:r>
              <w:rPr>
                <w:rFonts w:cs="Times New Roman"/>
                <w:color w:val="auto"/>
                <w:sz w:val="20"/>
                <w:szCs w:val="20"/>
                <w:lang w:eastAsia="zh-CN"/>
              </w:rPr>
              <w:t>工程措施</w:t>
            </w:r>
            <w:r>
              <w:rPr>
                <w:rFonts w:hint="eastAsia" w:cs="Times New Roman"/>
                <w:color w:val="auto"/>
                <w:sz w:val="20"/>
                <w:szCs w:val="20"/>
                <w:lang w:eastAsia="zh-CN"/>
              </w:rPr>
              <w:t>：土地整治1200m</w:t>
            </w:r>
            <w:r>
              <w:rPr>
                <w:rFonts w:hint="eastAsia" w:cs="Times New Roman"/>
                <w:color w:val="auto"/>
                <w:sz w:val="20"/>
                <w:szCs w:val="20"/>
                <w:vertAlign w:val="superscript"/>
                <w:lang w:eastAsia="zh-CN"/>
              </w:rPr>
              <w:t>2</w:t>
            </w:r>
            <w:r>
              <w:rPr>
                <w:rFonts w:hint="eastAsia" w:cs="Times New Roman"/>
                <w:color w:val="auto"/>
                <w:sz w:val="20"/>
                <w:szCs w:val="20"/>
                <w:lang w:eastAsia="zh-CN"/>
              </w:rPr>
              <w:t>。</w:t>
            </w:r>
          </w:p>
          <w:p>
            <w:pPr>
              <w:widowControl w:val="0"/>
              <w:kinsoku/>
              <w:topLinePunct/>
              <w:autoSpaceDE/>
              <w:autoSpaceDN/>
              <w:spacing w:line="240" w:lineRule="atLeast"/>
              <w:ind w:firstLine="400"/>
              <w:jc w:val="both"/>
              <w:rPr>
                <w:rFonts w:cs="Times New Roman"/>
                <w:color w:val="auto"/>
                <w:sz w:val="20"/>
                <w:szCs w:val="20"/>
                <w:lang w:eastAsia="zh-CN"/>
              </w:rPr>
            </w:pPr>
            <w:r>
              <w:rPr>
                <w:rFonts w:hint="eastAsia" w:ascii="宋体" w:hAnsi="宋体" w:eastAsia="宋体" w:cs="宋体"/>
                <w:color w:val="auto"/>
                <w:sz w:val="20"/>
                <w:szCs w:val="20"/>
                <w:lang w:eastAsia="zh-CN"/>
              </w:rPr>
              <w:t>④</w:t>
            </w:r>
            <w:r>
              <w:rPr>
                <w:rFonts w:hint="eastAsia" w:cs="Times New Roman"/>
                <w:color w:val="auto"/>
                <w:sz w:val="20"/>
                <w:szCs w:val="20"/>
                <w:lang w:eastAsia="zh-CN"/>
              </w:rPr>
              <w:t>玛瑙</w:t>
            </w:r>
            <w:r>
              <w:rPr>
                <w:rFonts w:cs="Times New Roman"/>
                <w:color w:val="auto"/>
                <w:sz w:val="20"/>
                <w:szCs w:val="20"/>
                <w:lang w:eastAsia="zh-CN"/>
              </w:rPr>
              <w:t>跨越场区</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施工后前对迹地进行土地整治，对绿化区域进行植树</w:t>
            </w:r>
            <w:r>
              <w:rPr>
                <w:rFonts w:cs="Times New Roman"/>
                <w:color w:val="auto"/>
                <w:sz w:val="20"/>
                <w:szCs w:val="20"/>
                <w:lang w:eastAsia="zh-CN"/>
              </w:rPr>
              <w:t>草</w:t>
            </w:r>
            <w:r>
              <w:rPr>
                <w:rFonts w:hint="eastAsia" w:cs="Times New Roman"/>
                <w:color w:val="auto"/>
                <w:sz w:val="20"/>
                <w:szCs w:val="20"/>
                <w:lang w:eastAsia="zh-CN"/>
              </w:rPr>
              <w:t>绿化。</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工程措施</w:t>
            </w:r>
            <w:r>
              <w:rPr>
                <w:rFonts w:hint="eastAsia" w:cs="Times New Roman"/>
                <w:color w:val="auto"/>
                <w:sz w:val="20"/>
                <w:szCs w:val="20"/>
                <w:lang w:eastAsia="zh-CN"/>
              </w:rPr>
              <w:t>：</w:t>
            </w:r>
            <w:r>
              <w:rPr>
                <w:rFonts w:cs="Times New Roman"/>
                <w:color w:val="auto"/>
                <w:sz w:val="20"/>
                <w:szCs w:val="20"/>
                <w:lang w:eastAsia="zh-CN"/>
              </w:rPr>
              <w:t>土地平整</w:t>
            </w:r>
            <w:r>
              <w:rPr>
                <w:rFonts w:hint="eastAsia" w:cs="Times New Roman"/>
                <w:color w:val="auto"/>
                <w:sz w:val="20"/>
                <w:szCs w:val="20"/>
                <w:lang w:eastAsia="zh-CN"/>
              </w:rPr>
              <w:t>48</w:t>
            </w:r>
            <w:r>
              <w:rPr>
                <w:rFonts w:cs="Times New Roman"/>
                <w:color w:val="auto"/>
                <w:sz w:val="20"/>
                <w:szCs w:val="20"/>
                <w:lang w:eastAsia="zh-CN"/>
              </w:rPr>
              <w:t>0m</w:t>
            </w:r>
            <w:r>
              <w:rPr>
                <w:rFonts w:cs="Times New Roman"/>
                <w:color w:val="auto"/>
                <w:sz w:val="20"/>
                <w:szCs w:val="20"/>
                <w:vertAlign w:val="superscript"/>
                <w:lang w:eastAsia="zh-CN"/>
              </w:rPr>
              <w:t>2</w:t>
            </w:r>
            <w:r>
              <w:rPr>
                <w:rFonts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植物措施</w:t>
            </w:r>
            <w:r>
              <w:rPr>
                <w:rFonts w:hint="eastAsia" w:cs="Times New Roman"/>
                <w:color w:val="auto"/>
                <w:sz w:val="20"/>
                <w:szCs w:val="20"/>
                <w:lang w:eastAsia="zh-CN"/>
              </w:rPr>
              <w:t>：植树</w:t>
            </w:r>
            <w:r>
              <w:rPr>
                <w:rFonts w:cs="Times New Roman"/>
                <w:color w:val="auto"/>
                <w:sz w:val="20"/>
                <w:szCs w:val="20"/>
                <w:lang w:eastAsia="zh-CN"/>
              </w:rPr>
              <w:t>草</w:t>
            </w:r>
            <w:r>
              <w:rPr>
                <w:rFonts w:hint="eastAsia" w:cs="Times New Roman"/>
                <w:color w:val="auto"/>
                <w:sz w:val="20"/>
                <w:szCs w:val="20"/>
                <w:lang w:eastAsia="zh-CN"/>
              </w:rPr>
              <w:t>绿化24</w:t>
            </w:r>
            <w:r>
              <w:rPr>
                <w:rFonts w:cs="Times New Roman"/>
                <w:color w:val="auto"/>
                <w:sz w:val="20"/>
                <w:szCs w:val="20"/>
                <w:lang w:eastAsia="zh-CN"/>
              </w:rPr>
              <w:t>0m</w:t>
            </w:r>
            <w:r>
              <w:rPr>
                <w:rFonts w:cs="Times New Roman"/>
                <w:color w:val="auto"/>
                <w:sz w:val="20"/>
                <w:szCs w:val="20"/>
                <w:vertAlign w:val="superscript"/>
                <w:lang w:eastAsia="zh-CN"/>
              </w:rPr>
              <w:t>2</w:t>
            </w:r>
            <w:r>
              <w:rPr>
                <w:rFonts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2</w:t>
            </w:r>
            <w:r>
              <w:rPr>
                <w:rFonts w:cs="Times New Roman"/>
                <w:color w:val="auto"/>
                <w:sz w:val="20"/>
                <w:szCs w:val="20"/>
                <w:lang w:eastAsia="zh-CN"/>
              </w:rPr>
              <w:t>）</w:t>
            </w:r>
            <w:r>
              <w:rPr>
                <w:rFonts w:hint="eastAsia" w:cs="Times New Roman"/>
                <w:color w:val="auto"/>
                <w:sz w:val="20"/>
                <w:szCs w:val="20"/>
                <w:lang w:eastAsia="zh-CN"/>
              </w:rPr>
              <w:t>芭蕉-正达凯220kV线路工程区</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①芭蕉塔基及临时施工区</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施工前对塔基及临时施工区可剥离表土处进行剥离，施工期</w:t>
            </w:r>
            <w:r>
              <w:rPr>
                <w:rFonts w:hint="eastAsia"/>
                <w:color w:val="auto"/>
                <w:sz w:val="20"/>
                <w:szCs w:val="20"/>
                <w:lang w:eastAsia="zh-CN"/>
              </w:rPr>
              <w:t>在临时</w:t>
            </w:r>
            <w:r>
              <w:rPr>
                <w:rFonts w:hint="eastAsia" w:cs="Times New Roman"/>
                <w:color w:val="auto"/>
                <w:sz w:val="20"/>
                <w:szCs w:val="20"/>
                <w:lang w:eastAsia="zh-CN"/>
              </w:rPr>
              <w:t>表土堆场采用</w:t>
            </w:r>
            <w:r>
              <w:rPr>
                <w:color w:val="auto"/>
                <w:sz w:val="20"/>
                <w:szCs w:val="20"/>
                <w:lang w:eastAsia="zh-CN"/>
              </w:rPr>
              <w:t>土袋</w:t>
            </w:r>
            <w:r>
              <w:rPr>
                <w:rFonts w:hint="eastAsia"/>
                <w:color w:val="auto"/>
                <w:sz w:val="20"/>
                <w:szCs w:val="20"/>
                <w:lang w:eastAsia="zh-CN"/>
              </w:rPr>
              <w:t>临时拦</w:t>
            </w:r>
            <w:r>
              <w:rPr>
                <w:color w:val="auto"/>
                <w:sz w:val="20"/>
                <w:szCs w:val="20"/>
                <w:lang w:eastAsia="zh-CN"/>
              </w:rPr>
              <w:t>挡</w:t>
            </w:r>
            <w:r>
              <w:rPr>
                <w:rFonts w:hint="eastAsia"/>
                <w:color w:val="auto"/>
                <w:sz w:val="20"/>
                <w:szCs w:val="20"/>
                <w:lang w:eastAsia="zh-CN"/>
              </w:rPr>
              <w:t>、</w:t>
            </w:r>
            <w:r>
              <w:rPr>
                <w:rFonts w:hint="eastAsia" w:cs="Times New Roman"/>
                <w:color w:val="auto"/>
                <w:sz w:val="20"/>
                <w:szCs w:val="20"/>
                <w:lang w:eastAsia="zh-CN"/>
              </w:rPr>
              <w:t>防雨布临时遮盖，</w:t>
            </w:r>
            <w:r>
              <w:rPr>
                <w:rFonts w:cs="Times New Roman"/>
                <w:color w:val="auto"/>
                <w:sz w:val="20"/>
                <w:szCs w:val="20"/>
                <w:lang w:eastAsia="zh-CN"/>
              </w:rPr>
              <w:t>在高陡处</w:t>
            </w:r>
            <w:r>
              <w:rPr>
                <w:rFonts w:hint="eastAsia" w:cs="Times New Roman"/>
                <w:color w:val="auto"/>
                <w:sz w:val="20"/>
                <w:szCs w:val="20"/>
                <w:lang w:eastAsia="zh-CN"/>
              </w:rPr>
              <w:t>的</w:t>
            </w:r>
            <w:r>
              <w:rPr>
                <w:rFonts w:cs="Times New Roman"/>
                <w:color w:val="auto"/>
                <w:sz w:val="20"/>
                <w:szCs w:val="20"/>
                <w:lang w:eastAsia="zh-CN"/>
              </w:rPr>
              <w:t>塔</w:t>
            </w:r>
            <w:r>
              <w:rPr>
                <w:rFonts w:hint="eastAsia" w:cs="Times New Roman"/>
                <w:color w:val="auto"/>
                <w:sz w:val="20"/>
                <w:szCs w:val="20"/>
                <w:lang w:eastAsia="zh-CN"/>
              </w:rPr>
              <w:t>基上方</w:t>
            </w:r>
            <w:r>
              <w:rPr>
                <w:rFonts w:cs="Times New Roman"/>
                <w:color w:val="auto"/>
                <w:sz w:val="20"/>
                <w:szCs w:val="20"/>
                <w:lang w:eastAsia="zh-CN"/>
              </w:rPr>
              <w:t>布置排洪沟</w:t>
            </w:r>
            <w:r>
              <w:rPr>
                <w:rFonts w:hint="eastAsia" w:cs="Times New Roman"/>
                <w:color w:val="auto"/>
                <w:sz w:val="20"/>
                <w:szCs w:val="20"/>
                <w:lang w:eastAsia="zh-CN"/>
              </w:rPr>
              <w:t>、下方</w:t>
            </w:r>
            <w:r>
              <w:rPr>
                <w:rFonts w:cs="Times New Roman"/>
                <w:color w:val="auto"/>
                <w:sz w:val="20"/>
                <w:szCs w:val="20"/>
                <w:lang w:eastAsia="zh-CN"/>
              </w:rPr>
              <w:t>布置护坡墙</w:t>
            </w:r>
            <w:r>
              <w:rPr>
                <w:rFonts w:hint="eastAsia" w:cs="Times New Roman"/>
                <w:color w:val="auto"/>
                <w:sz w:val="20"/>
                <w:szCs w:val="20"/>
                <w:lang w:eastAsia="zh-CN"/>
              </w:rPr>
              <w:t>；施工后前对迹地进行土地整治、表土回覆，对绿化区域进行植树</w:t>
            </w:r>
            <w:r>
              <w:rPr>
                <w:rFonts w:cs="Times New Roman"/>
                <w:color w:val="auto"/>
                <w:sz w:val="20"/>
                <w:szCs w:val="20"/>
                <w:lang w:eastAsia="zh-CN"/>
              </w:rPr>
              <w:t>草</w:t>
            </w:r>
            <w:r>
              <w:rPr>
                <w:rFonts w:hint="eastAsia" w:cs="Times New Roman"/>
                <w:color w:val="auto"/>
                <w:sz w:val="20"/>
                <w:szCs w:val="20"/>
                <w:lang w:eastAsia="zh-CN"/>
              </w:rPr>
              <w:t>绿化。</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工程措施</w:t>
            </w:r>
            <w:r>
              <w:rPr>
                <w:rFonts w:hint="eastAsia" w:cs="Times New Roman"/>
                <w:color w:val="auto"/>
                <w:sz w:val="20"/>
                <w:szCs w:val="20"/>
                <w:lang w:eastAsia="zh-CN"/>
              </w:rPr>
              <w:t>：表土剥离1025m</w:t>
            </w:r>
            <w:r>
              <w:rPr>
                <w:rFonts w:hint="eastAsia" w:cs="Times New Roman"/>
                <w:color w:val="auto"/>
                <w:sz w:val="20"/>
                <w:szCs w:val="20"/>
                <w:vertAlign w:val="superscript"/>
                <w:lang w:eastAsia="zh-CN"/>
              </w:rPr>
              <w:t>3</w:t>
            </w:r>
            <w:r>
              <w:rPr>
                <w:rFonts w:hint="eastAsia" w:cs="Times New Roman"/>
                <w:color w:val="auto"/>
                <w:sz w:val="20"/>
                <w:szCs w:val="20"/>
                <w:lang w:eastAsia="zh-CN"/>
              </w:rPr>
              <w:t>，</w:t>
            </w:r>
            <w:r>
              <w:rPr>
                <w:rFonts w:cs="Times New Roman"/>
                <w:color w:val="auto"/>
                <w:sz w:val="20"/>
                <w:szCs w:val="20"/>
                <w:lang w:eastAsia="zh-CN"/>
              </w:rPr>
              <w:t>排洪沟</w:t>
            </w:r>
            <w:r>
              <w:rPr>
                <w:rFonts w:hint="eastAsia" w:cs="Times New Roman"/>
                <w:color w:val="auto"/>
                <w:sz w:val="20"/>
                <w:szCs w:val="20"/>
                <w:lang w:eastAsia="zh-CN"/>
              </w:rPr>
              <w:t>100</w:t>
            </w:r>
            <w:r>
              <w:rPr>
                <w:rFonts w:cs="Times New Roman"/>
                <w:color w:val="auto"/>
                <w:sz w:val="20"/>
                <w:szCs w:val="20"/>
                <w:lang w:eastAsia="zh-CN"/>
              </w:rPr>
              <w:t>m、护坡墙</w:t>
            </w:r>
            <w:r>
              <w:rPr>
                <w:rFonts w:hint="eastAsia" w:cs="Times New Roman"/>
                <w:color w:val="auto"/>
                <w:sz w:val="20"/>
                <w:szCs w:val="20"/>
                <w:lang w:eastAsia="zh-CN"/>
              </w:rPr>
              <w:t>13</w:t>
            </w:r>
            <w:r>
              <w:rPr>
                <w:rFonts w:cs="Times New Roman"/>
                <w:color w:val="auto"/>
                <w:sz w:val="20"/>
                <w:szCs w:val="20"/>
                <w:lang w:eastAsia="zh-CN"/>
              </w:rPr>
              <w:t>0m</w:t>
            </w:r>
            <w:r>
              <w:rPr>
                <w:rFonts w:hint="eastAsia" w:cs="Times New Roman"/>
                <w:color w:val="auto"/>
                <w:sz w:val="20"/>
                <w:szCs w:val="20"/>
                <w:lang w:eastAsia="zh-CN"/>
              </w:rPr>
              <w:t>，土地整治14240m</w:t>
            </w:r>
            <w:r>
              <w:rPr>
                <w:rFonts w:hint="eastAsia" w:cs="Times New Roman"/>
                <w:color w:val="auto"/>
                <w:sz w:val="20"/>
                <w:szCs w:val="20"/>
                <w:vertAlign w:val="superscript"/>
                <w:lang w:eastAsia="zh-CN"/>
              </w:rPr>
              <w:t>2</w:t>
            </w:r>
            <w:r>
              <w:rPr>
                <w:rFonts w:hint="eastAsia" w:cs="Times New Roman"/>
                <w:color w:val="auto"/>
                <w:sz w:val="20"/>
                <w:szCs w:val="20"/>
                <w:lang w:eastAsia="zh-CN"/>
              </w:rPr>
              <w:t>，表土回覆1025m</w:t>
            </w:r>
            <w:r>
              <w:rPr>
                <w:rFonts w:hint="eastAsia" w:cs="Times New Roman"/>
                <w:color w:val="auto"/>
                <w:sz w:val="20"/>
                <w:szCs w:val="20"/>
                <w:vertAlign w:val="superscript"/>
                <w:lang w:eastAsia="zh-CN"/>
              </w:rPr>
              <w:t>3</w:t>
            </w:r>
            <w:r>
              <w:rPr>
                <w:rFonts w:hint="eastAsia"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植物措施</w:t>
            </w:r>
            <w:r>
              <w:rPr>
                <w:rFonts w:hint="eastAsia" w:cs="Times New Roman"/>
                <w:color w:val="auto"/>
                <w:sz w:val="20"/>
                <w:szCs w:val="20"/>
                <w:lang w:eastAsia="zh-CN"/>
              </w:rPr>
              <w:t>：植灌</w:t>
            </w:r>
            <w:r>
              <w:rPr>
                <w:rFonts w:cs="Times New Roman"/>
                <w:color w:val="auto"/>
                <w:sz w:val="20"/>
                <w:szCs w:val="20"/>
                <w:lang w:eastAsia="zh-CN"/>
              </w:rPr>
              <w:t>草</w:t>
            </w:r>
            <w:r>
              <w:rPr>
                <w:rFonts w:hint="eastAsia" w:cs="Times New Roman"/>
                <w:color w:val="auto"/>
                <w:sz w:val="20"/>
                <w:szCs w:val="20"/>
                <w:lang w:eastAsia="zh-CN"/>
              </w:rPr>
              <w:t>绿化14240</w:t>
            </w:r>
            <w:r>
              <w:rPr>
                <w:rFonts w:cs="Times New Roman"/>
                <w:color w:val="auto"/>
                <w:sz w:val="20"/>
                <w:szCs w:val="20"/>
                <w:lang w:eastAsia="zh-CN"/>
              </w:rPr>
              <w:t>m</w:t>
            </w:r>
            <w:r>
              <w:rPr>
                <w:rFonts w:cs="Times New Roman"/>
                <w:color w:val="auto"/>
                <w:sz w:val="20"/>
                <w:szCs w:val="20"/>
                <w:vertAlign w:val="superscript"/>
                <w:lang w:eastAsia="zh-CN"/>
              </w:rPr>
              <w:t>2</w:t>
            </w:r>
            <w:r>
              <w:rPr>
                <w:rFonts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临时措施：</w:t>
            </w:r>
            <w:r>
              <w:rPr>
                <w:color w:val="auto"/>
                <w:sz w:val="20"/>
                <w:szCs w:val="20"/>
                <w:lang w:eastAsia="zh-CN"/>
              </w:rPr>
              <w:t>土袋</w:t>
            </w:r>
            <w:r>
              <w:rPr>
                <w:rFonts w:hint="eastAsia"/>
                <w:color w:val="auto"/>
                <w:sz w:val="20"/>
                <w:szCs w:val="20"/>
                <w:lang w:eastAsia="zh-CN"/>
              </w:rPr>
              <w:t>临</w:t>
            </w:r>
            <w:r>
              <w:rPr>
                <w:color w:val="auto"/>
                <w:sz w:val="20"/>
                <w:szCs w:val="20"/>
                <w:lang w:eastAsia="zh-CN"/>
              </w:rPr>
              <w:t>挡</w:t>
            </w:r>
            <w:r>
              <w:rPr>
                <w:rFonts w:hint="eastAsia"/>
                <w:color w:val="auto"/>
                <w:sz w:val="20"/>
                <w:szCs w:val="20"/>
                <w:lang w:eastAsia="zh-CN"/>
              </w:rPr>
              <w:t>墙290</w:t>
            </w:r>
            <w:r>
              <w:rPr>
                <w:rFonts w:hint="eastAsia" w:cs="Times New Roman"/>
                <w:color w:val="auto"/>
                <w:sz w:val="20"/>
                <w:szCs w:val="20"/>
                <w:lang w:eastAsia="zh-CN"/>
              </w:rPr>
              <w:t>m、防雨布临时遮盖2500</w:t>
            </w:r>
            <w:r>
              <w:rPr>
                <w:rFonts w:cs="Times New Roman"/>
                <w:color w:val="auto"/>
                <w:sz w:val="20"/>
                <w:szCs w:val="20"/>
                <w:lang w:eastAsia="zh-CN"/>
              </w:rPr>
              <w:t>m</w:t>
            </w:r>
            <w:r>
              <w:rPr>
                <w:rFonts w:cs="Times New Roman"/>
                <w:color w:val="auto"/>
                <w:sz w:val="20"/>
                <w:szCs w:val="20"/>
                <w:vertAlign w:val="superscript"/>
                <w:lang w:eastAsia="zh-CN"/>
              </w:rPr>
              <w:t>2</w:t>
            </w:r>
            <w:r>
              <w:rPr>
                <w:rFonts w:cs="Times New Roman"/>
                <w:color w:val="auto"/>
                <w:sz w:val="20"/>
                <w:szCs w:val="20"/>
                <w:lang w:eastAsia="zh-CN"/>
              </w:rPr>
              <w:t>。</w:t>
            </w:r>
          </w:p>
          <w:p>
            <w:pPr>
              <w:widowControl w:val="0"/>
              <w:kinsoku/>
              <w:topLinePunct/>
              <w:autoSpaceDE/>
              <w:autoSpaceDN/>
              <w:spacing w:line="240" w:lineRule="atLeast"/>
              <w:ind w:firstLine="400"/>
              <w:jc w:val="both"/>
              <w:rPr>
                <w:rFonts w:cs="Times New Roman"/>
                <w:color w:val="auto"/>
                <w:sz w:val="20"/>
                <w:szCs w:val="20"/>
                <w:lang w:eastAsia="zh-CN"/>
              </w:rPr>
            </w:pPr>
            <w:r>
              <w:rPr>
                <w:rFonts w:hint="eastAsia" w:cs="Times New Roman"/>
                <w:color w:val="auto"/>
                <w:sz w:val="20"/>
                <w:szCs w:val="20"/>
                <w:lang w:eastAsia="zh-CN"/>
              </w:rPr>
              <w:t>②芭蕉施工便道区</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施工后前对迹地进行土地整治，对绿化区域进行植树</w:t>
            </w:r>
            <w:r>
              <w:rPr>
                <w:rFonts w:cs="Times New Roman"/>
                <w:color w:val="auto"/>
                <w:sz w:val="20"/>
                <w:szCs w:val="20"/>
                <w:lang w:eastAsia="zh-CN"/>
              </w:rPr>
              <w:t>草</w:t>
            </w:r>
            <w:r>
              <w:rPr>
                <w:rFonts w:hint="eastAsia" w:cs="Times New Roman"/>
                <w:color w:val="auto"/>
                <w:sz w:val="20"/>
                <w:szCs w:val="20"/>
                <w:lang w:eastAsia="zh-CN"/>
              </w:rPr>
              <w:t>绿化。</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工程措施</w:t>
            </w:r>
            <w:r>
              <w:rPr>
                <w:rFonts w:hint="eastAsia" w:cs="Times New Roman"/>
                <w:color w:val="auto"/>
                <w:sz w:val="20"/>
                <w:szCs w:val="20"/>
                <w:lang w:eastAsia="zh-CN"/>
              </w:rPr>
              <w:t>：土地整治7644m</w:t>
            </w:r>
            <w:r>
              <w:rPr>
                <w:rFonts w:hint="eastAsia" w:cs="Times New Roman"/>
                <w:color w:val="auto"/>
                <w:sz w:val="20"/>
                <w:szCs w:val="20"/>
                <w:vertAlign w:val="superscript"/>
                <w:lang w:eastAsia="zh-CN"/>
              </w:rPr>
              <w:t>2</w:t>
            </w:r>
            <w:r>
              <w:rPr>
                <w:rFonts w:hint="eastAsia"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植物措施</w:t>
            </w:r>
            <w:r>
              <w:rPr>
                <w:rFonts w:hint="eastAsia" w:cs="Times New Roman"/>
                <w:color w:val="auto"/>
                <w:sz w:val="20"/>
                <w:szCs w:val="20"/>
                <w:lang w:eastAsia="zh-CN"/>
              </w:rPr>
              <w:t>：植树</w:t>
            </w:r>
            <w:r>
              <w:rPr>
                <w:rFonts w:cs="Times New Roman"/>
                <w:color w:val="auto"/>
                <w:sz w:val="20"/>
                <w:szCs w:val="20"/>
                <w:lang w:eastAsia="zh-CN"/>
              </w:rPr>
              <w:t>草</w:t>
            </w:r>
            <w:r>
              <w:rPr>
                <w:rFonts w:hint="eastAsia" w:cs="Times New Roman"/>
                <w:color w:val="auto"/>
                <w:sz w:val="20"/>
                <w:szCs w:val="20"/>
                <w:lang w:eastAsia="zh-CN"/>
              </w:rPr>
              <w:t>绿化7644</w:t>
            </w:r>
            <w:r>
              <w:rPr>
                <w:rFonts w:cs="Times New Roman"/>
                <w:color w:val="auto"/>
                <w:sz w:val="20"/>
                <w:szCs w:val="20"/>
                <w:lang w:eastAsia="zh-CN"/>
              </w:rPr>
              <w:t>m</w:t>
            </w:r>
            <w:r>
              <w:rPr>
                <w:rFonts w:cs="Times New Roman"/>
                <w:color w:val="auto"/>
                <w:sz w:val="20"/>
                <w:szCs w:val="20"/>
                <w:vertAlign w:val="superscript"/>
                <w:lang w:eastAsia="zh-CN"/>
              </w:rPr>
              <w:t>2</w:t>
            </w:r>
            <w:r>
              <w:rPr>
                <w:rFonts w:cs="Times New Roman"/>
                <w:color w:val="auto"/>
                <w:sz w:val="20"/>
                <w:szCs w:val="20"/>
                <w:lang w:eastAsia="zh-CN"/>
              </w:rPr>
              <w:t>。</w:t>
            </w:r>
          </w:p>
          <w:p>
            <w:pPr>
              <w:widowControl w:val="0"/>
              <w:kinsoku/>
              <w:topLinePunct/>
              <w:autoSpaceDE/>
              <w:autoSpaceDN/>
              <w:spacing w:line="240" w:lineRule="atLeast"/>
              <w:ind w:firstLine="400"/>
              <w:jc w:val="both"/>
              <w:rPr>
                <w:rFonts w:cs="Times New Roman"/>
                <w:color w:val="auto"/>
                <w:sz w:val="20"/>
                <w:szCs w:val="20"/>
                <w:lang w:eastAsia="zh-CN"/>
              </w:rPr>
            </w:pPr>
            <w:r>
              <w:rPr>
                <w:rFonts w:hint="eastAsia" w:cs="Times New Roman"/>
                <w:color w:val="auto"/>
                <w:sz w:val="20"/>
                <w:szCs w:val="20"/>
                <w:lang w:eastAsia="zh-CN"/>
              </w:rPr>
              <w:t>③芭蕉</w:t>
            </w:r>
            <w:r>
              <w:rPr>
                <w:rFonts w:cs="Times New Roman"/>
                <w:color w:val="auto"/>
                <w:sz w:val="20"/>
                <w:szCs w:val="20"/>
                <w:lang w:eastAsia="zh-CN"/>
              </w:rPr>
              <w:t>牵张场区</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施工后前对迹地进行土地整治。</w:t>
            </w:r>
          </w:p>
          <w:p>
            <w:pPr>
              <w:widowControl w:val="0"/>
              <w:kinsoku/>
              <w:topLinePunct/>
              <w:autoSpaceDE/>
              <w:autoSpaceDN/>
              <w:spacing w:line="240" w:lineRule="atLeast"/>
              <w:ind w:firstLine="400"/>
              <w:jc w:val="both"/>
              <w:rPr>
                <w:rFonts w:cs="Times New Roman"/>
                <w:color w:val="auto"/>
                <w:sz w:val="20"/>
                <w:szCs w:val="20"/>
                <w:lang w:eastAsia="zh-CN"/>
              </w:rPr>
            </w:pPr>
            <w:r>
              <w:rPr>
                <w:rFonts w:cs="Times New Roman"/>
                <w:color w:val="auto"/>
                <w:sz w:val="20"/>
                <w:szCs w:val="20"/>
                <w:lang w:eastAsia="zh-CN"/>
              </w:rPr>
              <w:t>工程措施</w:t>
            </w:r>
            <w:r>
              <w:rPr>
                <w:rFonts w:hint="eastAsia" w:cs="Times New Roman"/>
                <w:color w:val="auto"/>
                <w:sz w:val="20"/>
                <w:szCs w:val="20"/>
                <w:lang w:eastAsia="zh-CN"/>
              </w:rPr>
              <w:t>：土地整治2800m</w:t>
            </w:r>
            <w:r>
              <w:rPr>
                <w:rFonts w:hint="eastAsia" w:cs="Times New Roman"/>
                <w:color w:val="auto"/>
                <w:sz w:val="20"/>
                <w:szCs w:val="20"/>
                <w:vertAlign w:val="superscript"/>
                <w:lang w:eastAsia="zh-CN"/>
              </w:rPr>
              <w:t>2</w:t>
            </w:r>
            <w:r>
              <w:rPr>
                <w:rFonts w:hint="eastAsia" w:cs="Times New Roman"/>
                <w:color w:val="auto"/>
                <w:sz w:val="20"/>
                <w:szCs w:val="20"/>
                <w:lang w:eastAsia="zh-CN"/>
              </w:rPr>
              <w:t>。</w:t>
            </w:r>
          </w:p>
          <w:p>
            <w:pPr>
              <w:widowControl w:val="0"/>
              <w:kinsoku/>
              <w:topLinePunct/>
              <w:autoSpaceDE/>
              <w:autoSpaceDN/>
              <w:spacing w:line="240" w:lineRule="atLeast"/>
              <w:ind w:firstLine="400"/>
              <w:jc w:val="both"/>
              <w:rPr>
                <w:rFonts w:cs="Times New Roman"/>
                <w:color w:val="auto"/>
                <w:sz w:val="20"/>
                <w:szCs w:val="20"/>
                <w:lang w:eastAsia="zh-CN"/>
              </w:rPr>
            </w:pPr>
            <w:r>
              <w:rPr>
                <w:rFonts w:hint="eastAsia" w:ascii="宋体" w:hAnsi="宋体" w:eastAsia="宋体" w:cs="宋体"/>
                <w:color w:val="auto"/>
                <w:sz w:val="20"/>
                <w:szCs w:val="20"/>
                <w:lang w:eastAsia="zh-CN"/>
              </w:rPr>
              <w:t>④</w:t>
            </w:r>
            <w:r>
              <w:rPr>
                <w:rFonts w:hint="eastAsia" w:cs="Times New Roman"/>
                <w:color w:val="auto"/>
                <w:sz w:val="20"/>
                <w:szCs w:val="20"/>
                <w:lang w:eastAsia="zh-CN"/>
              </w:rPr>
              <w:t>芭蕉</w:t>
            </w:r>
            <w:r>
              <w:rPr>
                <w:rFonts w:cs="Times New Roman"/>
                <w:color w:val="auto"/>
                <w:sz w:val="20"/>
                <w:szCs w:val="20"/>
                <w:lang w:eastAsia="zh-CN"/>
              </w:rPr>
              <w:t>跨越场区</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施工后前对迹地进行土地整治，对绿化区域进行植灌</w:t>
            </w:r>
            <w:r>
              <w:rPr>
                <w:rFonts w:cs="Times New Roman"/>
                <w:color w:val="auto"/>
                <w:sz w:val="20"/>
                <w:szCs w:val="20"/>
                <w:lang w:eastAsia="zh-CN"/>
              </w:rPr>
              <w:t>草</w:t>
            </w:r>
            <w:r>
              <w:rPr>
                <w:rFonts w:hint="eastAsia" w:cs="Times New Roman"/>
                <w:color w:val="auto"/>
                <w:sz w:val="20"/>
                <w:szCs w:val="20"/>
                <w:lang w:eastAsia="zh-CN"/>
              </w:rPr>
              <w:t>绿化。</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工程措施</w:t>
            </w:r>
            <w:r>
              <w:rPr>
                <w:rFonts w:hint="eastAsia" w:cs="Times New Roman"/>
                <w:color w:val="auto"/>
                <w:sz w:val="20"/>
                <w:szCs w:val="20"/>
                <w:lang w:eastAsia="zh-CN"/>
              </w:rPr>
              <w:t>：</w:t>
            </w:r>
            <w:r>
              <w:rPr>
                <w:rFonts w:cs="Times New Roman"/>
                <w:color w:val="auto"/>
                <w:sz w:val="20"/>
                <w:szCs w:val="20"/>
                <w:lang w:eastAsia="zh-CN"/>
              </w:rPr>
              <w:t>土地平整</w:t>
            </w:r>
            <w:r>
              <w:rPr>
                <w:rFonts w:hint="eastAsia" w:cs="Times New Roman"/>
                <w:color w:val="auto"/>
                <w:sz w:val="20"/>
                <w:szCs w:val="20"/>
                <w:lang w:eastAsia="zh-CN"/>
              </w:rPr>
              <w:t>72</w:t>
            </w:r>
            <w:r>
              <w:rPr>
                <w:rFonts w:cs="Times New Roman"/>
                <w:color w:val="auto"/>
                <w:sz w:val="20"/>
                <w:szCs w:val="20"/>
                <w:lang w:eastAsia="zh-CN"/>
              </w:rPr>
              <w:t>0m</w:t>
            </w:r>
            <w:r>
              <w:rPr>
                <w:rFonts w:cs="Times New Roman"/>
                <w:color w:val="auto"/>
                <w:sz w:val="20"/>
                <w:szCs w:val="20"/>
                <w:vertAlign w:val="superscript"/>
                <w:lang w:eastAsia="zh-CN"/>
              </w:rPr>
              <w:t>2</w:t>
            </w:r>
            <w:r>
              <w:rPr>
                <w:rFonts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植物措施</w:t>
            </w:r>
            <w:r>
              <w:rPr>
                <w:rFonts w:hint="eastAsia" w:cs="Times New Roman"/>
                <w:color w:val="auto"/>
                <w:sz w:val="20"/>
                <w:szCs w:val="20"/>
                <w:lang w:eastAsia="zh-CN"/>
              </w:rPr>
              <w:t>：植灌</w:t>
            </w:r>
            <w:r>
              <w:rPr>
                <w:rFonts w:cs="Times New Roman"/>
                <w:color w:val="auto"/>
                <w:sz w:val="20"/>
                <w:szCs w:val="20"/>
                <w:lang w:eastAsia="zh-CN"/>
              </w:rPr>
              <w:t>草</w:t>
            </w:r>
            <w:r>
              <w:rPr>
                <w:rFonts w:hint="eastAsia" w:cs="Times New Roman"/>
                <w:color w:val="auto"/>
                <w:sz w:val="20"/>
                <w:szCs w:val="20"/>
                <w:lang w:eastAsia="zh-CN"/>
              </w:rPr>
              <w:t>绿化72</w:t>
            </w:r>
            <w:r>
              <w:rPr>
                <w:rFonts w:cs="Times New Roman"/>
                <w:color w:val="auto"/>
                <w:sz w:val="20"/>
                <w:szCs w:val="20"/>
                <w:lang w:eastAsia="zh-CN"/>
              </w:rPr>
              <w:t>0m</w:t>
            </w:r>
            <w:r>
              <w:rPr>
                <w:rFonts w:cs="Times New Roman"/>
                <w:color w:val="auto"/>
                <w:sz w:val="20"/>
                <w:szCs w:val="20"/>
                <w:vertAlign w:val="superscript"/>
                <w:lang w:eastAsia="zh-CN"/>
              </w:rPr>
              <w:t>2</w:t>
            </w:r>
            <w:r>
              <w:rPr>
                <w:rFonts w:cs="Times New Roman"/>
                <w:color w:val="auto"/>
                <w:sz w:val="20"/>
                <w:szCs w:val="20"/>
                <w:lang w:eastAsia="zh-CN"/>
              </w:rPr>
              <w:t>。</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⑤</w:t>
            </w:r>
            <w:r>
              <w:rPr>
                <w:rFonts w:cs="Times New Roman"/>
                <w:color w:val="auto"/>
                <w:sz w:val="20"/>
                <w:szCs w:val="20"/>
                <w:lang w:eastAsia="zh-CN"/>
              </w:rPr>
              <w:t>电缆工程区</w:t>
            </w:r>
          </w:p>
          <w:p>
            <w:pPr>
              <w:widowControl w:val="0"/>
              <w:kinsoku/>
              <w:topLinePunct/>
              <w:autoSpaceDE/>
              <w:autoSpaceDN/>
              <w:spacing w:line="240" w:lineRule="atLeast"/>
              <w:ind w:firstLine="400"/>
              <w:rPr>
                <w:rFonts w:cs="Times New Roman"/>
                <w:color w:val="auto"/>
                <w:sz w:val="20"/>
                <w:szCs w:val="20"/>
                <w:lang w:eastAsia="zh-CN"/>
              </w:rPr>
            </w:pPr>
            <w:r>
              <w:rPr>
                <w:rFonts w:hint="eastAsia" w:cs="Times New Roman"/>
                <w:color w:val="auto"/>
                <w:sz w:val="20"/>
                <w:szCs w:val="20"/>
                <w:lang w:eastAsia="zh-CN"/>
              </w:rPr>
              <w:t>施工前对可剥离表土区域进行表土剥离，施工期</w:t>
            </w:r>
            <w:r>
              <w:rPr>
                <w:rFonts w:hint="eastAsia"/>
                <w:color w:val="auto"/>
                <w:sz w:val="20"/>
                <w:szCs w:val="20"/>
                <w:lang w:eastAsia="zh-CN"/>
              </w:rPr>
              <w:t>在临时</w:t>
            </w:r>
            <w:r>
              <w:rPr>
                <w:rFonts w:hint="eastAsia" w:cs="Times New Roman"/>
                <w:color w:val="auto"/>
                <w:sz w:val="20"/>
                <w:szCs w:val="20"/>
                <w:lang w:eastAsia="zh-CN"/>
              </w:rPr>
              <w:t>表土堆场采用</w:t>
            </w:r>
            <w:r>
              <w:rPr>
                <w:color w:val="auto"/>
                <w:sz w:val="20"/>
                <w:szCs w:val="20"/>
                <w:lang w:eastAsia="zh-CN"/>
              </w:rPr>
              <w:t>土袋</w:t>
            </w:r>
            <w:r>
              <w:rPr>
                <w:rFonts w:hint="eastAsia"/>
                <w:color w:val="auto"/>
                <w:sz w:val="20"/>
                <w:szCs w:val="20"/>
                <w:lang w:eastAsia="zh-CN"/>
              </w:rPr>
              <w:t>临时拦</w:t>
            </w:r>
            <w:r>
              <w:rPr>
                <w:color w:val="auto"/>
                <w:sz w:val="20"/>
                <w:szCs w:val="20"/>
                <w:lang w:eastAsia="zh-CN"/>
              </w:rPr>
              <w:t>挡</w:t>
            </w:r>
            <w:r>
              <w:rPr>
                <w:rFonts w:hint="eastAsia"/>
                <w:color w:val="auto"/>
                <w:sz w:val="20"/>
                <w:szCs w:val="20"/>
                <w:lang w:eastAsia="zh-CN"/>
              </w:rPr>
              <w:t>、</w:t>
            </w:r>
            <w:r>
              <w:rPr>
                <w:rFonts w:hint="eastAsia" w:cs="Times New Roman"/>
                <w:color w:val="auto"/>
                <w:sz w:val="20"/>
                <w:szCs w:val="20"/>
                <w:lang w:eastAsia="zh-CN"/>
              </w:rPr>
              <w:t>防雨布临时遮盖；施工后前对迹地进行土地整治、表土回覆，对绿化区域进行植树</w:t>
            </w:r>
            <w:r>
              <w:rPr>
                <w:rFonts w:cs="Times New Roman"/>
                <w:color w:val="auto"/>
                <w:sz w:val="20"/>
                <w:szCs w:val="20"/>
                <w:lang w:eastAsia="zh-CN"/>
              </w:rPr>
              <w:t>草</w:t>
            </w:r>
            <w:r>
              <w:rPr>
                <w:rFonts w:hint="eastAsia" w:cs="Times New Roman"/>
                <w:color w:val="auto"/>
                <w:sz w:val="20"/>
                <w:szCs w:val="20"/>
                <w:lang w:eastAsia="zh-CN"/>
              </w:rPr>
              <w:t>绿化。</w:t>
            </w:r>
          </w:p>
          <w:p>
            <w:pPr>
              <w:widowControl w:val="0"/>
              <w:kinsoku/>
              <w:topLinePunct/>
              <w:autoSpaceDE/>
              <w:autoSpaceDN/>
              <w:spacing w:line="240" w:lineRule="atLeast"/>
              <w:ind w:firstLine="400"/>
              <w:rPr>
                <w:rFonts w:cs="Times New Roman"/>
                <w:color w:val="auto"/>
                <w:sz w:val="20"/>
                <w:szCs w:val="20"/>
                <w:lang w:eastAsia="zh-CN"/>
              </w:rPr>
            </w:pPr>
            <w:r>
              <w:rPr>
                <w:rFonts w:cs="Times New Roman"/>
                <w:color w:val="auto"/>
                <w:sz w:val="20"/>
                <w:szCs w:val="20"/>
                <w:lang w:eastAsia="zh-CN"/>
              </w:rPr>
              <w:t>工程措施</w:t>
            </w:r>
            <w:r>
              <w:rPr>
                <w:rFonts w:hint="eastAsia" w:cs="Times New Roman"/>
                <w:color w:val="auto"/>
                <w:sz w:val="20"/>
                <w:szCs w:val="20"/>
                <w:lang w:eastAsia="zh-CN"/>
              </w:rPr>
              <w:t>：表土剥离72m</w:t>
            </w:r>
            <w:r>
              <w:rPr>
                <w:rFonts w:hint="eastAsia" w:cs="Times New Roman"/>
                <w:color w:val="auto"/>
                <w:sz w:val="20"/>
                <w:szCs w:val="20"/>
                <w:vertAlign w:val="superscript"/>
                <w:lang w:eastAsia="zh-CN"/>
              </w:rPr>
              <w:t>3</w:t>
            </w:r>
            <w:r>
              <w:rPr>
                <w:rFonts w:hint="eastAsia" w:cs="Times New Roman"/>
                <w:color w:val="auto"/>
                <w:sz w:val="20"/>
                <w:szCs w:val="20"/>
                <w:lang w:eastAsia="zh-CN"/>
              </w:rPr>
              <w:t>，土地整治240m</w:t>
            </w:r>
            <w:r>
              <w:rPr>
                <w:rFonts w:hint="eastAsia" w:cs="Times New Roman"/>
                <w:color w:val="auto"/>
                <w:sz w:val="20"/>
                <w:szCs w:val="20"/>
                <w:vertAlign w:val="superscript"/>
                <w:lang w:eastAsia="zh-CN"/>
              </w:rPr>
              <w:t>2</w:t>
            </w:r>
            <w:r>
              <w:rPr>
                <w:rFonts w:hint="eastAsia" w:cs="Times New Roman"/>
                <w:color w:val="auto"/>
                <w:sz w:val="20"/>
                <w:szCs w:val="20"/>
                <w:lang w:eastAsia="zh-CN"/>
              </w:rPr>
              <w:t>，表土回覆72m</w:t>
            </w:r>
            <w:r>
              <w:rPr>
                <w:rFonts w:hint="eastAsia" w:cs="Times New Roman"/>
                <w:color w:val="auto"/>
                <w:sz w:val="20"/>
                <w:szCs w:val="20"/>
                <w:vertAlign w:val="superscript"/>
                <w:lang w:eastAsia="zh-CN"/>
              </w:rPr>
              <w:t>3</w:t>
            </w:r>
            <w:r>
              <w:rPr>
                <w:rFonts w:hint="eastAsia" w:cs="Times New Roman"/>
                <w:color w:val="auto"/>
                <w:sz w:val="20"/>
                <w:szCs w:val="20"/>
                <w:lang w:eastAsia="zh-CN"/>
              </w:rPr>
              <w:t>。</w:t>
            </w:r>
          </w:p>
          <w:p>
            <w:pPr>
              <w:widowControl w:val="0"/>
              <w:kinsoku/>
              <w:topLinePunct/>
              <w:autoSpaceDE/>
              <w:autoSpaceDN/>
              <w:spacing w:line="240" w:lineRule="atLeast"/>
              <w:ind w:firstLine="400"/>
              <w:rPr>
                <w:rFonts w:cs="Times New Roman"/>
                <w:color w:val="auto"/>
                <w:spacing w:val="1"/>
                <w:sz w:val="20"/>
                <w:szCs w:val="20"/>
                <w:lang w:eastAsia="zh-CN"/>
              </w:rPr>
            </w:pPr>
            <w:r>
              <w:rPr>
                <w:rFonts w:hint="eastAsia" w:cs="Times New Roman"/>
                <w:color w:val="auto"/>
                <w:sz w:val="20"/>
                <w:szCs w:val="20"/>
                <w:lang w:eastAsia="zh-CN"/>
              </w:rPr>
              <w:t>临时措施：</w:t>
            </w:r>
            <w:r>
              <w:rPr>
                <w:color w:val="auto"/>
                <w:sz w:val="20"/>
                <w:szCs w:val="20"/>
                <w:lang w:eastAsia="zh-CN"/>
              </w:rPr>
              <w:t>土袋</w:t>
            </w:r>
            <w:r>
              <w:rPr>
                <w:rFonts w:hint="eastAsia"/>
                <w:color w:val="auto"/>
                <w:sz w:val="20"/>
                <w:szCs w:val="20"/>
                <w:lang w:eastAsia="zh-CN"/>
              </w:rPr>
              <w:t>临</w:t>
            </w:r>
            <w:r>
              <w:rPr>
                <w:color w:val="auto"/>
                <w:sz w:val="20"/>
                <w:szCs w:val="20"/>
                <w:lang w:eastAsia="zh-CN"/>
              </w:rPr>
              <w:t>挡</w:t>
            </w:r>
            <w:r>
              <w:rPr>
                <w:rFonts w:hint="eastAsia"/>
                <w:color w:val="auto"/>
                <w:sz w:val="20"/>
                <w:szCs w:val="20"/>
                <w:lang w:eastAsia="zh-CN"/>
              </w:rPr>
              <w:t>墙40</w:t>
            </w:r>
            <w:r>
              <w:rPr>
                <w:rFonts w:hint="eastAsia" w:cs="Times New Roman"/>
                <w:color w:val="auto"/>
                <w:sz w:val="20"/>
                <w:szCs w:val="20"/>
                <w:lang w:eastAsia="zh-CN"/>
              </w:rPr>
              <w:t>m、防雨布临时遮盖300</w:t>
            </w:r>
            <w:r>
              <w:rPr>
                <w:rFonts w:cs="Times New Roman"/>
                <w:color w:val="auto"/>
                <w:sz w:val="20"/>
                <w:szCs w:val="20"/>
                <w:lang w:eastAsia="zh-CN"/>
              </w:rPr>
              <w:t>m</w:t>
            </w:r>
            <w:r>
              <w:rPr>
                <w:rFonts w:cs="Times New Roman"/>
                <w:color w:val="auto"/>
                <w:sz w:val="20"/>
                <w:szCs w:val="20"/>
                <w:vertAlign w:val="superscript"/>
                <w:lang w:eastAsia="zh-CN"/>
              </w:rPr>
              <w:t>2</w:t>
            </w:r>
            <w:r>
              <w:rPr>
                <w:rFonts w:cs="Times New Roman"/>
                <w:color w:val="auto"/>
                <w:sz w:val="20"/>
                <w:szCs w:val="20"/>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828" w:type="pct"/>
            <w:gridSpan w:val="3"/>
            <w:vMerge w:val="restart"/>
            <w:vAlign w:val="center"/>
          </w:tcPr>
          <w:p>
            <w:pPr>
              <w:pStyle w:val="13"/>
              <w:rPr>
                <w:rFonts w:cs="Times New Roman"/>
                <w:spacing w:val="-2"/>
                <w:sz w:val="20"/>
                <w:szCs w:val="20"/>
              </w:rPr>
            </w:pPr>
            <w:r>
              <w:rPr>
                <w:rFonts w:cs="Times New Roman"/>
                <w:spacing w:val="-1"/>
                <w:sz w:val="20"/>
                <w:szCs w:val="20"/>
              </w:rPr>
              <w:t>水土保</w:t>
            </w:r>
            <w:r>
              <w:rPr>
                <w:rFonts w:cs="Times New Roman"/>
                <w:spacing w:val="-2"/>
                <w:sz w:val="20"/>
                <w:szCs w:val="20"/>
              </w:rPr>
              <w:t>持</w:t>
            </w:r>
          </w:p>
          <w:p>
            <w:pPr>
              <w:pStyle w:val="13"/>
              <w:rPr>
                <w:rFonts w:cs="Times New Roman"/>
                <w:spacing w:val="-17"/>
                <w:sz w:val="20"/>
                <w:szCs w:val="20"/>
              </w:rPr>
            </w:pPr>
            <w:r>
              <w:rPr>
                <w:rFonts w:cs="Times New Roman"/>
                <w:spacing w:val="-2"/>
                <w:sz w:val="20"/>
                <w:szCs w:val="20"/>
              </w:rPr>
              <w:t>投资</w:t>
            </w:r>
            <w:r>
              <w:rPr>
                <w:rFonts w:cs="Times New Roman"/>
                <w:spacing w:val="-17"/>
                <w:sz w:val="20"/>
                <w:szCs w:val="20"/>
              </w:rPr>
              <w:t>估算</w:t>
            </w:r>
          </w:p>
          <w:p>
            <w:pPr>
              <w:pStyle w:val="13"/>
              <w:rPr>
                <w:rFonts w:cs="Times New Roman"/>
                <w:sz w:val="20"/>
                <w:szCs w:val="20"/>
              </w:rPr>
            </w:pPr>
            <w:r>
              <w:rPr>
                <w:rFonts w:cs="Times New Roman"/>
                <w:spacing w:val="-17"/>
                <w:sz w:val="20"/>
                <w:szCs w:val="20"/>
              </w:rPr>
              <w:t>（</w:t>
            </w:r>
            <w:r>
              <w:rPr>
                <w:rFonts w:hint="eastAsia" w:cs="Times New Roman"/>
                <w:spacing w:val="-17"/>
                <w:sz w:val="20"/>
                <w:szCs w:val="20"/>
              </w:rPr>
              <w:t>万</w:t>
            </w:r>
            <w:r>
              <w:rPr>
                <w:rFonts w:cs="Times New Roman"/>
                <w:spacing w:val="-4"/>
                <w:sz w:val="20"/>
                <w:szCs w:val="20"/>
              </w:rPr>
              <w:t>元）</w:t>
            </w:r>
          </w:p>
        </w:tc>
        <w:tc>
          <w:tcPr>
            <w:tcW w:w="827" w:type="pct"/>
            <w:gridSpan w:val="2"/>
            <w:vAlign w:val="center"/>
          </w:tcPr>
          <w:p>
            <w:pPr>
              <w:pStyle w:val="13"/>
              <w:rPr>
                <w:rFonts w:cs="Times New Roman"/>
                <w:sz w:val="20"/>
                <w:szCs w:val="20"/>
              </w:rPr>
            </w:pPr>
            <w:r>
              <w:rPr>
                <w:rFonts w:cs="Times New Roman"/>
                <w:sz w:val="20"/>
                <w:szCs w:val="20"/>
              </w:rPr>
              <w:t>工程措施</w:t>
            </w:r>
          </w:p>
        </w:tc>
        <w:tc>
          <w:tcPr>
            <w:tcW w:w="1243" w:type="pct"/>
            <w:gridSpan w:val="5"/>
            <w:vAlign w:val="center"/>
          </w:tcPr>
          <w:p>
            <w:pPr>
              <w:pStyle w:val="13"/>
              <w:rPr>
                <w:rFonts w:cs="Times New Roman"/>
                <w:spacing w:val="1"/>
                <w:sz w:val="20"/>
                <w:szCs w:val="20"/>
              </w:rPr>
            </w:pPr>
            <w:r>
              <w:rPr>
                <w:rFonts w:hint="eastAsia" w:cs="Times New Roman"/>
                <w:spacing w:val="1"/>
                <w:sz w:val="20"/>
                <w:szCs w:val="20"/>
              </w:rPr>
              <w:t>66.78</w:t>
            </w:r>
          </w:p>
        </w:tc>
        <w:tc>
          <w:tcPr>
            <w:tcW w:w="1169" w:type="pct"/>
            <w:gridSpan w:val="7"/>
            <w:vAlign w:val="center"/>
          </w:tcPr>
          <w:p>
            <w:pPr>
              <w:pStyle w:val="13"/>
              <w:rPr>
                <w:rFonts w:cs="Times New Roman"/>
                <w:spacing w:val="1"/>
                <w:sz w:val="20"/>
                <w:szCs w:val="20"/>
              </w:rPr>
            </w:pPr>
            <w:r>
              <w:rPr>
                <w:rFonts w:cs="Times New Roman"/>
                <w:sz w:val="20"/>
                <w:szCs w:val="20"/>
              </w:rPr>
              <w:t>植物措施</w:t>
            </w:r>
          </w:p>
        </w:tc>
        <w:tc>
          <w:tcPr>
            <w:tcW w:w="933" w:type="pct"/>
            <w:gridSpan w:val="3"/>
            <w:vAlign w:val="center"/>
          </w:tcPr>
          <w:p>
            <w:pPr>
              <w:pStyle w:val="13"/>
              <w:rPr>
                <w:rFonts w:cs="Times New Roman"/>
                <w:spacing w:val="1"/>
                <w:sz w:val="20"/>
                <w:szCs w:val="20"/>
              </w:rPr>
            </w:pPr>
            <w:r>
              <w:rPr>
                <w:rFonts w:hint="eastAsia" w:cs="Times New Roman"/>
                <w:spacing w:val="1"/>
                <w:sz w:val="20"/>
                <w:szCs w:val="20"/>
              </w:rPr>
              <w:t>78.76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828" w:type="pct"/>
            <w:gridSpan w:val="3"/>
            <w:vMerge w:val="continue"/>
            <w:vAlign w:val="center"/>
          </w:tcPr>
          <w:p>
            <w:pPr>
              <w:pStyle w:val="13"/>
              <w:rPr>
                <w:rFonts w:cs="Times New Roman"/>
                <w:spacing w:val="-1"/>
                <w:sz w:val="20"/>
                <w:szCs w:val="20"/>
              </w:rPr>
            </w:pPr>
          </w:p>
        </w:tc>
        <w:tc>
          <w:tcPr>
            <w:tcW w:w="827" w:type="pct"/>
            <w:gridSpan w:val="2"/>
            <w:tcBorders>
              <w:bottom w:val="single" w:color="auto" w:sz="4" w:space="0"/>
            </w:tcBorders>
            <w:vAlign w:val="center"/>
          </w:tcPr>
          <w:p>
            <w:pPr>
              <w:pStyle w:val="13"/>
              <w:rPr>
                <w:rFonts w:cs="Times New Roman"/>
                <w:sz w:val="20"/>
                <w:szCs w:val="20"/>
              </w:rPr>
            </w:pPr>
            <w:r>
              <w:rPr>
                <w:rFonts w:cs="Times New Roman"/>
                <w:spacing w:val="-5"/>
                <w:sz w:val="20"/>
                <w:szCs w:val="20"/>
              </w:rPr>
              <w:t>临时措施</w:t>
            </w:r>
          </w:p>
        </w:tc>
        <w:tc>
          <w:tcPr>
            <w:tcW w:w="1243" w:type="pct"/>
            <w:gridSpan w:val="5"/>
            <w:vAlign w:val="center"/>
          </w:tcPr>
          <w:p>
            <w:pPr>
              <w:pStyle w:val="13"/>
              <w:rPr>
                <w:rFonts w:cs="Times New Roman"/>
                <w:spacing w:val="1"/>
                <w:sz w:val="20"/>
                <w:szCs w:val="20"/>
              </w:rPr>
            </w:pPr>
            <w:r>
              <w:rPr>
                <w:rFonts w:hint="eastAsia" w:cs="Times New Roman"/>
                <w:spacing w:val="1"/>
                <w:sz w:val="20"/>
                <w:szCs w:val="20"/>
              </w:rPr>
              <w:t>3.12</w:t>
            </w:r>
          </w:p>
        </w:tc>
        <w:tc>
          <w:tcPr>
            <w:tcW w:w="1169" w:type="pct"/>
            <w:gridSpan w:val="7"/>
            <w:vAlign w:val="center"/>
          </w:tcPr>
          <w:p>
            <w:pPr>
              <w:pStyle w:val="13"/>
              <w:rPr>
                <w:rFonts w:cs="Times New Roman"/>
                <w:spacing w:val="1"/>
                <w:sz w:val="20"/>
                <w:szCs w:val="20"/>
              </w:rPr>
            </w:pPr>
            <w:r>
              <w:rPr>
                <w:rFonts w:cs="Times New Roman"/>
                <w:spacing w:val="-1"/>
                <w:sz w:val="20"/>
                <w:szCs w:val="20"/>
              </w:rPr>
              <w:t>水土保持补偿费</w:t>
            </w:r>
          </w:p>
        </w:tc>
        <w:tc>
          <w:tcPr>
            <w:tcW w:w="933" w:type="pct"/>
            <w:gridSpan w:val="3"/>
            <w:vAlign w:val="center"/>
          </w:tcPr>
          <w:p>
            <w:pPr>
              <w:pStyle w:val="13"/>
              <w:rPr>
                <w:rFonts w:cs="Times New Roman"/>
                <w:spacing w:val="1"/>
                <w:sz w:val="20"/>
                <w:szCs w:val="20"/>
              </w:rPr>
            </w:pPr>
            <w:r>
              <w:rPr>
                <w:rFonts w:hint="eastAsia" w:cs="Times New Roman"/>
                <w:spacing w:val="1"/>
                <w:sz w:val="20"/>
                <w:szCs w:val="20"/>
              </w:rPr>
              <w:t>4.9555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828" w:type="pct"/>
            <w:gridSpan w:val="3"/>
            <w:vMerge w:val="continue"/>
            <w:vAlign w:val="center"/>
          </w:tcPr>
          <w:p>
            <w:pPr>
              <w:pStyle w:val="13"/>
              <w:rPr>
                <w:rFonts w:cs="Times New Roman"/>
                <w:spacing w:val="-1"/>
                <w:sz w:val="20"/>
                <w:szCs w:val="20"/>
              </w:rPr>
            </w:pPr>
          </w:p>
        </w:tc>
        <w:tc>
          <w:tcPr>
            <w:tcW w:w="827" w:type="pct"/>
            <w:gridSpan w:val="2"/>
            <w:vMerge w:val="restart"/>
            <w:tcBorders>
              <w:top w:val="single" w:color="auto" w:sz="4" w:space="0"/>
              <w:right w:val="single" w:color="auto" w:sz="4" w:space="0"/>
            </w:tcBorders>
            <w:vAlign w:val="center"/>
          </w:tcPr>
          <w:p>
            <w:pPr>
              <w:pStyle w:val="13"/>
              <w:rPr>
                <w:rFonts w:cs="Times New Roman"/>
                <w:sz w:val="20"/>
                <w:szCs w:val="20"/>
              </w:rPr>
            </w:pPr>
            <w:r>
              <w:rPr>
                <w:rFonts w:cs="Times New Roman"/>
                <w:spacing w:val="-4"/>
                <w:sz w:val="20"/>
                <w:szCs w:val="20"/>
              </w:rPr>
              <w:t>独立费用</w:t>
            </w:r>
          </w:p>
        </w:tc>
        <w:tc>
          <w:tcPr>
            <w:tcW w:w="1243" w:type="pct"/>
            <w:gridSpan w:val="5"/>
            <w:shd w:val="clear" w:color="auto" w:fill="auto"/>
            <w:vAlign w:val="center"/>
          </w:tcPr>
          <w:p>
            <w:pPr>
              <w:pStyle w:val="13"/>
              <w:rPr>
                <w:rFonts w:cs="Times New Roman"/>
                <w:spacing w:val="1"/>
                <w:sz w:val="20"/>
                <w:szCs w:val="20"/>
              </w:rPr>
            </w:pPr>
            <w:r>
              <w:rPr>
                <w:rFonts w:cs="Times New Roman"/>
                <w:sz w:val="20"/>
                <w:szCs w:val="20"/>
              </w:rPr>
              <w:t>建设管理费</w:t>
            </w:r>
          </w:p>
        </w:tc>
        <w:tc>
          <w:tcPr>
            <w:tcW w:w="2102" w:type="pct"/>
            <w:gridSpan w:val="10"/>
            <w:vAlign w:val="center"/>
          </w:tcPr>
          <w:p>
            <w:pPr>
              <w:pStyle w:val="13"/>
              <w:ind w:firstLine="404"/>
              <w:rPr>
                <w:rFonts w:cs="Times New Roman"/>
                <w:spacing w:val="1"/>
                <w:sz w:val="20"/>
                <w:szCs w:val="20"/>
              </w:rPr>
            </w:pPr>
            <w:r>
              <w:rPr>
                <w:rFonts w:cs="Times New Roman"/>
                <w:spacing w:val="1"/>
                <w:sz w:val="20"/>
                <w:szCs w:val="20"/>
              </w:rPr>
              <w:t>3</w:t>
            </w:r>
            <w:r>
              <w:rPr>
                <w:rFonts w:hint="eastAsia" w:cs="Times New Roman"/>
                <w:spacing w:val="1"/>
                <w:sz w:val="20"/>
                <w:szCs w:val="20"/>
              </w:rPr>
              <w:t>.2</w:t>
            </w:r>
            <w:r>
              <w:rPr>
                <w:rFonts w:cs="Times New Roman"/>
                <w:spacing w:val="1"/>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828" w:type="pct"/>
            <w:gridSpan w:val="3"/>
            <w:vMerge w:val="continue"/>
            <w:vAlign w:val="center"/>
          </w:tcPr>
          <w:p>
            <w:pPr>
              <w:pStyle w:val="13"/>
              <w:rPr>
                <w:rFonts w:cs="Times New Roman"/>
                <w:spacing w:val="-1"/>
                <w:sz w:val="20"/>
                <w:szCs w:val="20"/>
              </w:rPr>
            </w:pPr>
          </w:p>
        </w:tc>
        <w:tc>
          <w:tcPr>
            <w:tcW w:w="827" w:type="pct"/>
            <w:gridSpan w:val="2"/>
            <w:vMerge w:val="continue"/>
            <w:tcBorders>
              <w:right w:val="single" w:color="auto" w:sz="4" w:space="0"/>
            </w:tcBorders>
            <w:vAlign w:val="center"/>
          </w:tcPr>
          <w:p>
            <w:pPr>
              <w:pStyle w:val="13"/>
              <w:rPr>
                <w:rFonts w:cs="Times New Roman"/>
                <w:sz w:val="20"/>
                <w:szCs w:val="20"/>
              </w:rPr>
            </w:pPr>
          </w:p>
        </w:tc>
        <w:tc>
          <w:tcPr>
            <w:tcW w:w="1243" w:type="pct"/>
            <w:gridSpan w:val="5"/>
            <w:shd w:val="clear" w:color="auto" w:fill="auto"/>
            <w:vAlign w:val="center"/>
          </w:tcPr>
          <w:p>
            <w:pPr>
              <w:pStyle w:val="13"/>
              <w:rPr>
                <w:rFonts w:cs="Times New Roman"/>
                <w:spacing w:val="1"/>
                <w:sz w:val="20"/>
                <w:szCs w:val="20"/>
              </w:rPr>
            </w:pPr>
            <w:r>
              <w:rPr>
                <w:rFonts w:cs="Times New Roman"/>
                <w:sz w:val="20"/>
                <w:szCs w:val="20"/>
              </w:rPr>
              <w:t>勘测设计费</w:t>
            </w:r>
          </w:p>
        </w:tc>
        <w:tc>
          <w:tcPr>
            <w:tcW w:w="2102" w:type="pct"/>
            <w:gridSpan w:val="10"/>
            <w:vAlign w:val="center"/>
          </w:tcPr>
          <w:p>
            <w:pPr>
              <w:pStyle w:val="13"/>
              <w:ind w:firstLine="404"/>
              <w:rPr>
                <w:rFonts w:cs="Times New Roman"/>
                <w:spacing w:val="1"/>
                <w:sz w:val="20"/>
                <w:szCs w:val="20"/>
              </w:rPr>
            </w:pPr>
            <w:r>
              <w:rPr>
                <w:rFonts w:hint="eastAsia" w:cs="Times New Roman"/>
                <w:spacing w:val="1"/>
                <w:sz w:val="20"/>
                <w:szCs w:val="20"/>
              </w:rPr>
              <w:t>4.60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828" w:type="pct"/>
            <w:gridSpan w:val="3"/>
            <w:vMerge w:val="continue"/>
            <w:vAlign w:val="center"/>
          </w:tcPr>
          <w:p>
            <w:pPr>
              <w:pStyle w:val="13"/>
              <w:rPr>
                <w:rFonts w:cs="Times New Roman"/>
                <w:spacing w:val="-1"/>
                <w:sz w:val="20"/>
                <w:szCs w:val="20"/>
              </w:rPr>
            </w:pPr>
          </w:p>
        </w:tc>
        <w:tc>
          <w:tcPr>
            <w:tcW w:w="827" w:type="pct"/>
            <w:gridSpan w:val="2"/>
            <w:vMerge w:val="continue"/>
            <w:tcBorders>
              <w:right w:val="single" w:color="auto" w:sz="4" w:space="0"/>
            </w:tcBorders>
            <w:vAlign w:val="center"/>
          </w:tcPr>
          <w:p>
            <w:pPr>
              <w:pStyle w:val="13"/>
              <w:rPr>
                <w:rFonts w:cs="Times New Roman"/>
                <w:spacing w:val="-5"/>
                <w:sz w:val="20"/>
                <w:szCs w:val="20"/>
              </w:rPr>
            </w:pPr>
          </w:p>
        </w:tc>
        <w:tc>
          <w:tcPr>
            <w:tcW w:w="1243" w:type="pct"/>
            <w:gridSpan w:val="5"/>
            <w:shd w:val="clear" w:color="auto" w:fill="auto"/>
            <w:vAlign w:val="center"/>
          </w:tcPr>
          <w:p>
            <w:pPr>
              <w:pStyle w:val="13"/>
              <w:rPr>
                <w:rFonts w:cs="Times New Roman"/>
                <w:sz w:val="20"/>
                <w:szCs w:val="20"/>
              </w:rPr>
            </w:pPr>
            <w:r>
              <w:rPr>
                <w:rFonts w:hint="eastAsia" w:cs="Times New Roman"/>
                <w:sz w:val="20"/>
                <w:szCs w:val="20"/>
              </w:rPr>
              <w:t>方案编制费</w:t>
            </w:r>
          </w:p>
        </w:tc>
        <w:tc>
          <w:tcPr>
            <w:tcW w:w="2102" w:type="pct"/>
            <w:gridSpan w:val="10"/>
            <w:vAlign w:val="center"/>
          </w:tcPr>
          <w:p>
            <w:pPr>
              <w:pStyle w:val="13"/>
              <w:ind w:firstLine="404"/>
              <w:rPr>
                <w:rFonts w:cs="Times New Roman"/>
                <w:spacing w:val="1"/>
                <w:sz w:val="20"/>
                <w:szCs w:val="20"/>
              </w:rPr>
            </w:pPr>
            <w:r>
              <w:rPr>
                <w:rFonts w:hint="eastAsia" w:cs="Times New Roman"/>
                <w:spacing w:val="1"/>
                <w:sz w:val="20"/>
                <w:szCs w:val="20"/>
              </w:rPr>
              <w:t>7.80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828" w:type="pct"/>
            <w:gridSpan w:val="3"/>
            <w:vMerge w:val="continue"/>
            <w:vAlign w:val="center"/>
          </w:tcPr>
          <w:p>
            <w:pPr>
              <w:pStyle w:val="13"/>
              <w:rPr>
                <w:rFonts w:cs="Times New Roman"/>
                <w:spacing w:val="-1"/>
                <w:sz w:val="20"/>
                <w:szCs w:val="20"/>
              </w:rPr>
            </w:pPr>
          </w:p>
        </w:tc>
        <w:tc>
          <w:tcPr>
            <w:tcW w:w="827" w:type="pct"/>
            <w:gridSpan w:val="2"/>
            <w:vMerge w:val="continue"/>
            <w:tcBorders>
              <w:right w:val="single" w:color="auto" w:sz="4" w:space="0"/>
            </w:tcBorders>
            <w:vAlign w:val="center"/>
          </w:tcPr>
          <w:p>
            <w:pPr>
              <w:pStyle w:val="13"/>
              <w:rPr>
                <w:rFonts w:cs="Times New Roman"/>
                <w:spacing w:val="-5"/>
                <w:sz w:val="20"/>
                <w:szCs w:val="20"/>
              </w:rPr>
            </w:pPr>
          </w:p>
        </w:tc>
        <w:tc>
          <w:tcPr>
            <w:tcW w:w="1243" w:type="pct"/>
            <w:gridSpan w:val="5"/>
            <w:shd w:val="clear" w:color="auto" w:fill="auto"/>
            <w:vAlign w:val="center"/>
          </w:tcPr>
          <w:p>
            <w:pPr>
              <w:pStyle w:val="13"/>
              <w:rPr>
                <w:rFonts w:cs="Times New Roman"/>
                <w:spacing w:val="-1"/>
                <w:sz w:val="20"/>
                <w:szCs w:val="20"/>
              </w:rPr>
            </w:pPr>
            <w:r>
              <w:rPr>
                <w:rFonts w:cs="Times New Roman"/>
                <w:sz w:val="20"/>
                <w:szCs w:val="20"/>
              </w:rPr>
              <w:t>工程建设监理费</w:t>
            </w:r>
          </w:p>
        </w:tc>
        <w:tc>
          <w:tcPr>
            <w:tcW w:w="2102" w:type="pct"/>
            <w:gridSpan w:val="10"/>
            <w:vAlign w:val="center"/>
          </w:tcPr>
          <w:p>
            <w:pPr>
              <w:pStyle w:val="13"/>
              <w:ind w:firstLine="404"/>
              <w:rPr>
                <w:rFonts w:cs="Times New Roman"/>
                <w:spacing w:val="1"/>
                <w:sz w:val="20"/>
                <w:szCs w:val="20"/>
              </w:rPr>
            </w:pPr>
            <w:r>
              <w:rPr>
                <w:rFonts w:hint="eastAsia" w:cs="Times New Roman"/>
                <w:spacing w:val="1"/>
                <w:sz w:val="20"/>
                <w:szCs w:val="20"/>
              </w:rPr>
              <w:t>7.50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828" w:type="pct"/>
            <w:gridSpan w:val="3"/>
            <w:vMerge w:val="continue"/>
            <w:vAlign w:val="center"/>
          </w:tcPr>
          <w:p>
            <w:pPr>
              <w:pStyle w:val="13"/>
              <w:rPr>
                <w:rFonts w:cs="Times New Roman"/>
                <w:spacing w:val="-1"/>
                <w:sz w:val="20"/>
                <w:szCs w:val="20"/>
              </w:rPr>
            </w:pPr>
          </w:p>
        </w:tc>
        <w:tc>
          <w:tcPr>
            <w:tcW w:w="827" w:type="pct"/>
            <w:gridSpan w:val="2"/>
            <w:vMerge w:val="continue"/>
            <w:tcBorders>
              <w:right w:val="single" w:color="auto" w:sz="4" w:space="0"/>
            </w:tcBorders>
            <w:vAlign w:val="center"/>
          </w:tcPr>
          <w:p>
            <w:pPr>
              <w:pStyle w:val="13"/>
              <w:rPr>
                <w:rFonts w:cs="Times New Roman"/>
                <w:spacing w:val="-5"/>
                <w:sz w:val="20"/>
                <w:szCs w:val="20"/>
              </w:rPr>
            </w:pPr>
          </w:p>
        </w:tc>
        <w:tc>
          <w:tcPr>
            <w:tcW w:w="1243" w:type="pct"/>
            <w:gridSpan w:val="5"/>
            <w:shd w:val="clear" w:color="auto" w:fill="auto"/>
            <w:vAlign w:val="center"/>
          </w:tcPr>
          <w:p>
            <w:pPr>
              <w:pStyle w:val="13"/>
              <w:rPr>
                <w:rFonts w:cs="Times New Roman"/>
                <w:spacing w:val="-1"/>
                <w:sz w:val="20"/>
                <w:szCs w:val="20"/>
              </w:rPr>
            </w:pPr>
            <w:r>
              <w:rPr>
                <w:rFonts w:cs="Times New Roman"/>
                <w:sz w:val="20"/>
                <w:szCs w:val="20"/>
              </w:rPr>
              <w:t>竣工验收技术评估费</w:t>
            </w:r>
          </w:p>
        </w:tc>
        <w:tc>
          <w:tcPr>
            <w:tcW w:w="2102" w:type="pct"/>
            <w:gridSpan w:val="10"/>
            <w:vAlign w:val="center"/>
          </w:tcPr>
          <w:p>
            <w:pPr>
              <w:pStyle w:val="13"/>
              <w:ind w:firstLine="404"/>
              <w:rPr>
                <w:rFonts w:cs="Times New Roman"/>
                <w:spacing w:val="1"/>
                <w:sz w:val="20"/>
                <w:szCs w:val="20"/>
              </w:rPr>
            </w:pPr>
            <w:r>
              <w:rPr>
                <w:rFonts w:hint="eastAsia" w:cs="Times New Roman"/>
                <w:spacing w:val="1"/>
                <w:sz w:val="20"/>
                <w:szCs w:val="20"/>
              </w:rPr>
              <w:t>7.80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828" w:type="pct"/>
            <w:gridSpan w:val="3"/>
            <w:vMerge w:val="continue"/>
            <w:vAlign w:val="center"/>
          </w:tcPr>
          <w:p>
            <w:pPr>
              <w:pStyle w:val="13"/>
              <w:rPr>
                <w:rFonts w:cs="Times New Roman"/>
                <w:spacing w:val="-1"/>
                <w:sz w:val="20"/>
                <w:szCs w:val="20"/>
              </w:rPr>
            </w:pPr>
          </w:p>
        </w:tc>
        <w:tc>
          <w:tcPr>
            <w:tcW w:w="827" w:type="pct"/>
            <w:gridSpan w:val="2"/>
            <w:tcBorders>
              <w:top w:val="single" w:color="auto" w:sz="4" w:space="0"/>
              <w:bottom w:val="single" w:color="auto" w:sz="4" w:space="0"/>
              <w:right w:val="single" w:color="auto" w:sz="4" w:space="0"/>
            </w:tcBorders>
            <w:vAlign w:val="center"/>
          </w:tcPr>
          <w:p>
            <w:pPr>
              <w:pStyle w:val="13"/>
              <w:rPr>
                <w:rFonts w:cs="Times New Roman"/>
                <w:spacing w:val="-5"/>
                <w:sz w:val="20"/>
                <w:szCs w:val="20"/>
              </w:rPr>
            </w:pPr>
            <w:r>
              <w:rPr>
                <w:rFonts w:cs="Times New Roman"/>
                <w:spacing w:val="-5"/>
                <w:sz w:val="20"/>
                <w:szCs w:val="20"/>
              </w:rPr>
              <w:t>总投资</w:t>
            </w:r>
          </w:p>
        </w:tc>
        <w:tc>
          <w:tcPr>
            <w:tcW w:w="3345" w:type="pct"/>
            <w:gridSpan w:val="15"/>
            <w:vAlign w:val="center"/>
          </w:tcPr>
          <w:p>
            <w:pPr>
              <w:pStyle w:val="13"/>
              <w:ind w:firstLine="404"/>
              <w:rPr>
                <w:rFonts w:cs="Times New Roman"/>
                <w:spacing w:val="1"/>
                <w:sz w:val="20"/>
                <w:szCs w:val="20"/>
              </w:rPr>
            </w:pPr>
            <w:r>
              <w:rPr>
                <w:rFonts w:hint="eastAsia" w:cs="Times New Roman"/>
                <w:spacing w:val="1"/>
                <w:sz w:val="20"/>
                <w:szCs w:val="20"/>
              </w:rPr>
              <w:t>193.86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252" w:type="pct"/>
            <w:gridSpan w:val="4"/>
            <w:vAlign w:val="center"/>
          </w:tcPr>
          <w:p>
            <w:pPr>
              <w:pStyle w:val="13"/>
              <w:rPr>
                <w:rFonts w:cs="Times New Roman"/>
                <w:spacing w:val="-5"/>
                <w:sz w:val="20"/>
                <w:szCs w:val="20"/>
              </w:rPr>
            </w:pPr>
            <w:r>
              <w:rPr>
                <w:rFonts w:cs="Times New Roman"/>
                <w:spacing w:val="-2"/>
                <w:sz w:val="20"/>
                <w:szCs w:val="20"/>
              </w:rPr>
              <w:t>编制单位</w:t>
            </w:r>
          </w:p>
        </w:tc>
        <w:tc>
          <w:tcPr>
            <w:tcW w:w="1320" w:type="pct"/>
            <w:gridSpan w:val="4"/>
            <w:vAlign w:val="center"/>
          </w:tcPr>
          <w:p>
            <w:pPr>
              <w:pStyle w:val="13"/>
              <w:rPr>
                <w:rFonts w:cs="Times New Roman"/>
                <w:spacing w:val="-1"/>
                <w:sz w:val="20"/>
                <w:szCs w:val="20"/>
              </w:rPr>
            </w:pPr>
            <w:r>
              <w:rPr>
                <w:rFonts w:cs="Times New Roman"/>
                <w:spacing w:val="-1"/>
                <w:sz w:val="20"/>
                <w:szCs w:val="20"/>
              </w:rPr>
              <w:t>四川省川核鑫达地质工程有限公司</w:t>
            </w:r>
          </w:p>
        </w:tc>
        <w:tc>
          <w:tcPr>
            <w:tcW w:w="1079" w:type="pct"/>
            <w:gridSpan w:val="5"/>
            <w:vAlign w:val="center"/>
          </w:tcPr>
          <w:p>
            <w:pPr>
              <w:pStyle w:val="13"/>
              <w:rPr>
                <w:rFonts w:cs="Times New Roman"/>
                <w:spacing w:val="1"/>
                <w:sz w:val="20"/>
                <w:szCs w:val="20"/>
              </w:rPr>
            </w:pPr>
            <w:r>
              <w:rPr>
                <w:rFonts w:cs="Times New Roman"/>
                <w:spacing w:val="-2"/>
                <w:sz w:val="20"/>
                <w:szCs w:val="20"/>
              </w:rPr>
              <w:t>建设单位</w:t>
            </w:r>
          </w:p>
        </w:tc>
        <w:tc>
          <w:tcPr>
            <w:tcW w:w="1350" w:type="pct"/>
            <w:gridSpan w:val="7"/>
            <w:vAlign w:val="center"/>
          </w:tcPr>
          <w:p>
            <w:pPr>
              <w:pStyle w:val="13"/>
              <w:rPr>
                <w:rFonts w:cs="Times New Roman"/>
                <w:spacing w:val="1"/>
                <w:sz w:val="20"/>
                <w:szCs w:val="20"/>
              </w:rPr>
            </w:pPr>
            <w:r>
              <w:rPr>
                <w:rFonts w:cs="Times New Roman"/>
                <w:spacing w:val="-1"/>
                <w:sz w:val="20"/>
                <w:szCs w:val="20"/>
              </w:rPr>
              <w:t>达州普光建设开发有限公司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252" w:type="pct"/>
            <w:gridSpan w:val="4"/>
            <w:vAlign w:val="center"/>
          </w:tcPr>
          <w:p>
            <w:pPr>
              <w:pStyle w:val="13"/>
              <w:rPr>
                <w:rFonts w:cs="Times New Roman"/>
                <w:spacing w:val="-2"/>
                <w:sz w:val="20"/>
                <w:szCs w:val="20"/>
              </w:rPr>
            </w:pPr>
            <w:r>
              <w:rPr>
                <w:rFonts w:eastAsia="仿宋" w:cs="Times New Roman"/>
                <w:sz w:val="20"/>
                <w:szCs w:val="20"/>
              </w:rPr>
              <w:t>统一社会信用</w:t>
            </w:r>
            <w:r>
              <w:rPr>
                <w:rFonts w:eastAsia="仿宋" w:cs="Times New Roman"/>
                <w:spacing w:val="-2"/>
                <w:sz w:val="20"/>
                <w:szCs w:val="20"/>
              </w:rPr>
              <w:t>代码</w:t>
            </w:r>
          </w:p>
        </w:tc>
        <w:tc>
          <w:tcPr>
            <w:tcW w:w="1320" w:type="pct"/>
            <w:gridSpan w:val="4"/>
            <w:vAlign w:val="center"/>
          </w:tcPr>
          <w:p>
            <w:pPr>
              <w:pStyle w:val="13"/>
              <w:rPr>
                <w:rFonts w:cs="Times New Roman"/>
                <w:spacing w:val="-1"/>
                <w:sz w:val="20"/>
                <w:szCs w:val="20"/>
              </w:rPr>
            </w:pPr>
            <w:r>
              <w:rPr>
                <w:rFonts w:cs="Times New Roman"/>
                <w:sz w:val="20"/>
                <w:szCs w:val="20"/>
              </w:rPr>
              <w:t>915117006674435128</w:t>
            </w:r>
          </w:p>
        </w:tc>
        <w:tc>
          <w:tcPr>
            <w:tcW w:w="1079" w:type="pct"/>
            <w:gridSpan w:val="5"/>
            <w:vAlign w:val="center"/>
          </w:tcPr>
          <w:p>
            <w:pPr>
              <w:pStyle w:val="13"/>
              <w:rPr>
                <w:rFonts w:cs="Times New Roman"/>
                <w:spacing w:val="-2"/>
                <w:sz w:val="20"/>
                <w:szCs w:val="20"/>
              </w:rPr>
            </w:pPr>
            <w:r>
              <w:rPr>
                <w:rFonts w:eastAsia="仿宋" w:cs="Times New Roman"/>
                <w:sz w:val="20"/>
                <w:szCs w:val="20"/>
              </w:rPr>
              <w:t>统一社会信用</w:t>
            </w:r>
            <w:r>
              <w:rPr>
                <w:rFonts w:eastAsia="仿宋" w:cs="Times New Roman"/>
                <w:spacing w:val="-2"/>
                <w:sz w:val="20"/>
                <w:szCs w:val="20"/>
              </w:rPr>
              <w:t>代码</w:t>
            </w:r>
          </w:p>
        </w:tc>
        <w:tc>
          <w:tcPr>
            <w:tcW w:w="1350" w:type="pct"/>
            <w:gridSpan w:val="7"/>
            <w:vAlign w:val="center"/>
          </w:tcPr>
          <w:p>
            <w:pPr>
              <w:pStyle w:val="13"/>
              <w:rPr>
                <w:rFonts w:cs="Times New Roman"/>
                <w:spacing w:val="-1"/>
                <w:sz w:val="20"/>
                <w:szCs w:val="20"/>
              </w:rPr>
            </w:pPr>
            <w:r>
              <w:rPr>
                <w:rFonts w:cs="Times New Roman"/>
                <w:sz w:val="20"/>
                <w:szCs w:val="20"/>
              </w:rPr>
              <w:t>9151172257527474XR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252" w:type="pct"/>
            <w:gridSpan w:val="4"/>
            <w:vAlign w:val="center"/>
          </w:tcPr>
          <w:p>
            <w:pPr>
              <w:pStyle w:val="13"/>
              <w:rPr>
                <w:rFonts w:cs="Times New Roman"/>
                <w:spacing w:val="-5"/>
                <w:sz w:val="20"/>
                <w:szCs w:val="20"/>
              </w:rPr>
            </w:pPr>
            <w:r>
              <w:rPr>
                <w:rFonts w:cs="Times New Roman"/>
                <w:sz w:val="20"/>
                <w:szCs w:val="20"/>
              </w:rPr>
              <w:t>法定代表人及电话</w:t>
            </w:r>
          </w:p>
        </w:tc>
        <w:tc>
          <w:tcPr>
            <w:tcW w:w="1320" w:type="pct"/>
            <w:gridSpan w:val="4"/>
            <w:vAlign w:val="center"/>
          </w:tcPr>
          <w:p>
            <w:pPr>
              <w:pStyle w:val="13"/>
              <w:rPr>
                <w:rFonts w:cs="Times New Roman"/>
                <w:spacing w:val="-1"/>
                <w:sz w:val="20"/>
                <w:szCs w:val="20"/>
              </w:rPr>
            </w:pPr>
            <w:r>
              <w:rPr>
                <w:rFonts w:cs="Times New Roman"/>
                <w:sz w:val="20"/>
                <w:szCs w:val="20"/>
              </w:rPr>
              <w:t>贾西平0818-2388691</w:t>
            </w:r>
          </w:p>
        </w:tc>
        <w:tc>
          <w:tcPr>
            <w:tcW w:w="1079" w:type="pct"/>
            <w:gridSpan w:val="5"/>
            <w:vAlign w:val="center"/>
          </w:tcPr>
          <w:p>
            <w:pPr>
              <w:pStyle w:val="13"/>
              <w:rPr>
                <w:rFonts w:cs="Times New Roman"/>
                <w:spacing w:val="1"/>
                <w:sz w:val="20"/>
                <w:szCs w:val="20"/>
              </w:rPr>
            </w:pPr>
            <w:r>
              <w:rPr>
                <w:rFonts w:cs="Times New Roman"/>
                <w:spacing w:val="-1"/>
                <w:sz w:val="20"/>
                <w:szCs w:val="20"/>
              </w:rPr>
              <w:t>法人代表及电话</w:t>
            </w:r>
          </w:p>
        </w:tc>
        <w:tc>
          <w:tcPr>
            <w:tcW w:w="1350" w:type="pct"/>
            <w:gridSpan w:val="7"/>
            <w:vAlign w:val="center"/>
          </w:tcPr>
          <w:p>
            <w:pPr>
              <w:pStyle w:val="13"/>
              <w:rPr>
                <w:rFonts w:cs="Times New Roman"/>
                <w:spacing w:val="1"/>
                <w:sz w:val="20"/>
                <w:szCs w:val="20"/>
              </w:rPr>
            </w:pPr>
            <w:r>
              <w:rPr>
                <w:rFonts w:cs="Times New Roman"/>
                <w:sz w:val="20"/>
                <w:szCs w:val="20"/>
              </w:rPr>
              <w:t>李育18284656689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252" w:type="pct"/>
            <w:gridSpan w:val="4"/>
            <w:vAlign w:val="center"/>
          </w:tcPr>
          <w:p>
            <w:pPr>
              <w:pStyle w:val="13"/>
              <w:rPr>
                <w:rFonts w:cs="Times New Roman"/>
                <w:spacing w:val="-5"/>
                <w:sz w:val="20"/>
                <w:szCs w:val="20"/>
              </w:rPr>
            </w:pPr>
            <w:r>
              <w:rPr>
                <w:rFonts w:cs="Times New Roman"/>
                <w:spacing w:val="-2"/>
                <w:sz w:val="20"/>
                <w:szCs w:val="20"/>
              </w:rPr>
              <w:t>地址</w:t>
            </w:r>
          </w:p>
        </w:tc>
        <w:tc>
          <w:tcPr>
            <w:tcW w:w="1320" w:type="pct"/>
            <w:gridSpan w:val="4"/>
            <w:vAlign w:val="center"/>
          </w:tcPr>
          <w:p>
            <w:pPr>
              <w:pStyle w:val="13"/>
              <w:rPr>
                <w:rFonts w:cs="Times New Roman"/>
                <w:spacing w:val="-1"/>
                <w:sz w:val="20"/>
                <w:szCs w:val="20"/>
              </w:rPr>
            </w:pPr>
            <w:r>
              <w:rPr>
                <w:rFonts w:cs="Times New Roman"/>
                <w:sz w:val="20"/>
                <w:szCs w:val="20"/>
              </w:rPr>
              <w:t>达州市通川区肖公庙路375号科技综合楼5楼</w:t>
            </w:r>
          </w:p>
        </w:tc>
        <w:tc>
          <w:tcPr>
            <w:tcW w:w="1079" w:type="pct"/>
            <w:gridSpan w:val="5"/>
            <w:vAlign w:val="center"/>
          </w:tcPr>
          <w:p>
            <w:pPr>
              <w:pStyle w:val="13"/>
              <w:rPr>
                <w:rFonts w:cs="Times New Roman"/>
                <w:spacing w:val="1"/>
                <w:sz w:val="20"/>
                <w:szCs w:val="20"/>
              </w:rPr>
            </w:pPr>
            <w:r>
              <w:rPr>
                <w:rFonts w:cs="Times New Roman"/>
                <w:spacing w:val="-2"/>
                <w:sz w:val="20"/>
                <w:szCs w:val="20"/>
              </w:rPr>
              <w:t>地址</w:t>
            </w:r>
          </w:p>
        </w:tc>
        <w:tc>
          <w:tcPr>
            <w:tcW w:w="1350" w:type="pct"/>
            <w:gridSpan w:val="7"/>
            <w:vAlign w:val="center"/>
          </w:tcPr>
          <w:p>
            <w:pPr>
              <w:pStyle w:val="13"/>
              <w:rPr>
                <w:rFonts w:cs="Times New Roman"/>
                <w:spacing w:val="1"/>
                <w:sz w:val="20"/>
                <w:szCs w:val="20"/>
              </w:rPr>
            </w:pPr>
            <w:r>
              <w:rPr>
                <w:rFonts w:cs="Times New Roman"/>
                <w:sz w:val="20"/>
                <w:szCs w:val="20"/>
              </w:rPr>
              <w:t>宣汉县东乡街道西街193号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252" w:type="pct"/>
            <w:gridSpan w:val="4"/>
            <w:vAlign w:val="center"/>
          </w:tcPr>
          <w:p>
            <w:pPr>
              <w:pStyle w:val="13"/>
              <w:rPr>
                <w:rFonts w:cs="Times New Roman"/>
                <w:spacing w:val="-5"/>
                <w:sz w:val="20"/>
                <w:szCs w:val="20"/>
              </w:rPr>
            </w:pPr>
            <w:r>
              <w:rPr>
                <w:rFonts w:cs="Times New Roman"/>
                <w:spacing w:val="-4"/>
                <w:sz w:val="20"/>
                <w:szCs w:val="20"/>
              </w:rPr>
              <w:t>邮编</w:t>
            </w:r>
          </w:p>
        </w:tc>
        <w:tc>
          <w:tcPr>
            <w:tcW w:w="1320" w:type="pct"/>
            <w:gridSpan w:val="4"/>
            <w:vAlign w:val="center"/>
          </w:tcPr>
          <w:p>
            <w:pPr>
              <w:pStyle w:val="13"/>
              <w:rPr>
                <w:rFonts w:cs="Times New Roman"/>
                <w:spacing w:val="-1"/>
                <w:sz w:val="20"/>
                <w:szCs w:val="20"/>
              </w:rPr>
            </w:pPr>
            <w:r>
              <w:rPr>
                <w:rFonts w:cs="Times New Roman"/>
                <w:sz w:val="20"/>
                <w:szCs w:val="20"/>
              </w:rPr>
              <w:t>635099</w:t>
            </w:r>
          </w:p>
        </w:tc>
        <w:tc>
          <w:tcPr>
            <w:tcW w:w="1079" w:type="pct"/>
            <w:gridSpan w:val="5"/>
            <w:vAlign w:val="center"/>
          </w:tcPr>
          <w:p>
            <w:pPr>
              <w:pStyle w:val="13"/>
              <w:rPr>
                <w:rFonts w:cs="Times New Roman"/>
                <w:spacing w:val="1"/>
                <w:sz w:val="20"/>
                <w:szCs w:val="20"/>
              </w:rPr>
            </w:pPr>
            <w:r>
              <w:rPr>
                <w:rFonts w:cs="Times New Roman"/>
                <w:spacing w:val="-5"/>
                <w:sz w:val="20"/>
                <w:szCs w:val="20"/>
              </w:rPr>
              <w:t>邮编</w:t>
            </w:r>
          </w:p>
        </w:tc>
        <w:tc>
          <w:tcPr>
            <w:tcW w:w="1350" w:type="pct"/>
            <w:gridSpan w:val="7"/>
            <w:vAlign w:val="center"/>
          </w:tcPr>
          <w:p>
            <w:pPr>
              <w:pStyle w:val="13"/>
              <w:rPr>
                <w:rFonts w:cs="Times New Roman"/>
                <w:spacing w:val="1"/>
                <w:sz w:val="20"/>
                <w:szCs w:val="20"/>
              </w:rPr>
            </w:pPr>
            <w:r>
              <w:rPr>
                <w:rFonts w:cs="Times New Roman"/>
                <w:sz w:val="20"/>
                <w:szCs w:val="20"/>
              </w:rPr>
              <w:t>636150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252" w:type="pct"/>
            <w:gridSpan w:val="4"/>
            <w:vAlign w:val="center"/>
          </w:tcPr>
          <w:p>
            <w:pPr>
              <w:pStyle w:val="13"/>
              <w:rPr>
                <w:rFonts w:cs="Times New Roman"/>
                <w:spacing w:val="-5"/>
                <w:sz w:val="20"/>
                <w:szCs w:val="20"/>
              </w:rPr>
            </w:pPr>
            <w:r>
              <w:rPr>
                <w:rFonts w:cs="Times New Roman"/>
                <w:spacing w:val="-1"/>
                <w:sz w:val="20"/>
                <w:szCs w:val="20"/>
              </w:rPr>
              <w:t>联系人及电话</w:t>
            </w:r>
          </w:p>
        </w:tc>
        <w:tc>
          <w:tcPr>
            <w:tcW w:w="1320" w:type="pct"/>
            <w:gridSpan w:val="4"/>
            <w:vAlign w:val="center"/>
          </w:tcPr>
          <w:p>
            <w:pPr>
              <w:pStyle w:val="13"/>
              <w:rPr>
                <w:rFonts w:cs="Times New Roman"/>
                <w:spacing w:val="-1"/>
                <w:sz w:val="20"/>
                <w:szCs w:val="20"/>
              </w:rPr>
            </w:pPr>
            <w:r>
              <w:rPr>
                <w:rFonts w:cs="Times New Roman"/>
                <w:sz w:val="20"/>
                <w:szCs w:val="20"/>
              </w:rPr>
              <w:t>齐兵德15892979224</w:t>
            </w:r>
          </w:p>
        </w:tc>
        <w:tc>
          <w:tcPr>
            <w:tcW w:w="1079" w:type="pct"/>
            <w:gridSpan w:val="5"/>
            <w:vAlign w:val="center"/>
          </w:tcPr>
          <w:p>
            <w:pPr>
              <w:pStyle w:val="13"/>
              <w:rPr>
                <w:rFonts w:cs="Times New Roman"/>
                <w:spacing w:val="1"/>
                <w:sz w:val="20"/>
                <w:szCs w:val="20"/>
              </w:rPr>
            </w:pPr>
            <w:r>
              <w:rPr>
                <w:rFonts w:cs="Times New Roman"/>
                <w:spacing w:val="-1"/>
                <w:sz w:val="20"/>
                <w:szCs w:val="20"/>
              </w:rPr>
              <w:t>联系人及电话</w:t>
            </w:r>
          </w:p>
        </w:tc>
        <w:tc>
          <w:tcPr>
            <w:tcW w:w="1350" w:type="pct"/>
            <w:gridSpan w:val="7"/>
            <w:vAlign w:val="center"/>
          </w:tcPr>
          <w:p>
            <w:pPr>
              <w:pStyle w:val="13"/>
              <w:rPr>
                <w:rFonts w:cs="Times New Roman"/>
                <w:spacing w:val="1"/>
                <w:sz w:val="20"/>
                <w:szCs w:val="20"/>
              </w:rPr>
            </w:pPr>
            <w:r>
              <w:rPr>
                <w:rFonts w:cs="Times New Roman"/>
                <w:sz w:val="20"/>
                <w:szCs w:val="20"/>
              </w:rPr>
              <w:t>黎立/15508209029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252" w:type="pct"/>
            <w:gridSpan w:val="4"/>
            <w:vAlign w:val="center"/>
          </w:tcPr>
          <w:p>
            <w:pPr>
              <w:pStyle w:val="13"/>
              <w:rPr>
                <w:rFonts w:cs="Times New Roman"/>
                <w:spacing w:val="-5"/>
                <w:sz w:val="20"/>
                <w:szCs w:val="20"/>
              </w:rPr>
            </w:pPr>
            <w:r>
              <w:rPr>
                <w:rFonts w:cs="Times New Roman"/>
                <w:spacing w:val="-8"/>
                <w:sz w:val="20"/>
                <w:szCs w:val="20"/>
              </w:rPr>
              <w:t>电子信箱</w:t>
            </w:r>
          </w:p>
        </w:tc>
        <w:tc>
          <w:tcPr>
            <w:tcW w:w="1320" w:type="pct"/>
            <w:gridSpan w:val="4"/>
            <w:vAlign w:val="center"/>
          </w:tcPr>
          <w:p>
            <w:pPr>
              <w:pStyle w:val="13"/>
              <w:rPr>
                <w:rFonts w:cs="Times New Roman"/>
                <w:spacing w:val="-1"/>
                <w:sz w:val="20"/>
                <w:szCs w:val="20"/>
              </w:rPr>
            </w:pPr>
            <w:r>
              <w:rPr>
                <w:rFonts w:cs="Times New Roman"/>
                <w:sz w:val="20"/>
                <w:szCs w:val="20"/>
              </w:rPr>
              <w:t>/</w:t>
            </w:r>
          </w:p>
        </w:tc>
        <w:tc>
          <w:tcPr>
            <w:tcW w:w="1079" w:type="pct"/>
            <w:gridSpan w:val="5"/>
            <w:vAlign w:val="center"/>
          </w:tcPr>
          <w:p>
            <w:pPr>
              <w:pStyle w:val="13"/>
              <w:rPr>
                <w:rFonts w:cs="Times New Roman"/>
                <w:spacing w:val="1"/>
                <w:sz w:val="20"/>
                <w:szCs w:val="20"/>
              </w:rPr>
            </w:pPr>
            <w:r>
              <w:rPr>
                <w:rFonts w:cs="Times New Roman"/>
                <w:spacing w:val="-7"/>
                <w:sz w:val="20"/>
                <w:szCs w:val="20"/>
              </w:rPr>
              <w:t>电子信箱</w:t>
            </w:r>
          </w:p>
        </w:tc>
        <w:tc>
          <w:tcPr>
            <w:tcW w:w="1350" w:type="pct"/>
            <w:gridSpan w:val="7"/>
            <w:vAlign w:val="center"/>
          </w:tcPr>
          <w:p>
            <w:pPr>
              <w:pStyle w:val="13"/>
              <w:rPr>
                <w:rFonts w:cs="Times New Roman"/>
                <w:spacing w:val="1"/>
                <w:sz w:val="20"/>
                <w:szCs w:val="20"/>
              </w:rPr>
            </w:pPr>
            <w:r>
              <w:rPr>
                <w:rFonts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252" w:type="pct"/>
            <w:gridSpan w:val="4"/>
            <w:vAlign w:val="center"/>
          </w:tcPr>
          <w:p>
            <w:pPr>
              <w:pStyle w:val="13"/>
              <w:rPr>
                <w:rFonts w:cs="Times New Roman"/>
                <w:spacing w:val="-5"/>
                <w:sz w:val="20"/>
                <w:szCs w:val="20"/>
              </w:rPr>
            </w:pPr>
            <w:r>
              <w:rPr>
                <w:rFonts w:cs="Times New Roman"/>
                <w:spacing w:val="-1"/>
                <w:sz w:val="20"/>
                <w:szCs w:val="20"/>
              </w:rPr>
              <w:t>传真</w:t>
            </w:r>
          </w:p>
        </w:tc>
        <w:tc>
          <w:tcPr>
            <w:tcW w:w="1320" w:type="pct"/>
            <w:gridSpan w:val="4"/>
            <w:vAlign w:val="center"/>
          </w:tcPr>
          <w:p>
            <w:pPr>
              <w:pStyle w:val="13"/>
              <w:rPr>
                <w:rFonts w:cs="Times New Roman"/>
                <w:spacing w:val="-1"/>
                <w:sz w:val="20"/>
                <w:szCs w:val="20"/>
              </w:rPr>
            </w:pPr>
            <w:r>
              <w:rPr>
                <w:rFonts w:cs="Times New Roman"/>
                <w:sz w:val="20"/>
                <w:szCs w:val="20"/>
              </w:rPr>
              <w:t>/</w:t>
            </w:r>
          </w:p>
        </w:tc>
        <w:tc>
          <w:tcPr>
            <w:tcW w:w="1079" w:type="pct"/>
            <w:gridSpan w:val="5"/>
            <w:vAlign w:val="center"/>
          </w:tcPr>
          <w:p>
            <w:pPr>
              <w:pStyle w:val="13"/>
              <w:rPr>
                <w:rFonts w:cs="Times New Roman"/>
                <w:spacing w:val="1"/>
                <w:sz w:val="20"/>
                <w:szCs w:val="20"/>
              </w:rPr>
            </w:pPr>
            <w:r>
              <w:rPr>
                <w:rFonts w:cs="Times New Roman"/>
                <w:spacing w:val="-1"/>
                <w:sz w:val="20"/>
                <w:szCs w:val="20"/>
              </w:rPr>
              <w:t>传真</w:t>
            </w:r>
          </w:p>
        </w:tc>
        <w:tc>
          <w:tcPr>
            <w:tcW w:w="1350" w:type="pct"/>
            <w:gridSpan w:val="7"/>
            <w:vAlign w:val="center"/>
          </w:tcPr>
          <w:p>
            <w:pPr>
              <w:pStyle w:val="13"/>
              <w:rPr>
                <w:rFonts w:cs="Times New Roman"/>
                <w:spacing w:val="1"/>
                <w:sz w:val="20"/>
                <w:szCs w:val="20"/>
              </w:rPr>
            </w:pPr>
            <w:r>
              <w:rPr>
                <w:rFonts w:cs="Times New Roman"/>
                <w:sz w:val="20"/>
                <w:szCs w:val="20"/>
              </w:rPr>
              <w:t>/</w:t>
            </w:r>
          </w:p>
        </w:tc>
      </w:tr>
    </w:tbl>
    <w:p>
      <w:pPr>
        <w:widowControl w:val="0"/>
        <w:kinsoku/>
        <w:topLinePunct/>
        <w:autoSpaceDE/>
        <w:autoSpaceDN/>
        <w:spacing w:before="271" w:line="220" w:lineRule="auto"/>
        <w:ind w:firstLine="720"/>
        <w:rPr>
          <w:rFonts w:cs="Times New Roman"/>
          <w:color w:val="auto"/>
          <w:sz w:val="36"/>
          <w:szCs w:val="36"/>
          <w:lang w:eastAsia="zh-CN"/>
        </w:rPr>
        <w:sectPr>
          <w:pgSz w:w="11909" w:h="16840"/>
          <w:pgMar w:top="1440" w:right="1797" w:bottom="1440" w:left="1797" w:header="0" w:footer="0" w:gutter="0"/>
          <w:cols w:space="720" w:num="1"/>
          <w:docGrid w:linePitch="286" w:charSpace="0"/>
        </w:sectPr>
      </w:pPr>
    </w:p>
    <w:sdt>
      <w:sdtPr>
        <w:rPr>
          <w:rFonts w:ascii="Times New Roman" w:hAnsi="Times New Roman" w:eastAsia="仿宋_GB2312" w:cs="Times New Roman"/>
          <w:snapToGrid w:val="0"/>
          <w:color w:val="auto"/>
          <w:sz w:val="21"/>
          <w:szCs w:val="21"/>
          <w:lang w:val="zh-CN" w:eastAsia="en-US"/>
        </w:rPr>
        <w:id w:val="-539515695"/>
        <w:docPartObj>
          <w:docPartGallery w:val="Table of Contents"/>
          <w:docPartUnique/>
        </w:docPartObj>
      </w:sdtPr>
      <w:sdtEndPr>
        <w:rPr>
          <w:rFonts w:ascii="Times New Roman" w:hAnsi="Times New Roman" w:eastAsia="仿宋_GB2312" w:cs="Times New Roman"/>
          <w:b/>
          <w:bCs/>
          <w:snapToGrid w:val="0"/>
          <w:color w:val="auto"/>
          <w:sz w:val="24"/>
          <w:szCs w:val="21"/>
          <w:lang w:val="zh-CN" w:eastAsia="en-US"/>
        </w:rPr>
      </w:sdtEndPr>
      <w:sdtContent>
        <w:p>
          <w:pPr>
            <w:pStyle w:val="43"/>
            <w:ind w:firstLine="420"/>
            <w:jc w:val="center"/>
            <w:rPr>
              <w:rFonts w:ascii="Times New Roman" w:hAnsi="Times New Roman" w:eastAsia="仿宋_GB2312" w:cs="Times New Roman"/>
              <w:color w:val="auto"/>
            </w:rPr>
          </w:pPr>
          <w:r>
            <w:rPr>
              <w:rFonts w:ascii="Times New Roman" w:hAnsi="Times New Roman" w:eastAsia="仿宋_GB2312" w:cs="Times New Roman"/>
              <w:b/>
              <w:color w:val="auto"/>
              <w:lang w:val="zh-CN"/>
            </w:rPr>
            <w:t>目  录</w:t>
          </w:r>
        </w:p>
        <w:p>
          <w:pPr>
            <w:pStyle w:val="19"/>
            <w:tabs>
              <w:tab w:val="right" w:leader="dot" w:pos="8302"/>
            </w:tabs>
            <w:ind w:firstLine="480"/>
            <w:rPr>
              <w:rFonts w:ascii="Times New Roman" w:hAnsi="Times New Roman" w:eastAsiaTheme="minorEastAsia"/>
              <w:kern w:val="2"/>
              <w:sz w:val="21"/>
            </w:rPr>
          </w:pPr>
          <w:r>
            <w:rPr>
              <w:rFonts w:ascii="Times New Roman" w:hAnsi="Times New Roman" w:eastAsia="仿宋"/>
              <w:sz w:val="24"/>
              <w:szCs w:val="24"/>
            </w:rPr>
            <w:fldChar w:fldCharType="begin"/>
          </w:r>
          <w:r>
            <w:rPr>
              <w:rFonts w:ascii="Times New Roman" w:hAnsi="Times New Roman" w:eastAsia="仿宋"/>
              <w:sz w:val="24"/>
              <w:szCs w:val="24"/>
            </w:rPr>
            <w:instrText xml:space="preserve"> TOC \o "1-2" \h \z \u </w:instrText>
          </w:r>
          <w:r>
            <w:rPr>
              <w:rFonts w:ascii="Times New Roman" w:hAnsi="Times New Roman" w:eastAsia="仿宋"/>
              <w:sz w:val="24"/>
              <w:szCs w:val="24"/>
            </w:rPr>
            <w:fldChar w:fldCharType="separate"/>
          </w:r>
          <w:r>
            <w:fldChar w:fldCharType="begin"/>
          </w:r>
          <w:r>
            <w:instrText xml:space="preserve"> HYPERLINK \l "_Toc171533267" </w:instrText>
          </w:r>
          <w:r>
            <w:fldChar w:fldCharType="separate"/>
          </w:r>
          <w:r>
            <w:rPr>
              <w:rStyle w:val="30"/>
              <w:rFonts w:ascii="Times New Roman" w:hAnsi="Times New Roman"/>
              <w:color w:val="auto"/>
            </w:rPr>
            <w:t>1  综合说明</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_Toc171533267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"_Toc171533268" </w:instrText>
          </w:r>
          <w:r>
            <w:fldChar w:fldCharType="separate"/>
          </w:r>
          <w:r>
            <w:rPr>
              <w:rStyle w:val="30"/>
              <w:rFonts w:ascii="Times New Roman" w:hAnsi="Times New Roman"/>
              <w:color w:val="auto"/>
            </w:rPr>
            <w:t>1.1 项目简况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_Toc171533268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"_Toc171533269" </w:instrText>
          </w:r>
          <w:r>
            <w:fldChar w:fldCharType="separate"/>
          </w:r>
          <w:r>
            <w:rPr>
              <w:rStyle w:val="30"/>
              <w:rFonts w:ascii="Times New Roman" w:hAnsi="Times New Roman"/>
              <w:color w:val="auto"/>
            </w:rPr>
            <w:t>1.2 编制依据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_Toc171533269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"_Toc171533270" </w:instrText>
          </w:r>
          <w:r>
            <w:fldChar w:fldCharType="separate"/>
          </w:r>
          <w:r>
            <w:rPr>
              <w:rStyle w:val="30"/>
              <w:rFonts w:ascii="Times New Roman" w:hAnsi="Times New Roman"/>
              <w:color w:val="auto"/>
            </w:rPr>
            <w:t>1.3 设计水平年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_Toc171533270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"_Toc171533271" </w:instrText>
          </w:r>
          <w:r>
            <w:fldChar w:fldCharType="separate"/>
          </w:r>
          <w:r>
            <w:rPr>
              <w:rStyle w:val="30"/>
              <w:rFonts w:ascii="Times New Roman" w:hAnsi="Times New Roman"/>
              <w:color w:val="auto"/>
            </w:rPr>
            <w:t>1.4 水土流失防治责任范围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_Toc171533271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"_Toc171533272" </w:instrText>
          </w:r>
          <w:r>
            <w:fldChar w:fldCharType="separate"/>
          </w:r>
          <w:r>
            <w:rPr>
              <w:rStyle w:val="30"/>
              <w:rFonts w:ascii="Times New Roman" w:hAnsi="Times New Roman"/>
              <w:color w:val="auto"/>
            </w:rPr>
            <w:t>1.5 水土流失防治目标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_Toc171533272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"_Toc171533273" </w:instrText>
          </w:r>
          <w:r>
            <w:fldChar w:fldCharType="separate"/>
          </w:r>
          <w:r>
            <w:rPr>
              <w:rStyle w:val="30"/>
              <w:rFonts w:ascii="Times New Roman" w:hAnsi="Times New Roman"/>
              <w:color w:val="auto"/>
            </w:rPr>
            <w:t>1.6 项目水土保持评价结论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_Toc171533273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"_Toc171533274" </w:instrText>
          </w:r>
          <w:r>
            <w:fldChar w:fldCharType="separate"/>
          </w:r>
          <w:r>
            <w:rPr>
              <w:rStyle w:val="30"/>
              <w:rFonts w:ascii="Times New Roman" w:hAnsi="Times New Roman"/>
              <w:color w:val="auto"/>
            </w:rPr>
            <w:t>1.7 水土流失预测结果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_Toc171533274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"_Toc171533275" </w:instrText>
          </w:r>
          <w:r>
            <w:fldChar w:fldCharType="separate"/>
          </w:r>
          <w:r>
            <w:rPr>
              <w:rStyle w:val="30"/>
              <w:rFonts w:ascii="Times New Roman" w:hAnsi="Times New Roman"/>
              <w:color w:val="auto"/>
            </w:rPr>
            <w:t>1.8 水土保持措施布设成果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_Toc171533275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"_Toc171533276" </w:instrText>
          </w:r>
          <w:r>
            <w:fldChar w:fldCharType="separate"/>
          </w:r>
          <w:r>
            <w:rPr>
              <w:rStyle w:val="30"/>
              <w:rFonts w:ascii="Times New Roman" w:hAnsi="Times New Roman"/>
              <w:color w:val="auto"/>
            </w:rPr>
            <w:t>1.9 水土保持监测方案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_Toc171533276 \h </w:instrText>
          </w:r>
          <w:r>
            <w:rPr>
              <w:rFonts w:ascii="Times New Roman" w:hAnsi="Times New Roman"/>
            </w:rPr>
            <w:fldChar w:fldCharType="separate"/>
          </w:r>
          <w:r>
            <w:rPr>
              <w:rFonts w:ascii="Times New Roman" w:hAnsi="Times New Roman"/>
            </w:rPr>
            <w:t>12</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"_Toc171533277" </w:instrText>
          </w:r>
          <w:r>
            <w:fldChar w:fldCharType="separate"/>
          </w:r>
          <w:r>
            <w:rPr>
              <w:rStyle w:val="30"/>
              <w:rFonts w:ascii="Times New Roman" w:hAnsi="Times New Roman"/>
              <w:color w:val="auto"/>
            </w:rPr>
            <w:t>1.10 水土保持投资及效益分析成果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_Toc171533277 \h </w:instrText>
          </w:r>
          <w:r>
            <w:rPr>
              <w:rFonts w:ascii="Times New Roman" w:hAnsi="Times New Roman"/>
            </w:rPr>
            <w:fldChar w:fldCharType="separate"/>
          </w:r>
          <w:r>
            <w:rPr>
              <w:rFonts w:ascii="Times New Roman" w:hAnsi="Times New Roman"/>
            </w:rPr>
            <w:t>12</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"_Toc171533278" </w:instrText>
          </w:r>
          <w:r>
            <w:fldChar w:fldCharType="separate"/>
          </w:r>
          <w:r>
            <w:rPr>
              <w:rStyle w:val="30"/>
              <w:rFonts w:ascii="Times New Roman" w:hAnsi="Times New Roman"/>
              <w:color w:val="auto"/>
            </w:rPr>
            <w:t>1.11 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_Toc171533278 \h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fldChar w:fldCharType="end"/>
          </w:r>
        </w:p>
        <w:p>
          <w:pPr>
            <w:pStyle w:val="19"/>
            <w:tabs>
              <w:tab w:val="right" w:leader="dot" w:pos="8302"/>
            </w:tabs>
            <w:ind w:firstLine="440"/>
            <w:rPr>
              <w:rFonts w:ascii="Times New Roman" w:hAnsi="Times New Roman" w:eastAsiaTheme="minorEastAsia"/>
              <w:kern w:val="2"/>
              <w:sz w:val="21"/>
            </w:rPr>
          </w:pPr>
          <w:r>
            <w:fldChar w:fldCharType="begin"/>
          </w:r>
          <w:r>
            <w:instrText xml:space="preserve"> HYPERLINK \l "_Toc171533279" </w:instrText>
          </w:r>
          <w:r>
            <w:fldChar w:fldCharType="separate"/>
          </w:r>
          <w:r>
            <w:rPr>
              <w:rStyle w:val="30"/>
              <w:rFonts w:ascii="Times New Roman" w:hAnsi="Times New Roman"/>
              <w:color w:val="auto"/>
            </w:rPr>
            <w:t>2  项目概况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_Toc171533279 \h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"_Toc171533280" </w:instrText>
          </w:r>
          <w:r>
            <w:fldChar w:fldCharType="separate"/>
          </w:r>
          <w:r>
            <w:rPr>
              <w:rStyle w:val="30"/>
              <w:rFonts w:ascii="Times New Roman" w:hAnsi="Times New Roman"/>
              <w:color w:val="auto"/>
            </w:rPr>
            <w:t>2.1 项目组成及工程布置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_Toc171533280 \h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"_Toc171533281" </w:instrText>
          </w:r>
          <w:r>
            <w:fldChar w:fldCharType="separate"/>
          </w:r>
          <w:r>
            <w:rPr>
              <w:rStyle w:val="30"/>
              <w:rFonts w:ascii="Times New Roman" w:hAnsi="Times New Roman"/>
              <w:color w:val="auto"/>
            </w:rPr>
            <w:t>2.2 施工组织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_Toc171533281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"_Toc171533282" </w:instrText>
          </w:r>
          <w:r>
            <w:fldChar w:fldCharType="separate"/>
          </w:r>
          <w:r>
            <w:rPr>
              <w:rStyle w:val="30"/>
              <w:rFonts w:ascii="Times New Roman" w:hAnsi="Times New Roman"/>
              <w:color w:val="auto"/>
            </w:rPr>
            <w:t>2.3 工程占地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_Toc171533282 \h </w:instrText>
          </w:r>
          <w:r>
            <w:rPr>
              <w:rFonts w:ascii="Times New Roman" w:hAnsi="Times New Roman"/>
            </w:rPr>
            <w:fldChar w:fldCharType="separate"/>
          </w:r>
          <w:r>
            <w:rPr>
              <w:rFonts w:ascii="Times New Roman" w:hAnsi="Times New Roman"/>
            </w:rPr>
            <w:t>29</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"_Toc171533283" </w:instrText>
          </w:r>
          <w:r>
            <w:fldChar w:fldCharType="separate"/>
          </w:r>
          <w:r>
            <w:rPr>
              <w:rStyle w:val="30"/>
              <w:rFonts w:ascii="Times New Roman" w:hAnsi="Times New Roman"/>
              <w:color w:val="auto"/>
            </w:rPr>
            <w:t>2.5 土石方平衡</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_Toc171533283 \h </w:instrText>
          </w:r>
          <w:r>
            <w:rPr>
              <w:rFonts w:ascii="Times New Roman" w:hAnsi="Times New Roman"/>
            </w:rPr>
            <w:fldChar w:fldCharType="separate"/>
          </w:r>
          <w:r>
            <w:rPr>
              <w:rFonts w:ascii="Times New Roman" w:hAnsi="Times New Roman"/>
            </w:rPr>
            <w:t>33</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"_Toc171533284" </w:instrText>
          </w:r>
          <w:r>
            <w:fldChar w:fldCharType="separate"/>
          </w:r>
          <w:r>
            <w:rPr>
              <w:rStyle w:val="30"/>
              <w:rFonts w:ascii="Times New Roman" w:hAnsi="Times New Roman"/>
              <w:color w:val="auto"/>
            </w:rPr>
            <w:t>2.5 拆迁（移民）安置与专项设施改（迁）建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_Toc171533284 \h </w:instrText>
          </w:r>
          <w:r>
            <w:rPr>
              <w:rFonts w:ascii="Times New Roman" w:hAnsi="Times New Roman"/>
            </w:rPr>
            <w:fldChar w:fldCharType="separate"/>
          </w:r>
          <w:r>
            <w:rPr>
              <w:rFonts w:ascii="Times New Roman" w:hAnsi="Times New Roman"/>
            </w:rPr>
            <w:t>43</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"_Toc171533285" </w:instrText>
          </w:r>
          <w:r>
            <w:fldChar w:fldCharType="separate"/>
          </w:r>
          <w:r>
            <w:rPr>
              <w:rStyle w:val="30"/>
              <w:rFonts w:ascii="Times New Roman" w:hAnsi="Times New Roman"/>
              <w:color w:val="auto"/>
            </w:rPr>
            <w:t>2.6 施工进度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_Toc171533285 \h </w:instrText>
          </w:r>
          <w:r>
            <w:rPr>
              <w:rFonts w:ascii="Times New Roman" w:hAnsi="Times New Roman"/>
            </w:rPr>
            <w:fldChar w:fldCharType="separate"/>
          </w:r>
          <w:r>
            <w:rPr>
              <w:rFonts w:ascii="Times New Roman" w:hAnsi="Times New Roman"/>
            </w:rPr>
            <w:t>43</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"_Toc171533286" </w:instrText>
          </w:r>
          <w:r>
            <w:fldChar w:fldCharType="separate"/>
          </w:r>
          <w:r>
            <w:rPr>
              <w:rStyle w:val="30"/>
              <w:rFonts w:ascii="Times New Roman" w:hAnsi="Times New Roman"/>
              <w:color w:val="auto"/>
            </w:rPr>
            <w:t>2.7 自然概况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_Toc171533286 \h </w:instrText>
          </w:r>
          <w:r>
            <w:rPr>
              <w:rFonts w:ascii="Times New Roman" w:hAnsi="Times New Roman"/>
            </w:rPr>
            <w:fldChar w:fldCharType="separate"/>
          </w:r>
          <w:r>
            <w:rPr>
              <w:rFonts w:ascii="Times New Roman" w:hAnsi="Times New Roman"/>
            </w:rPr>
            <w:t>43</w:t>
          </w:r>
          <w:r>
            <w:rPr>
              <w:rFonts w:ascii="Times New Roman" w:hAnsi="Times New Roman"/>
            </w:rPr>
            <w:fldChar w:fldCharType="end"/>
          </w:r>
          <w:r>
            <w:rPr>
              <w:rFonts w:ascii="Times New Roman" w:hAnsi="Times New Roman"/>
            </w:rPr>
            <w:fldChar w:fldCharType="end"/>
          </w:r>
        </w:p>
        <w:p>
          <w:pPr>
            <w:pStyle w:val="19"/>
            <w:tabs>
              <w:tab w:val="right" w:leader="dot" w:pos="8302"/>
            </w:tabs>
            <w:ind w:firstLine="440"/>
            <w:rPr>
              <w:rFonts w:ascii="Times New Roman" w:hAnsi="Times New Roman" w:eastAsiaTheme="minorEastAsia"/>
              <w:kern w:val="2"/>
              <w:sz w:val="21"/>
            </w:rPr>
          </w:pPr>
          <w:r>
            <w:fldChar w:fldCharType="begin"/>
          </w:r>
          <w:r>
            <w:instrText xml:space="preserve"> HYPERLINK \l "_Toc171533287" </w:instrText>
          </w:r>
          <w:r>
            <w:fldChar w:fldCharType="separate"/>
          </w:r>
          <w:r>
            <w:rPr>
              <w:rStyle w:val="30"/>
              <w:rFonts w:ascii="Times New Roman" w:hAnsi="Times New Roman"/>
              <w:color w:val="auto"/>
            </w:rPr>
            <w:t>3  项目水土保持评价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_Toc171533287 \h </w:instrText>
          </w:r>
          <w:r>
            <w:rPr>
              <w:rFonts w:ascii="Times New Roman" w:hAnsi="Times New Roman"/>
            </w:rPr>
            <w:fldChar w:fldCharType="separate"/>
          </w:r>
          <w:r>
            <w:rPr>
              <w:rFonts w:ascii="Times New Roman" w:hAnsi="Times New Roman"/>
            </w:rPr>
            <w:t>50</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"_Toc171533288" </w:instrText>
          </w:r>
          <w:r>
            <w:fldChar w:fldCharType="separate"/>
          </w:r>
          <w:r>
            <w:rPr>
              <w:rStyle w:val="30"/>
              <w:rFonts w:ascii="Times New Roman" w:hAnsi="Times New Roman"/>
              <w:color w:val="auto"/>
            </w:rPr>
            <w:t>3.1 主体工程选址（线）水土保持评价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_Toc171533288 \h </w:instrText>
          </w:r>
          <w:r>
            <w:rPr>
              <w:rFonts w:ascii="Times New Roman" w:hAnsi="Times New Roman"/>
            </w:rPr>
            <w:fldChar w:fldCharType="separate"/>
          </w:r>
          <w:r>
            <w:rPr>
              <w:rFonts w:ascii="Times New Roman" w:hAnsi="Times New Roman"/>
            </w:rPr>
            <w:t>50</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"_Toc171533289" </w:instrText>
          </w:r>
          <w:r>
            <w:fldChar w:fldCharType="separate"/>
          </w:r>
          <w:r>
            <w:rPr>
              <w:rStyle w:val="30"/>
              <w:rFonts w:ascii="Times New Roman" w:hAnsi="Times New Roman"/>
              <w:color w:val="auto"/>
            </w:rPr>
            <w:t>3.2 建设方案与布局水土保持评价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_Toc171533289 \h </w:instrText>
          </w:r>
          <w:r>
            <w:rPr>
              <w:rFonts w:ascii="Times New Roman" w:hAnsi="Times New Roman"/>
            </w:rPr>
            <w:fldChar w:fldCharType="separate"/>
          </w:r>
          <w:r>
            <w:rPr>
              <w:rFonts w:ascii="Times New Roman" w:hAnsi="Times New Roman"/>
            </w:rPr>
            <w:t>53</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"_Toc171533290" </w:instrText>
          </w:r>
          <w:r>
            <w:fldChar w:fldCharType="separate"/>
          </w:r>
          <w:r>
            <w:rPr>
              <w:rStyle w:val="30"/>
              <w:rFonts w:ascii="Times New Roman" w:hAnsi="Times New Roman"/>
              <w:color w:val="auto"/>
            </w:rPr>
            <w:t>3.3 主体工程设计中水土保持措施界定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_Toc171533290 \h </w:instrText>
          </w:r>
          <w:r>
            <w:rPr>
              <w:rFonts w:ascii="Times New Roman" w:hAnsi="Times New Roman"/>
            </w:rPr>
            <w:fldChar w:fldCharType="separate"/>
          </w:r>
          <w:r>
            <w:rPr>
              <w:rFonts w:ascii="Times New Roman" w:hAnsi="Times New Roman"/>
            </w:rPr>
            <w:t>57</w:t>
          </w:r>
          <w:r>
            <w:rPr>
              <w:rFonts w:ascii="Times New Roman" w:hAnsi="Times New Roman"/>
            </w:rPr>
            <w:fldChar w:fldCharType="end"/>
          </w:r>
          <w:r>
            <w:rPr>
              <w:rFonts w:ascii="Times New Roman" w:hAnsi="Times New Roman"/>
            </w:rPr>
            <w:fldChar w:fldCharType="end"/>
          </w:r>
        </w:p>
        <w:p>
          <w:pPr>
            <w:pStyle w:val="19"/>
            <w:tabs>
              <w:tab w:val="right" w:leader="dot" w:pos="8302"/>
            </w:tabs>
            <w:ind w:firstLine="440"/>
            <w:rPr>
              <w:rFonts w:ascii="Times New Roman" w:hAnsi="Times New Roman" w:eastAsiaTheme="minorEastAsia"/>
              <w:kern w:val="2"/>
              <w:sz w:val="21"/>
            </w:rPr>
          </w:pPr>
          <w:r>
            <w:fldChar w:fldCharType="begin"/>
          </w:r>
          <w:r>
            <w:instrText xml:space="preserve"> HYPERLINK \l "_Toc171533291" </w:instrText>
          </w:r>
          <w:r>
            <w:fldChar w:fldCharType="separate"/>
          </w:r>
          <w:r>
            <w:rPr>
              <w:rStyle w:val="30"/>
              <w:rFonts w:ascii="Times New Roman" w:hAnsi="Times New Roman"/>
              <w:color w:val="auto"/>
            </w:rPr>
            <w:t>4  水土流失分析与预测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_Toc171533291 \h </w:instrText>
          </w:r>
          <w:r>
            <w:rPr>
              <w:rFonts w:ascii="Times New Roman" w:hAnsi="Times New Roman"/>
            </w:rPr>
            <w:fldChar w:fldCharType="separate"/>
          </w:r>
          <w:r>
            <w:rPr>
              <w:rFonts w:ascii="Times New Roman" w:hAnsi="Times New Roman"/>
            </w:rPr>
            <w:t>59</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"_Toc171533292" </w:instrText>
          </w:r>
          <w:r>
            <w:fldChar w:fldCharType="separate"/>
          </w:r>
          <w:r>
            <w:rPr>
              <w:rStyle w:val="30"/>
              <w:rFonts w:ascii="Times New Roman" w:hAnsi="Times New Roman"/>
              <w:color w:val="auto"/>
            </w:rPr>
            <w:t>4.1 水土流失现状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_Toc171533292 \h </w:instrText>
          </w:r>
          <w:r>
            <w:rPr>
              <w:rFonts w:ascii="Times New Roman" w:hAnsi="Times New Roman"/>
            </w:rPr>
            <w:fldChar w:fldCharType="separate"/>
          </w:r>
          <w:r>
            <w:rPr>
              <w:rFonts w:ascii="Times New Roman" w:hAnsi="Times New Roman"/>
            </w:rPr>
            <w:t>59</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"_Toc171533293" </w:instrText>
          </w:r>
          <w:r>
            <w:fldChar w:fldCharType="separate"/>
          </w:r>
          <w:r>
            <w:rPr>
              <w:rStyle w:val="30"/>
              <w:rFonts w:ascii="Times New Roman" w:hAnsi="Times New Roman"/>
              <w:color w:val="auto"/>
            </w:rPr>
            <w:t>4.2 水土流失影响因素分析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_Toc171533293 \h </w:instrText>
          </w:r>
          <w:r>
            <w:rPr>
              <w:rFonts w:ascii="Times New Roman" w:hAnsi="Times New Roman"/>
            </w:rPr>
            <w:fldChar w:fldCharType="separate"/>
          </w:r>
          <w:r>
            <w:rPr>
              <w:rFonts w:ascii="Times New Roman" w:hAnsi="Times New Roman"/>
            </w:rPr>
            <w:t>59</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"_Toc171533294" </w:instrText>
          </w:r>
          <w:r>
            <w:fldChar w:fldCharType="separate"/>
          </w:r>
          <w:r>
            <w:rPr>
              <w:rStyle w:val="30"/>
              <w:rFonts w:ascii="Times New Roman" w:hAnsi="Times New Roman"/>
              <w:color w:val="auto"/>
            </w:rPr>
            <w:t>4.3 土壤流失量预测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_Toc171533294 \h </w:instrText>
          </w:r>
          <w:r>
            <w:rPr>
              <w:rFonts w:ascii="Times New Roman" w:hAnsi="Times New Roman"/>
            </w:rPr>
            <w:fldChar w:fldCharType="separate"/>
          </w:r>
          <w:r>
            <w:rPr>
              <w:rFonts w:ascii="Times New Roman" w:hAnsi="Times New Roman"/>
            </w:rPr>
            <w:t>61</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"_Toc171533295" </w:instrText>
          </w:r>
          <w:r>
            <w:fldChar w:fldCharType="separate"/>
          </w:r>
          <w:r>
            <w:rPr>
              <w:rStyle w:val="30"/>
              <w:rFonts w:ascii="Times New Roman" w:hAnsi="Times New Roman"/>
              <w:color w:val="auto"/>
            </w:rPr>
            <w:t>4.4 水土流失危害分析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_Toc171533295 \h </w:instrText>
          </w:r>
          <w:r>
            <w:rPr>
              <w:rFonts w:ascii="Times New Roman" w:hAnsi="Times New Roman"/>
            </w:rPr>
            <w:fldChar w:fldCharType="separate"/>
          </w:r>
          <w:r>
            <w:rPr>
              <w:rFonts w:ascii="Times New Roman" w:hAnsi="Times New Roman"/>
            </w:rPr>
            <w:t>69</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"_Toc171533296" </w:instrText>
          </w:r>
          <w:r>
            <w:fldChar w:fldCharType="separate"/>
          </w:r>
          <w:r>
            <w:rPr>
              <w:rStyle w:val="30"/>
              <w:rFonts w:ascii="Times New Roman" w:hAnsi="Times New Roman"/>
              <w:color w:val="auto"/>
            </w:rPr>
            <w:t>4.5 指导性意见</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_Toc171533296 \h </w:instrText>
          </w:r>
          <w:r>
            <w:rPr>
              <w:rFonts w:ascii="Times New Roman" w:hAnsi="Times New Roman"/>
            </w:rPr>
            <w:fldChar w:fldCharType="separate"/>
          </w:r>
          <w:r>
            <w:rPr>
              <w:rFonts w:ascii="Times New Roman" w:hAnsi="Times New Roman"/>
            </w:rPr>
            <w:t>70</w:t>
          </w:r>
          <w:r>
            <w:rPr>
              <w:rFonts w:ascii="Times New Roman" w:hAnsi="Times New Roman"/>
            </w:rPr>
            <w:fldChar w:fldCharType="end"/>
          </w:r>
          <w:r>
            <w:rPr>
              <w:rFonts w:ascii="Times New Roman" w:hAnsi="Times New Roman"/>
            </w:rPr>
            <w:fldChar w:fldCharType="end"/>
          </w:r>
        </w:p>
        <w:p>
          <w:pPr>
            <w:pStyle w:val="19"/>
            <w:tabs>
              <w:tab w:val="right" w:leader="dot" w:pos="8302"/>
            </w:tabs>
            <w:ind w:firstLine="440"/>
            <w:rPr>
              <w:rFonts w:ascii="Times New Roman" w:hAnsi="Times New Roman" w:eastAsiaTheme="minorEastAsia"/>
              <w:kern w:val="2"/>
              <w:sz w:val="21"/>
            </w:rPr>
          </w:pPr>
          <w:r>
            <w:fldChar w:fldCharType="begin"/>
          </w:r>
          <w:r>
            <w:instrText xml:space="preserve"> HYPERLINK \l "_Toc171533297" </w:instrText>
          </w:r>
          <w:r>
            <w:fldChar w:fldCharType="separate"/>
          </w:r>
          <w:r>
            <w:rPr>
              <w:rStyle w:val="30"/>
              <w:rFonts w:ascii="Times New Roman" w:hAnsi="Times New Roman"/>
              <w:color w:val="auto"/>
            </w:rPr>
            <w:t>5  水土保持措施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_Toc171533297 \h </w:instrText>
          </w:r>
          <w:r>
            <w:rPr>
              <w:rFonts w:ascii="Times New Roman" w:hAnsi="Times New Roman"/>
            </w:rPr>
            <w:fldChar w:fldCharType="separate"/>
          </w:r>
          <w:r>
            <w:rPr>
              <w:rFonts w:ascii="Times New Roman" w:hAnsi="Times New Roman"/>
            </w:rPr>
            <w:t>72</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"_Toc171533298" </w:instrText>
          </w:r>
          <w:r>
            <w:fldChar w:fldCharType="separate"/>
          </w:r>
          <w:r>
            <w:rPr>
              <w:rStyle w:val="30"/>
              <w:rFonts w:ascii="Times New Roman" w:hAnsi="Times New Roman"/>
              <w:color w:val="auto"/>
            </w:rPr>
            <w:t>5.1 防治区划分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_Toc171533298 \h </w:instrText>
          </w:r>
          <w:r>
            <w:rPr>
              <w:rFonts w:ascii="Times New Roman" w:hAnsi="Times New Roman"/>
            </w:rPr>
            <w:fldChar w:fldCharType="separate"/>
          </w:r>
          <w:r>
            <w:rPr>
              <w:rFonts w:ascii="Times New Roman" w:hAnsi="Times New Roman"/>
            </w:rPr>
            <w:t>72</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"_Toc171533299" </w:instrText>
          </w:r>
          <w:r>
            <w:fldChar w:fldCharType="separate"/>
          </w:r>
          <w:r>
            <w:rPr>
              <w:rStyle w:val="30"/>
              <w:rFonts w:ascii="Times New Roman" w:hAnsi="Times New Roman"/>
              <w:color w:val="auto"/>
            </w:rPr>
            <w:t>5.2 措施总体布局</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_Toc171533299 \h </w:instrText>
          </w:r>
          <w:r>
            <w:rPr>
              <w:rFonts w:ascii="Times New Roman" w:hAnsi="Times New Roman"/>
            </w:rPr>
            <w:fldChar w:fldCharType="separate"/>
          </w:r>
          <w:r>
            <w:rPr>
              <w:rFonts w:ascii="Times New Roman" w:hAnsi="Times New Roman"/>
            </w:rPr>
            <w:t>73</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"_Toc171533300" </w:instrText>
          </w:r>
          <w:r>
            <w:fldChar w:fldCharType="separate"/>
          </w:r>
          <w:r>
            <w:rPr>
              <w:rStyle w:val="30"/>
              <w:rFonts w:ascii="Times New Roman" w:hAnsi="Times New Roman"/>
              <w:color w:val="auto"/>
            </w:rPr>
            <w:t>5.3 分区措施布设</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_Toc171533300 \h </w:instrText>
          </w:r>
          <w:r>
            <w:rPr>
              <w:rFonts w:ascii="Times New Roman" w:hAnsi="Times New Roman"/>
            </w:rPr>
            <w:fldChar w:fldCharType="separate"/>
          </w:r>
          <w:r>
            <w:rPr>
              <w:rFonts w:ascii="Times New Roman" w:hAnsi="Times New Roman"/>
            </w:rPr>
            <w:t>75</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"_Toc171533301" </w:instrText>
          </w:r>
          <w:r>
            <w:fldChar w:fldCharType="separate"/>
          </w:r>
          <w:r>
            <w:rPr>
              <w:rStyle w:val="30"/>
              <w:rFonts w:ascii="Times New Roman" w:hAnsi="Times New Roman"/>
              <w:color w:val="auto"/>
            </w:rPr>
            <w:t>5.4 施工要求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_Toc171533301 \h </w:instrText>
          </w:r>
          <w:r>
            <w:rPr>
              <w:rFonts w:ascii="Times New Roman" w:hAnsi="Times New Roman"/>
            </w:rPr>
            <w:fldChar w:fldCharType="separate"/>
          </w:r>
          <w:r>
            <w:rPr>
              <w:rFonts w:ascii="Times New Roman" w:hAnsi="Times New Roman"/>
            </w:rPr>
            <w:t>86</w:t>
          </w:r>
          <w:r>
            <w:rPr>
              <w:rFonts w:ascii="Times New Roman" w:hAnsi="Times New Roman"/>
            </w:rPr>
            <w:fldChar w:fldCharType="end"/>
          </w:r>
          <w:r>
            <w:rPr>
              <w:rFonts w:ascii="Times New Roman" w:hAnsi="Times New Roman"/>
            </w:rPr>
            <w:fldChar w:fldCharType="end"/>
          </w:r>
        </w:p>
        <w:p>
          <w:pPr>
            <w:pStyle w:val="19"/>
            <w:tabs>
              <w:tab w:val="right" w:leader="dot" w:pos="8302"/>
            </w:tabs>
            <w:ind w:firstLine="440"/>
            <w:rPr>
              <w:rFonts w:ascii="Times New Roman" w:hAnsi="Times New Roman" w:eastAsiaTheme="minorEastAsia"/>
              <w:kern w:val="2"/>
              <w:sz w:val="21"/>
            </w:rPr>
          </w:pPr>
          <w:r>
            <w:fldChar w:fldCharType="begin"/>
          </w:r>
          <w:r>
            <w:instrText xml:space="preserve"> HYPERLINK \l "_Toc171533302" </w:instrText>
          </w:r>
          <w:r>
            <w:fldChar w:fldCharType="separate"/>
          </w:r>
          <w:r>
            <w:rPr>
              <w:rStyle w:val="30"/>
              <w:rFonts w:ascii="Times New Roman" w:hAnsi="Times New Roman"/>
              <w:color w:val="auto"/>
            </w:rPr>
            <w:t>6  水土保持监测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_Toc171533302 \h </w:instrText>
          </w:r>
          <w:r>
            <w:rPr>
              <w:rFonts w:ascii="Times New Roman" w:hAnsi="Times New Roman"/>
            </w:rPr>
            <w:fldChar w:fldCharType="separate"/>
          </w:r>
          <w:r>
            <w:rPr>
              <w:rFonts w:ascii="Times New Roman" w:hAnsi="Times New Roman"/>
            </w:rPr>
            <w:t>90</w:t>
          </w:r>
          <w:r>
            <w:rPr>
              <w:rFonts w:ascii="Times New Roman" w:hAnsi="Times New Roman"/>
            </w:rPr>
            <w:fldChar w:fldCharType="end"/>
          </w:r>
          <w:r>
            <w:rPr>
              <w:rFonts w:ascii="Times New Roman" w:hAnsi="Times New Roman"/>
            </w:rPr>
            <w:fldChar w:fldCharType="end"/>
          </w:r>
        </w:p>
        <w:p>
          <w:pPr>
            <w:pStyle w:val="19"/>
            <w:tabs>
              <w:tab w:val="right" w:leader="dot" w:pos="8302"/>
            </w:tabs>
            <w:ind w:firstLine="440"/>
            <w:rPr>
              <w:rFonts w:ascii="Times New Roman" w:hAnsi="Times New Roman" w:eastAsiaTheme="minorEastAsia"/>
              <w:kern w:val="2"/>
              <w:sz w:val="21"/>
            </w:rPr>
          </w:pPr>
          <w:r>
            <w:fldChar w:fldCharType="begin"/>
          </w:r>
          <w:r>
            <w:instrText xml:space="preserve"> HYPERLINK \l "_Toc171533303" </w:instrText>
          </w:r>
          <w:r>
            <w:fldChar w:fldCharType="separate"/>
          </w:r>
          <w:r>
            <w:rPr>
              <w:rStyle w:val="30"/>
              <w:rFonts w:ascii="Times New Roman" w:hAnsi="Times New Roman"/>
              <w:color w:val="auto"/>
            </w:rPr>
            <w:t>7  水土保持投资估算及效益分析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_Toc171533303 \h </w:instrText>
          </w:r>
          <w:r>
            <w:rPr>
              <w:rFonts w:ascii="Times New Roman" w:hAnsi="Times New Roman"/>
            </w:rPr>
            <w:fldChar w:fldCharType="separate"/>
          </w:r>
          <w:r>
            <w:rPr>
              <w:rFonts w:ascii="Times New Roman" w:hAnsi="Times New Roman"/>
            </w:rPr>
            <w:t>91</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"_Toc171533304" </w:instrText>
          </w:r>
          <w:r>
            <w:fldChar w:fldCharType="separate"/>
          </w:r>
          <w:r>
            <w:rPr>
              <w:rStyle w:val="30"/>
              <w:rFonts w:ascii="Times New Roman" w:hAnsi="Times New Roman"/>
              <w:color w:val="auto"/>
            </w:rPr>
            <w:t>7.1 投资估算</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_Toc171533304 \h </w:instrText>
          </w:r>
          <w:r>
            <w:rPr>
              <w:rFonts w:ascii="Times New Roman" w:hAnsi="Times New Roman"/>
            </w:rPr>
            <w:fldChar w:fldCharType="separate"/>
          </w:r>
          <w:r>
            <w:rPr>
              <w:rFonts w:ascii="Times New Roman" w:hAnsi="Times New Roman"/>
            </w:rPr>
            <w:t>91</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"_Toc171533305" </w:instrText>
          </w:r>
          <w:r>
            <w:fldChar w:fldCharType="separate"/>
          </w:r>
          <w:r>
            <w:rPr>
              <w:rStyle w:val="30"/>
              <w:rFonts w:ascii="Times New Roman" w:hAnsi="Times New Roman"/>
              <w:color w:val="auto"/>
            </w:rPr>
            <w:t>7.2 效益分析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_Toc171533305 \h </w:instrText>
          </w:r>
          <w:r>
            <w:rPr>
              <w:rFonts w:ascii="Times New Roman" w:hAnsi="Times New Roman"/>
            </w:rPr>
            <w:fldChar w:fldCharType="separate"/>
          </w:r>
          <w:r>
            <w:rPr>
              <w:rFonts w:ascii="Times New Roman" w:hAnsi="Times New Roman"/>
            </w:rPr>
            <w:t>102</w:t>
          </w:r>
          <w:r>
            <w:rPr>
              <w:rFonts w:ascii="Times New Roman" w:hAnsi="Times New Roman"/>
            </w:rPr>
            <w:fldChar w:fldCharType="end"/>
          </w:r>
          <w:r>
            <w:rPr>
              <w:rFonts w:ascii="Times New Roman" w:hAnsi="Times New Roman"/>
            </w:rPr>
            <w:fldChar w:fldCharType="end"/>
          </w:r>
        </w:p>
        <w:p>
          <w:pPr>
            <w:pStyle w:val="19"/>
            <w:tabs>
              <w:tab w:val="right" w:leader="dot" w:pos="8302"/>
            </w:tabs>
            <w:ind w:firstLine="440"/>
            <w:rPr>
              <w:rFonts w:ascii="Times New Roman" w:hAnsi="Times New Roman" w:eastAsiaTheme="minorEastAsia"/>
              <w:kern w:val="2"/>
              <w:sz w:val="21"/>
            </w:rPr>
          </w:pPr>
          <w:r>
            <w:fldChar w:fldCharType="begin"/>
          </w:r>
          <w:r>
            <w:instrText xml:space="preserve"> HYPERLINK \l "_Toc171533306" </w:instrText>
          </w:r>
          <w:r>
            <w:fldChar w:fldCharType="separate"/>
          </w:r>
          <w:r>
            <w:rPr>
              <w:rStyle w:val="30"/>
              <w:rFonts w:ascii="Times New Roman" w:hAnsi="Times New Roman"/>
              <w:color w:val="auto"/>
            </w:rPr>
            <w:t>8  水土保持管理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_Toc171533306 \h </w:instrText>
          </w:r>
          <w:r>
            <w:rPr>
              <w:rFonts w:ascii="Times New Roman" w:hAnsi="Times New Roman"/>
            </w:rPr>
            <w:fldChar w:fldCharType="separate"/>
          </w:r>
          <w:r>
            <w:rPr>
              <w:rFonts w:ascii="Times New Roman" w:hAnsi="Times New Roman"/>
            </w:rPr>
            <w:t>105</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"_Toc171533307" </w:instrText>
          </w:r>
          <w:r>
            <w:fldChar w:fldCharType="separate"/>
          </w:r>
          <w:r>
            <w:rPr>
              <w:rStyle w:val="30"/>
              <w:rFonts w:ascii="Times New Roman" w:hAnsi="Times New Roman"/>
              <w:color w:val="auto"/>
            </w:rPr>
            <w:t>8.1 组织管理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_Toc171533307 \h </w:instrText>
          </w:r>
          <w:r>
            <w:rPr>
              <w:rFonts w:ascii="Times New Roman" w:hAnsi="Times New Roman"/>
            </w:rPr>
            <w:fldChar w:fldCharType="separate"/>
          </w:r>
          <w:r>
            <w:rPr>
              <w:rFonts w:ascii="Times New Roman" w:hAnsi="Times New Roman"/>
            </w:rPr>
            <w:t>105</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"_Toc171533308" </w:instrText>
          </w:r>
          <w:r>
            <w:fldChar w:fldCharType="separate"/>
          </w:r>
          <w:r>
            <w:rPr>
              <w:rStyle w:val="30"/>
              <w:rFonts w:ascii="Times New Roman" w:hAnsi="Times New Roman"/>
              <w:color w:val="auto"/>
            </w:rPr>
            <w:t>8.2 后续设计</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_Toc171533308 \h </w:instrText>
          </w:r>
          <w:r>
            <w:rPr>
              <w:rFonts w:ascii="Times New Roman" w:hAnsi="Times New Roman"/>
            </w:rPr>
            <w:fldChar w:fldCharType="separate"/>
          </w:r>
          <w:r>
            <w:rPr>
              <w:rFonts w:ascii="Times New Roman" w:hAnsi="Times New Roman"/>
            </w:rPr>
            <w:t>105</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"_Toc171533309" </w:instrText>
          </w:r>
          <w:r>
            <w:fldChar w:fldCharType="separate"/>
          </w:r>
          <w:r>
            <w:rPr>
              <w:rStyle w:val="30"/>
              <w:rFonts w:ascii="Times New Roman" w:hAnsi="Times New Roman"/>
              <w:color w:val="auto"/>
            </w:rPr>
            <w:t>8.3 水土保持监测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_Toc171533309 \h </w:instrText>
          </w:r>
          <w:r>
            <w:rPr>
              <w:rFonts w:ascii="Times New Roman" w:hAnsi="Times New Roman"/>
            </w:rPr>
            <w:fldChar w:fldCharType="separate"/>
          </w:r>
          <w:r>
            <w:rPr>
              <w:rFonts w:ascii="Times New Roman" w:hAnsi="Times New Roman"/>
            </w:rPr>
            <w:t>106</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"_Toc171533310" </w:instrText>
          </w:r>
          <w:r>
            <w:fldChar w:fldCharType="separate"/>
          </w:r>
          <w:r>
            <w:rPr>
              <w:rStyle w:val="30"/>
              <w:rFonts w:ascii="Times New Roman" w:hAnsi="Times New Roman"/>
              <w:color w:val="auto"/>
            </w:rPr>
            <w:t>8.4 水土保持工程监理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_Toc171533310 \h </w:instrText>
          </w:r>
          <w:r>
            <w:rPr>
              <w:rFonts w:ascii="Times New Roman" w:hAnsi="Times New Roman"/>
            </w:rPr>
            <w:fldChar w:fldCharType="separate"/>
          </w:r>
          <w:r>
            <w:rPr>
              <w:rFonts w:ascii="Times New Roman" w:hAnsi="Times New Roman"/>
            </w:rPr>
            <w:t>106</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"_Toc171533311" </w:instrText>
          </w:r>
          <w:r>
            <w:fldChar w:fldCharType="separate"/>
          </w:r>
          <w:r>
            <w:rPr>
              <w:rStyle w:val="30"/>
              <w:rFonts w:ascii="Times New Roman" w:hAnsi="Times New Roman"/>
              <w:color w:val="auto"/>
            </w:rPr>
            <w:t>8.5 水土保持施工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_Toc171533311 \h </w:instrText>
          </w:r>
          <w:r>
            <w:rPr>
              <w:rFonts w:ascii="Times New Roman" w:hAnsi="Times New Roman"/>
            </w:rPr>
            <w:fldChar w:fldCharType="separate"/>
          </w:r>
          <w:r>
            <w:rPr>
              <w:rFonts w:ascii="Times New Roman" w:hAnsi="Times New Roman"/>
            </w:rPr>
            <w:t>106</w:t>
          </w:r>
          <w:r>
            <w:rPr>
              <w:rFonts w:ascii="Times New Roman" w:hAnsi="Times New Roman"/>
            </w:rPr>
            <w:fldChar w:fldCharType="end"/>
          </w:r>
          <w:r>
            <w:rPr>
              <w:rFonts w:ascii="Times New Roman" w:hAnsi="Times New Roman"/>
            </w:rPr>
            <w:fldChar w:fldCharType="end"/>
          </w:r>
        </w:p>
        <w:p>
          <w:pPr>
            <w:pStyle w:val="22"/>
            <w:tabs>
              <w:tab w:val="right" w:leader="dot" w:pos="8302"/>
            </w:tabs>
            <w:ind w:firstLine="440"/>
            <w:rPr>
              <w:rFonts w:ascii="Times New Roman" w:hAnsi="Times New Roman" w:eastAsiaTheme="minorEastAsia"/>
              <w:kern w:val="2"/>
              <w:sz w:val="21"/>
            </w:rPr>
          </w:pPr>
          <w:r>
            <w:fldChar w:fldCharType="begin"/>
          </w:r>
          <w:r>
            <w:instrText xml:space="preserve"> HYPERLINK \l "_Toc171533312" </w:instrText>
          </w:r>
          <w:r>
            <w:fldChar w:fldCharType="separate"/>
          </w:r>
          <w:r>
            <w:rPr>
              <w:rStyle w:val="30"/>
              <w:rFonts w:ascii="Times New Roman" w:hAnsi="Times New Roman"/>
              <w:color w:val="auto"/>
            </w:rPr>
            <w:t>8.6 水土保持设施验收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_Toc171533312 \h </w:instrText>
          </w:r>
          <w:r>
            <w:rPr>
              <w:rFonts w:ascii="Times New Roman" w:hAnsi="Times New Roman"/>
            </w:rPr>
            <w:fldChar w:fldCharType="separate"/>
          </w:r>
          <w:r>
            <w:rPr>
              <w:rFonts w:ascii="Times New Roman" w:hAnsi="Times New Roman"/>
            </w:rPr>
            <w:t>107</w:t>
          </w:r>
          <w:r>
            <w:rPr>
              <w:rFonts w:ascii="Times New Roman" w:hAnsi="Times New Roman"/>
            </w:rPr>
            <w:fldChar w:fldCharType="end"/>
          </w:r>
          <w:r>
            <w:rPr>
              <w:rFonts w:ascii="Times New Roman" w:hAnsi="Times New Roman"/>
            </w:rPr>
            <w:fldChar w:fldCharType="end"/>
          </w:r>
        </w:p>
        <w:p>
          <w:pPr>
            <w:spacing w:line="300" w:lineRule="auto"/>
            <w:ind w:firstLine="480"/>
            <w:rPr>
              <w:rFonts w:cs="Times New Roman"/>
              <w:color w:val="auto"/>
            </w:rPr>
          </w:pPr>
          <w:r>
            <w:rPr>
              <w:rFonts w:eastAsia="仿宋" w:cs="Times New Roman"/>
              <w:snapToGrid/>
              <w:color w:val="auto"/>
              <w:szCs w:val="24"/>
              <w:lang w:eastAsia="zh-CN"/>
            </w:rPr>
            <w:fldChar w:fldCharType="end"/>
          </w:r>
        </w:p>
      </w:sdtContent>
    </w:sdt>
    <w:p>
      <w:pPr>
        <w:spacing w:line="360" w:lineRule="auto"/>
        <w:ind w:firstLine="438"/>
        <w:rPr>
          <w:rFonts w:eastAsia="仿宋" w:cs="Times New Roman"/>
          <w:b/>
          <w:bCs/>
          <w:color w:val="auto"/>
          <w:spacing w:val="-11"/>
          <w:szCs w:val="24"/>
          <w:lang w:eastAsia="zh-CN"/>
        </w:rPr>
      </w:pPr>
      <w:r>
        <w:rPr>
          <w:rFonts w:hint="eastAsia" w:eastAsia="仿宋" w:cs="Times New Roman"/>
          <w:b/>
          <w:bCs/>
          <w:color w:val="auto"/>
          <w:spacing w:val="-11"/>
          <w:szCs w:val="24"/>
          <w:lang w:eastAsia="zh-CN"/>
        </w:rPr>
        <w:t>附表：</w:t>
      </w:r>
    </w:p>
    <w:p>
      <w:pPr>
        <w:spacing w:line="360" w:lineRule="auto"/>
        <w:ind w:firstLine="436"/>
        <w:rPr>
          <w:rFonts w:eastAsia="仿宋" w:cs="Times New Roman"/>
          <w:b/>
          <w:bCs/>
          <w:color w:val="auto"/>
          <w:spacing w:val="-11"/>
          <w:szCs w:val="24"/>
          <w:lang w:eastAsia="zh-CN"/>
        </w:rPr>
      </w:pPr>
      <w:r>
        <w:rPr>
          <w:rFonts w:eastAsia="仿宋" w:cs="Times New Roman"/>
          <w:color w:val="auto"/>
          <w:spacing w:val="-11"/>
          <w:szCs w:val="24"/>
          <w:lang w:eastAsia="zh-CN"/>
        </w:rPr>
        <w:t>附</w:t>
      </w:r>
      <w:r>
        <w:rPr>
          <w:rFonts w:hint="eastAsia" w:eastAsia="仿宋" w:cs="Times New Roman"/>
          <w:color w:val="auto"/>
          <w:spacing w:val="-11"/>
          <w:szCs w:val="24"/>
          <w:lang w:eastAsia="zh-CN"/>
        </w:rPr>
        <w:t>表 1：达州正达凯乙二醇 220 千伏输电线水土保持投资估算附表</w:t>
      </w:r>
    </w:p>
    <w:p>
      <w:pPr>
        <w:spacing w:line="360" w:lineRule="auto"/>
        <w:ind w:firstLine="438"/>
        <w:rPr>
          <w:rFonts w:eastAsia="仿宋" w:cs="Times New Roman"/>
          <w:b/>
          <w:bCs/>
          <w:color w:val="auto"/>
          <w:spacing w:val="-11"/>
          <w:szCs w:val="24"/>
          <w:lang w:eastAsia="zh-CN"/>
        </w:rPr>
      </w:pPr>
      <w:r>
        <w:rPr>
          <w:rFonts w:hint="eastAsia" w:eastAsia="仿宋" w:cs="Times New Roman"/>
          <w:b/>
          <w:bCs/>
          <w:color w:val="auto"/>
          <w:spacing w:val="-11"/>
          <w:szCs w:val="24"/>
          <w:lang w:eastAsia="zh-CN"/>
        </w:rPr>
        <w:t>附件：</w:t>
      </w:r>
    </w:p>
    <w:p>
      <w:pPr>
        <w:spacing w:line="360" w:lineRule="auto"/>
        <w:ind w:firstLine="436"/>
        <w:rPr>
          <w:rFonts w:eastAsia="仿宋" w:cs="Times New Roman"/>
          <w:color w:val="auto"/>
          <w:spacing w:val="-11"/>
          <w:szCs w:val="24"/>
          <w:lang w:eastAsia="zh-CN"/>
        </w:rPr>
      </w:pPr>
      <w:r>
        <w:rPr>
          <w:rFonts w:eastAsia="仿宋" w:cs="Times New Roman"/>
          <w:color w:val="auto"/>
          <w:spacing w:val="-11"/>
          <w:szCs w:val="24"/>
          <w:lang w:eastAsia="zh-CN"/>
        </w:rPr>
        <w:t>附</w:t>
      </w:r>
      <w:r>
        <w:rPr>
          <w:rFonts w:hint="eastAsia" w:eastAsia="仿宋" w:cs="Times New Roman"/>
          <w:color w:val="auto"/>
          <w:spacing w:val="-11"/>
          <w:szCs w:val="24"/>
          <w:lang w:eastAsia="zh-CN"/>
        </w:rPr>
        <w:t>件 1：达州正达凯乙二醇 220 千伏输电线路工程可行性研究报告评审意见</w:t>
      </w:r>
    </w:p>
    <w:p>
      <w:pPr>
        <w:spacing w:line="360" w:lineRule="auto"/>
        <w:ind w:firstLine="436"/>
        <w:rPr>
          <w:rFonts w:eastAsia="仿宋" w:cs="Times New Roman"/>
          <w:color w:val="auto"/>
          <w:spacing w:val="-11"/>
          <w:szCs w:val="24"/>
          <w:lang w:eastAsia="zh-CN"/>
        </w:rPr>
      </w:pPr>
      <w:r>
        <w:rPr>
          <w:rFonts w:hint="eastAsia" w:eastAsia="仿宋" w:cs="Times New Roman"/>
          <w:color w:val="auto"/>
          <w:spacing w:val="-11"/>
          <w:szCs w:val="24"/>
          <w:lang w:eastAsia="zh-CN"/>
        </w:rPr>
        <w:t>附件 2：四川省发展和改革委员会关于达州正达凯乙二醇 220 千伏输电线路工程项目核准的批复</w:t>
      </w:r>
    </w:p>
    <w:p>
      <w:pPr>
        <w:spacing w:line="360" w:lineRule="auto"/>
        <w:ind w:firstLine="436"/>
        <w:rPr>
          <w:rFonts w:eastAsia="仿宋" w:cs="Times New Roman"/>
          <w:color w:val="auto"/>
          <w:spacing w:val="-11"/>
          <w:szCs w:val="24"/>
          <w:lang w:eastAsia="zh-CN"/>
        </w:rPr>
      </w:pPr>
      <w:r>
        <w:rPr>
          <w:rFonts w:hint="eastAsia" w:eastAsia="仿宋" w:cs="Times New Roman"/>
          <w:color w:val="auto"/>
          <w:spacing w:val="-11"/>
          <w:szCs w:val="24"/>
          <w:lang w:eastAsia="zh-CN"/>
        </w:rPr>
        <w:t>附件 3：四川省人民政府办公厅关于进一步加快电网规划建设工作的通知</w:t>
      </w:r>
    </w:p>
    <w:p>
      <w:pPr>
        <w:spacing w:line="360" w:lineRule="auto"/>
        <w:ind w:firstLine="438"/>
        <w:rPr>
          <w:rFonts w:eastAsia="仿宋" w:cs="Times New Roman"/>
          <w:b/>
          <w:bCs/>
          <w:color w:val="auto"/>
          <w:spacing w:val="-11"/>
          <w:szCs w:val="24"/>
          <w:lang w:eastAsia="zh-CN"/>
        </w:rPr>
      </w:pPr>
      <w:r>
        <w:rPr>
          <w:rFonts w:eastAsia="仿宋" w:cs="Times New Roman"/>
          <w:b/>
          <w:bCs/>
          <w:color w:val="auto"/>
          <w:spacing w:val="-11"/>
          <w:szCs w:val="24"/>
          <w:lang w:eastAsia="zh-CN"/>
        </w:rPr>
        <w:t>附图：</w:t>
      </w:r>
    </w:p>
    <w:p>
      <w:pPr>
        <w:spacing w:line="360" w:lineRule="auto"/>
        <w:ind w:firstLine="436"/>
        <w:rPr>
          <w:rFonts w:eastAsia="仿宋" w:cs="Times New Roman"/>
          <w:color w:val="auto"/>
          <w:szCs w:val="24"/>
          <w:lang w:eastAsia="zh-CN"/>
        </w:rPr>
      </w:pPr>
      <w:r>
        <w:rPr>
          <w:rFonts w:eastAsia="仿宋" w:cs="Times New Roman"/>
          <w:color w:val="auto"/>
          <w:spacing w:val="-11"/>
          <w:szCs w:val="24"/>
          <w:lang w:eastAsia="zh-CN"/>
        </w:rPr>
        <w:t>附图</w:t>
      </w:r>
      <w:r>
        <w:rPr>
          <w:rFonts w:eastAsia="仿宋" w:cs="Times New Roman"/>
          <w:color w:val="auto"/>
          <w:spacing w:val="-32"/>
          <w:szCs w:val="24"/>
          <w:lang w:eastAsia="zh-CN"/>
        </w:rPr>
        <w:t xml:space="preserve"> </w:t>
      </w:r>
      <w:r>
        <w:rPr>
          <w:rFonts w:eastAsia="Times New Roman" w:cs="Times New Roman"/>
          <w:color w:val="auto"/>
          <w:spacing w:val="-11"/>
          <w:szCs w:val="24"/>
          <w:lang w:eastAsia="zh-CN"/>
        </w:rPr>
        <w:t>1</w:t>
      </w:r>
      <w:r>
        <w:rPr>
          <w:rFonts w:eastAsia="仿宋" w:cs="Times New Roman"/>
          <w:color w:val="auto"/>
          <w:spacing w:val="-11"/>
          <w:szCs w:val="24"/>
          <w:lang w:eastAsia="zh-CN"/>
        </w:rPr>
        <w:t>：地理位置图；</w:t>
      </w:r>
    </w:p>
    <w:p>
      <w:pPr>
        <w:spacing w:line="360" w:lineRule="auto"/>
        <w:ind w:firstLine="436"/>
        <w:rPr>
          <w:rFonts w:eastAsia="仿宋" w:cs="Times New Roman"/>
          <w:color w:val="auto"/>
          <w:szCs w:val="24"/>
          <w:lang w:eastAsia="zh-CN"/>
        </w:rPr>
      </w:pPr>
      <w:r>
        <w:rPr>
          <w:rFonts w:eastAsia="仿宋" w:cs="Times New Roman"/>
          <w:color w:val="auto"/>
          <w:spacing w:val="-11"/>
          <w:szCs w:val="24"/>
          <w:lang w:eastAsia="zh-CN"/>
        </w:rPr>
        <w:t>附图</w:t>
      </w:r>
      <w:r>
        <w:rPr>
          <w:rFonts w:eastAsia="仿宋" w:cs="Times New Roman"/>
          <w:color w:val="auto"/>
          <w:spacing w:val="-51"/>
          <w:szCs w:val="24"/>
          <w:lang w:eastAsia="zh-CN"/>
        </w:rPr>
        <w:t xml:space="preserve"> </w:t>
      </w:r>
      <w:r>
        <w:rPr>
          <w:rFonts w:eastAsia="Times New Roman" w:cs="Times New Roman"/>
          <w:color w:val="auto"/>
          <w:spacing w:val="-11"/>
          <w:szCs w:val="24"/>
          <w:lang w:eastAsia="zh-CN"/>
        </w:rPr>
        <w:t>2</w:t>
      </w:r>
      <w:r>
        <w:rPr>
          <w:rFonts w:eastAsia="仿宋" w:cs="Times New Roman"/>
          <w:color w:val="auto"/>
          <w:spacing w:val="-11"/>
          <w:szCs w:val="24"/>
          <w:lang w:eastAsia="zh-CN"/>
        </w:rPr>
        <w:t>：水系图；</w:t>
      </w:r>
    </w:p>
    <w:p>
      <w:pPr>
        <w:spacing w:line="360" w:lineRule="auto"/>
        <w:ind w:firstLine="468"/>
        <w:rPr>
          <w:rFonts w:eastAsia="仿宋" w:cs="Times New Roman"/>
          <w:color w:val="auto"/>
          <w:szCs w:val="24"/>
          <w:lang w:eastAsia="zh-CN"/>
        </w:rPr>
      </w:pPr>
      <w:r>
        <w:rPr>
          <w:rFonts w:eastAsia="仿宋" w:cs="Times New Roman"/>
          <w:color w:val="auto"/>
          <w:spacing w:val="-3"/>
          <w:szCs w:val="24"/>
          <w:lang w:eastAsia="zh-CN"/>
        </w:rPr>
        <w:t>附图</w:t>
      </w:r>
      <w:r>
        <w:rPr>
          <w:rFonts w:eastAsia="仿宋" w:cs="Times New Roman"/>
          <w:color w:val="auto"/>
          <w:spacing w:val="-46"/>
          <w:szCs w:val="24"/>
          <w:lang w:eastAsia="zh-CN"/>
        </w:rPr>
        <w:t xml:space="preserve"> </w:t>
      </w:r>
      <w:r>
        <w:rPr>
          <w:rFonts w:eastAsia="Times New Roman" w:cs="Times New Roman"/>
          <w:color w:val="auto"/>
          <w:spacing w:val="-3"/>
          <w:szCs w:val="24"/>
          <w:lang w:eastAsia="zh-CN"/>
        </w:rPr>
        <w:t>3</w:t>
      </w:r>
      <w:r>
        <w:rPr>
          <w:rFonts w:eastAsia="仿宋" w:cs="Times New Roman"/>
          <w:color w:val="auto"/>
          <w:spacing w:val="-3"/>
          <w:szCs w:val="24"/>
          <w:lang w:eastAsia="zh-CN"/>
        </w:rPr>
        <w:t>：土壤侵蚀强度分布图；</w:t>
      </w:r>
    </w:p>
    <w:p>
      <w:pPr>
        <w:spacing w:line="360" w:lineRule="auto"/>
        <w:ind w:firstLine="464"/>
        <w:rPr>
          <w:rFonts w:eastAsia="仿宋" w:cs="Times New Roman"/>
          <w:color w:val="auto"/>
          <w:spacing w:val="-4"/>
          <w:szCs w:val="24"/>
          <w:lang w:eastAsia="zh-CN"/>
        </w:rPr>
      </w:pPr>
      <w:r>
        <w:rPr>
          <w:rFonts w:eastAsia="仿宋" w:cs="Times New Roman"/>
          <w:color w:val="auto"/>
          <w:spacing w:val="-4"/>
          <w:szCs w:val="24"/>
          <w:lang w:eastAsia="zh-CN"/>
        </w:rPr>
        <w:t>附图</w:t>
      </w:r>
      <w:r>
        <w:rPr>
          <w:rFonts w:eastAsia="仿宋" w:cs="Times New Roman"/>
          <w:color w:val="auto"/>
          <w:spacing w:val="-47"/>
          <w:szCs w:val="24"/>
          <w:lang w:eastAsia="zh-CN"/>
        </w:rPr>
        <w:t xml:space="preserve"> </w:t>
      </w:r>
      <w:r>
        <w:rPr>
          <w:rFonts w:eastAsia="Times New Roman" w:cs="Times New Roman"/>
          <w:color w:val="auto"/>
          <w:spacing w:val="-4"/>
          <w:szCs w:val="24"/>
          <w:lang w:eastAsia="zh-CN"/>
        </w:rPr>
        <w:t>4-1</w:t>
      </w:r>
      <w:r>
        <w:rPr>
          <w:rFonts w:eastAsia="仿宋" w:cs="Times New Roman"/>
          <w:color w:val="auto"/>
          <w:spacing w:val="-4"/>
          <w:szCs w:val="24"/>
          <w:lang w:eastAsia="zh-CN"/>
        </w:rPr>
        <w:t>：芭蕉一正达凯220kV线路工程总平面图；</w:t>
      </w:r>
    </w:p>
    <w:p>
      <w:pPr>
        <w:spacing w:line="360" w:lineRule="auto"/>
        <w:ind w:firstLine="464"/>
        <w:rPr>
          <w:rFonts w:eastAsia="仿宋" w:cs="Times New Roman"/>
          <w:color w:val="auto"/>
          <w:szCs w:val="24"/>
          <w:lang w:eastAsia="zh-CN"/>
        </w:rPr>
      </w:pPr>
      <w:r>
        <w:rPr>
          <w:rFonts w:eastAsia="仿宋" w:cs="Times New Roman"/>
          <w:color w:val="auto"/>
          <w:spacing w:val="-4"/>
          <w:szCs w:val="24"/>
          <w:lang w:eastAsia="zh-CN"/>
        </w:rPr>
        <w:t>附图</w:t>
      </w:r>
      <w:r>
        <w:rPr>
          <w:rFonts w:eastAsia="仿宋" w:cs="Times New Roman"/>
          <w:color w:val="auto"/>
          <w:spacing w:val="-47"/>
          <w:szCs w:val="24"/>
          <w:lang w:eastAsia="zh-CN"/>
        </w:rPr>
        <w:t xml:space="preserve"> </w:t>
      </w:r>
      <w:r>
        <w:rPr>
          <w:rFonts w:eastAsia="Times New Roman" w:cs="Times New Roman"/>
          <w:color w:val="auto"/>
          <w:spacing w:val="-4"/>
          <w:szCs w:val="24"/>
          <w:lang w:eastAsia="zh-CN"/>
        </w:rPr>
        <w:t>4-2</w:t>
      </w:r>
      <w:r>
        <w:rPr>
          <w:rFonts w:eastAsia="仿宋" w:cs="Times New Roman"/>
          <w:color w:val="auto"/>
          <w:spacing w:val="-4"/>
          <w:szCs w:val="24"/>
          <w:lang w:eastAsia="zh-CN"/>
        </w:rPr>
        <w:t>：玛瑙一正达凯220kV线路工程总平面图；</w:t>
      </w:r>
    </w:p>
    <w:p>
      <w:pPr>
        <w:spacing w:line="360" w:lineRule="auto"/>
        <w:ind w:firstLine="464"/>
        <w:rPr>
          <w:rFonts w:eastAsia="仿宋" w:cs="Times New Roman"/>
          <w:color w:val="auto"/>
          <w:szCs w:val="24"/>
          <w:lang w:eastAsia="zh-CN"/>
        </w:rPr>
      </w:pPr>
      <w:r>
        <w:rPr>
          <w:rFonts w:eastAsia="仿宋" w:cs="Times New Roman"/>
          <w:color w:val="auto"/>
          <w:spacing w:val="-4"/>
          <w:szCs w:val="24"/>
          <w:lang w:eastAsia="zh-CN"/>
        </w:rPr>
        <w:t>附图</w:t>
      </w:r>
      <w:r>
        <w:rPr>
          <w:rFonts w:eastAsia="仿宋" w:cs="Times New Roman"/>
          <w:color w:val="auto"/>
          <w:spacing w:val="-47"/>
          <w:szCs w:val="24"/>
          <w:lang w:eastAsia="zh-CN"/>
        </w:rPr>
        <w:t xml:space="preserve"> </w:t>
      </w:r>
      <w:r>
        <w:rPr>
          <w:rFonts w:eastAsia="Times New Roman" w:cs="Times New Roman"/>
          <w:color w:val="auto"/>
          <w:spacing w:val="-4"/>
          <w:szCs w:val="24"/>
          <w:lang w:eastAsia="zh-CN"/>
        </w:rPr>
        <w:t>4-</w:t>
      </w:r>
      <w:r>
        <w:rPr>
          <w:rFonts w:cs="Times New Roman"/>
          <w:color w:val="auto"/>
          <w:spacing w:val="-4"/>
          <w:szCs w:val="24"/>
          <w:lang w:eastAsia="zh-CN"/>
        </w:rPr>
        <w:t>3</w:t>
      </w:r>
      <w:r>
        <w:rPr>
          <w:rFonts w:eastAsia="仿宋" w:cs="Times New Roman"/>
          <w:color w:val="auto"/>
          <w:spacing w:val="-4"/>
          <w:szCs w:val="24"/>
          <w:lang w:eastAsia="zh-CN"/>
        </w:rPr>
        <w:t>：芭蕉220kV变电站220kV间隔扩建工程总平面图；</w:t>
      </w:r>
    </w:p>
    <w:p>
      <w:pPr>
        <w:spacing w:line="360" w:lineRule="auto"/>
        <w:ind w:firstLine="464"/>
        <w:rPr>
          <w:rFonts w:eastAsia="仿宋" w:cs="Times New Roman"/>
          <w:color w:val="auto"/>
          <w:szCs w:val="24"/>
          <w:lang w:eastAsia="zh-CN"/>
        </w:rPr>
      </w:pPr>
      <w:r>
        <w:rPr>
          <w:rFonts w:eastAsia="仿宋" w:cs="Times New Roman"/>
          <w:color w:val="auto"/>
          <w:spacing w:val="-4"/>
          <w:szCs w:val="24"/>
          <w:lang w:eastAsia="zh-CN"/>
        </w:rPr>
        <w:t>附图</w:t>
      </w:r>
      <w:r>
        <w:rPr>
          <w:rFonts w:eastAsia="仿宋" w:cs="Times New Roman"/>
          <w:color w:val="auto"/>
          <w:spacing w:val="-47"/>
          <w:szCs w:val="24"/>
          <w:lang w:eastAsia="zh-CN"/>
        </w:rPr>
        <w:t xml:space="preserve"> </w:t>
      </w:r>
      <w:r>
        <w:rPr>
          <w:rFonts w:eastAsia="Times New Roman" w:cs="Times New Roman"/>
          <w:color w:val="auto"/>
          <w:spacing w:val="-4"/>
          <w:szCs w:val="24"/>
          <w:lang w:eastAsia="zh-CN"/>
        </w:rPr>
        <w:t>4-4</w:t>
      </w:r>
      <w:r>
        <w:rPr>
          <w:rFonts w:eastAsia="仿宋" w:cs="Times New Roman"/>
          <w:color w:val="auto"/>
          <w:spacing w:val="-4"/>
          <w:szCs w:val="24"/>
          <w:lang w:eastAsia="zh-CN"/>
        </w:rPr>
        <w:t>：玛瑙500kV变电站220kV间隔扩建工程总平面图；</w:t>
      </w:r>
    </w:p>
    <w:p>
      <w:pPr>
        <w:spacing w:line="360" w:lineRule="auto"/>
        <w:ind w:firstLine="452"/>
        <w:rPr>
          <w:rFonts w:eastAsia="仿宋" w:cs="Times New Roman"/>
          <w:color w:val="auto"/>
          <w:spacing w:val="-7"/>
          <w:szCs w:val="24"/>
          <w:lang w:eastAsia="zh-CN"/>
        </w:rPr>
      </w:pPr>
      <w:r>
        <w:rPr>
          <w:rFonts w:eastAsia="仿宋" w:cs="Times New Roman"/>
          <w:color w:val="auto"/>
          <w:spacing w:val="-7"/>
          <w:szCs w:val="24"/>
          <w:lang w:eastAsia="zh-CN"/>
        </w:rPr>
        <w:t>附图</w:t>
      </w:r>
      <w:r>
        <w:rPr>
          <w:rFonts w:eastAsia="仿宋" w:cs="Times New Roman"/>
          <w:color w:val="auto"/>
          <w:spacing w:val="-46"/>
          <w:szCs w:val="24"/>
          <w:lang w:eastAsia="zh-CN"/>
        </w:rPr>
        <w:t xml:space="preserve"> </w:t>
      </w:r>
      <w:r>
        <w:rPr>
          <w:rFonts w:cs="Times New Roman"/>
          <w:color w:val="auto"/>
          <w:spacing w:val="-7"/>
          <w:szCs w:val="24"/>
          <w:lang w:eastAsia="zh-CN"/>
        </w:rPr>
        <w:t>5</w:t>
      </w:r>
      <w:r>
        <w:rPr>
          <w:rFonts w:eastAsia="Times New Roman" w:cs="Times New Roman"/>
          <w:color w:val="auto"/>
          <w:spacing w:val="-7"/>
          <w:szCs w:val="24"/>
          <w:lang w:eastAsia="zh-CN"/>
        </w:rPr>
        <w:t>-1</w:t>
      </w:r>
      <w:r>
        <w:rPr>
          <w:rFonts w:eastAsia="仿宋" w:cs="Times New Roman"/>
          <w:color w:val="auto"/>
          <w:spacing w:val="-7"/>
          <w:szCs w:val="24"/>
          <w:lang w:eastAsia="zh-CN"/>
        </w:rPr>
        <w:t>：芭蕉一正达凯220kV杆塔规划一览图；</w:t>
      </w:r>
    </w:p>
    <w:p>
      <w:pPr>
        <w:spacing w:line="360" w:lineRule="auto"/>
        <w:ind w:firstLine="452"/>
        <w:rPr>
          <w:rFonts w:eastAsia="仿宋" w:cs="Times New Roman"/>
          <w:color w:val="auto"/>
          <w:szCs w:val="24"/>
          <w:lang w:eastAsia="zh-CN"/>
        </w:rPr>
      </w:pPr>
      <w:r>
        <w:rPr>
          <w:rFonts w:eastAsia="仿宋" w:cs="Times New Roman"/>
          <w:color w:val="auto"/>
          <w:spacing w:val="-7"/>
          <w:szCs w:val="24"/>
          <w:lang w:eastAsia="zh-CN"/>
        </w:rPr>
        <w:t>附图</w:t>
      </w:r>
      <w:r>
        <w:rPr>
          <w:rFonts w:eastAsia="仿宋" w:cs="Times New Roman"/>
          <w:color w:val="auto"/>
          <w:spacing w:val="-46"/>
          <w:szCs w:val="24"/>
          <w:lang w:eastAsia="zh-CN"/>
        </w:rPr>
        <w:t xml:space="preserve"> </w:t>
      </w:r>
      <w:r>
        <w:rPr>
          <w:rFonts w:cs="Times New Roman"/>
          <w:color w:val="auto"/>
          <w:spacing w:val="-7"/>
          <w:szCs w:val="24"/>
          <w:lang w:eastAsia="zh-CN"/>
        </w:rPr>
        <w:t>5</w:t>
      </w:r>
      <w:r>
        <w:rPr>
          <w:rFonts w:eastAsia="Times New Roman" w:cs="Times New Roman"/>
          <w:color w:val="auto"/>
          <w:spacing w:val="-7"/>
          <w:szCs w:val="24"/>
          <w:lang w:eastAsia="zh-CN"/>
        </w:rPr>
        <w:t>-2</w:t>
      </w:r>
      <w:r>
        <w:rPr>
          <w:rFonts w:eastAsia="仿宋" w:cs="Times New Roman"/>
          <w:color w:val="auto"/>
          <w:spacing w:val="-7"/>
          <w:szCs w:val="24"/>
          <w:lang w:eastAsia="zh-CN"/>
        </w:rPr>
        <w:t>：玛瑙一正达凯220kV杆塔规划一览图；</w:t>
      </w:r>
    </w:p>
    <w:p>
      <w:pPr>
        <w:spacing w:line="360" w:lineRule="auto"/>
        <w:ind w:firstLine="452"/>
        <w:rPr>
          <w:rFonts w:eastAsia="仿宋" w:cs="Times New Roman"/>
          <w:color w:val="auto"/>
          <w:spacing w:val="-7"/>
          <w:szCs w:val="24"/>
          <w:lang w:eastAsia="zh-CN"/>
        </w:rPr>
      </w:pPr>
      <w:r>
        <w:rPr>
          <w:rFonts w:eastAsia="仿宋" w:cs="Times New Roman"/>
          <w:color w:val="auto"/>
          <w:spacing w:val="-7"/>
          <w:szCs w:val="24"/>
          <w:lang w:eastAsia="zh-CN"/>
        </w:rPr>
        <w:t>附图</w:t>
      </w:r>
      <w:r>
        <w:rPr>
          <w:rFonts w:eastAsia="仿宋" w:cs="Times New Roman"/>
          <w:color w:val="auto"/>
          <w:spacing w:val="-46"/>
          <w:szCs w:val="24"/>
          <w:lang w:eastAsia="zh-CN"/>
        </w:rPr>
        <w:t xml:space="preserve"> </w:t>
      </w:r>
      <w:r>
        <w:rPr>
          <w:rFonts w:cs="Times New Roman"/>
          <w:color w:val="auto"/>
          <w:spacing w:val="-7"/>
          <w:szCs w:val="24"/>
          <w:lang w:eastAsia="zh-CN"/>
        </w:rPr>
        <w:t>6</w:t>
      </w:r>
      <w:r>
        <w:rPr>
          <w:rFonts w:eastAsia="Times New Roman" w:cs="Times New Roman"/>
          <w:color w:val="auto"/>
          <w:spacing w:val="-7"/>
          <w:szCs w:val="24"/>
          <w:lang w:eastAsia="zh-CN"/>
        </w:rPr>
        <w:t>-1</w:t>
      </w:r>
      <w:r>
        <w:rPr>
          <w:rFonts w:eastAsia="仿宋" w:cs="Times New Roman"/>
          <w:color w:val="auto"/>
          <w:spacing w:val="-7"/>
          <w:szCs w:val="24"/>
          <w:lang w:eastAsia="zh-CN"/>
        </w:rPr>
        <w:t>：芭蕉一正达凯220kV基础规划一览图；</w:t>
      </w:r>
    </w:p>
    <w:p>
      <w:pPr>
        <w:spacing w:line="360" w:lineRule="auto"/>
        <w:ind w:firstLine="452"/>
        <w:rPr>
          <w:rFonts w:eastAsia="仿宋" w:cs="Times New Roman"/>
          <w:color w:val="auto"/>
          <w:szCs w:val="24"/>
          <w:lang w:eastAsia="zh-CN"/>
        </w:rPr>
      </w:pPr>
      <w:r>
        <w:rPr>
          <w:rFonts w:eastAsia="仿宋" w:cs="Times New Roman"/>
          <w:color w:val="auto"/>
          <w:spacing w:val="-7"/>
          <w:szCs w:val="24"/>
          <w:lang w:eastAsia="zh-CN"/>
        </w:rPr>
        <w:t>附图</w:t>
      </w:r>
      <w:r>
        <w:rPr>
          <w:rFonts w:eastAsia="仿宋" w:cs="Times New Roman"/>
          <w:color w:val="auto"/>
          <w:spacing w:val="-46"/>
          <w:szCs w:val="24"/>
          <w:lang w:eastAsia="zh-CN"/>
        </w:rPr>
        <w:t xml:space="preserve"> </w:t>
      </w:r>
      <w:r>
        <w:rPr>
          <w:rFonts w:cs="Times New Roman"/>
          <w:color w:val="auto"/>
          <w:spacing w:val="-7"/>
          <w:szCs w:val="24"/>
          <w:lang w:eastAsia="zh-CN"/>
        </w:rPr>
        <w:t>6</w:t>
      </w:r>
      <w:r>
        <w:rPr>
          <w:rFonts w:eastAsia="Times New Roman" w:cs="Times New Roman"/>
          <w:color w:val="auto"/>
          <w:spacing w:val="-7"/>
          <w:szCs w:val="24"/>
          <w:lang w:eastAsia="zh-CN"/>
        </w:rPr>
        <w:t>-2</w:t>
      </w:r>
      <w:r>
        <w:rPr>
          <w:rFonts w:eastAsia="仿宋" w:cs="Times New Roman"/>
          <w:color w:val="auto"/>
          <w:spacing w:val="-7"/>
          <w:szCs w:val="24"/>
          <w:lang w:eastAsia="zh-CN"/>
        </w:rPr>
        <w:t>：玛瑙一正达凯220kV基础规划一览图；</w:t>
      </w:r>
    </w:p>
    <w:p>
      <w:pPr>
        <w:spacing w:line="360" w:lineRule="auto"/>
        <w:ind w:firstLine="464"/>
        <w:rPr>
          <w:rFonts w:eastAsia="仿宋" w:cs="Times New Roman"/>
          <w:color w:val="auto"/>
          <w:szCs w:val="24"/>
          <w:lang w:eastAsia="zh-CN"/>
        </w:rPr>
      </w:pPr>
      <w:r>
        <w:rPr>
          <w:rFonts w:eastAsia="仿宋" w:cs="Times New Roman"/>
          <w:color w:val="auto"/>
          <w:spacing w:val="-4"/>
          <w:szCs w:val="24"/>
          <w:lang w:eastAsia="zh-CN"/>
        </w:rPr>
        <w:t>附图</w:t>
      </w:r>
      <w:r>
        <w:rPr>
          <w:rFonts w:eastAsia="仿宋" w:cs="Times New Roman"/>
          <w:color w:val="auto"/>
          <w:spacing w:val="-31"/>
          <w:szCs w:val="24"/>
          <w:lang w:eastAsia="zh-CN"/>
        </w:rPr>
        <w:t xml:space="preserve"> </w:t>
      </w:r>
      <w:r>
        <w:rPr>
          <w:rFonts w:cs="Times New Roman"/>
          <w:color w:val="auto"/>
          <w:spacing w:val="-4"/>
          <w:szCs w:val="24"/>
          <w:lang w:eastAsia="zh-CN"/>
        </w:rPr>
        <w:t>7</w:t>
      </w:r>
      <w:r>
        <w:rPr>
          <w:rFonts w:eastAsia="仿宋" w:cs="Times New Roman"/>
          <w:color w:val="auto"/>
          <w:spacing w:val="-4"/>
          <w:szCs w:val="24"/>
          <w:lang w:eastAsia="zh-CN"/>
        </w:rPr>
        <w:t>：水土流失防治责任范围及措施布设图</w:t>
      </w:r>
      <w:r>
        <w:rPr>
          <w:rFonts w:eastAsia="仿宋" w:cs="Times New Roman"/>
          <w:color w:val="auto"/>
          <w:spacing w:val="-5"/>
          <w:szCs w:val="24"/>
          <w:lang w:eastAsia="zh-CN"/>
        </w:rPr>
        <w:t>；</w:t>
      </w:r>
    </w:p>
    <w:p>
      <w:pPr>
        <w:spacing w:line="360" w:lineRule="auto"/>
        <w:ind w:firstLine="456"/>
        <w:rPr>
          <w:rFonts w:eastAsia="仿宋" w:cs="Times New Roman"/>
          <w:color w:val="auto"/>
          <w:spacing w:val="-6"/>
          <w:szCs w:val="24"/>
          <w:lang w:eastAsia="zh-CN"/>
        </w:rPr>
      </w:pPr>
      <w:r>
        <w:rPr>
          <w:rFonts w:eastAsia="仿宋" w:cs="Times New Roman"/>
          <w:color w:val="auto"/>
          <w:spacing w:val="-6"/>
          <w:szCs w:val="24"/>
          <w:lang w:eastAsia="zh-CN"/>
        </w:rPr>
        <w:t>附图 8：塔位排水沟典型设计图</w:t>
      </w:r>
      <w:r>
        <w:rPr>
          <w:rFonts w:eastAsia="仿宋" w:cs="Times New Roman"/>
          <w:color w:val="auto"/>
          <w:spacing w:val="-5"/>
          <w:szCs w:val="24"/>
          <w:lang w:eastAsia="zh-CN"/>
        </w:rPr>
        <w:t>；</w:t>
      </w:r>
    </w:p>
    <w:p>
      <w:pPr>
        <w:spacing w:line="360" w:lineRule="auto"/>
        <w:ind w:firstLine="456"/>
        <w:rPr>
          <w:rFonts w:eastAsia="仿宋" w:cs="Times New Roman"/>
          <w:color w:val="auto"/>
          <w:spacing w:val="-6"/>
          <w:szCs w:val="24"/>
          <w:lang w:eastAsia="zh-CN"/>
        </w:rPr>
      </w:pPr>
      <w:r>
        <w:rPr>
          <w:rFonts w:eastAsia="仿宋" w:cs="Times New Roman"/>
          <w:color w:val="auto"/>
          <w:spacing w:val="-6"/>
          <w:szCs w:val="24"/>
          <w:lang w:eastAsia="zh-CN"/>
        </w:rPr>
        <w:t>附图 9：塔位保坎护坡施典型设计图</w:t>
      </w:r>
      <w:r>
        <w:rPr>
          <w:rFonts w:eastAsia="仿宋" w:cs="Times New Roman"/>
          <w:color w:val="auto"/>
          <w:spacing w:val="-5"/>
          <w:szCs w:val="24"/>
          <w:lang w:eastAsia="zh-CN"/>
        </w:rPr>
        <w:t>；</w:t>
      </w:r>
    </w:p>
    <w:p>
      <w:pPr>
        <w:spacing w:line="360" w:lineRule="auto"/>
        <w:ind w:firstLine="456"/>
        <w:rPr>
          <w:rFonts w:eastAsia="仿宋" w:cs="Times New Roman"/>
          <w:color w:val="auto"/>
          <w:szCs w:val="24"/>
          <w:lang w:eastAsia="zh-CN"/>
        </w:rPr>
      </w:pPr>
      <w:r>
        <w:rPr>
          <w:rFonts w:eastAsia="仿宋" w:cs="Times New Roman"/>
          <w:color w:val="auto"/>
          <w:spacing w:val="-6"/>
          <w:szCs w:val="24"/>
          <w:lang w:eastAsia="zh-CN"/>
        </w:rPr>
        <w:t>附图 10：间隔与牵张场区临时占地水土保持典型措施布设图</w:t>
      </w:r>
      <w:r>
        <w:rPr>
          <w:rFonts w:eastAsia="仿宋" w:cs="Times New Roman"/>
          <w:color w:val="auto"/>
          <w:spacing w:val="-5"/>
          <w:szCs w:val="24"/>
          <w:lang w:eastAsia="zh-CN"/>
        </w:rPr>
        <w:t>；</w:t>
      </w:r>
    </w:p>
    <w:p>
      <w:pPr>
        <w:spacing w:line="360" w:lineRule="auto"/>
        <w:ind w:firstLine="456"/>
        <w:rPr>
          <w:rFonts w:cs="Times New Roman"/>
          <w:color w:val="auto"/>
          <w:spacing w:val="-6"/>
          <w:szCs w:val="24"/>
          <w:lang w:eastAsia="zh-CN"/>
        </w:rPr>
      </w:pPr>
      <w:r>
        <w:rPr>
          <w:rFonts w:eastAsia="仿宋" w:cs="Times New Roman"/>
          <w:color w:val="auto"/>
          <w:spacing w:val="-6"/>
          <w:szCs w:val="24"/>
          <w:lang w:eastAsia="zh-CN"/>
        </w:rPr>
        <w:t>附图</w:t>
      </w:r>
      <w:r>
        <w:rPr>
          <w:rFonts w:eastAsia="仿宋" w:cs="Times New Roman"/>
          <w:color w:val="auto"/>
          <w:spacing w:val="-14"/>
          <w:szCs w:val="24"/>
          <w:lang w:eastAsia="zh-CN"/>
        </w:rPr>
        <w:t xml:space="preserve"> </w:t>
      </w:r>
      <w:r>
        <w:rPr>
          <w:rFonts w:eastAsia="Times New Roman" w:cs="Times New Roman"/>
          <w:color w:val="auto"/>
          <w:spacing w:val="-6"/>
          <w:szCs w:val="24"/>
          <w:lang w:eastAsia="zh-CN"/>
        </w:rPr>
        <w:t>1</w:t>
      </w:r>
      <w:r>
        <w:rPr>
          <w:rFonts w:cs="Times New Roman"/>
          <w:color w:val="auto"/>
          <w:spacing w:val="-6"/>
          <w:szCs w:val="24"/>
          <w:lang w:eastAsia="zh-CN"/>
        </w:rPr>
        <w:t>1</w:t>
      </w:r>
      <w:r>
        <w:rPr>
          <w:rFonts w:eastAsia="仿宋" w:cs="Times New Roman"/>
          <w:color w:val="auto"/>
          <w:spacing w:val="-6"/>
          <w:szCs w:val="24"/>
          <w:lang w:eastAsia="zh-CN"/>
        </w:rPr>
        <w:t>：塔基及临时施工区区与施工便道区水土保持典型措施布设图；</w:t>
      </w:r>
    </w:p>
    <w:p>
      <w:pPr>
        <w:spacing w:line="360" w:lineRule="auto"/>
        <w:ind w:firstLine="464"/>
        <w:rPr>
          <w:rFonts w:eastAsia="仿宋" w:cs="Times New Roman"/>
          <w:color w:val="auto"/>
          <w:spacing w:val="-4"/>
          <w:szCs w:val="24"/>
          <w:lang w:eastAsia="zh-CN"/>
        </w:rPr>
      </w:pPr>
      <w:r>
        <w:rPr>
          <w:rFonts w:eastAsia="仿宋" w:cs="Times New Roman"/>
          <w:color w:val="auto"/>
          <w:spacing w:val="-4"/>
          <w:szCs w:val="24"/>
          <w:lang w:eastAsia="zh-CN"/>
        </w:rPr>
        <w:t>附图 12：</w:t>
      </w:r>
      <w:r>
        <w:rPr>
          <w:rFonts w:hint="eastAsia" w:eastAsia="仿宋" w:cs="Times New Roman"/>
          <w:color w:val="auto"/>
          <w:spacing w:val="-4"/>
          <w:szCs w:val="24"/>
          <w:lang w:eastAsia="zh-CN"/>
        </w:rPr>
        <w:t>跨域场与电缆敷设占地区水土保持典型措施布设图</w:t>
      </w:r>
    </w:p>
    <w:p>
      <w:pPr>
        <w:widowControl w:val="0"/>
        <w:tabs>
          <w:tab w:val="right" w:leader="dot" w:pos="8334"/>
        </w:tabs>
        <w:kinsoku/>
        <w:topLinePunct/>
        <w:autoSpaceDE/>
        <w:autoSpaceDN/>
        <w:spacing w:before="260" w:line="220" w:lineRule="auto"/>
        <w:ind w:left="254" w:firstLine="480"/>
        <w:rPr>
          <w:rFonts w:cs="Times New Roman"/>
          <w:color w:val="auto"/>
          <w:szCs w:val="24"/>
          <w:lang w:eastAsia="zh-CN"/>
        </w:rPr>
      </w:pPr>
    </w:p>
    <w:p>
      <w:pPr>
        <w:widowControl w:val="0"/>
        <w:kinsoku/>
        <w:topLinePunct/>
        <w:autoSpaceDE/>
        <w:autoSpaceDN/>
        <w:spacing w:line="300" w:lineRule="auto"/>
        <w:ind w:firstLine="480"/>
        <w:rPr>
          <w:rFonts w:cs="Times New Roman"/>
          <w:color w:val="auto"/>
          <w:lang w:eastAsia="zh-CN"/>
        </w:rPr>
        <w:sectPr>
          <w:headerReference r:id="rId11" w:type="default"/>
          <w:footerReference r:id="rId12" w:type="default"/>
          <w:pgSz w:w="11906" w:h="16838"/>
          <w:pgMar w:top="1440" w:right="1797" w:bottom="1440" w:left="1797" w:header="851" w:footer="992" w:gutter="0"/>
          <w:pgNumType w:fmt="upperRoman" w:start="1"/>
          <w:cols w:space="425" w:num="1"/>
          <w:docGrid w:linePitch="312" w:charSpace="0"/>
        </w:sectPr>
      </w:pPr>
    </w:p>
    <w:p>
      <w:pPr>
        <w:pStyle w:val="2"/>
        <w:widowControl w:val="0"/>
        <w:kinsoku/>
        <w:topLinePunct/>
        <w:autoSpaceDE/>
        <w:autoSpaceDN/>
        <w:spacing w:before="120" w:after="120" w:line="300" w:lineRule="auto"/>
        <w:ind w:firstLine="0" w:firstLineChars="0"/>
        <w:jc w:val="center"/>
        <w:rPr>
          <w:rFonts w:cs="Times New Roman"/>
          <w:color w:val="auto"/>
          <w:sz w:val="32"/>
          <w:szCs w:val="32"/>
          <w:lang w:eastAsia="zh-CN"/>
        </w:rPr>
      </w:pPr>
      <w:bookmarkStart w:id="2" w:name="_Toc171533267"/>
      <w:r>
        <w:rPr>
          <w:rFonts w:cs="Times New Roman"/>
          <w:color w:val="auto"/>
          <w:sz w:val="32"/>
          <w:szCs w:val="32"/>
          <w:lang w:eastAsia="zh-CN"/>
        </w:rPr>
        <w:t>1  综合说明</w:t>
      </w:r>
      <w:bookmarkEnd w:id="2"/>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3" w:name="_Toc171533268"/>
      <w:r>
        <w:rPr>
          <w:rFonts w:ascii="Times New Roman" w:hAnsi="Times New Roman" w:eastAsia="仿宋_GB2312" w:cs="Times New Roman"/>
          <w:color w:val="auto"/>
          <w:sz w:val="30"/>
          <w:szCs w:val="30"/>
          <w:lang w:eastAsia="zh-CN"/>
        </w:rPr>
        <w:t>1.1 项目简况</w:t>
      </w:r>
      <w:bookmarkEnd w:id="3"/>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1.1.1 项目基本情况</w:t>
      </w:r>
    </w:p>
    <w:p>
      <w:pPr>
        <w:pStyle w:val="5"/>
        <w:widowControl w:val="0"/>
        <w:kinsoku/>
        <w:topLinePunct/>
        <w:autoSpaceDE/>
        <w:autoSpaceDN/>
        <w:spacing w:before="0" w:after="84" w:afterLines="35" w:line="300" w:lineRule="auto"/>
        <w:ind w:firstLine="0" w:firstLineChars="0"/>
        <w:rPr>
          <w:rFonts w:ascii="Times New Roman" w:hAnsi="Times New Roman" w:eastAsia="仿宋_GB2312" w:cs="Times New Roman"/>
          <w:color w:val="auto"/>
          <w:sz w:val="24"/>
          <w:szCs w:val="24"/>
          <w:lang w:eastAsia="zh-CN"/>
        </w:rPr>
      </w:pPr>
      <w:r>
        <w:rPr>
          <w:rFonts w:ascii="Times New Roman" w:hAnsi="Times New Roman" w:eastAsia="仿宋_GB2312" w:cs="Times New Roman"/>
          <w:color w:val="auto"/>
          <w:sz w:val="24"/>
          <w:szCs w:val="24"/>
          <w:lang w:eastAsia="zh-CN"/>
        </w:rPr>
        <w:t>1.1.1.1 项目建设必要性</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宣汉县隶属于四川省达州市，位于四川盆地东北部，县城距达州市区32公里。由于宣汉县先进智造产业园扩能，用电需求量加大，导致电力紧张。为满足片区负荷发展需求，提高供电可靠性，建设达州正达凯乙二醇220千伏输电线路工程是必要的。根据《产业结构调整指导目录（2024年本）》，拟建项目为电力基础设施建设，属于鼓励类项目。</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综上所述，本项目的建设符合国家产业政策，项目建成后可有效解决宣汉县先进智造产业园用电问题，既改善了该地区产业环境，也带动了相关产业的发展，体现项目区的土地资源的优化配置；具有可观的经济和显著的社会效益，因此，建设本项目是非常必要的。</w:t>
      </w:r>
    </w:p>
    <w:p>
      <w:pPr>
        <w:pStyle w:val="5"/>
        <w:widowControl w:val="0"/>
        <w:kinsoku/>
        <w:topLinePunct/>
        <w:autoSpaceDE/>
        <w:autoSpaceDN/>
        <w:spacing w:before="0" w:after="84" w:afterLines="35" w:line="300" w:lineRule="auto"/>
        <w:ind w:firstLine="0" w:firstLineChars="0"/>
        <w:rPr>
          <w:rFonts w:ascii="Times New Roman" w:hAnsi="Times New Roman" w:eastAsia="仿宋_GB2312" w:cs="Times New Roman"/>
          <w:color w:val="auto"/>
          <w:sz w:val="24"/>
          <w:szCs w:val="24"/>
          <w:lang w:eastAsia="zh-CN"/>
        </w:rPr>
      </w:pPr>
      <w:r>
        <w:rPr>
          <w:rFonts w:ascii="Times New Roman" w:hAnsi="Times New Roman" w:eastAsia="仿宋_GB2312" w:cs="Times New Roman"/>
          <w:color w:val="auto"/>
          <w:sz w:val="24"/>
          <w:szCs w:val="24"/>
          <w:lang w:eastAsia="zh-CN"/>
        </w:rPr>
        <w:t>1.1.1.2 项目情况</w:t>
      </w:r>
    </w:p>
    <w:p>
      <w:pPr>
        <w:widowControl w:val="0"/>
        <w:kinsoku/>
        <w:topLinePunct/>
        <w:autoSpaceDE/>
        <w:autoSpaceDN/>
        <w:spacing w:line="360" w:lineRule="auto"/>
        <w:ind w:firstLine="480"/>
        <w:jc w:val="both"/>
        <w:rPr>
          <w:rFonts w:cs="Times New Roman"/>
          <w:color w:val="auto"/>
          <w:szCs w:val="24"/>
          <w:lang w:eastAsia="zh-CN"/>
        </w:rPr>
      </w:pPr>
      <w:bookmarkStart w:id="4" w:name="_Hlk149117362"/>
      <w:r>
        <w:rPr>
          <w:rFonts w:cs="Times New Roman"/>
          <w:color w:val="auto"/>
          <w:szCs w:val="24"/>
          <w:lang w:eastAsia="zh-CN"/>
        </w:rPr>
        <w:t>达州正达凯乙二醇220千伏输电线路工程</w:t>
      </w:r>
      <w:r>
        <w:rPr>
          <w:rFonts w:cs="Times New Roman"/>
          <w:color w:val="auto"/>
          <w:kern w:val="2"/>
          <w:szCs w:val="24"/>
          <w:lang w:eastAsia="zh-CN"/>
        </w:rPr>
        <w:t>位于</w:t>
      </w:r>
      <w:r>
        <w:rPr>
          <w:rFonts w:cs="Times New Roman"/>
          <w:color w:val="auto"/>
          <w:szCs w:val="24"/>
          <w:lang w:eastAsia="zh-CN"/>
        </w:rPr>
        <w:t>四川省达州市宣汉县，涉及普光镇和双河镇（玛瑙500kV变电站220kV间隔扩建工程坐标107°38′17.01″E，31°30′23.19″N；芭蕉220kV变电站220kV间隔扩建工程坐标107°46′28.98″E，31°32′52.00″N；玛瑙-正达凯220kV线路工程起点坐标107°38′21.00″E，31°30′27.44″N，终点坐标107°40′45.44″E，31°30′51.65″N；芭蕉-正达凯220kV线路工程起点坐标107°46′28.24″E，31°32′49.94″N，终点坐标107°40′45.03″E，31°30′52.39″N）。</w:t>
      </w:r>
    </w:p>
    <w:p>
      <w:pPr>
        <w:widowControl w:val="0"/>
        <w:kinsoku/>
        <w:topLinePunct/>
        <w:autoSpaceDE/>
        <w:autoSpaceDN/>
        <w:spacing w:line="360" w:lineRule="auto"/>
        <w:ind w:firstLine="480"/>
        <w:jc w:val="both"/>
        <w:rPr>
          <w:rFonts w:cs="Times New Roman"/>
          <w:color w:val="auto"/>
          <w:szCs w:val="24"/>
          <w:lang w:eastAsia="zh-CN"/>
        </w:rPr>
      </w:pPr>
      <w:r>
        <w:rPr>
          <w:color w:val="auto"/>
          <w:lang w:eastAsia="zh-CN"/>
        </w:rPr>
        <w:t>本项目为新建建设类项目，</w:t>
      </w:r>
      <w:r>
        <w:rPr>
          <w:rFonts w:cs="Times New Roman"/>
          <w:color w:val="auto"/>
          <w:szCs w:val="24"/>
          <w:lang w:eastAsia="zh-CN"/>
        </w:rPr>
        <w:t>包括4个单项工程，分别为：玛瑙500kV变电站220kV间隔扩建工程；芭蕉220kV变电站220kV间隔扩建工程；玛瑙-正达凯220kV线路工程，新建单回架空线路全长为4.683公里，曲折系数为1.15。塔位共计16个（NA1-NA16）；芭蕉-正达凯220kV线路工程，新建单回线路全长约12.452km（其中，架空约12.392km，电缆约0.06km），塔位共计32个（NB1-NB32）。</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本工程总占地面积为3.81hm</w:t>
      </w:r>
      <w:r>
        <w:rPr>
          <w:rFonts w:cs="Times New Roman"/>
          <w:color w:val="auto"/>
          <w:szCs w:val="24"/>
          <w:vertAlign w:val="superscript"/>
          <w:lang w:eastAsia="zh-CN"/>
        </w:rPr>
        <w:t>2</w:t>
      </w:r>
      <w:r>
        <w:rPr>
          <w:rFonts w:cs="Times New Roman"/>
          <w:color w:val="auto"/>
          <w:szCs w:val="24"/>
          <w:lang w:eastAsia="zh-CN"/>
        </w:rPr>
        <w:t>，其中永久占地0.95hm</w:t>
      </w:r>
      <w:r>
        <w:rPr>
          <w:rFonts w:cs="Times New Roman"/>
          <w:color w:val="auto"/>
          <w:szCs w:val="24"/>
          <w:vertAlign w:val="superscript"/>
          <w:lang w:eastAsia="zh-CN"/>
        </w:rPr>
        <w:t>2</w:t>
      </w:r>
      <w:r>
        <w:rPr>
          <w:rFonts w:cs="Times New Roman"/>
          <w:color w:val="auto"/>
          <w:szCs w:val="24"/>
          <w:lang w:eastAsia="zh-CN"/>
        </w:rPr>
        <w:t>，临时占地2.86hm</w:t>
      </w:r>
      <w:r>
        <w:rPr>
          <w:rFonts w:cs="Times New Roman"/>
          <w:color w:val="auto"/>
          <w:szCs w:val="24"/>
          <w:vertAlign w:val="superscript"/>
          <w:lang w:eastAsia="zh-CN"/>
        </w:rPr>
        <w:t>2</w:t>
      </w:r>
      <w:r>
        <w:rPr>
          <w:rFonts w:cs="Times New Roman"/>
          <w:color w:val="auto"/>
          <w:szCs w:val="24"/>
          <w:lang w:eastAsia="zh-CN"/>
        </w:rPr>
        <w:t>，占地类型</w:t>
      </w:r>
      <w:r>
        <w:rPr>
          <w:rFonts w:hint="eastAsia" w:cs="Times New Roman"/>
          <w:color w:val="auto"/>
          <w:szCs w:val="24"/>
          <w:lang w:eastAsia="zh-CN"/>
        </w:rPr>
        <w:t>主要</w:t>
      </w:r>
      <w:r>
        <w:rPr>
          <w:rFonts w:cs="Times New Roman"/>
          <w:color w:val="auto"/>
          <w:szCs w:val="24"/>
          <w:lang w:eastAsia="zh-CN"/>
        </w:rPr>
        <w:t>为公共管理与公共服务用地和林地。</w:t>
      </w:r>
    </w:p>
    <w:p>
      <w:pPr>
        <w:widowControl w:val="0"/>
        <w:kinsoku/>
        <w:topLinePunct/>
        <w:autoSpaceDE/>
        <w:autoSpaceDN/>
        <w:spacing w:line="360" w:lineRule="auto"/>
        <w:ind w:firstLine="480"/>
        <w:jc w:val="both"/>
        <w:rPr>
          <w:rFonts w:cs="Times New Roman"/>
          <w:color w:val="auto"/>
          <w:szCs w:val="24"/>
          <w:lang w:eastAsia="zh-CN"/>
        </w:rPr>
      </w:pPr>
      <w:bookmarkStart w:id="5" w:name="_Hlk149141523"/>
      <w:r>
        <w:rPr>
          <w:rFonts w:cs="Times New Roman"/>
          <w:color w:val="auto"/>
          <w:szCs w:val="24"/>
          <w:lang w:eastAsia="zh-CN"/>
        </w:rPr>
        <w:t>本工程土石方挖填方总量为5434m</w:t>
      </w:r>
      <w:r>
        <w:rPr>
          <w:rFonts w:cs="Times New Roman"/>
          <w:color w:val="auto"/>
          <w:szCs w:val="24"/>
          <w:vertAlign w:val="superscript"/>
          <w:lang w:eastAsia="zh-CN"/>
        </w:rPr>
        <w:t>3</w:t>
      </w:r>
      <w:r>
        <w:rPr>
          <w:rFonts w:cs="Times New Roman"/>
          <w:color w:val="auto"/>
          <w:szCs w:val="24"/>
          <w:lang w:eastAsia="zh-CN"/>
        </w:rPr>
        <w:t>（含表土剥离1672m</w:t>
      </w:r>
      <w:r>
        <w:rPr>
          <w:rFonts w:cs="Times New Roman"/>
          <w:color w:val="auto"/>
          <w:szCs w:val="24"/>
          <w:vertAlign w:val="superscript"/>
          <w:lang w:eastAsia="zh-CN"/>
        </w:rPr>
        <w:t>3</w:t>
      </w:r>
      <w:r>
        <w:rPr>
          <w:rFonts w:cs="Times New Roman"/>
          <w:color w:val="auto"/>
          <w:szCs w:val="24"/>
          <w:lang w:eastAsia="zh-CN"/>
        </w:rPr>
        <w:t>），总填方5434m</w:t>
      </w:r>
      <w:r>
        <w:rPr>
          <w:rFonts w:cs="Times New Roman"/>
          <w:color w:val="auto"/>
          <w:szCs w:val="24"/>
          <w:vertAlign w:val="superscript"/>
          <w:lang w:eastAsia="zh-CN"/>
        </w:rPr>
        <w:t>3</w:t>
      </w:r>
      <w:r>
        <w:rPr>
          <w:rFonts w:cs="Times New Roman"/>
          <w:color w:val="auto"/>
          <w:szCs w:val="24"/>
          <w:lang w:eastAsia="zh-CN"/>
        </w:rPr>
        <w:t>（含表土回覆1672m</w:t>
      </w:r>
      <w:r>
        <w:rPr>
          <w:rFonts w:cs="Times New Roman"/>
          <w:color w:val="auto"/>
          <w:szCs w:val="24"/>
          <w:vertAlign w:val="superscript"/>
          <w:lang w:eastAsia="zh-CN"/>
        </w:rPr>
        <w:t>3</w:t>
      </w:r>
      <w:r>
        <w:rPr>
          <w:rFonts w:cs="Times New Roman"/>
          <w:color w:val="auto"/>
          <w:szCs w:val="24"/>
          <w:lang w:eastAsia="zh-CN"/>
        </w:rPr>
        <w:t>），无借方余方产生。</w:t>
      </w:r>
    </w:p>
    <w:bookmarkEnd w:id="5"/>
    <w:p>
      <w:pPr>
        <w:widowControl w:val="0"/>
        <w:kinsoku/>
        <w:topLinePunct/>
        <w:autoSpaceDE/>
        <w:autoSpaceDN/>
        <w:spacing w:line="360" w:lineRule="auto"/>
        <w:ind w:firstLine="480"/>
        <w:jc w:val="both"/>
        <w:rPr>
          <w:color w:val="auto"/>
          <w:lang w:eastAsia="zh-CN"/>
        </w:rPr>
      </w:pPr>
      <w:r>
        <w:rPr>
          <w:rFonts w:cs="Times New Roman"/>
          <w:color w:val="auto"/>
          <w:szCs w:val="24"/>
          <w:lang w:eastAsia="zh-CN"/>
        </w:rPr>
        <w:t>本项目不涉及拆迁（移民）数量及安置。</w:t>
      </w:r>
      <w:r>
        <w:rPr>
          <w:color w:val="auto"/>
          <w:lang w:eastAsia="zh-CN"/>
        </w:rPr>
        <w:t>本项目计划于202</w:t>
      </w:r>
      <w:r>
        <w:rPr>
          <w:rFonts w:hint="eastAsia"/>
          <w:color w:val="auto"/>
          <w:lang w:eastAsia="zh-CN"/>
        </w:rPr>
        <w:t>4</w:t>
      </w:r>
      <w:r>
        <w:rPr>
          <w:color w:val="auto"/>
          <w:lang w:eastAsia="zh-CN"/>
        </w:rPr>
        <w:t>年</w:t>
      </w:r>
      <w:r>
        <w:rPr>
          <w:rFonts w:hint="eastAsia"/>
          <w:color w:val="auto"/>
          <w:lang w:eastAsia="zh-CN"/>
        </w:rPr>
        <w:t>8</w:t>
      </w:r>
      <w:r>
        <w:rPr>
          <w:color w:val="auto"/>
          <w:lang w:eastAsia="zh-CN"/>
        </w:rPr>
        <w:t>月开工，202</w:t>
      </w:r>
      <w:r>
        <w:rPr>
          <w:rFonts w:hint="eastAsia"/>
          <w:color w:val="auto"/>
          <w:lang w:eastAsia="zh-CN"/>
        </w:rPr>
        <w:t>5</w:t>
      </w:r>
      <w:r>
        <w:rPr>
          <w:color w:val="auto"/>
          <w:lang w:eastAsia="zh-CN"/>
        </w:rPr>
        <w:t>年</w:t>
      </w:r>
      <w:r>
        <w:rPr>
          <w:rFonts w:hint="eastAsia"/>
          <w:color w:val="auto"/>
          <w:lang w:eastAsia="zh-CN"/>
        </w:rPr>
        <w:t>4</w:t>
      </w:r>
      <w:r>
        <w:rPr>
          <w:color w:val="auto"/>
          <w:lang w:eastAsia="zh-CN"/>
        </w:rPr>
        <w:t>月完工，总工期</w:t>
      </w:r>
      <w:r>
        <w:rPr>
          <w:rFonts w:hint="eastAsia"/>
          <w:color w:val="auto"/>
          <w:lang w:eastAsia="zh-CN"/>
        </w:rPr>
        <w:t>9</w:t>
      </w:r>
      <w:r>
        <w:rPr>
          <w:color w:val="auto"/>
          <w:lang w:eastAsia="zh-CN"/>
        </w:rPr>
        <w:t>个月。</w:t>
      </w:r>
      <w:r>
        <w:rPr>
          <w:rFonts w:cs="Times New Roman"/>
          <w:color w:val="auto"/>
          <w:szCs w:val="24"/>
          <w:lang w:eastAsia="zh-CN"/>
        </w:rPr>
        <w:t>总投资9739万元，</w:t>
      </w:r>
      <w:r>
        <w:rPr>
          <w:rFonts w:hint="eastAsia" w:cs="Times New Roman"/>
          <w:color w:val="auto"/>
          <w:szCs w:val="24"/>
          <w:lang w:eastAsia="zh-CN"/>
        </w:rPr>
        <w:t>其中</w:t>
      </w:r>
      <w:r>
        <w:rPr>
          <w:rFonts w:cs="Times New Roman"/>
          <w:color w:val="auto"/>
          <w:szCs w:val="24"/>
          <w:lang w:eastAsia="zh-CN"/>
        </w:rPr>
        <w:t>土建投资2435万元。</w:t>
      </w:r>
      <w:r>
        <w:rPr>
          <w:color w:val="auto"/>
          <w:lang w:eastAsia="zh-CN"/>
        </w:rPr>
        <w:t>资金来源为建设单位自筹及银行贷款</w:t>
      </w:r>
      <w:r>
        <w:rPr>
          <w:rFonts w:hint="eastAsia"/>
          <w:color w:val="auto"/>
          <w:lang w:eastAsia="zh-CN"/>
        </w:rPr>
        <w:t>。</w:t>
      </w:r>
    </w:p>
    <w:bookmarkEnd w:id="4"/>
    <w:p>
      <w:pPr>
        <w:pStyle w:val="4"/>
        <w:widowControl w:val="0"/>
        <w:kinsoku/>
        <w:topLinePunct/>
        <w:autoSpaceDE/>
        <w:autoSpaceDN/>
        <w:spacing w:before="120" w:after="120" w:line="300" w:lineRule="auto"/>
        <w:ind w:firstLine="0" w:firstLineChars="0"/>
        <w:jc w:val="both"/>
        <w:rPr>
          <w:rFonts w:cs="Times New Roman"/>
          <w:color w:val="auto"/>
          <w:sz w:val="28"/>
          <w:szCs w:val="28"/>
          <w:lang w:eastAsia="zh-CN"/>
        </w:rPr>
      </w:pPr>
      <w:r>
        <w:rPr>
          <w:rFonts w:cs="Times New Roman"/>
          <w:color w:val="auto"/>
          <w:sz w:val="28"/>
          <w:szCs w:val="28"/>
          <w:lang w:eastAsia="zh-CN"/>
        </w:rPr>
        <w:t>1.1.2 项目前期工作进展情况</w:t>
      </w:r>
    </w:p>
    <w:p>
      <w:pPr>
        <w:pStyle w:val="5"/>
        <w:widowControl w:val="0"/>
        <w:kinsoku/>
        <w:topLinePunct/>
        <w:autoSpaceDE/>
        <w:autoSpaceDN/>
        <w:spacing w:before="0" w:after="84" w:afterLines="35" w:line="300" w:lineRule="auto"/>
        <w:ind w:firstLine="0" w:firstLineChars="0"/>
        <w:rPr>
          <w:rFonts w:ascii="Times New Roman" w:hAnsi="Times New Roman" w:eastAsia="仿宋_GB2312" w:cs="Times New Roman"/>
          <w:color w:val="auto"/>
          <w:sz w:val="24"/>
          <w:szCs w:val="24"/>
          <w:lang w:eastAsia="zh-CN"/>
        </w:rPr>
      </w:pPr>
      <w:r>
        <w:fldChar w:fldCharType="begin"/>
      </w:r>
      <w:r>
        <w:instrText xml:space="preserve"> HYPERLINK "file:///G:\\20231019水保填表\\A01A02水保\\1.1.2.1" </w:instrText>
      </w:r>
      <w:r>
        <w:fldChar w:fldCharType="separate"/>
      </w:r>
      <w:r>
        <w:rPr>
          <w:rFonts w:ascii="Times New Roman" w:hAnsi="Times New Roman" w:eastAsia="仿宋_GB2312" w:cs="Times New Roman"/>
          <w:color w:val="auto"/>
          <w:sz w:val="24"/>
          <w:szCs w:val="24"/>
          <w:lang w:eastAsia="zh-CN"/>
        </w:rPr>
        <w:t>1.1.2.1</w:t>
      </w:r>
      <w:r>
        <w:rPr>
          <w:rFonts w:ascii="Times New Roman" w:hAnsi="Times New Roman" w:eastAsia="仿宋_GB2312" w:cs="Times New Roman"/>
          <w:color w:val="auto"/>
          <w:sz w:val="24"/>
          <w:szCs w:val="24"/>
          <w:lang w:eastAsia="zh-CN"/>
        </w:rPr>
        <w:fldChar w:fldCharType="end"/>
      </w:r>
      <w:r>
        <w:rPr>
          <w:rFonts w:ascii="Times New Roman" w:hAnsi="Times New Roman" w:eastAsia="仿宋_GB2312" w:cs="Times New Roman"/>
          <w:color w:val="auto"/>
          <w:sz w:val="24"/>
          <w:szCs w:val="24"/>
          <w:lang w:eastAsia="zh-CN"/>
        </w:rPr>
        <w:t xml:space="preserve"> 项目前期工作进展简况</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2023年8月，四川南充电力设计有限公司完成《达州正达凯乙二醇220千伏输电线路工程可行性研究》，2023年11月3日，四川省发展和改革委员会以《四川省发展和改革委员会关于于达州正达凯乙二醇220千伏输电线路工程项目核准的批复》（川发改能源〔2023〕543 号）对本工程进行了核准，详见附件3。</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202</w:t>
      </w:r>
      <w:r>
        <w:rPr>
          <w:rFonts w:hint="eastAsia" w:cs="Times New Roman"/>
          <w:color w:val="auto"/>
          <w:szCs w:val="24"/>
          <w:lang w:eastAsia="zh-CN"/>
        </w:rPr>
        <w:t>4</w:t>
      </w:r>
      <w:r>
        <w:rPr>
          <w:rFonts w:cs="Times New Roman"/>
          <w:color w:val="auto"/>
          <w:szCs w:val="24"/>
          <w:lang w:eastAsia="zh-CN"/>
        </w:rPr>
        <w:t>年12月</w:t>
      </w:r>
      <w:bookmarkStart w:id="6" w:name="_Hlk149137966"/>
      <w:r>
        <w:rPr>
          <w:rFonts w:cs="Times New Roman"/>
          <w:color w:val="auto"/>
          <w:szCs w:val="24"/>
          <w:lang w:eastAsia="zh-CN"/>
        </w:rPr>
        <w:t>四川南充电力设计有限公司完成《达州正达凯乙二醇220千伏输电线路工程</w:t>
      </w:r>
      <w:r>
        <w:rPr>
          <w:rFonts w:hint="eastAsia" w:cs="Times New Roman"/>
          <w:color w:val="auto"/>
          <w:szCs w:val="24"/>
          <w:lang w:eastAsia="zh-CN"/>
        </w:rPr>
        <w:t>施工图</w:t>
      </w:r>
      <w:r>
        <w:rPr>
          <w:rFonts w:cs="Times New Roman"/>
          <w:color w:val="auto"/>
          <w:szCs w:val="24"/>
          <w:lang w:eastAsia="zh-CN"/>
        </w:rPr>
        <w:t>设计》</w:t>
      </w:r>
      <w:bookmarkEnd w:id="6"/>
      <w:r>
        <w:rPr>
          <w:rFonts w:cs="Times New Roman"/>
          <w:color w:val="auto"/>
          <w:szCs w:val="24"/>
          <w:lang w:eastAsia="zh-CN"/>
        </w:rPr>
        <w:t>报告。</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本项目立项必备文件包括环境影响评价、地质灾害危险性评估等，各专题报告的相关评审、上报工作按照国家规定进行。</w:t>
      </w:r>
    </w:p>
    <w:p>
      <w:pPr>
        <w:pStyle w:val="5"/>
        <w:widowControl w:val="0"/>
        <w:kinsoku/>
        <w:topLinePunct/>
        <w:autoSpaceDE/>
        <w:autoSpaceDN/>
        <w:spacing w:before="0" w:after="84" w:afterLines="35" w:line="300" w:lineRule="auto"/>
        <w:ind w:firstLine="0" w:firstLineChars="0"/>
        <w:rPr>
          <w:rFonts w:ascii="Times New Roman" w:hAnsi="Times New Roman" w:eastAsia="仿宋_GB2312" w:cs="Times New Roman"/>
          <w:color w:val="auto"/>
          <w:sz w:val="24"/>
          <w:szCs w:val="24"/>
          <w:lang w:eastAsia="zh-CN"/>
        </w:rPr>
      </w:pPr>
      <w:r>
        <w:fldChar w:fldCharType="begin"/>
      </w:r>
      <w:r>
        <w:instrText xml:space="preserve"> HYPERLINK "file:///G:\\20231019水保填表\\A01A02水保\\1.1.2.2" </w:instrText>
      </w:r>
      <w:r>
        <w:fldChar w:fldCharType="separate"/>
      </w:r>
      <w:r>
        <w:rPr>
          <w:rFonts w:ascii="Times New Roman" w:hAnsi="Times New Roman" w:eastAsia="仿宋_GB2312" w:cs="Times New Roman"/>
          <w:color w:val="auto"/>
          <w:sz w:val="24"/>
          <w:szCs w:val="24"/>
          <w:lang w:eastAsia="zh-CN"/>
        </w:rPr>
        <w:t>1.1.2.2</w:t>
      </w:r>
      <w:r>
        <w:rPr>
          <w:rFonts w:ascii="Times New Roman" w:hAnsi="Times New Roman" w:eastAsia="仿宋_GB2312" w:cs="Times New Roman"/>
          <w:color w:val="auto"/>
          <w:sz w:val="24"/>
          <w:szCs w:val="24"/>
          <w:lang w:eastAsia="zh-CN"/>
        </w:rPr>
        <w:fldChar w:fldCharType="end"/>
      </w:r>
      <w:r>
        <w:rPr>
          <w:rFonts w:ascii="Times New Roman" w:hAnsi="Times New Roman" w:eastAsia="仿宋_GB2312" w:cs="Times New Roman"/>
          <w:color w:val="auto"/>
          <w:sz w:val="24"/>
          <w:szCs w:val="24"/>
          <w:lang w:eastAsia="zh-CN"/>
        </w:rPr>
        <w:t xml:space="preserve"> 水土保持方案编制工作简况</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根据《中华人民共和国水土保持法》及水利部、国家计委、国家环保总局联 合发布的《开发建设项目水土保持管理办法》、水利部令第49号《开发建设项目水土保持方案编报审批管理规定》等法律、规章的要求，建设单位达州普光建设开发有限公司委托四川省川核鑫达地质工程有限公司（以下简称“我公司”）承担了该项目的水土保持方案报告表编制工作。受委托后，组织工程技术人员对本项目进行了现场调查，收集了项目区有关社会经济、水土保持等方面的资料，参考主体设计，在分析研究资料的基础上，于2024年</w:t>
      </w:r>
      <w:r>
        <w:rPr>
          <w:rFonts w:hint="eastAsia" w:cs="Times New Roman"/>
          <w:color w:val="auto"/>
          <w:szCs w:val="24"/>
          <w:lang w:eastAsia="zh-CN"/>
        </w:rPr>
        <w:t>5</w:t>
      </w:r>
      <w:r>
        <w:rPr>
          <w:rFonts w:cs="Times New Roman"/>
          <w:color w:val="auto"/>
          <w:szCs w:val="24"/>
          <w:lang w:eastAsia="zh-CN"/>
        </w:rPr>
        <w:t>月编制完成了《达州正达凯乙二醇220千伏输电线路工程水土保持方案报告表》</w:t>
      </w:r>
      <w:r>
        <w:rPr>
          <w:color w:val="auto"/>
          <w:lang w:eastAsia="zh-CN"/>
        </w:rPr>
        <w:t>(送审稿) 并送专家评审。其后我公司根据专家评审意见进行了认真修改完善，于202</w:t>
      </w:r>
      <w:r>
        <w:rPr>
          <w:rFonts w:hint="eastAsia"/>
          <w:color w:val="auto"/>
          <w:lang w:eastAsia="zh-CN"/>
        </w:rPr>
        <w:t>4</w:t>
      </w:r>
      <w:r>
        <w:rPr>
          <w:color w:val="auto"/>
          <w:lang w:eastAsia="zh-CN"/>
        </w:rPr>
        <w:t>年</w:t>
      </w:r>
      <w:r>
        <w:rPr>
          <w:rFonts w:hint="eastAsia"/>
          <w:color w:val="auto"/>
          <w:lang w:eastAsia="zh-CN"/>
        </w:rPr>
        <w:t>6</w:t>
      </w:r>
      <w:r>
        <w:rPr>
          <w:color w:val="auto"/>
          <w:lang w:eastAsia="zh-CN"/>
        </w:rPr>
        <w:t>月编制完成《</w:t>
      </w:r>
      <w:r>
        <w:rPr>
          <w:rFonts w:cs="Times New Roman"/>
          <w:color w:val="auto"/>
          <w:szCs w:val="24"/>
          <w:lang w:eastAsia="zh-CN"/>
        </w:rPr>
        <w:t>达州正达凯乙二醇220千伏输电线路工程</w:t>
      </w:r>
      <w:r>
        <w:rPr>
          <w:color w:val="auto"/>
          <w:lang w:eastAsia="zh-CN"/>
        </w:rPr>
        <w:t>水土保持方案报告表(报批稿)》。</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1.1.3 自然简况</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位于达州市宣汉县，变电站处间隔扩建为平坝地貌，地形坡度1°~6°。线路工程属丘陵~低山地貌，路径相对高差0～150m，地形坡度为6°~35°。根据《中国地震动参数区划图》（GB18306-2015），项目区地震动峰值加速度为0.05g，地震反应谱特征周期定为0.35s，地震基本烈度为VI度。</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项目区域内土壤主要为黄壤、紫色土。黄壤：主要分布在丘陵~低山区，成土母质比较复杂，由砂泥岩、第四系粘土及砾石的残积、坡积和堆积母质发育而成。土壤多呈酸性反应，其共同特点是粘、酸、瘦、缺磷。</w:t>
      </w:r>
      <w:bookmarkStart w:id="7" w:name="_Hlk162613538"/>
      <w:r>
        <w:rPr>
          <w:rFonts w:cs="Times New Roman"/>
          <w:color w:val="auto"/>
          <w:szCs w:val="24"/>
          <w:lang w:eastAsia="zh-CN"/>
        </w:rPr>
        <w:t>紫色土</w:t>
      </w:r>
      <w:bookmarkEnd w:id="7"/>
      <w:r>
        <w:rPr>
          <w:rFonts w:cs="Times New Roman"/>
          <w:color w:val="auto"/>
          <w:szCs w:val="24"/>
          <w:lang w:eastAsia="zh-CN"/>
        </w:rPr>
        <w:t>：一般含碳酸钙，呈中性或微碱性反应。有机质含量低，磷、钾丰富。由于紫色土母岩松疏，易于崩解，矿质养分含量丰富，肥力较高，其发育程度较同地区的红、黄壤为迟缓，尚不具脱硅富铝化特征，属化学风化微弱的土壤，呈中性至微碱性反应。</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经现场踏勘，表土平均厚度约为10cm~30cm，项目区以黄壤土及紫色土为主，项目表土可剥离范围为变电站工程施 工场地区域、线路工程塔基永久占地范围、施工便道临时占地范围以及电缆工程占地范围，总剥离面积为9970m</w:t>
      </w:r>
      <w:r>
        <w:rPr>
          <w:rFonts w:cs="Times New Roman"/>
          <w:color w:val="auto"/>
          <w:szCs w:val="24"/>
          <w:vertAlign w:val="superscript"/>
          <w:lang w:eastAsia="zh-CN"/>
        </w:rPr>
        <w:t>2</w:t>
      </w:r>
      <w:r>
        <w:rPr>
          <w:rFonts w:cs="Times New Roman"/>
          <w:color w:val="auto"/>
          <w:szCs w:val="24"/>
          <w:lang w:eastAsia="zh-CN"/>
        </w:rPr>
        <w:t>。项目属于亚热带常绿阔叶林地带。自然植被由亚热带常绿阔叶林、低山常绿针叶林、竹林组成，森林以人工松柏林为主，部分区域有成片针阔混交林。工程区林草覆盖率在60%左右。</w:t>
      </w:r>
    </w:p>
    <w:p>
      <w:pPr>
        <w:kinsoku/>
        <w:topLinePunct/>
        <w:autoSpaceDE/>
        <w:autoSpaceDN/>
        <w:adjustRightInd/>
        <w:snapToGrid/>
        <w:spacing w:line="360" w:lineRule="auto"/>
        <w:ind w:firstLine="480"/>
        <w:contextualSpacing/>
        <w:jc w:val="both"/>
        <w:textAlignment w:val="auto"/>
        <w:rPr>
          <w:rFonts w:cs="Times New Roman"/>
          <w:snapToGrid/>
          <w:color w:val="auto"/>
          <w:szCs w:val="20"/>
          <w:lang w:eastAsia="zh-CN"/>
        </w:rPr>
      </w:pPr>
      <w:r>
        <w:rPr>
          <w:rFonts w:cs="Times New Roman"/>
          <w:snapToGrid/>
          <w:color w:val="auto"/>
          <w:szCs w:val="20"/>
          <w:lang w:eastAsia="zh-CN"/>
        </w:rPr>
        <w:t>项目区属亚热带润湿气候区，具有冬暖、春早、夏热、秋雨、多伏旱、日照适宜、无霜期长等特点。根据宣汉县气象站1951年～2010年实测系列，其多年平均气温16.8℃，极端最高气温41.3℃(1953.8.19)，极端最低气温-5.3℃（1956.1.9），多年平均降水量1239.4mm，多年平均蒸发量1113.0mm，多年平均相对湿度80%，多年平均日照时数1535.2h，多年平均无霜期298d，多年平均风速1.7m/s，历史最大风速18.0m/s（1982年），相应风向NE，实测年最大24h雨量194.1mm（1980.6.6），年最大1h雨量77.6mm（1960.6.30）。</w:t>
      </w:r>
    </w:p>
    <w:p>
      <w:pPr>
        <w:kinsoku/>
        <w:topLinePunct/>
        <w:autoSpaceDE/>
        <w:autoSpaceDN/>
        <w:adjustRightInd/>
        <w:snapToGrid/>
        <w:spacing w:line="360" w:lineRule="auto"/>
        <w:ind w:firstLine="480"/>
        <w:contextualSpacing/>
        <w:jc w:val="both"/>
        <w:textAlignment w:val="auto"/>
        <w:rPr>
          <w:rFonts w:cs="Times New Roman"/>
          <w:snapToGrid/>
          <w:color w:val="auto"/>
          <w:szCs w:val="20"/>
          <w:lang w:eastAsia="zh-CN"/>
        </w:rPr>
      </w:pPr>
      <w:r>
        <w:rPr>
          <w:rFonts w:cs="Times New Roman"/>
          <w:snapToGrid/>
          <w:color w:val="auto"/>
          <w:szCs w:val="20"/>
          <w:lang w:eastAsia="zh-CN"/>
        </w:rPr>
        <w:t>项目区土壤侵蚀类型以水力侵蚀为主，水土流失形式主要是片蚀和面蚀；项目区属于以水力侵蚀为主的西南土石山区，水土流失强度以轻度为主，项目区容许土壤流失量为500t/（km</w:t>
      </w:r>
      <w:r>
        <w:rPr>
          <w:rFonts w:cs="Times New Roman"/>
          <w:snapToGrid/>
          <w:color w:val="auto"/>
          <w:szCs w:val="20"/>
          <w:vertAlign w:val="superscript"/>
          <w:lang w:eastAsia="zh-CN"/>
        </w:rPr>
        <w:t>2</w:t>
      </w:r>
      <w:r>
        <w:rPr>
          <w:rFonts w:cs="Times New Roman"/>
          <w:snapToGrid/>
          <w:color w:val="auto"/>
          <w:szCs w:val="20"/>
          <w:lang w:eastAsia="zh-CN"/>
        </w:rPr>
        <w:t>·a）。根据《宣汉县水土保持规划》（2015-2030年）以及工程区的土壤类型、土地利用、植被覆盖度及地表坡度的现场调查结果，测算工程区原地貌土壤侵蚀模数1523t/（km</w:t>
      </w:r>
      <w:r>
        <w:rPr>
          <w:rFonts w:cs="Times New Roman"/>
          <w:snapToGrid/>
          <w:color w:val="auto"/>
          <w:szCs w:val="20"/>
          <w:vertAlign w:val="superscript"/>
          <w:lang w:eastAsia="zh-CN"/>
        </w:rPr>
        <w:t>2</w:t>
      </w:r>
      <w:r>
        <w:rPr>
          <w:rFonts w:cs="Times New Roman"/>
          <w:snapToGrid/>
          <w:color w:val="auto"/>
          <w:szCs w:val="20"/>
          <w:lang w:eastAsia="zh-CN"/>
        </w:rPr>
        <w:t>.a），流失强度表现为轻度。</w:t>
      </w:r>
    </w:p>
    <w:p>
      <w:pPr>
        <w:kinsoku/>
        <w:topLinePunct/>
        <w:autoSpaceDE/>
        <w:autoSpaceDN/>
        <w:adjustRightInd/>
        <w:snapToGrid/>
        <w:spacing w:line="360" w:lineRule="auto"/>
        <w:ind w:firstLine="480"/>
        <w:contextualSpacing/>
        <w:jc w:val="both"/>
        <w:textAlignment w:val="auto"/>
        <w:rPr>
          <w:rFonts w:cs="Times New Roman"/>
          <w:snapToGrid/>
          <w:color w:val="auto"/>
          <w:szCs w:val="20"/>
          <w:lang w:eastAsia="zh-CN"/>
        </w:rPr>
      </w:pPr>
      <w:r>
        <w:rPr>
          <w:rFonts w:cs="Times New Roman"/>
          <w:snapToGrid/>
          <w:color w:val="auto"/>
          <w:szCs w:val="20"/>
          <w:lang w:eastAsia="zh-CN"/>
        </w:rPr>
        <w:t>根据《水利部办公厅关于印发&lt;全国水土保持区划（试行）&gt;》（办水保〔2012〕512号），本项目所在宣汉县属于全国水土保持一级区划中的西南紫色土区。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snapToGrid/>
          <w:color w:val="auto"/>
          <w:szCs w:val="20"/>
          <w:lang w:eastAsia="zh-CN"/>
        </w:rPr>
        <w:t>根据《水利部办公厅关于印发&lt;全国水土保持规划国家级水土流失重点预防区和重点治理区复核划分成果&gt;的通知》（办水保〔2013〕188号）、《四川省水利厅关于印发&lt;四川省省级水土流失重点预防区和重点治理区划分成果&gt;的通知》（川水函〔2017〕482号），本项目区属于“嘉陵江及沱江中下游国家级水土流失重点治理区”。</w:t>
      </w:r>
    </w:p>
    <w:p>
      <w:pPr>
        <w:kinsoku/>
        <w:topLinePunct/>
        <w:autoSpaceDE/>
        <w:autoSpaceDN/>
        <w:adjustRightInd/>
        <w:snapToGrid/>
        <w:spacing w:line="360" w:lineRule="auto"/>
        <w:ind w:firstLine="480"/>
        <w:contextualSpacing/>
        <w:jc w:val="both"/>
        <w:textAlignment w:val="auto"/>
        <w:rPr>
          <w:rFonts w:cs="Times New Roman"/>
          <w:iCs/>
          <w:snapToGrid/>
          <w:color w:val="auto"/>
          <w:szCs w:val="20"/>
          <w:lang w:eastAsia="zh-CN"/>
        </w:rPr>
      </w:pPr>
      <w:r>
        <w:rPr>
          <w:rFonts w:cs="Times New Roman"/>
          <w:snapToGrid/>
          <w:color w:val="auto"/>
          <w:szCs w:val="20"/>
          <w:lang w:eastAsia="zh-CN"/>
        </w:rPr>
        <w:t>项目区不涉及饮用水水源保护区、水功能一级区的保护区和保留区、自然保护区、世界文化和自然遗产地、风景名胜区、地质公园、森林公园、重要湿地等。</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8" w:name="_Toc171533269"/>
      <w:r>
        <w:rPr>
          <w:rFonts w:ascii="Times New Roman" w:hAnsi="Times New Roman" w:eastAsia="仿宋_GB2312" w:cs="Times New Roman"/>
          <w:color w:val="auto"/>
          <w:sz w:val="30"/>
          <w:szCs w:val="30"/>
          <w:lang w:eastAsia="zh-CN"/>
        </w:rPr>
        <w:t>1.2 编制依据</w:t>
      </w:r>
      <w:bookmarkEnd w:id="8"/>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1.2.1 法律法规</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（1）《中华人民共和国水土保持法》（991年6月29日主席令第49号公布，</w:t>
      </w:r>
    </w:p>
    <w:p>
      <w:pPr>
        <w:widowControl w:val="0"/>
        <w:kinsoku/>
        <w:topLinePunct/>
        <w:autoSpaceDE/>
        <w:autoSpaceDN/>
        <w:spacing w:line="360" w:lineRule="auto"/>
        <w:ind w:firstLine="0" w:firstLineChars="0"/>
        <w:jc w:val="both"/>
        <w:rPr>
          <w:rFonts w:cs="Times New Roman"/>
          <w:color w:val="auto"/>
          <w:szCs w:val="24"/>
          <w:lang w:eastAsia="zh-CN"/>
        </w:rPr>
      </w:pPr>
      <w:r>
        <w:rPr>
          <w:rFonts w:cs="Times New Roman"/>
          <w:color w:val="auto"/>
          <w:szCs w:val="24"/>
          <w:lang w:eastAsia="zh-CN"/>
        </w:rPr>
        <w:t>2010年12月25日主席令第39号修订，2011年3月1日施行）</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（2）《四川省&lt;中华人民共和国水土保持法&gt;实施办法》（1993年12月15日通过，1997年10月17日第1次修正，2012年9月21日第2次修订，2012年12月1日施行）</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（3）《水利部办公厅关于印发生产建设项目水土保持技术文件编写和印格式规定（试行）的通知》（办水保［2018］135号，2018年7月12日）</w:t>
      </w:r>
    </w:p>
    <w:p>
      <w:pPr>
        <w:widowControl w:val="0"/>
        <w:kinsoku/>
        <w:topLinePunct/>
        <w:autoSpaceDE/>
        <w:autoSpaceDN/>
        <w:spacing w:line="360" w:lineRule="auto"/>
        <w:ind w:firstLine="480"/>
        <w:rPr>
          <w:rFonts w:cs="Times New Roman"/>
          <w:color w:val="auto"/>
          <w:lang w:eastAsia="zh-CN"/>
        </w:rPr>
      </w:pPr>
      <w:r>
        <w:rPr>
          <w:rFonts w:cs="Times New Roman"/>
          <w:color w:val="auto"/>
          <w:szCs w:val="24"/>
          <w:lang w:eastAsia="zh-CN"/>
        </w:rPr>
        <w:t>（4）</w:t>
      </w:r>
      <w:r>
        <w:rPr>
          <w:rFonts w:cs="Times New Roman"/>
          <w:color w:val="auto"/>
          <w:lang w:eastAsia="zh-CN"/>
        </w:rPr>
        <w:t>《生产建设项目水土保持方案管理办法》（水利部令第53号，2023年1月17日发布，2023年3月1日施行）；</w:t>
      </w:r>
    </w:p>
    <w:p>
      <w:pPr>
        <w:widowControl w:val="0"/>
        <w:kinsoku/>
        <w:topLinePunct/>
        <w:autoSpaceDE/>
        <w:autoSpaceDN/>
        <w:spacing w:line="360" w:lineRule="auto"/>
        <w:ind w:firstLine="480"/>
        <w:rPr>
          <w:rFonts w:cs="Times New Roman"/>
          <w:color w:val="auto"/>
          <w:lang w:eastAsia="zh-CN"/>
        </w:rPr>
      </w:pPr>
      <w:r>
        <w:rPr>
          <w:rFonts w:cs="Times New Roman"/>
          <w:color w:val="auto"/>
          <w:szCs w:val="24"/>
          <w:lang w:eastAsia="zh-CN"/>
        </w:rPr>
        <w:t>（5）</w:t>
      </w:r>
      <w:r>
        <w:rPr>
          <w:rFonts w:cs="Times New Roman"/>
          <w:color w:val="auto"/>
          <w:lang w:eastAsia="zh-CN"/>
        </w:rPr>
        <w:t>《水利部办公厅关于印发生产建设项目水土保持方案审查要点的通知》（办水保〔2023〕177号，2023年7月4日）。</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1.2.</w:t>
      </w:r>
      <w:r>
        <w:rPr>
          <w:rFonts w:hint="eastAsia" w:cs="Times New Roman"/>
          <w:color w:val="auto"/>
          <w:sz w:val="28"/>
          <w:szCs w:val="28"/>
          <w:lang w:eastAsia="zh-CN"/>
        </w:rPr>
        <w:t>2</w:t>
      </w:r>
      <w:r>
        <w:rPr>
          <w:rFonts w:cs="Times New Roman"/>
          <w:color w:val="auto"/>
          <w:sz w:val="28"/>
          <w:szCs w:val="28"/>
          <w:lang w:eastAsia="zh-CN"/>
        </w:rPr>
        <w:t xml:space="preserve"> 技术标准及规范</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（1）《生产建设项目水土保持技术标准》(GB50433-2018)</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（2）《生产建设项目水土流失防治标准》(GB/T50434-2018)</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（3）《生产建设项目水土保持监测与评价标准》(GB/T51240-2018)</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（4）《水土保持工程调查与勘测标准》(GB/T51297-2018)</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（5）《生产建设项目土壤流失量测算导则》(SL773-2018)</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（6）《水土保持监测技术规程》(SL277-2002)</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（7）《水土保持工程概算定额》(水总〔2003〕67号)</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（8）《水土保持监测设施通用技术条件》(SL342-2006)</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（9）《土壤侵蚀分类分级标准》(SL190-2007)</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（10）《水工挡土墙设计规范》(SL379-2017)</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（11）《水利水电工程水土保持技术规范》(SL575-2012)</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（12）《水土保持工程设计规范》(GB51018-2014)</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（13）《防洪标准》(GB 50201-2014)</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（14）《水利水电工程制图 水土保持图》(SL73.6-2015)</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（15）《造林技术规程》(GB/T15776-2016)</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（16）《土地利用现状分类》(GB/T21010-2017)</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1.2.</w:t>
      </w:r>
      <w:r>
        <w:rPr>
          <w:rFonts w:hint="eastAsia" w:cs="Times New Roman"/>
          <w:color w:val="auto"/>
          <w:sz w:val="28"/>
          <w:szCs w:val="28"/>
          <w:lang w:eastAsia="zh-CN"/>
        </w:rPr>
        <w:t>3</w:t>
      </w:r>
      <w:r>
        <w:rPr>
          <w:rFonts w:cs="Times New Roman"/>
          <w:color w:val="auto"/>
          <w:sz w:val="28"/>
          <w:szCs w:val="28"/>
          <w:lang w:eastAsia="zh-CN"/>
        </w:rPr>
        <w:t xml:space="preserve"> 技术资料</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（1）《宣汉县水土保持规划（2015～2030 年）》</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（2）《达州正达凯乙二醇220千伏输电线路工程可行性研究》</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（3）《达州正达凯乙二醇220千伏输电线路工程玛瑙-正达凯220kV线路工程初步设计</w:t>
      </w:r>
      <w:r>
        <w:rPr>
          <w:rFonts w:hint="eastAsia" w:cs="Times New Roman"/>
          <w:color w:val="auto"/>
          <w:szCs w:val="24"/>
          <w:lang w:eastAsia="zh-CN"/>
        </w:rPr>
        <w:t>报告</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（4）建设单位提供的其他资料。</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9" w:name="_Toc171533270"/>
      <w:r>
        <w:rPr>
          <w:rFonts w:ascii="Times New Roman" w:hAnsi="Times New Roman" w:eastAsia="仿宋_GB2312" w:cs="Times New Roman"/>
          <w:color w:val="auto"/>
          <w:sz w:val="30"/>
          <w:szCs w:val="30"/>
          <w:lang w:eastAsia="zh-CN"/>
        </w:rPr>
        <w:t>1.3 设计水平年</w:t>
      </w:r>
      <w:bookmarkEnd w:id="9"/>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设计水平年应为水土保持方案确定的水土保持措施实施完毕并初步发挥效益的年份。本项目属于建设类项目，水土流失主要集中在工程建设期，</w:t>
      </w:r>
      <w:r>
        <w:rPr>
          <w:rFonts w:hint="eastAsia" w:cs="Times New Roman"/>
          <w:color w:val="auto"/>
          <w:szCs w:val="24"/>
          <w:lang w:eastAsia="zh-CN"/>
        </w:rPr>
        <w:t>本项目预计2025年4月完工，</w:t>
      </w:r>
      <w:r>
        <w:rPr>
          <w:rFonts w:cs="Times New Roman"/>
          <w:color w:val="auto"/>
          <w:szCs w:val="24"/>
          <w:lang w:eastAsia="zh-CN"/>
        </w:rPr>
        <w:t>本</w:t>
      </w:r>
      <w:r>
        <w:rPr>
          <w:rFonts w:hint="eastAsia" w:cs="Times New Roman"/>
          <w:color w:val="auto"/>
          <w:szCs w:val="24"/>
          <w:lang w:eastAsia="zh-CN"/>
        </w:rPr>
        <w:t>方案设计水平年为主体工程完工后当年</w:t>
      </w:r>
      <w:r>
        <w:rPr>
          <w:rFonts w:cs="Times New Roman"/>
          <w:color w:val="auto"/>
          <w:szCs w:val="24"/>
          <w:lang w:eastAsia="zh-CN"/>
        </w:rPr>
        <w:t>即2025年。</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10" w:name="_Toc171533271"/>
      <w:r>
        <w:rPr>
          <w:rFonts w:ascii="Times New Roman" w:hAnsi="Times New Roman" w:eastAsia="仿宋_GB2312" w:cs="Times New Roman"/>
          <w:color w:val="auto"/>
          <w:sz w:val="30"/>
          <w:szCs w:val="30"/>
          <w:lang w:eastAsia="zh-CN"/>
        </w:rPr>
        <w:t>1.4 水土流失防治责任范围</w:t>
      </w:r>
      <w:bookmarkEnd w:id="10"/>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根据《生产建设项目水土保持技术标准》中规定生产建设项目水土流失防治责任范围即项目总用地面积3.81hm²，永久占地0.95</w:t>
      </w:r>
      <w:r>
        <w:rPr>
          <w:rFonts w:hint="eastAsia" w:cs="Times New Roman"/>
          <w:color w:val="auto"/>
          <w:szCs w:val="24"/>
          <w:lang w:eastAsia="zh-CN"/>
        </w:rPr>
        <w:t>h</w:t>
      </w:r>
      <w:r>
        <w:rPr>
          <w:rFonts w:cs="Times New Roman"/>
          <w:color w:val="auto"/>
          <w:szCs w:val="24"/>
          <w:lang w:eastAsia="zh-CN"/>
        </w:rPr>
        <w:t>m</w:t>
      </w:r>
      <w:r>
        <w:rPr>
          <w:rFonts w:cs="Times New Roman"/>
          <w:color w:val="auto"/>
          <w:szCs w:val="24"/>
          <w:vertAlign w:val="superscript"/>
          <w:lang w:eastAsia="zh-CN"/>
        </w:rPr>
        <w:t>2</w:t>
      </w:r>
      <w:r>
        <w:rPr>
          <w:rFonts w:cs="Times New Roman"/>
          <w:color w:val="auto"/>
          <w:szCs w:val="24"/>
          <w:lang w:eastAsia="zh-CN"/>
        </w:rPr>
        <w:t>，临时占地2.86</w:t>
      </w:r>
      <w:r>
        <w:rPr>
          <w:rFonts w:hint="eastAsia" w:cs="Times New Roman"/>
          <w:color w:val="auto"/>
          <w:szCs w:val="24"/>
          <w:lang w:eastAsia="zh-CN"/>
        </w:rPr>
        <w:t>h</w:t>
      </w:r>
      <w:r>
        <w:rPr>
          <w:rFonts w:cs="Times New Roman"/>
          <w:color w:val="auto"/>
          <w:szCs w:val="24"/>
          <w:lang w:eastAsia="zh-CN"/>
        </w:rPr>
        <w:t>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00" w:lineRule="auto"/>
        <w:ind w:firstLine="422"/>
        <w:jc w:val="center"/>
        <w:rPr>
          <w:rFonts w:cs="Times New Roman"/>
          <w:b/>
          <w:bCs/>
          <w:color w:val="auto"/>
          <w:sz w:val="21"/>
          <w:lang w:eastAsia="zh-CN"/>
        </w:rPr>
      </w:pPr>
      <w:r>
        <w:rPr>
          <w:rFonts w:cs="Times New Roman"/>
          <w:b/>
          <w:bCs/>
          <w:color w:val="auto"/>
          <w:sz w:val="21"/>
          <w:lang w:eastAsia="zh-CN"/>
        </w:rPr>
        <w:t>表1.4-1 工程占地</w:t>
      </w:r>
      <w:r>
        <w:rPr>
          <w:rFonts w:hint="eastAsia" w:cs="Times New Roman"/>
          <w:b/>
          <w:bCs/>
          <w:color w:val="auto"/>
          <w:sz w:val="21"/>
          <w:lang w:eastAsia="zh-CN"/>
        </w:rPr>
        <w:t>汇总</w:t>
      </w:r>
      <w:r>
        <w:rPr>
          <w:rFonts w:cs="Times New Roman"/>
          <w:b/>
          <w:bCs/>
          <w:color w:val="auto"/>
          <w:sz w:val="21"/>
          <w:lang w:eastAsia="zh-CN"/>
        </w:rPr>
        <w:t>表（</w:t>
      </w:r>
      <w:r>
        <w:rPr>
          <w:rFonts w:cs="Times New Roman"/>
          <w:color w:val="auto"/>
          <w:sz w:val="21"/>
          <w:lang w:eastAsia="zh-CN"/>
        </w:rPr>
        <w:t>m</w:t>
      </w:r>
      <w:r>
        <w:rPr>
          <w:rFonts w:cs="Times New Roman"/>
          <w:color w:val="auto"/>
          <w:sz w:val="21"/>
          <w:vertAlign w:val="superscript"/>
          <w:lang w:eastAsia="zh-CN"/>
        </w:rPr>
        <w:t>2</w:t>
      </w:r>
      <w:r>
        <w:rPr>
          <w:rFonts w:cs="Times New Roman"/>
          <w:b/>
          <w:bCs/>
          <w:color w:val="auto"/>
          <w:sz w:val="21"/>
          <w:lang w:eastAsia="zh-CN"/>
        </w:rPr>
        <w:t>）</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2357"/>
        <w:gridCol w:w="1873"/>
        <w:gridCol w:w="1189"/>
        <w:gridCol w:w="1141"/>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0" w:type="pct"/>
            <w:gridSpan w:val="3"/>
            <w:vAlign w:val="center"/>
          </w:tcPr>
          <w:p>
            <w:pPr>
              <w:pStyle w:val="13"/>
              <w:spacing w:line="280" w:lineRule="exact"/>
              <w:rPr>
                <w:rFonts w:cs="Times New Roman"/>
                <w:b/>
                <w:bCs/>
              </w:rPr>
            </w:pPr>
            <w:r>
              <w:rPr>
                <w:rFonts w:cs="Times New Roman"/>
                <w:b/>
                <w:bCs/>
              </w:rPr>
              <w:t>项目</w:t>
            </w:r>
            <w:r>
              <w:rPr>
                <w:rFonts w:hint="eastAsia" w:cs="Times New Roman"/>
                <w:b/>
                <w:bCs/>
              </w:rPr>
              <w:t>分区</w:t>
            </w:r>
          </w:p>
        </w:tc>
        <w:tc>
          <w:tcPr>
            <w:tcW w:w="2010" w:type="pct"/>
            <w:gridSpan w:val="3"/>
            <w:vAlign w:val="center"/>
          </w:tcPr>
          <w:p>
            <w:pPr>
              <w:pStyle w:val="13"/>
              <w:spacing w:line="280" w:lineRule="exact"/>
              <w:rPr>
                <w:rFonts w:cs="Times New Roman"/>
                <w:b/>
                <w:bCs/>
              </w:rPr>
            </w:pPr>
            <w:r>
              <w:rPr>
                <w:rFonts w:cs="Times New Roman"/>
                <w:b/>
                <w:bCs/>
              </w:rPr>
              <w:t>占地性质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pPr>
              <w:pStyle w:val="13"/>
              <w:spacing w:line="280" w:lineRule="exact"/>
              <w:ind w:left="-120" w:leftChars="-50" w:right="-120" w:rightChars="-50"/>
              <w:rPr>
                <w:rFonts w:cs="Times New Roman"/>
                <w:b/>
                <w:bCs/>
              </w:rPr>
            </w:pPr>
            <w:r>
              <w:rPr>
                <w:rFonts w:hint="eastAsia" w:cs="Times New Roman"/>
                <w:b/>
                <w:bCs/>
              </w:rPr>
              <w:t>一级分区</w:t>
            </w:r>
          </w:p>
        </w:tc>
        <w:tc>
          <w:tcPr>
            <w:tcW w:w="1382" w:type="pct"/>
            <w:vAlign w:val="center"/>
          </w:tcPr>
          <w:p>
            <w:pPr>
              <w:pStyle w:val="13"/>
              <w:spacing w:line="280" w:lineRule="exact"/>
              <w:rPr>
                <w:rFonts w:cs="Times New Roman"/>
                <w:b/>
                <w:bCs/>
              </w:rPr>
            </w:pPr>
            <w:r>
              <w:rPr>
                <w:rFonts w:hint="eastAsia" w:cs="Times New Roman"/>
                <w:b/>
                <w:bCs/>
              </w:rPr>
              <w:t>二级分区</w:t>
            </w:r>
          </w:p>
        </w:tc>
        <w:tc>
          <w:tcPr>
            <w:tcW w:w="1098" w:type="pct"/>
            <w:vAlign w:val="center"/>
          </w:tcPr>
          <w:p>
            <w:pPr>
              <w:pStyle w:val="13"/>
              <w:spacing w:line="280" w:lineRule="exact"/>
              <w:rPr>
                <w:rFonts w:cs="Times New Roman"/>
                <w:b/>
                <w:bCs/>
              </w:rPr>
            </w:pPr>
            <w:r>
              <w:rPr>
                <w:rFonts w:hint="eastAsia" w:cs="Times New Roman"/>
                <w:b/>
                <w:bCs/>
              </w:rPr>
              <w:t>三级分区</w:t>
            </w:r>
          </w:p>
        </w:tc>
        <w:tc>
          <w:tcPr>
            <w:tcW w:w="697" w:type="pct"/>
            <w:vAlign w:val="center"/>
          </w:tcPr>
          <w:p>
            <w:pPr>
              <w:pStyle w:val="13"/>
              <w:spacing w:line="280" w:lineRule="exact"/>
              <w:rPr>
                <w:rFonts w:cs="Times New Roman"/>
                <w:b/>
                <w:bCs/>
              </w:rPr>
            </w:pPr>
            <w:r>
              <w:rPr>
                <w:rFonts w:cs="Times New Roman"/>
                <w:b/>
                <w:bCs/>
              </w:rPr>
              <w:t>永久占地</w:t>
            </w:r>
            <w:r>
              <w:rPr>
                <w:rFonts w:hint="eastAsia" w:cs="Times New Roman"/>
                <w:b/>
                <w:bCs/>
              </w:rPr>
              <w:t>（hm</w:t>
            </w:r>
            <w:r>
              <w:rPr>
                <w:rFonts w:hint="eastAsia" w:cs="Times New Roman"/>
                <w:b/>
                <w:bCs/>
                <w:vertAlign w:val="superscript"/>
              </w:rPr>
              <w:t>2</w:t>
            </w:r>
            <w:r>
              <w:rPr>
                <w:rFonts w:hint="eastAsia" w:cs="Times New Roman"/>
                <w:b/>
                <w:bCs/>
              </w:rPr>
              <w:t>）</w:t>
            </w:r>
          </w:p>
        </w:tc>
        <w:tc>
          <w:tcPr>
            <w:tcW w:w="669" w:type="pct"/>
            <w:vAlign w:val="center"/>
          </w:tcPr>
          <w:p>
            <w:pPr>
              <w:pStyle w:val="13"/>
              <w:spacing w:line="280" w:lineRule="exact"/>
              <w:rPr>
                <w:rFonts w:cs="Times New Roman"/>
                <w:b/>
                <w:bCs/>
              </w:rPr>
            </w:pPr>
            <w:r>
              <w:rPr>
                <w:rFonts w:cs="Times New Roman"/>
                <w:b/>
                <w:bCs/>
              </w:rPr>
              <w:t>临时占地</w:t>
            </w:r>
            <w:r>
              <w:rPr>
                <w:rFonts w:hint="eastAsia" w:cs="Times New Roman"/>
                <w:b/>
                <w:bCs/>
              </w:rPr>
              <w:t>（hm</w:t>
            </w:r>
            <w:r>
              <w:rPr>
                <w:rFonts w:hint="eastAsia" w:cs="Times New Roman"/>
                <w:b/>
                <w:bCs/>
                <w:vertAlign w:val="superscript"/>
              </w:rPr>
              <w:t>2</w:t>
            </w:r>
            <w:r>
              <w:rPr>
                <w:rFonts w:hint="eastAsia" w:cs="Times New Roman"/>
                <w:b/>
                <w:bCs/>
              </w:rPr>
              <w:t>）</w:t>
            </w:r>
          </w:p>
        </w:tc>
        <w:tc>
          <w:tcPr>
            <w:tcW w:w="644" w:type="pct"/>
            <w:vAlign w:val="center"/>
          </w:tcPr>
          <w:p>
            <w:pPr>
              <w:pStyle w:val="13"/>
              <w:spacing w:line="280" w:lineRule="exact"/>
              <w:rPr>
                <w:rFonts w:cs="Times New Roman"/>
                <w:b/>
                <w:bCs/>
              </w:rPr>
            </w:pPr>
            <w:r>
              <w:rPr>
                <w:rFonts w:cs="Times New Roman"/>
                <w:b/>
                <w:bCs/>
              </w:rPr>
              <w:t>合计</w:t>
            </w:r>
            <w:r>
              <w:rPr>
                <w:rFonts w:hint="eastAsia" w:cs="Times New Roman"/>
                <w:b/>
                <w:bCs/>
              </w:rPr>
              <w:t>（hm</w:t>
            </w:r>
            <w:r>
              <w:rPr>
                <w:rFonts w:hint="eastAsia" w:cs="Times New Roman"/>
                <w:b/>
                <w:bCs/>
                <w:vertAlign w:val="superscript"/>
              </w:rPr>
              <w:t>2</w:t>
            </w:r>
            <w:r>
              <w:rPr>
                <w:rFonts w:hint="eastAsia" w:cs="Times New Roman"/>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restart"/>
            <w:vAlign w:val="center"/>
          </w:tcPr>
          <w:p>
            <w:pPr>
              <w:pStyle w:val="13"/>
              <w:spacing w:line="280" w:lineRule="exact"/>
              <w:rPr>
                <w:rFonts w:cs="Times New Roman"/>
              </w:rPr>
            </w:pPr>
            <w:r>
              <w:rPr>
                <w:rFonts w:cs="Times New Roman"/>
              </w:rPr>
              <w:t>变电站工程</w:t>
            </w:r>
            <w:r>
              <w:rPr>
                <w:rFonts w:hint="eastAsia" w:cs="Times New Roman"/>
                <w:bCs/>
              </w:rPr>
              <w:t>区</w:t>
            </w:r>
          </w:p>
        </w:tc>
        <w:tc>
          <w:tcPr>
            <w:tcW w:w="1382" w:type="pct"/>
            <w:vAlign w:val="center"/>
          </w:tcPr>
          <w:p>
            <w:pPr>
              <w:pStyle w:val="13"/>
              <w:spacing w:line="280" w:lineRule="exact"/>
              <w:rPr>
                <w:rFonts w:cs="Times New Roman"/>
              </w:rPr>
            </w:pPr>
            <w:r>
              <w:rPr>
                <w:rFonts w:cs="Times New Roman"/>
              </w:rPr>
              <w:t>玛瑙500kV变电站220kV间隔扩建工程</w:t>
            </w:r>
            <w:r>
              <w:rPr>
                <w:rFonts w:hint="eastAsia" w:cs="Times New Roman"/>
                <w:bCs/>
              </w:rPr>
              <w:t>区</w:t>
            </w:r>
          </w:p>
        </w:tc>
        <w:tc>
          <w:tcPr>
            <w:tcW w:w="1098" w:type="pct"/>
            <w:vAlign w:val="center"/>
          </w:tcPr>
          <w:p>
            <w:pPr>
              <w:pStyle w:val="13"/>
              <w:spacing w:line="280" w:lineRule="exact"/>
              <w:rPr>
                <w:rFonts w:cs="Times New Roman"/>
              </w:rPr>
            </w:pPr>
            <w:r>
              <w:rPr>
                <w:rFonts w:cs="Times New Roman"/>
              </w:rPr>
              <w:t>玛瑙变电站站区</w:t>
            </w:r>
          </w:p>
        </w:tc>
        <w:tc>
          <w:tcPr>
            <w:tcW w:w="697" w:type="pct"/>
            <w:vAlign w:val="center"/>
          </w:tcPr>
          <w:p>
            <w:pPr>
              <w:pStyle w:val="13"/>
              <w:spacing w:line="280" w:lineRule="exact"/>
              <w:rPr>
                <w:rFonts w:cs="Times New Roman"/>
              </w:rPr>
            </w:pPr>
            <w:r>
              <w:rPr>
                <w:rFonts w:hint="eastAsia" w:cs="Times New Roman"/>
              </w:rPr>
              <w:t>0</w:t>
            </w:r>
            <w:r>
              <w:rPr>
                <w:rFonts w:cs="Times New Roman"/>
              </w:rPr>
              <w:t>.003</w:t>
            </w:r>
          </w:p>
        </w:tc>
        <w:tc>
          <w:tcPr>
            <w:tcW w:w="669" w:type="pct"/>
            <w:vAlign w:val="center"/>
          </w:tcPr>
          <w:p>
            <w:pPr>
              <w:pStyle w:val="13"/>
              <w:spacing w:line="280" w:lineRule="exact"/>
              <w:rPr>
                <w:rFonts w:cs="Times New Roman"/>
              </w:rPr>
            </w:pPr>
            <w:r>
              <w:rPr>
                <w:rFonts w:cs="Times New Roman"/>
              </w:rPr>
              <w:t>0.005</w:t>
            </w:r>
          </w:p>
        </w:tc>
        <w:tc>
          <w:tcPr>
            <w:tcW w:w="644" w:type="pct"/>
            <w:vAlign w:val="center"/>
          </w:tcPr>
          <w:p>
            <w:pPr>
              <w:pStyle w:val="13"/>
              <w:spacing w:line="280" w:lineRule="exact"/>
              <w:rPr>
                <w:rFonts w:cs="Times New Roman"/>
              </w:rPr>
            </w:pPr>
            <w:r>
              <w:rPr>
                <w:rFonts w:cs="Times New Roma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0" w:type="pct"/>
            <w:vMerge w:val="continue"/>
            <w:vAlign w:val="center"/>
          </w:tcPr>
          <w:p>
            <w:pPr>
              <w:pStyle w:val="13"/>
              <w:spacing w:line="280" w:lineRule="exact"/>
              <w:rPr>
                <w:rFonts w:cs="Times New Roman"/>
              </w:rPr>
            </w:pPr>
          </w:p>
        </w:tc>
        <w:tc>
          <w:tcPr>
            <w:tcW w:w="1382" w:type="pct"/>
            <w:vAlign w:val="center"/>
          </w:tcPr>
          <w:p>
            <w:pPr>
              <w:pStyle w:val="13"/>
              <w:spacing w:line="280" w:lineRule="exact"/>
              <w:rPr>
                <w:rFonts w:cs="Times New Roman"/>
              </w:rPr>
            </w:pPr>
            <w:r>
              <w:rPr>
                <w:rFonts w:cs="Times New Roman"/>
              </w:rPr>
              <w:t>芭蕉220kV变电站220kV间隔扩建工程</w:t>
            </w:r>
            <w:r>
              <w:rPr>
                <w:rFonts w:hint="eastAsia" w:cs="Times New Roman"/>
                <w:bCs/>
              </w:rPr>
              <w:t>区</w:t>
            </w:r>
          </w:p>
        </w:tc>
        <w:tc>
          <w:tcPr>
            <w:tcW w:w="1098" w:type="pct"/>
            <w:vAlign w:val="center"/>
          </w:tcPr>
          <w:p>
            <w:pPr>
              <w:pStyle w:val="13"/>
              <w:spacing w:line="280" w:lineRule="exact"/>
              <w:rPr>
                <w:rFonts w:cs="Times New Roman"/>
              </w:rPr>
            </w:pPr>
            <w:r>
              <w:rPr>
                <w:rFonts w:cs="Times New Roman"/>
              </w:rPr>
              <w:t>芭蕉变电站站区</w:t>
            </w:r>
          </w:p>
        </w:tc>
        <w:tc>
          <w:tcPr>
            <w:tcW w:w="697" w:type="pct"/>
            <w:vAlign w:val="center"/>
          </w:tcPr>
          <w:p>
            <w:pPr>
              <w:pStyle w:val="13"/>
              <w:spacing w:line="280" w:lineRule="exact"/>
              <w:rPr>
                <w:rFonts w:cs="Times New Roman"/>
              </w:rPr>
            </w:pPr>
            <w:r>
              <w:rPr>
                <w:rFonts w:hint="eastAsia" w:cs="Times New Roman"/>
              </w:rPr>
              <w:t>0</w:t>
            </w:r>
            <w:r>
              <w:rPr>
                <w:rFonts w:cs="Times New Roman"/>
              </w:rPr>
              <w:t>.003</w:t>
            </w:r>
          </w:p>
        </w:tc>
        <w:tc>
          <w:tcPr>
            <w:tcW w:w="669" w:type="pct"/>
            <w:vAlign w:val="center"/>
          </w:tcPr>
          <w:p>
            <w:pPr>
              <w:pStyle w:val="13"/>
              <w:spacing w:line="280" w:lineRule="exact"/>
              <w:rPr>
                <w:rFonts w:cs="Times New Roman"/>
              </w:rPr>
            </w:pPr>
            <w:r>
              <w:rPr>
                <w:rFonts w:cs="Times New Roman"/>
              </w:rPr>
              <w:t>0.030</w:t>
            </w:r>
          </w:p>
        </w:tc>
        <w:tc>
          <w:tcPr>
            <w:tcW w:w="644" w:type="pct"/>
            <w:vAlign w:val="center"/>
          </w:tcPr>
          <w:p>
            <w:pPr>
              <w:pStyle w:val="13"/>
              <w:spacing w:line="280" w:lineRule="exact"/>
              <w:rPr>
                <w:rFonts w:cs="Times New Roman"/>
              </w:rPr>
            </w:pPr>
            <w:r>
              <w:rPr>
                <w:rFonts w:cs="Times New Roma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pStyle w:val="13"/>
              <w:spacing w:line="280" w:lineRule="exact"/>
              <w:rPr>
                <w:rFonts w:cs="Times New Roman"/>
              </w:rPr>
            </w:pPr>
          </w:p>
        </w:tc>
        <w:tc>
          <w:tcPr>
            <w:tcW w:w="2480" w:type="pct"/>
            <w:gridSpan w:val="2"/>
            <w:vAlign w:val="center"/>
          </w:tcPr>
          <w:p>
            <w:pPr>
              <w:pStyle w:val="13"/>
              <w:spacing w:line="280" w:lineRule="exact"/>
              <w:rPr>
                <w:rFonts w:cs="Times New Roman"/>
              </w:rPr>
            </w:pPr>
            <w:r>
              <w:rPr>
                <w:rFonts w:cs="Times New Roman"/>
              </w:rPr>
              <w:t>小计</w:t>
            </w:r>
          </w:p>
        </w:tc>
        <w:tc>
          <w:tcPr>
            <w:tcW w:w="697" w:type="pct"/>
            <w:vAlign w:val="center"/>
          </w:tcPr>
          <w:p>
            <w:pPr>
              <w:pStyle w:val="13"/>
              <w:spacing w:line="280" w:lineRule="exact"/>
              <w:rPr>
                <w:rFonts w:cs="Times New Roman"/>
              </w:rPr>
            </w:pPr>
            <w:r>
              <w:rPr>
                <w:rFonts w:hint="eastAsia" w:cs="Times New Roman"/>
              </w:rPr>
              <w:t>0</w:t>
            </w:r>
            <w:r>
              <w:rPr>
                <w:rFonts w:cs="Times New Roman"/>
              </w:rPr>
              <w:t>.006</w:t>
            </w:r>
          </w:p>
        </w:tc>
        <w:tc>
          <w:tcPr>
            <w:tcW w:w="669" w:type="pct"/>
            <w:vAlign w:val="center"/>
          </w:tcPr>
          <w:p>
            <w:pPr>
              <w:pStyle w:val="13"/>
              <w:spacing w:line="280" w:lineRule="exact"/>
              <w:rPr>
                <w:rFonts w:cs="Times New Roman"/>
              </w:rPr>
            </w:pPr>
            <w:r>
              <w:rPr>
                <w:rFonts w:cs="Times New Roman"/>
              </w:rPr>
              <w:t>0.035</w:t>
            </w:r>
          </w:p>
        </w:tc>
        <w:tc>
          <w:tcPr>
            <w:tcW w:w="644" w:type="pct"/>
            <w:vAlign w:val="center"/>
          </w:tcPr>
          <w:p>
            <w:pPr>
              <w:pStyle w:val="13"/>
              <w:spacing w:line="280" w:lineRule="exact"/>
              <w:rPr>
                <w:rFonts w:cs="Times New Roman"/>
              </w:rPr>
            </w:pPr>
            <w:r>
              <w:rPr>
                <w:rFonts w:cs="Times New Roma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restart"/>
            <w:vAlign w:val="center"/>
          </w:tcPr>
          <w:p>
            <w:pPr>
              <w:pStyle w:val="13"/>
              <w:spacing w:line="280" w:lineRule="exact"/>
              <w:rPr>
                <w:rFonts w:cs="Times New Roman"/>
              </w:rPr>
            </w:pPr>
            <w:r>
              <w:rPr>
                <w:rFonts w:cs="Times New Roman"/>
              </w:rPr>
              <w:t>线路工程</w:t>
            </w:r>
          </w:p>
        </w:tc>
        <w:tc>
          <w:tcPr>
            <w:tcW w:w="1382" w:type="pct"/>
            <w:vMerge w:val="restart"/>
            <w:vAlign w:val="center"/>
          </w:tcPr>
          <w:p>
            <w:pPr>
              <w:pStyle w:val="13"/>
              <w:spacing w:line="280" w:lineRule="exact"/>
              <w:rPr>
                <w:rFonts w:cs="Times New Roman"/>
              </w:rPr>
            </w:pPr>
            <w:r>
              <w:rPr>
                <w:rFonts w:cs="Times New Roman"/>
              </w:rPr>
              <w:t>玛瑙-正达凯220kV线路工程</w:t>
            </w:r>
            <w:r>
              <w:rPr>
                <w:rFonts w:hint="eastAsia" w:cs="Times New Roman"/>
                <w:bCs/>
              </w:rPr>
              <w:t>区</w:t>
            </w:r>
          </w:p>
        </w:tc>
        <w:tc>
          <w:tcPr>
            <w:tcW w:w="1098" w:type="pct"/>
            <w:vAlign w:val="center"/>
          </w:tcPr>
          <w:p>
            <w:pPr>
              <w:pStyle w:val="13"/>
              <w:spacing w:line="280" w:lineRule="exact"/>
              <w:rPr>
                <w:rFonts w:cs="Times New Roman"/>
              </w:rPr>
            </w:pPr>
            <w:r>
              <w:rPr>
                <w:rFonts w:cs="Times New Roman"/>
              </w:rPr>
              <w:t>玛瑙塔基及临时施工区</w:t>
            </w:r>
          </w:p>
        </w:tc>
        <w:tc>
          <w:tcPr>
            <w:tcW w:w="697" w:type="pct"/>
            <w:vAlign w:val="center"/>
          </w:tcPr>
          <w:p>
            <w:pPr>
              <w:pStyle w:val="13"/>
              <w:spacing w:line="280" w:lineRule="exact"/>
              <w:rPr>
                <w:rFonts w:cs="Times New Roman"/>
              </w:rPr>
            </w:pPr>
            <w:r>
              <w:rPr>
                <w:rFonts w:cs="Times New Roman"/>
              </w:rPr>
              <w:t>0.26</w:t>
            </w:r>
          </w:p>
        </w:tc>
        <w:tc>
          <w:tcPr>
            <w:tcW w:w="669" w:type="pct"/>
            <w:vAlign w:val="center"/>
          </w:tcPr>
          <w:p>
            <w:pPr>
              <w:pStyle w:val="13"/>
              <w:spacing w:line="280" w:lineRule="exact"/>
              <w:rPr>
                <w:rFonts w:cs="Times New Roman"/>
              </w:rPr>
            </w:pPr>
            <w:r>
              <w:rPr>
                <w:rFonts w:cs="Times New Roman"/>
              </w:rPr>
              <w:t>0.37</w:t>
            </w:r>
          </w:p>
        </w:tc>
        <w:tc>
          <w:tcPr>
            <w:tcW w:w="644" w:type="pct"/>
            <w:vAlign w:val="center"/>
          </w:tcPr>
          <w:p>
            <w:pPr>
              <w:pStyle w:val="13"/>
              <w:spacing w:line="280" w:lineRule="exact"/>
              <w:rPr>
                <w:rFonts w:cs="Times New Roman"/>
              </w:rPr>
            </w:pPr>
            <w:r>
              <w:rPr>
                <w:rFonts w:cs="Times New Roman"/>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pStyle w:val="13"/>
              <w:spacing w:line="280" w:lineRule="exact"/>
              <w:rPr>
                <w:rFonts w:cs="Times New Roman"/>
              </w:rPr>
            </w:pPr>
          </w:p>
        </w:tc>
        <w:tc>
          <w:tcPr>
            <w:tcW w:w="1382" w:type="pct"/>
            <w:vMerge w:val="continue"/>
            <w:vAlign w:val="center"/>
          </w:tcPr>
          <w:p>
            <w:pPr>
              <w:pStyle w:val="13"/>
              <w:spacing w:line="280" w:lineRule="exact"/>
              <w:rPr>
                <w:rFonts w:cs="Times New Roman"/>
              </w:rPr>
            </w:pPr>
          </w:p>
        </w:tc>
        <w:tc>
          <w:tcPr>
            <w:tcW w:w="1098" w:type="pct"/>
            <w:vAlign w:val="center"/>
          </w:tcPr>
          <w:p>
            <w:pPr>
              <w:pStyle w:val="13"/>
              <w:spacing w:line="280" w:lineRule="exact"/>
              <w:rPr>
                <w:rFonts w:cs="Times New Roman"/>
              </w:rPr>
            </w:pPr>
            <w:r>
              <w:rPr>
                <w:rFonts w:cs="Times New Roman"/>
              </w:rPr>
              <w:t>玛瑙施工便道区</w:t>
            </w:r>
          </w:p>
        </w:tc>
        <w:tc>
          <w:tcPr>
            <w:tcW w:w="697" w:type="pct"/>
            <w:vAlign w:val="center"/>
          </w:tcPr>
          <w:p>
            <w:pPr>
              <w:pStyle w:val="13"/>
              <w:spacing w:line="280" w:lineRule="exact"/>
              <w:rPr>
                <w:rFonts w:cs="Times New Roman"/>
              </w:rPr>
            </w:pPr>
          </w:p>
        </w:tc>
        <w:tc>
          <w:tcPr>
            <w:tcW w:w="669" w:type="pct"/>
            <w:vAlign w:val="center"/>
          </w:tcPr>
          <w:p>
            <w:pPr>
              <w:pStyle w:val="13"/>
              <w:spacing w:line="280" w:lineRule="exact"/>
              <w:rPr>
                <w:rFonts w:cs="Times New Roman"/>
              </w:rPr>
            </w:pPr>
            <w:r>
              <w:rPr>
                <w:rFonts w:cs="Times New Roman"/>
              </w:rPr>
              <w:t>0.40</w:t>
            </w:r>
          </w:p>
        </w:tc>
        <w:tc>
          <w:tcPr>
            <w:tcW w:w="644" w:type="pct"/>
            <w:vAlign w:val="center"/>
          </w:tcPr>
          <w:p>
            <w:pPr>
              <w:pStyle w:val="13"/>
              <w:spacing w:line="280" w:lineRule="exact"/>
              <w:rPr>
                <w:rFonts w:cs="Times New Roman"/>
              </w:rPr>
            </w:pPr>
            <w:r>
              <w:rPr>
                <w:rFonts w:cs="Times New Roma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0" w:type="pct"/>
            <w:vMerge w:val="continue"/>
            <w:vAlign w:val="center"/>
          </w:tcPr>
          <w:p>
            <w:pPr>
              <w:pStyle w:val="13"/>
              <w:spacing w:line="280" w:lineRule="exact"/>
              <w:rPr>
                <w:rFonts w:cs="Times New Roman"/>
              </w:rPr>
            </w:pPr>
          </w:p>
        </w:tc>
        <w:tc>
          <w:tcPr>
            <w:tcW w:w="1382" w:type="pct"/>
            <w:vMerge w:val="continue"/>
            <w:vAlign w:val="center"/>
          </w:tcPr>
          <w:p>
            <w:pPr>
              <w:pStyle w:val="13"/>
              <w:spacing w:line="280" w:lineRule="exact"/>
              <w:rPr>
                <w:rFonts w:cs="Times New Roman"/>
              </w:rPr>
            </w:pPr>
          </w:p>
        </w:tc>
        <w:tc>
          <w:tcPr>
            <w:tcW w:w="1098" w:type="pct"/>
            <w:vAlign w:val="center"/>
          </w:tcPr>
          <w:p>
            <w:pPr>
              <w:pStyle w:val="13"/>
              <w:spacing w:line="280" w:lineRule="exact"/>
              <w:rPr>
                <w:rFonts w:cs="Times New Roman"/>
              </w:rPr>
            </w:pPr>
            <w:r>
              <w:rPr>
                <w:rFonts w:cs="Times New Roman"/>
              </w:rPr>
              <w:t>玛瑙牵张场区</w:t>
            </w:r>
          </w:p>
        </w:tc>
        <w:tc>
          <w:tcPr>
            <w:tcW w:w="697" w:type="pct"/>
            <w:vAlign w:val="center"/>
          </w:tcPr>
          <w:p>
            <w:pPr>
              <w:pStyle w:val="13"/>
              <w:spacing w:line="280" w:lineRule="exact"/>
              <w:rPr>
                <w:rFonts w:cs="Times New Roman"/>
              </w:rPr>
            </w:pPr>
          </w:p>
        </w:tc>
        <w:tc>
          <w:tcPr>
            <w:tcW w:w="669" w:type="pct"/>
            <w:vAlign w:val="center"/>
          </w:tcPr>
          <w:p>
            <w:pPr>
              <w:pStyle w:val="13"/>
              <w:spacing w:line="280" w:lineRule="exact"/>
              <w:rPr>
                <w:rFonts w:cs="Times New Roman"/>
              </w:rPr>
            </w:pPr>
            <w:r>
              <w:rPr>
                <w:rFonts w:cs="Times New Roman"/>
              </w:rPr>
              <w:t>0.12</w:t>
            </w:r>
          </w:p>
        </w:tc>
        <w:tc>
          <w:tcPr>
            <w:tcW w:w="644" w:type="pct"/>
            <w:vAlign w:val="center"/>
          </w:tcPr>
          <w:p>
            <w:pPr>
              <w:pStyle w:val="13"/>
              <w:spacing w:line="280" w:lineRule="exact"/>
              <w:rPr>
                <w:rFonts w:cs="Times New Roman"/>
              </w:rPr>
            </w:pPr>
            <w:r>
              <w:rPr>
                <w:rFonts w:cs="Times New Roma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pStyle w:val="13"/>
              <w:spacing w:line="280" w:lineRule="exact"/>
              <w:rPr>
                <w:rFonts w:cs="Times New Roman"/>
              </w:rPr>
            </w:pPr>
          </w:p>
        </w:tc>
        <w:tc>
          <w:tcPr>
            <w:tcW w:w="1382" w:type="pct"/>
            <w:vMerge w:val="continue"/>
            <w:vAlign w:val="center"/>
          </w:tcPr>
          <w:p>
            <w:pPr>
              <w:pStyle w:val="13"/>
              <w:spacing w:line="280" w:lineRule="exact"/>
              <w:rPr>
                <w:rFonts w:cs="Times New Roman"/>
              </w:rPr>
            </w:pPr>
          </w:p>
        </w:tc>
        <w:tc>
          <w:tcPr>
            <w:tcW w:w="1098" w:type="pct"/>
            <w:vAlign w:val="center"/>
          </w:tcPr>
          <w:p>
            <w:pPr>
              <w:pStyle w:val="13"/>
              <w:spacing w:line="280" w:lineRule="exact"/>
              <w:rPr>
                <w:rFonts w:cs="Times New Roman"/>
              </w:rPr>
            </w:pPr>
            <w:r>
              <w:rPr>
                <w:rFonts w:cs="Times New Roman"/>
              </w:rPr>
              <w:t>玛瑙跨越场区</w:t>
            </w:r>
          </w:p>
        </w:tc>
        <w:tc>
          <w:tcPr>
            <w:tcW w:w="697" w:type="pct"/>
            <w:vAlign w:val="center"/>
          </w:tcPr>
          <w:p>
            <w:pPr>
              <w:pStyle w:val="13"/>
              <w:spacing w:line="280" w:lineRule="exact"/>
              <w:rPr>
                <w:rFonts w:cs="Times New Roman"/>
              </w:rPr>
            </w:pPr>
          </w:p>
        </w:tc>
        <w:tc>
          <w:tcPr>
            <w:tcW w:w="669" w:type="pct"/>
            <w:vAlign w:val="center"/>
          </w:tcPr>
          <w:p>
            <w:pPr>
              <w:pStyle w:val="13"/>
              <w:spacing w:line="280" w:lineRule="exact"/>
              <w:rPr>
                <w:rFonts w:cs="Times New Roman"/>
              </w:rPr>
            </w:pPr>
            <w:r>
              <w:rPr>
                <w:rFonts w:cs="Times New Roman"/>
              </w:rPr>
              <w:t>0.05</w:t>
            </w:r>
          </w:p>
        </w:tc>
        <w:tc>
          <w:tcPr>
            <w:tcW w:w="644" w:type="pct"/>
            <w:vAlign w:val="center"/>
          </w:tcPr>
          <w:p>
            <w:pPr>
              <w:pStyle w:val="13"/>
              <w:spacing w:line="280" w:lineRule="exact"/>
              <w:rPr>
                <w:rFonts w:cs="Times New Roman"/>
              </w:rPr>
            </w:pPr>
            <w:r>
              <w:rPr>
                <w:rFonts w:cs="Times New Roma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pStyle w:val="13"/>
              <w:spacing w:line="280" w:lineRule="exact"/>
              <w:rPr>
                <w:rFonts w:cs="Times New Roman"/>
              </w:rPr>
            </w:pPr>
          </w:p>
        </w:tc>
        <w:tc>
          <w:tcPr>
            <w:tcW w:w="1382" w:type="pct"/>
            <w:vMerge w:val="restart"/>
            <w:vAlign w:val="center"/>
          </w:tcPr>
          <w:p>
            <w:pPr>
              <w:pStyle w:val="13"/>
              <w:spacing w:line="280" w:lineRule="exact"/>
              <w:rPr>
                <w:rFonts w:cs="Times New Roman"/>
              </w:rPr>
            </w:pPr>
            <w:r>
              <w:rPr>
                <w:rFonts w:cs="Times New Roman"/>
              </w:rPr>
              <w:t>芭蕉-正达凯220kV线路工程</w:t>
            </w:r>
            <w:r>
              <w:rPr>
                <w:rFonts w:hint="eastAsia" w:cs="Times New Roman"/>
                <w:bCs/>
              </w:rPr>
              <w:t>区</w:t>
            </w:r>
          </w:p>
        </w:tc>
        <w:tc>
          <w:tcPr>
            <w:tcW w:w="1098" w:type="pct"/>
            <w:vAlign w:val="center"/>
          </w:tcPr>
          <w:p>
            <w:pPr>
              <w:pStyle w:val="13"/>
              <w:spacing w:line="280" w:lineRule="exact"/>
              <w:rPr>
                <w:rFonts w:cs="Times New Roman"/>
              </w:rPr>
            </w:pPr>
            <w:r>
              <w:rPr>
                <w:rFonts w:hint="eastAsia" w:cs="Times New Roman"/>
              </w:rPr>
              <w:t>芭蕉</w:t>
            </w:r>
            <w:r>
              <w:rPr>
                <w:rFonts w:cs="Times New Roman"/>
              </w:rPr>
              <w:t>塔基及临时施工区</w:t>
            </w:r>
          </w:p>
        </w:tc>
        <w:tc>
          <w:tcPr>
            <w:tcW w:w="697" w:type="pct"/>
            <w:vAlign w:val="center"/>
          </w:tcPr>
          <w:p>
            <w:pPr>
              <w:pStyle w:val="13"/>
              <w:spacing w:line="280" w:lineRule="exact"/>
              <w:rPr>
                <w:rFonts w:cs="Times New Roman"/>
              </w:rPr>
            </w:pPr>
            <w:r>
              <w:rPr>
                <w:rFonts w:cs="Times New Roman"/>
              </w:rPr>
              <w:t>0.69</w:t>
            </w:r>
          </w:p>
        </w:tc>
        <w:tc>
          <w:tcPr>
            <w:tcW w:w="669" w:type="pct"/>
            <w:vAlign w:val="center"/>
          </w:tcPr>
          <w:p>
            <w:pPr>
              <w:pStyle w:val="13"/>
              <w:spacing w:line="280" w:lineRule="exact"/>
              <w:rPr>
                <w:rFonts w:cs="Times New Roman"/>
              </w:rPr>
            </w:pPr>
            <w:r>
              <w:rPr>
                <w:rFonts w:cs="Times New Roman"/>
              </w:rPr>
              <w:t>0.73</w:t>
            </w:r>
          </w:p>
        </w:tc>
        <w:tc>
          <w:tcPr>
            <w:tcW w:w="644" w:type="pct"/>
            <w:vAlign w:val="center"/>
          </w:tcPr>
          <w:p>
            <w:pPr>
              <w:pStyle w:val="13"/>
              <w:spacing w:line="280" w:lineRule="exact"/>
              <w:rPr>
                <w:rFonts w:cs="Times New Roman"/>
              </w:rPr>
            </w:pPr>
            <w:r>
              <w:rPr>
                <w:rFonts w:cs="Times New Roman"/>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pStyle w:val="13"/>
              <w:spacing w:line="280" w:lineRule="exact"/>
              <w:rPr>
                <w:rFonts w:cs="Times New Roman"/>
              </w:rPr>
            </w:pPr>
          </w:p>
        </w:tc>
        <w:tc>
          <w:tcPr>
            <w:tcW w:w="1382" w:type="pct"/>
            <w:vMerge w:val="continue"/>
            <w:vAlign w:val="center"/>
          </w:tcPr>
          <w:p>
            <w:pPr>
              <w:pStyle w:val="13"/>
              <w:spacing w:line="280" w:lineRule="exact"/>
              <w:rPr>
                <w:rFonts w:cs="Times New Roman"/>
              </w:rPr>
            </w:pPr>
          </w:p>
        </w:tc>
        <w:tc>
          <w:tcPr>
            <w:tcW w:w="1098" w:type="pct"/>
            <w:vAlign w:val="center"/>
          </w:tcPr>
          <w:p>
            <w:pPr>
              <w:pStyle w:val="13"/>
              <w:spacing w:line="280" w:lineRule="exact"/>
              <w:rPr>
                <w:rFonts w:cs="Times New Roman"/>
              </w:rPr>
            </w:pPr>
            <w:r>
              <w:rPr>
                <w:rFonts w:cs="Times New Roman"/>
              </w:rPr>
              <w:t>芭蕉施工便道区</w:t>
            </w:r>
          </w:p>
        </w:tc>
        <w:tc>
          <w:tcPr>
            <w:tcW w:w="697" w:type="pct"/>
            <w:vAlign w:val="center"/>
          </w:tcPr>
          <w:p>
            <w:pPr>
              <w:pStyle w:val="13"/>
              <w:spacing w:line="280" w:lineRule="exact"/>
              <w:rPr>
                <w:rFonts w:cs="Times New Roman"/>
              </w:rPr>
            </w:pPr>
          </w:p>
        </w:tc>
        <w:tc>
          <w:tcPr>
            <w:tcW w:w="669" w:type="pct"/>
            <w:vAlign w:val="center"/>
          </w:tcPr>
          <w:p>
            <w:pPr>
              <w:pStyle w:val="13"/>
              <w:spacing w:line="280" w:lineRule="exact"/>
              <w:rPr>
                <w:rFonts w:cs="Times New Roman"/>
              </w:rPr>
            </w:pPr>
            <w:r>
              <w:rPr>
                <w:rFonts w:cs="Times New Roman"/>
              </w:rPr>
              <w:t>0.76</w:t>
            </w:r>
          </w:p>
        </w:tc>
        <w:tc>
          <w:tcPr>
            <w:tcW w:w="644" w:type="pct"/>
            <w:vAlign w:val="center"/>
          </w:tcPr>
          <w:p>
            <w:pPr>
              <w:pStyle w:val="13"/>
              <w:spacing w:line="280" w:lineRule="exact"/>
              <w:rPr>
                <w:rFonts w:cs="Times New Roman"/>
              </w:rPr>
            </w:pPr>
            <w:r>
              <w:rPr>
                <w:rFonts w:cs="Times New Roman"/>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0" w:type="pct"/>
            <w:vMerge w:val="continue"/>
            <w:vAlign w:val="center"/>
          </w:tcPr>
          <w:p>
            <w:pPr>
              <w:pStyle w:val="13"/>
              <w:spacing w:line="280" w:lineRule="exact"/>
              <w:rPr>
                <w:rFonts w:cs="Times New Roman"/>
              </w:rPr>
            </w:pPr>
          </w:p>
        </w:tc>
        <w:tc>
          <w:tcPr>
            <w:tcW w:w="1382" w:type="pct"/>
            <w:vMerge w:val="continue"/>
            <w:vAlign w:val="center"/>
          </w:tcPr>
          <w:p>
            <w:pPr>
              <w:pStyle w:val="13"/>
              <w:spacing w:line="280" w:lineRule="exact"/>
              <w:rPr>
                <w:rFonts w:cs="Times New Roman"/>
              </w:rPr>
            </w:pPr>
          </w:p>
        </w:tc>
        <w:tc>
          <w:tcPr>
            <w:tcW w:w="1098" w:type="pct"/>
            <w:vAlign w:val="center"/>
          </w:tcPr>
          <w:p>
            <w:pPr>
              <w:pStyle w:val="13"/>
              <w:spacing w:line="280" w:lineRule="exact"/>
              <w:rPr>
                <w:rFonts w:cs="Times New Roman"/>
              </w:rPr>
            </w:pPr>
            <w:r>
              <w:rPr>
                <w:rFonts w:cs="Times New Roman"/>
              </w:rPr>
              <w:t>芭蕉牵张场区</w:t>
            </w:r>
          </w:p>
        </w:tc>
        <w:tc>
          <w:tcPr>
            <w:tcW w:w="697" w:type="pct"/>
            <w:vAlign w:val="center"/>
          </w:tcPr>
          <w:p>
            <w:pPr>
              <w:pStyle w:val="13"/>
              <w:spacing w:line="280" w:lineRule="exact"/>
              <w:rPr>
                <w:rFonts w:cs="Times New Roman"/>
              </w:rPr>
            </w:pPr>
          </w:p>
        </w:tc>
        <w:tc>
          <w:tcPr>
            <w:tcW w:w="669" w:type="pct"/>
            <w:vAlign w:val="center"/>
          </w:tcPr>
          <w:p>
            <w:pPr>
              <w:pStyle w:val="13"/>
              <w:spacing w:line="280" w:lineRule="exact"/>
              <w:rPr>
                <w:rFonts w:cs="Times New Roman"/>
              </w:rPr>
            </w:pPr>
            <w:r>
              <w:rPr>
                <w:rFonts w:cs="Times New Roman"/>
              </w:rPr>
              <w:t>0.28</w:t>
            </w:r>
          </w:p>
        </w:tc>
        <w:tc>
          <w:tcPr>
            <w:tcW w:w="644" w:type="pct"/>
            <w:vAlign w:val="center"/>
          </w:tcPr>
          <w:p>
            <w:pPr>
              <w:pStyle w:val="13"/>
              <w:spacing w:line="280" w:lineRule="exact"/>
              <w:rPr>
                <w:rFonts w:cs="Times New Roman"/>
              </w:rPr>
            </w:pPr>
            <w:r>
              <w:rPr>
                <w:rFonts w:cs="Times New Roma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pStyle w:val="13"/>
              <w:spacing w:line="280" w:lineRule="exact"/>
              <w:rPr>
                <w:rFonts w:cs="Times New Roman"/>
              </w:rPr>
            </w:pPr>
          </w:p>
        </w:tc>
        <w:tc>
          <w:tcPr>
            <w:tcW w:w="1382" w:type="pct"/>
            <w:vMerge w:val="continue"/>
            <w:vAlign w:val="center"/>
          </w:tcPr>
          <w:p>
            <w:pPr>
              <w:pStyle w:val="13"/>
              <w:spacing w:line="280" w:lineRule="exact"/>
              <w:rPr>
                <w:rFonts w:cs="Times New Roman"/>
              </w:rPr>
            </w:pPr>
          </w:p>
        </w:tc>
        <w:tc>
          <w:tcPr>
            <w:tcW w:w="1098" w:type="pct"/>
            <w:vAlign w:val="center"/>
          </w:tcPr>
          <w:p>
            <w:pPr>
              <w:pStyle w:val="13"/>
              <w:spacing w:line="280" w:lineRule="exact"/>
              <w:rPr>
                <w:rFonts w:cs="Times New Roman"/>
              </w:rPr>
            </w:pPr>
            <w:r>
              <w:rPr>
                <w:rFonts w:cs="Times New Roman"/>
              </w:rPr>
              <w:t>芭蕉跨越场区</w:t>
            </w:r>
          </w:p>
        </w:tc>
        <w:tc>
          <w:tcPr>
            <w:tcW w:w="697" w:type="pct"/>
            <w:vAlign w:val="center"/>
          </w:tcPr>
          <w:p>
            <w:pPr>
              <w:pStyle w:val="13"/>
              <w:spacing w:line="280" w:lineRule="exact"/>
              <w:rPr>
                <w:rFonts w:cs="Times New Roman"/>
              </w:rPr>
            </w:pPr>
          </w:p>
        </w:tc>
        <w:tc>
          <w:tcPr>
            <w:tcW w:w="669" w:type="pct"/>
            <w:vAlign w:val="center"/>
          </w:tcPr>
          <w:p>
            <w:pPr>
              <w:pStyle w:val="13"/>
              <w:spacing w:line="280" w:lineRule="exact"/>
              <w:rPr>
                <w:rFonts w:cs="Times New Roman"/>
              </w:rPr>
            </w:pPr>
            <w:r>
              <w:rPr>
                <w:rFonts w:cs="Times New Roman"/>
              </w:rPr>
              <w:t>0.07</w:t>
            </w:r>
          </w:p>
        </w:tc>
        <w:tc>
          <w:tcPr>
            <w:tcW w:w="644" w:type="pct"/>
            <w:vAlign w:val="center"/>
          </w:tcPr>
          <w:p>
            <w:pPr>
              <w:pStyle w:val="13"/>
              <w:spacing w:line="280" w:lineRule="exact"/>
              <w:rPr>
                <w:rFonts w:cs="Times New Roman"/>
              </w:rPr>
            </w:pPr>
            <w:r>
              <w:rPr>
                <w:rFonts w:cs="Times New Roma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pStyle w:val="13"/>
              <w:spacing w:line="280" w:lineRule="exact"/>
              <w:rPr>
                <w:rFonts w:cs="Times New Roman"/>
              </w:rPr>
            </w:pPr>
          </w:p>
        </w:tc>
        <w:tc>
          <w:tcPr>
            <w:tcW w:w="1382" w:type="pct"/>
            <w:vMerge w:val="continue"/>
            <w:vAlign w:val="center"/>
          </w:tcPr>
          <w:p>
            <w:pPr>
              <w:pStyle w:val="13"/>
              <w:spacing w:line="280" w:lineRule="exact"/>
              <w:rPr>
                <w:rFonts w:cs="Times New Roman"/>
              </w:rPr>
            </w:pPr>
          </w:p>
        </w:tc>
        <w:tc>
          <w:tcPr>
            <w:tcW w:w="1098" w:type="pct"/>
            <w:vAlign w:val="center"/>
          </w:tcPr>
          <w:p>
            <w:pPr>
              <w:pStyle w:val="13"/>
              <w:spacing w:line="280" w:lineRule="exact"/>
              <w:rPr>
                <w:rFonts w:cs="Times New Roman"/>
              </w:rPr>
            </w:pPr>
            <w:r>
              <w:rPr>
                <w:rFonts w:cs="Times New Roman"/>
              </w:rPr>
              <w:t>芭蕉电缆工程区</w:t>
            </w:r>
          </w:p>
        </w:tc>
        <w:tc>
          <w:tcPr>
            <w:tcW w:w="697" w:type="pct"/>
            <w:tcBorders>
              <w:bottom w:val="single" w:color="auto" w:sz="4" w:space="0"/>
            </w:tcBorders>
            <w:vAlign w:val="center"/>
          </w:tcPr>
          <w:p>
            <w:pPr>
              <w:pStyle w:val="13"/>
              <w:spacing w:line="280" w:lineRule="exact"/>
              <w:rPr>
                <w:rFonts w:cs="Times New Roman"/>
              </w:rPr>
            </w:pPr>
          </w:p>
        </w:tc>
        <w:tc>
          <w:tcPr>
            <w:tcW w:w="669" w:type="pct"/>
            <w:tcBorders>
              <w:bottom w:val="single" w:color="auto" w:sz="4" w:space="0"/>
            </w:tcBorders>
            <w:vAlign w:val="center"/>
          </w:tcPr>
          <w:p>
            <w:pPr>
              <w:pStyle w:val="13"/>
              <w:spacing w:line="280" w:lineRule="exact"/>
              <w:rPr>
                <w:rFonts w:cs="Times New Roman"/>
              </w:rPr>
            </w:pPr>
            <w:r>
              <w:rPr>
                <w:rFonts w:cs="Times New Roman"/>
              </w:rPr>
              <w:t>0.04</w:t>
            </w:r>
          </w:p>
        </w:tc>
        <w:tc>
          <w:tcPr>
            <w:tcW w:w="644" w:type="pct"/>
            <w:tcBorders>
              <w:bottom w:val="single" w:color="auto" w:sz="4" w:space="0"/>
            </w:tcBorders>
            <w:vAlign w:val="center"/>
          </w:tcPr>
          <w:p>
            <w:pPr>
              <w:pStyle w:val="13"/>
              <w:spacing w:line="280" w:lineRule="exact"/>
              <w:rPr>
                <w:rFonts w:cs="Times New Roman"/>
              </w:rPr>
            </w:pPr>
            <w:r>
              <w:rPr>
                <w:rFonts w:cs="Times New Roma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pPr>
              <w:pStyle w:val="13"/>
              <w:spacing w:line="280" w:lineRule="exact"/>
              <w:rPr>
                <w:rFonts w:cs="Times New Roman"/>
              </w:rPr>
            </w:pPr>
          </w:p>
        </w:tc>
        <w:tc>
          <w:tcPr>
            <w:tcW w:w="2480" w:type="pct"/>
            <w:gridSpan w:val="2"/>
            <w:vAlign w:val="center"/>
          </w:tcPr>
          <w:p>
            <w:pPr>
              <w:pStyle w:val="13"/>
              <w:spacing w:line="280" w:lineRule="exact"/>
              <w:rPr>
                <w:rFonts w:cs="Times New Roman"/>
              </w:rPr>
            </w:pPr>
            <w:r>
              <w:rPr>
                <w:rFonts w:cs="Times New Roman"/>
              </w:rPr>
              <w:t>小计</w:t>
            </w:r>
          </w:p>
        </w:tc>
        <w:tc>
          <w:tcPr>
            <w:tcW w:w="697" w:type="pct"/>
            <w:tcBorders>
              <w:top w:val="single" w:color="auto" w:sz="4" w:space="0"/>
              <w:left w:val="single" w:color="auto" w:sz="4" w:space="0"/>
              <w:bottom w:val="single" w:color="auto" w:sz="4" w:space="0"/>
              <w:right w:val="single" w:color="auto" w:sz="4" w:space="0"/>
            </w:tcBorders>
            <w:shd w:val="clear" w:color="auto" w:fill="auto"/>
            <w:vAlign w:val="bottom"/>
          </w:tcPr>
          <w:p>
            <w:pPr>
              <w:pStyle w:val="13"/>
              <w:spacing w:line="280" w:lineRule="exact"/>
              <w:rPr>
                <w:rFonts w:cs="Times New Roman"/>
              </w:rPr>
            </w:pPr>
            <w:r>
              <w:rPr>
                <w:rFonts w:cs="Times New Roman"/>
              </w:rPr>
              <w:t>0.95</w:t>
            </w:r>
          </w:p>
        </w:tc>
        <w:tc>
          <w:tcPr>
            <w:tcW w:w="669" w:type="pct"/>
            <w:tcBorders>
              <w:top w:val="single" w:color="auto" w:sz="4" w:space="0"/>
              <w:left w:val="single" w:color="auto" w:sz="4" w:space="0"/>
              <w:bottom w:val="single" w:color="auto" w:sz="4" w:space="0"/>
              <w:right w:val="single" w:color="auto" w:sz="4" w:space="0"/>
            </w:tcBorders>
            <w:shd w:val="clear" w:color="auto" w:fill="auto"/>
            <w:vAlign w:val="bottom"/>
          </w:tcPr>
          <w:p>
            <w:pPr>
              <w:pStyle w:val="13"/>
              <w:spacing w:line="280" w:lineRule="exact"/>
              <w:rPr>
                <w:rFonts w:cs="Times New Roman"/>
              </w:rPr>
            </w:pPr>
            <w:r>
              <w:rPr>
                <w:rFonts w:cs="Times New Roman"/>
              </w:rPr>
              <w:t>2.82</w:t>
            </w:r>
          </w:p>
        </w:tc>
        <w:tc>
          <w:tcPr>
            <w:tcW w:w="644" w:type="pct"/>
            <w:tcBorders>
              <w:top w:val="single" w:color="auto" w:sz="4" w:space="0"/>
              <w:left w:val="single" w:color="auto" w:sz="4" w:space="0"/>
              <w:bottom w:val="single" w:color="auto" w:sz="4" w:space="0"/>
              <w:right w:val="single" w:color="auto" w:sz="4" w:space="0"/>
            </w:tcBorders>
            <w:shd w:val="clear" w:color="auto" w:fill="auto"/>
            <w:vAlign w:val="bottom"/>
          </w:tcPr>
          <w:p>
            <w:pPr>
              <w:pStyle w:val="13"/>
              <w:spacing w:line="280" w:lineRule="exact"/>
              <w:rPr>
                <w:rFonts w:cs="Times New Roman"/>
              </w:rPr>
            </w:pPr>
            <w:r>
              <w:rPr>
                <w:rFonts w:cs="Times New Roman"/>
              </w:rPr>
              <w:t>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90" w:type="pct"/>
            <w:gridSpan w:val="3"/>
            <w:vAlign w:val="center"/>
          </w:tcPr>
          <w:p>
            <w:pPr>
              <w:pStyle w:val="13"/>
              <w:spacing w:line="280" w:lineRule="exact"/>
              <w:rPr>
                <w:rFonts w:cs="Times New Roman"/>
              </w:rPr>
            </w:pPr>
            <w:r>
              <w:rPr>
                <w:rFonts w:cs="Times New Roman"/>
              </w:rPr>
              <w:t>合计</w:t>
            </w:r>
          </w:p>
        </w:tc>
        <w:tc>
          <w:tcPr>
            <w:tcW w:w="697" w:type="pct"/>
            <w:tcBorders>
              <w:top w:val="single" w:color="auto" w:sz="4" w:space="0"/>
              <w:left w:val="single" w:color="auto" w:sz="4" w:space="0"/>
              <w:bottom w:val="single" w:color="auto" w:sz="4" w:space="0"/>
              <w:right w:val="single" w:color="auto" w:sz="4" w:space="0"/>
            </w:tcBorders>
            <w:shd w:val="clear" w:color="auto" w:fill="auto"/>
            <w:vAlign w:val="bottom"/>
          </w:tcPr>
          <w:p>
            <w:pPr>
              <w:pStyle w:val="13"/>
              <w:spacing w:line="280" w:lineRule="exact"/>
              <w:rPr>
                <w:rFonts w:cs="Times New Roman"/>
              </w:rPr>
            </w:pPr>
            <w:r>
              <w:rPr>
                <w:rFonts w:cs="Times New Roman"/>
              </w:rPr>
              <w:t>0.95</w:t>
            </w:r>
          </w:p>
        </w:tc>
        <w:tc>
          <w:tcPr>
            <w:tcW w:w="669" w:type="pct"/>
            <w:tcBorders>
              <w:top w:val="single" w:color="auto" w:sz="4" w:space="0"/>
              <w:left w:val="single" w:color="auto" w:sz="4" w:space="0"/>
              <w:bottom w:val="single" w:color="auto" w:sz="4" w:space="0"/>
              <w:right w:val="single" w:color="auto" w:sz="4" w:space="0"/>
            </w:tcBorders>
            <w:shd w:val="clear" w:color="auto" w:fill="auto"/>
            <w:vAlign w:val="bottom"/>
          </w:tcPr>
          <w:p>
            <w:pPr>
              <w:pStyle w:val="13"/>
              <w:spacing w:line="280" w:lineRule="exact"/>
              <w:rPr>
                <w:rFonts w:cs="Times New Roman"/>
              </w:rPr>
            </w:pPr>
            <w:r>
              <w:rPr>
                <w:rFonts w:cs="Times New Roman"/>
              </w:rPr>
              <w:t>2.86</w:t>
            </w:r>
          </w:p>
        </w:tc>
        <w:tc>
          <w:tcPr>
            <w:tcW w:w="644" w:type="pct"/>
            <w:tcBorders>
              <w:top w:val="single" w:color="auto" w:sz="4" w:space="0"/>
              <w:left w:val="single" w:color="auto" w:sz="4" w:space="0"/>
              <w:bottom w:val="single" w:color="auto" w:sz="4" w:space="0"/>
              <w:right w:val="single" w:color="auto" w:sz="4" w:space="0"/>
            </w:tcBorders>
            <w:shd w:val="clear" w:color="auto" w:fill="auto"/>
            <w:vAlign w:val="bottom"/>
          </w:tcPr>
          <w:p>
            <w:pPr>
              <w:pStyle w:val="13"/>
              <w:spacing w:line="280" w:lineRule="exact"/>
              <w:rPr>
                <w:rFonts w:cs="Times New Roman"/>
              </w:rPr>
            </w:pPr>
            <w:r>
              <w:rPr>
                <w:rFonts w:cs="Times New Roman"/>
              </w:rPr>
              <w:t>3.81</w:t>
            </w:r>
          </w:p>
        </w:tc>
      </w:tr>
    </w:tbl>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11" w:name="_Toc171533272"/>
      <w:r>
        <w:rPr>
          <w:rFonts w:ascii="Times New Roman" w:hAnsi="Times New Roman" w:eastAsia="仿宋_GB2312" w:cs="Times New Roman"/>
          <w:color w:val="auto"/>
          <w:sz w:val="30"/>
          <w:szCs w:val="30"/>
          <w:lang w:eastAsia="zh-CN"/>
        </w:rPr>
        <w:t>1.5 水土流失防治目标</w:t>
      </w:r>
      <w:bookmarkEnd w:id="11"/>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1.5.1 执行标准等级</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水利部办公厅关于印发&lt;全国水土保持规划国家级水土流失重点预防区和重点治理区复核划分成果&gt;的通知》(办水保〔2013〕188号)以及《四川省水利厅关于印发&lt;四川省省级水土流失重点预防区和重点治理区划分成果&gt;的通知》(川水函〔2017〕482号)，项目所在的宣汉县属于</w:t>
      </w:r>
      <w:bookmarkStart w:id="12" w:name="_Hlk149039893"/>
      <w:r>
        <w:rPr>
          <w:rFonts w:cs="Times New Roman"/>
          <w:color w:val="auto"/>
          <w:szCs w:val="24"/>
          <w:lang w:eastAsia="zh-CN"/>
        </w:rPr>
        <w:t>嘉陵江及沱江中下游国家级水土流失重点治理区</w:t>
      </w:r>
      <w:bookmarkEnd w:id="12"/>
      <w:r>
        <w:rPr>
          <w:rFonts w:cs="Times New Roman"/>
          <w:color w:val="auto"/>
          <w:szCs w:val="24"/>
          <w:lang w:eastAsia="zh-CN"/>
        </w:rPr>
        <w:t>；根据《水利部办公厅关于印发&lt;全国水土保持区划(试行)&gt;的通知》(办水保〔2012〕512号)，宣汉县属于西南紫色土区（四川盆地及周围山地丘陵区）；按照《生产建设项目水土流失防治标准》(GB/T 50434-2018)规定，本项目水土流失防治标准执行西南紫色土区一级标准。</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本项目属于嘉陵江及沱江中下游国家级水土流失重点治理区，结合《生产建设项目水土流失防治标准》(GB/T 50434-2018)第4.0.1条规定，“位于各级人民政府和相关机构规定的水土流失重点预防区和治理区，应执行一级标准”，确定本项目水土流失防治执行标按西南紫色土区一级标准。</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1.5.2 防治目标</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(1)基本目标</w:t>
      </w:r>
    </w:p>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color w:val="auto"/>
          <w:szCs w:val="24"/>
          <w:lang w:eastAsia="zh-CN"/>
        </w:rPr>
        <w:t>①</w:t>
      </w:r>
      <w:r>
        <w:rPr>
          <w:rFonts w:cs="Times New Roman"/>
          <w:color w:val="auto"/>
          <w:szCs w:val="24"/>
          <w:lang w:eastAsia="zh-CN"/>
        </w:rPr>
        <w:t>项目建设范围内的新增水土流失应得到有效控制，原有水土流失得到治理；</w:t>
      </w:r>
    </w:p>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color w:val="auto"/>
          <w:szCs w:val="24"/>
          <w:lang w:eastAsia="zh-CN"/>
        </w:rPr>
        <w:t>②</w:t>
      </w:r>
      <w:r>
        <w:rPr>
          <w:rFonts w:cs="Times New Roman"/>
          <w:color w:val="auto"/>
          <w:szCs w:val="24"/>
          <w:lang w:eastAsia="zh-CN"/>
        </w:rPr>
        <w:t>水土保持设施应安全有效；</w:t>
      </w:r>
    </w:p>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color w:val="auto"/>
          <w:szCs w:val="24"/>
          <w:lang w:eastAsia="zh-CN"/>
        </w:rPr>
        <w:t>③</w:t>
      </w:r>
      <w:r>
        <w:rPr>
          <w:rFonts w:cs="Times New Roman"/>
          <w:color w:val="auto"/>
          <w:szCs w:val="24"/>
          <w:lang w:eastAsia="zh-CN"/>
        </w:rPr>
        <w:t>水土资源、林草植被应得到最大限度的保护与恢复；</w:t>
      </w:r>
      <w:bookmarkStart w:id="79" w:name="_GoBack"/>
      <w:bookmarkEnd w:id="79"/>
    </w:p>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snapToGrid/>
          <w:color w:val="auto"/>
          <w:kern w:val="2"/>
          <w:szCs w:val="24"/>
          <w:lang w:val="zh-CN" w:eastAsia="zh-CN"/>
        </w:rPr>
        <w:t>④</w:t>
      </w:r>
      <w:r>
        <w:rPr>
          <w:rFonts w:cs="Times New Roman"/>
          <w:color w:val="auto"/>
          <w:szCs w:val="24"/>
          <w:lang w:eastAsia="zh-CN"/>
        </w:rPr>
        <w:t>水土流失治理度、土壤流失控制比、渣土防护率、表土保护率、林草植被恢复率、林草覆盖率六项指标应符合现行国家标准《生产建设项目水土流失防治标准》的规定。</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(2)六项指标</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位于西南紫色土区，水土流失防治目标按照西南紫色土区一级标准取值，按照《生产建设项目水土流失防治标准》（GB/T50434-2018），根据项目区气候类型、干旱程度、土壤侵蚀强度、地形地貌、所处位置等对水土流失防治标准进行修正：</w:t>
      </w:r>
    </w:p>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color w:val="auto"/>
          <w:szCs w:val="24"/>
          <w:lang w:eastAsia="zh-CN"/>
        </w:rPr>
        <w:t>①</w:t>
      </w:r>
      <w:r>
        <w:rPr>
          <w:rFonts w:cs="Times New Roman"/>
          <w:color w:val="auto"/>
          <w:szCs w:val="24"/>
          <w:lang w:eastAsia="zh-CN"/>
        </w:rPr>
        <w:t>项目区多年平均降水量1239.4mm，属于湿润区，不对水土流失治理度进行修正；</w:t>
      </w:r>
    </w:p>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color w:val="auto"/>
          <w:szCs w:val="24"/>
          <w:lang w:eastAsia="zh-CN"/>
        </w:rPr>
        <w:t>②</w:t>
      </w:r>
      <w:r>
        <w:rPr>
          <w:rFonts w:cs="Times New Roman"/>
          <w:color w:val="auto"/>
          <w:szCs w:val="24"/>
          <w:lang w:eastAsia="zh-CN"/>
        </w:rPr>
        <w:t>项目区原地貌土壤侵蚀强度以轻度为主，土壤流失控制比在轻度侵蚀为主的区域不应小于1，将土壤流失控制比提高0.15；</w:t>
      </w:r>
    </w:p>
    <w:p>
      <w:pPr>
        <w:widowControl w:val="0"/>
        <w:kinsoku/>
        <w:topLinePunct/>
        <w:autoSpaceDE/>
        <w:autoSpaceDN/>
        <w:spacing w:line="360" w:lineRule="auto"/>
        <w:ind w:firstLine="480"/>
        <w:jc w:val="both"/>
        <w:rPr>
          <w:rFonts w:cs="Times New Roman"/>
          <w:snapToGrid/>
          <w:color w:val="auto"/>
          <w:kern w:val="2"/>
          <w:szCs w:val="24"/>
          <w:lang w:val="zh-CN" w:eastAsia="zh-CN"/>
        </w:rPr>
      </w:pPr>
      <w:r>
        <w:rPr>
          <w:rFonts w:hint="eastAsia" w:ascii="宋体" w:hAnsi="宋体" w:eastAsia="宋体" w:cs="宋体"/>
          <w:color w:val="auto"/>
          <w:szCs w:val="24"/>
          <w:lang w:eastAsia="zh-CN"/>
        </w:rPr>
        <w:t>③</w:t>
      </w:r>
      <w:r>
        <w:rPr>
          <w:rFonts w:cs="Times New Roman"/>
          <w:color w:val="auto"/>
          <w:szCs w:val="24"/>
          <w:lang w:eastAsia="zh-CN"/>
        </w:rPr>
        <w:t>项目不位于城市区，不对渣土防</w:t>
      </w:r>
      <w:r>
        <w:rPr>
          <w:rFonts w:cs="Times New Roman"/>
          <w:snapToGrid/>
          <w:color w:val="auto"/>
          <w:kern w:val="2"/>
          <w:szCs w:val="24"/>
          <w:lang w:val="zh-CN" w:eastAsia="zh-CN"/>
        </w:rPr>
        <w:t>护率及表土保护率进行修正；</w:t>
      </w:r>
    </w:p>
    <w:p>
      <w:pPr>
        <w:widowControl w:val="0"/>
        <w:kinsoku/>
        <w:topLinePunct/>
        <w:autoSpaceDE/>
        <w:autoSpaceDN/>
        <w:spacing w:line="360" w:lineRule="auto"/>
        <w:ind w:firstLine="480"/>
        <w:jc w:val="both"/>
        <w:rPr>
          <w:rFonts w:cs="Times New Roman"/>
          <w:snapToGrid/>
          <w:color w:val="auto"/>
          <w:kern w:val="2"/>
          <w:szCs w:val="24"/>
          <w:lang w:val="zh-CN" w:eastAsia="zh-CN"/>
        </w:rPr>
      </w:pPr>
      <w:r>
        <w:rPr>
          <w:rFonts w:hint="eastAsia" w:ascii="宋体" w:hAnsi="宋体" w:eastAsia="宋体" w:cs="宋体"/>
          <w:snapToGrid/>
          <w:color w:val="auto"/>
          <w:kern w:val="2"/>
          <w:szCs w:val="24"/>
          <w:lang w:val="zh-CN" w:eastAsia="zh-CN"/>
        </w:rPr>
        <w:t>④</w:t>
      </w:r>
      <w:r>
        <w:rPr>
          <w:rFonts w:cs="Times New Roman"/>
          <w:color w:val="auto"/>
          <w:szCs w:val="24"/>
          <w:lang w:eastAsia="zh-CN"/>
        </w:rPr>
        <w:t>项目无法避让嘉陵江及沱江中下游国家级水土流失重点治理区，林草覆盖率应提高2%。</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综合考虑，本项目设计水平年水土流失防治目标值确定为水土流失治理度97%、土壤流失控制比1.0、渣土防护率92%、表土保护率92%、林草植被恢复率97%、林草覆盖率25%，见表1.5-1。</w:t>
      </w:r>
    </w:p>
    <w:p>
      <w:pPr>
        <w:widowControl w:val="0"/>
        <w:kinsoku/>
        <w:topLinePunct/>
        <w:autoSpaceDE/>
        <w:autoSpaceDN/>
        <w:spacing w:line="300" w:lineRule="auto"/>
        <w:ind w:firstLine="482"/>
        <w:jc w:val="center"/>
        <w:rPr>
          <w:rFonts w:cs="Times New Roman"/>
          <w:b/>
          <w:bCs/>
          <w:color w:val="auto"/>
          <w:lang w:eastAsia="zh-CN"/>
        </w:rPr>
      </w:pPr>
      <w:r>
        <w:rPr>
          <w:rFonts w:cs="Times New Roman"/>
          <w:b/>
          <w:bCs/>
          <w:color w:val="auto"/>
          <w:lang w:eastAsia="zh-CN"/>
        </w:rPr>
        <w:t>表1.5-1 水土流失防治目标表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6"/>
        <w:gridCol w:w="665"/>
        <w:gridCol w:w="1028"/>
        <w:gridCol w:w="1201"/>
        <w:gridCol w:w="848"/>
        <w:gridCol w:w="890"/>
        <w:gridCol w:w="851"/>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70" w:type="pct"/>
            <w:vMerge w:val="restart"/>
            <w:vAlign w:val="center"/>
          </w:tcPr>
          <w:p>
            <w:pPr>
              <w:pStyle w:val="13"/>
              <w:ind w:left="-120" w:leftChars="-50" w:right="-120" w:rightChars="-50"/>
              <w:rPr>
                <w:rFonts w:cs="Times New Roman"/>
              </w:rPr>
            </w:pPr>
            <w:r>
              <w:rPr>
                <w:rFonts w:cs="Times New Roman"/>
              </w:rPr>
              <w:t>防治指标</w:t>
            </w:r>
          </w:p>
        </w:tc>
        <w:tc>
          <w:tcPr>
            <w:tcW w:w="993" w:type="pct"/>
            <w:gridSpan w:val="2"/>
            <w:vAlign w:val="center"/>
          </w:tcPr>
          <w:p>
            <w:pPr>
              <w:pStyle w:val="13"/>
              <w:ind w:left="-120" w:leftChars="-50" w:right="-120" w:rightChars="-50"/>
              <w:rPr>
                <w:rFonts w:cs="Times New Roman"/>
              </w:rPr>
            </w:pPr>
            <w:r>
              <w:rPr>
                <w:rFonts w:cs="Times New Roman"/>
              </w:rPr>
              <w:t>指标值(一级标准)</w:t>
            </w:r>
          </w:p>
        </w:tc>
        <w:tc>
          <w:tcPr>
            <w:tcW w:w="704" w:type="pct"/>
            <w:vMerge w:val="restart"/>
            <w:noWrap/>
            <w:vAlign w:val="center"/>
          </w:tcPr>
          <w:p>
            <w:pPr>
              <w:pStyle w:val="13"/>
              <w:ind w:left="-120" w:leftChars="-50" w:right="-120" w:rightChars="-50"/>
              <w:rPr>
                <w:rFonts w:cs="Times New Roman"/>
              </w:rPr>
            </w:pPr>
            <w:r>
              <w:rPr>
                <w:rFonts w:cs="Times New Roman"/>
              </w:rPr>
              <w:t>按原地貌土</w:t>
            </w:r>
          </w:p>
          <w:p>
            <w:pPr>
              <w:pStyle w:val="13"/>
              <w:ind w:left="-120" w:leftChars="-50" w:right="-120" w:rightChars="-50"/>
              <w:rPr>
                <w:rFonts w:cs="Times New Roman"/>
              </w:rPr>
            </w:pPr>
            <w:r>
              <w:rPr>
                <w:rFonts w:cs="Times New Roman"/>
              </w:rPr>
              <w:t>壤侵蚀强度</w:t>
            </w:r>
          </w:p>
          <w:p>
            <w:pPr>
              <w:pStyle w:val="13"/>
              <w:ind w:left="-120" w:leftChars="-50" w:right="-120" w:rightChars="-50"/>
              <w:rPr>
                <w:rFonts w:cs="Times New Roman"/>
              </w:rPr>
            </w:pPr>
            <w:r>
              <w:rPr>
                <w:rFonts w:cs="Times New Roman"/>
              </w:rPr>
              <w:t>修正</w:t>
            </w:r>
          </w:p>
        </w:tc>
        <w:tc>
          <w:tcPr>
            <w:tcW w:w="497" w:type="pct"/>
            <w:vMerge w:val="restart"/>
            <w:noWrap/>
            <w:vAlign w:val="center"/>
          </w:tcPr>
          <w:p>
            <w:pPr>
              <w:pStyle w:val="13"/>
              <w:ind w:left="-120" w:leftChars="-50" w:right="-120" w:rightChars="-50"/>
              <w:rPr>
                <w:rFonts w:cs="Times New Roman"/>
              </w:rPr>
            </w:pPr>
            <w:r>
              <w:rPr>
                <w:rFonts w:cs="Times New Roman"/>
              </w:rPr>
              <w:t>按城市</w:t>
            </w:r>
          </w:p>
          <w:p>
            <w:pPr>
              <w:pStyle w:val="13"/>
              <w:ind w:left="-120" w:leftChars="-50" w:right="-120" w:rightChars="-50"/>
              <w:rPr>
                <w:rFonts w:cs="Times New Roman"/>
              </w:rPr>
            </w:pPr>
            <w:r>
              <w:rPr>
                <w:rFonts w:cs="Times New Roman"/>
              </w:rPr>
              <w:t>区项目</w:t>
            </w:r>
          </w:p>
          <w:p>
            <w:pPr>
              <w:pStyle w:val="13"/>
              <w:ind w:left="-120" w:leftChars="-50" w:right="-120" w:rightChars="-50"/>
              <w:rPr>
                <w:rFonts w:cs="Times New Roman"/>
              </w:rPr>
            </w:pPr>
            <w:r>
              <w:rPr>
                <w:rFonts w:cs="Times New Roman"/>
              </w:rPr>
              <w:t>修正</w:t>
            </w:r>
          </w:p>
        </w:tc>
        <w:tc>
          <w:tcPr>
            <w:tcW w:w="522" w:type="pct"/>
            <w:vMerge w:val="restart"/>
            <w:noWrap/>
            <w:vAlign w:val="center"/>
          </w:tcPr>
          <w:p>
            <w:pPr>
              <w:pStyle w:val="13"/>
              <w:ind w:left="-120" w:leftChars="-50" w:right="-120" w:rightChars="-50"/>
              <w:rPr>
                <w:rFonts w:cs="Times New Roman"/>
              </w:rPr>
            </w:pPr>
            <w:r>
              <w:rPr>
                <w:rFonts w:cs="Times New Roman"/>
              </w:rPr>
              <w:t>按两区</w:t>
            </w:r>
          </w:p>
          <w:p>
            <w:pPr>
              <w:pStyle w:val="13"/>
              <w:ind w:left="-120" w:leftChars="-50" w:right="-120" w:rightChars="-50"/>
              <w:rPr>
                <w:rFonts w:cs="Times New Roman"/>
              </w:rPr>
            </w:pPr>
            <w:r>
              <w:rPr>
                <w:rFonts w:cs="Times New Roman"/>
              </w:rPr>
              <w:t>项目</w:t>
            </w:r>
          </w:p>
          <w:p>
            <w:pPr>
              <w:pStyle w:val="13"/>
              <w:ind w:left="-120" w:leftChars="-50" w:right="-120" w:rightChars="-50"/>
              <w:rPr>
                <w:rFonts w:cs="Times New Roman"/>
              </w:rPr>
            </w:pPr>
            <w:r>
              <w:rPr>
                <w:rFonts w:cs="Times New Roman"/>
              </w:rPr>
              <w:t>修正</w:t>
            </w:r>
          </w:p>
        </w:tc>
        <w:tc>
          <w:tcPr>
            <w:tcW w:w="1114" w:type="pct"/>
            <w:gridSpan w:val="2"/>
            <w:vAlign w:val="center"/>
          </w:tcPr>
          <w:p>
            <w:pPr>
              <w:pStyle w:val="13"/>
              <w:ind w:left="-120" w:leftChars="-50" w:right="-120" w:rightChars="-50"/>
              <w:rPr>
                <w:rFonts w:cs="Times New Roman"/>
              </w:rPr>
            </w:pPr>
            <w:r>
              <w:rPr>
                <w:rFonts w:cs="Times New Roman"/>
              </w:rPr>
              <w:t>目标值(一级标准)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70" w:type="pct"/>
            <w:vMerge w:val="continue"/>
            <w:vAlign w:val="center"/>
          </w:tcPr>
          <w:p>
            <w:pPr>
              <w:pStyle w:val="13"/>
              <w:ind w:left="-120" w:leftChars="-50" w:right="-120" w:rightChars="-50"/>
              <w:rPr>
                <w:rFonts w:cs="Times New Roman"/>
              </w:rPr>
            </w:pPr>
          </w:p>
        </w:tc>
        <w:tc>
          <w:tcPr>
            <w:tcW w:w="390" w:type="pct"/>
            <w:vAlign w:val="center"/>
          </w:tcPr>
          <w:p>
            <w:pPr>
              <w:pStyle w:val="13"/>
              <w:ind w:left="-120" w:leftChars="-50" w:right="-120" w:rightChars="-50"/>
              <w:rPr>
                <w:rFonts w:cs="Times New Roman"/>
              </w:rPr>
            </w:pPr>
            <w:r>
              <w:rPr>
                <w:rFonts w:cs="Times New Roman"/>
              </w:rPr>
              <w:t>施工</w:t>
            </w:r>
          </w:p>
          <w:p>
            <w:pPr>
              <w:pStyle w:val="13"/>
              <w:ind w:left="-120" w:leftChars="-50" w:right="-120" w:rightChars="-50"/>
              <w:rPr>
                <w:rFonts w:cs="Times New Roman"/>
              </w:rPr>
            </w:pPr>
            <w:r>
              <w:rPr>
                <w:rFonts w:cs="Times New Roman"/>
              </w:rPr>
              <w:t>期</w:t>
            </w:r>
          </w:p>
        </w:tc>
        <w:tc>
          <w:tcPr>
            <w:tcW w:w="603" w:type="pct"/>
            <w:vAlign w:val="center"/>
          </w:tcPr>
          <w:p>
            <w:pPr>
              <w:pStyle w:val="13"/>
              <w:ind w:left="-120" w:leftChars="-50" w:right="-120" w:rightChars="-50"/>
              <w:rPr>
                <w:rFonts w:cs="Times New Roman"/>
              </w:rPr>
            </w:pPr>
            <w:r>
              <w:rPr>
                <w:rFonts w:cs="Times New Roman"/>
              </w:rPr>
              <w:t>设计水</w:t>
            </w:r>
          </w:p>
          <w:p>
            <w:pPr>
              <w:pStyle w:val="13"/>
              <w:ind w:left="-120" w:leftChars="-50" w:right="-120" w:rightChars="-50"/>
              <w:rPr>
                <w:rFonts w:cs="Times New Roman"/>
              </w:rPr>
            </w:pPr>
            <w:r>
              <w:rPr>
                <w:rFonts w:cs="Times New Roman"/>
              </w:rPr>
              <w:t>平年</w:t>
            </w:r>
          </w:p>
        </w:tc>
        <w:tc>
          <w:tcPr>
            <w:tcW w:w="704" w:type="pct"/>
            <w:vMerge w:val="continue"/>
            <w:vAlign w:val="center"/>
          </w:tcPr>
          <w:p>
            <w:pPr>
              <w:pStyle w:val="13"/>
              <w:ind w:left="-120" w:leftChars="-50" w:right="-120" w:rightChars="-50"/>
              <w:rPr>
                <w:rFonts w:cs="Times New Roman"/>
              </w:rPr>
            </w:pPr>
          </w:p>
        </w:tc>
        <w:tc>
          <w:tcPr>
            <w:tcW w:w="497" w:type="pct"/>
            <w:vMerge w:val="continue"/>
            <w:vAlign w:val="center"/>
          </w:tcPr>
          <w:p>
            <w:pPr>
              <w:pStyle w:val="13"/>
              <w:ind w:left="-120" w:leftChars="-50" w:right="-120" w:rightChars="-50"/>
              <w:rPr>
                <w:rFonts w:cs="Times New Roman"/>
              </w:rPr>
            </w:pPr>
          </w:p>
        </w:tc>
        <w:tc>
          <w:tcPr>
            <w:tcW w:w="522" w:type="pct"/>
            <w:vMerge w:val="continue"/>
            <w:vAlign w:val="center"/>
          </w:tcPr>
          <w:p>
            <w:pPr>
              <w:pStyle w:val="13"/>
              <w:ind w:left="-120" w:leftChars="-50" w:right="-120" w:rightChars="-50"/>
              <w:rPr>
                <w:rFonts w:cs="Times New Roman"/>
              </w:rPr>
            </w:pPr>
          </w:p>
        </w:tc>
        <w:tc>
          <w:tcPr>
            <w:tcW w:w="499" w:type="pct"/>
            <w:vAlign w:val="center"/>
          </w:tcPr>
          <w:p>
            <w:pPr>
              <w:pStyle w:val="13"/>
              <w:ind w:left="-120" w:leftChars="-50" w:right="-120" w:rightChars="-50"/>
              <w:rPr>
                <w:rFonts w:cs="Times New Roman"/>
              </w:rPr>
            </w:pPr>
            <w:r>
              <w:rPr>
                <w:rFonts w:cs="Times New Roman"/>
              </w:rPr>
              <w:t>施工期</w:t>
            </w:r>
          </w:p>
        </w:tc>
        <w:tc>
          <w:tcPr>
            <w:tcW w:w="615" w:type="pct"/>
            <w:vAlign w:val="center"/>
          </w:tcPr>
          <w:p>
            <w:pPr>
              <w:pStyle w:val="13"/>
              <w:ind w:left="-120" w:leftChars="-50" w:right="-120" w:rightChars="-50"/>
              <w:rPr>
                <w:rFonts w:cs="Times New Roman"/>
              </w:rPr>
            </w:pPr>
            <w:r>
              <w:rPr>
                <w:rFonts w:cs="Times New Roman"/>
              </w:rPr>
              <w:t>设计</w:t>
            </w:r>
          </w:p>
          <w:p>
            <w:pPr>
              <w:pStyle w:val="13"/>
              <w:ind w:left="-120" w:leftChars="-50" w:right="-120" w:rightChars="-50"/>
              <w:rPr>
                <w:rFonts w:cs="Times New Roman"/>
              </w:rPr>
            </w:pPr>
            <w:r>
              <w:rPr>
                <w:rFonts w:cs="Times New Roman"/>
              </w:rPr>
              <w:t>水平年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Align w:val="center"/>
          </w:tcPr>
          <w:p>
            <w:pPr>
              <w:pStyle w:val="13"/>
              <w:ind w:left="-120" w:leftChars="-50" w:right="-120" w:rightChars="-50"/>
              <w:rPr>
                <w:rFonts w:cs="Times New Roman"/>
              </w:rPr>
            </w:pPr>
            <w:r>
              <w:rPr>
                <w:rFonts w:cs="Times New Roman"/>
              </w:rPr>
              <w:t>水土流失治理度(%)</w:t>
            </w:r>
          </w:p>
        </w:tc>
        <w:tc>
          <w:tcPr>
            <w:tcW w:w="390" w:type="pct"/>
            <w:vAlign w:val="center"/>
          </w:tcPr>
          <w:p>
            <w:pPr>
              <w:pStyle w:val="13"/>
              <w:ind w:left="-120" w:leftChars="-50" w:right="-120" w:rightChars="-50"/>
              <w:rPr>
                <w:rFonts w:cs="Times New Roman"/>
              </w:rPr>
            </w:pPr>
            <w:r>
              <w:rPr>
                <w:rFonts w:cs="Times New Roman"/>
              </w:rPr>
              <w:t>-</w:t>
            </w:r>
          </w:p>
        </w:tc>
        <w:tc>
          <w:tcPr>
            <w:tcW w:w="603" w:type="pct"/>
            <w:vAlign w:val="center"/>
          </w:tcPr>
          <w:p>
            <w:pPr>
              <w:pStyle w:val="13"/>
              <w:ind w:left="-120" w:leftChars="-50" w:right="-120" w:rightChars="-50"/>
              <w:rPr>
                <w:rFonts w:cs="Times New Roman"/>
              </w:rPr>
            </w:pPr>
            <w:r>
              <w:rPr>
                <w:rFonts w:cs="Times New Roman"/>
              </w:rPr>
              <w:t>97</w:t>
            </w:r>
          </w:p>
        </w:tc>
        <w:tc>
          <w:tcPr>
            <w:tcW w:w="704" w:type="pct"/>
            <w:noWrap/>
            <w:vAlign w:val="center"/>
          </w:tcPr>
          <w:p>
            <w:pPr>
              <w:pStyle w:val="13"/>
              <w:ind w:left="-120" w:leftChars="-50" w:right="-120" w:rightChars="-50"/>
              <w:rPr>
                <w:rFonts w:cs="Times New Roman"/>
              </w:rPr>
            </w:pPr>
          </w:p>
        </w:tc>
        <w:tc>
          <w:tcPr>
            <w:tcW w:w="497" w:type="pct"/>
            <w:noWrap/>
            <w:vAlign w:val="center"/>
          </w:tcPr>
          <w:p>
            <w:pPr>
              <w:pStyle w:val="13"/>
              <w:ind w:left="-120" w:leftChars="-50" w:right="-120" w:rightChars="-50"/>
              <w:rPr>
                <w:rFonts w:cs="Times New Roman"/>
              </w:rPr>
            </w:pPr>
          </w:p>
        </w:tc>
        <w:tc>
          <w:tcPr>
            <w:tcW w:w="522" w:type="pct"/>
            <w:noWrap/>
            <w:vAlign w:val="center"/>
          </w:tcPr>
          <w:p>
            <w:pPr>
              <w:pStyle w:val="13"/>
              <w:ind w:left="-120" w:leftChars="-50" w:right="-120" w:rightChars="-50"/>
              <w:rPr>
                <w:rFonts w:cs="Times New Roman"/>
              </w:rPr>
            </w:pPr>
          </w:p>
        </w:tc>
        <w:tc>
          <w:tcPr>
            <w:tcW w:w="499" w:type="pct"/>
            <w:vAlign w:val="center"/>
          </w:tcPr>
          <w:p>
            <w:pPr>
              <w:pStyle w:val="13"/>
              <w:ind w:left="-120" w:leftChars="-50" w:right="-120" w:rightChars="-50"/>
              <w:rPr>
                <w:rFonts w:cs="Times New Roman"/>
              </w:rPr>
            </w:pPr>
            <w:r>
              <w:rPr>
                <w:rFonts w:cs="Times New Roman"/>
              </w:rPr>
              <w:t>-</w:t>
            </w:r>
          </w:p>
        </w:tc>
        <w:tc>
          <w:tcPr>
            <w:tcW w:w="615" w:type="pct"/>
            <w:vAlign w:val="center"/>
          </w:tcPr>
          <w:p>
            <w:pPr>
              <w:pStyle w:val="13"/>
              <w:ind w:left="-120" w:leftChars="-50" w:right="-120" w:rightChars="-50"/>
              <w:rPr>
                <w:rFonts w:cs="Times New Roman"/>
              </w:rPr>
            </w:pPr>
            <w:r>
              <w:rPr>
                <w:rFonts w:cs="Times New Roma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Align w:val="center"/>
          </w:tcPr>
          <w:p>
            <w:pPr>
              <w:pStyle w:val="13"/>
              <w:ind w:left="-120" w:leftChars="-50" w:right="-120" w:rightChars="-50"/>
              <w:rPr>
                <w:rFonts w:cs="Times New Roman"/>
              </w:rPr>
            </w:pPr>
            <w:r>
              <w:rPr>
                <w:rFonts w:cs="Times New Roman"/>
              </w:rPr>
              <w:t>土壤流失控制比</w:t>
            </w:r>
          </w:p>
        </w:tc>
        <w:tc>
          <w:tcPr>
            <w:tcW w:w="390" w:type="pct"/>
            <w:vAlign w:val="center"/>
          </w:tcPr>
          <w:p>
            <w:pPr>
              <w:pStyle w:val="13"/>
              <w:ind w:left="-120" w:leftChars="-50" w:right="-120" w:rightChars="-50"/>
              <w:rPr>
                <w:rFonts w:cs="Times New Roman"/>
              </w:rPr>
            </w:pPr>
            <w:r>
              <w:rPr>
                <w:rFonts w:cs="Times New Roman"/>
              </w:rPr>
              <w:t>-</w:t>
            </w:r>
          </w:p>
        </w:tc>
        <w:tc>
          <w:tcPr>
            <w:tcW w:w="603" w:type="pct"/>
            <w:vAlign w:val="center"/>
          </w:tcPr>
          <w:p>
            <w:pPr>
              <w:pStyle w:val="13"/>
              <w:ind w:left="-120" w:leftChars="-50" w:right="-120" w:rightChars="-50"/>
              <w:rPr>
                <w:rFonts w:cs="Times New Roman"/>
              </w:rPr>
            </w:pPr>
            <w:r>
              <w:rPr>
                <w:rFonts w:cs="Times New Roman"/>
              </w:rPr>
              <w:t>0.85</w:t>
            </w:r>
          </w:p>
        </w:tc>
        <w:tc>
          <w:tcPr>
            <w:tcW w:w="704" w:type="pct"/>
            <w:noWrap/>
            <w:vAlign w:val="center"/>
          </w:tcPr>
          <w:p>
            <w:pPr>
              <w:pStyle w:val="13"/>
              <w:ind w:left="-120" w:leftChars="-50" w:right="-120" w:rightChars="-50"/>
              <w:rPr>
                <w:rFonts w:cs="Times New Roman"/>
              </w:rPr>
            </w:pPr>
            <w:r>
              <w:rPr>
                <w:rFonts w:cs="Times New Roman"/>
              </w:rPr>
              <w:t>+0.15</w:t>
            </w:r>
          </w:p>
        </w:tc>
        <w:tc>
          <w:tcPr>
            <w:tcW w:w="497" w:type="pct"/>
            <w:noWrap/>
            <w:vAlign w:val="center"/>
          </w:tcPr>
          <w:p>
            <w:pPr>
              <w:pStyle w:val="13"/>
              <w:ind w:left="-120" w:leftChars="-50" w:right="-120" w:rightChars="-50"/>
              <w:rPr>
                <w:rFonts w:cs="Times New Roman"/>
              </w:rPr>
            </w:pPr>
          </w:p>
        </w:tc>
        <w:tc>
          <w:tcPr>
            <w:tcW w:w="522" w:type="pct"/>
            <w:noWrap/>
            <w:vAlign w:val="center"/>
          </w:tcPr>
          <w:p>
            <w:pPr>
              <w:pStyle w:val="13"/>
              <w:ind w:left="-120" w:leftChars="-50" w:right="-120" w:rightChars="-50"/>
              <w:rPr>
                <w:rFonts w:cs="Times New Roman"/>
              </w:rPr>
            </w:pPr>
          </w:p>
        </w:tc>
        <w:tc>
          <w:tcPr>
            <w:tcW w:w="499" w:type="pct"/>
            <w:vAlign w:val="center"/>
          </w:tcPr>
          <w:p>
            <w:pPr>
              <w:pStyle w:val="13"/>
              <w:ind w:left="-120" w:leftChars="-50" w:right="-120" w:rightChars="-50"/>
              <w:rPr>
                <w:rFonts w:cs="Times New Roman"/>
              </w:rPr>
            </w:pPr>
            <w:r>
              <w:rPr>
                <w:rFonts w:cs="Times New Roman"/>
              </w:rPr>
              <w:t>-</w:t>
            </w:r>
          </w:p>
        </w:tc>
        <w:tc>
          <w:tcPr>
            <w:tcW w:w="615" w:type="pct"/>
            <w:vAlign w:val="center"/>
          </w:tcPr>
          <w:p>
            <w:pPr>
              <w:pStyle w:val="13"/>
              <w:ind w:left="-120" w:leftChars="-50" w:right="-120" w:rightChars="-50"/>
              <w:rPr>
                <w:rFonts w:cs="Times New Roman"/>
              </w:rPr>
            </w:pPr>
            <w:r>
              <w:rPr>
                <w:rFonts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Align w:val="center"/>
          </w:tcPr>
          <w:p>
            <w:pPr>
              <w:pStyle w:val="13"/>
              <w:ind w:left="-120" w:leftChars="-50" w:right="-120" w:rightChars="-50"/>
              <w:rPr>
                <w:rFonts w:cs="Times New Roman"/>
              </w:rPr>
            </w:pPr>
            <w:r>
              <w:rPr>
                <w:rFonts w:cs="Times New Roman"/>
              </w:rPr>
              <w:t>渣土防护率(%)</w:t>
            </w:r>
          </w:p>
        </w:tc>
        <w:tc>
          <w:tcPr>
            <w:tcW w:w="390" w:type="pct"/>
            <w:vAlign w:val="center"/>
          </w:tcPr>
          <w:p>
            <w:pPr>
              <w:pStyle w:val="13"/>
              <w:ind w:left="-120" w:leftChars="-50" w:right="-120" w:rightChars="-50"/>
              <w:rPr>
                <w:rFonts w:cs="Times New Roman"/>
              </w:rPr>
            </w:pPr>
            <w:r>
              <w:rPr>
                <w:rFonts w:cs="Times New Roman"/>
              </w:rPr>
              <w:t>90</w:t>
            </w:r>
          </w:p>
        </w:tc>
        <w:tc>
          <w:tcPr>
            <w:tcW w:w="603" w:type="pct"/>
            <w:vAlign w:val="center"/>
          </w:tcPr>
          <w:p>
            <w:pPr>
              <w:pStyle w:val="13"/>
              <w:ind w:left="-120" w:leftChars="-50" w:right="-120" w:rightChars="-50"/>
              <w:rPr>
                <w:rFonts w:cs="Times New Roman"/>
              </w:rPr>
            </w:pPr>
            <w:r>
              <w:rPr>
                <w:rFonts w:cs="Times New Roman"/>
              </w:rPr>
              <w:t>92</w:t>
            </w:r>
          </w:p>
        </w:tc>
        <w:tc>
          <w:tcPr>
            <w:tcW w:w="704" w:type="pct"/>
            <w:noWrap/>
            <w:vAlign w:val="center"/>
          </w:tcPr>
          <w:p>
            <w:pPr>
              <w:pStyle w:val="13"/>
              <w:ind w:left="-120" w:leftChars="-50" w:right="-120" w:rightChars="-50"/>
              <w:rPr>
                <w:rFonts w:cs="Times New Roman"/>
              </w:rPr>
            </w:pPr>
          </w:p>
        </w:tc>
        <w:tc>
          <w:tcPr>
            <w:tcW w:w="497" w:type="pct"/>
            <w:noWrap/>
            <w:vAlign w:val="center"/>
          </w:tcPr>
          <w:p>
            <w:pPr>
              <w:pStyle w:val="13"/>
              <w:ind w:left="-120" w:leftChars="-50" w:right="-120" w:rightChars="-50"/>
              <w:rPr>
                <w:rFonts w:cs="Times New Roman"/>
              </w:rPr>
            </w:pPr>
          </w:p>
        </w:tc>
        <w:tc>
          <w:tcPr>
            <w:tcW w:w="522" w:type="pct"/>
            <w:noWrap/>
            <w:vAlign w:val="center"/>
          </w:tcPr>
          <w:p>
            <w:pPr>
              <w:pStyle w:val="13"/>
              <w:ind w:left="-120" w:leftChars="-50" w:right="-120" w:rightChars="-50"/>
              <w:rPr>
                <w:rFonts w:cs="Times New Roman"/>
              </w:rPr>
            </w:pPr>
          </w:p>
        </w:tc>
        <w:tc>
          <w:tcPr>
            <w:tcW w:w="499" w:type="pct"/>
            <w:vAlign w:val="center"/>
          </w:tcPr>
          <w:p>
            <w:pPr>
              <w:pStyle w:val="13"/>
              <w:ind w:left="-120" w:leftChars="-50" w:right="-120" w:rightChars="-50"/>
              <w:rPr>
                <w:rFonts w:cs="Times New Roman"/>
              </w:rPr>
            </w:pPr>
            <w:r>
              <w:rPr>
                <w:rFonts w:cs="Times New Roman"/>
              </w:rPr>
              <w:t>90</w:t>
            </w:r>
          </w:p>
        </w:tc>
        <w:tc>
          <w:tcPr>
            <w:tcW w:w="615" w:type="pct"/>
            <w:vAlign w:val="center"/>
          </w:tcPr>
          <w:p>
            <w:pPr>
              <w:pStyle w:val="13"/>
              <w:ind w:left="-120" w:leftChars="-50" w:right="-120" w:rightChars="-50"/>
              <w:rPr>
                <w:rFonts w:cs="Times New Roman"/>
              </w:rPr>
            </w:pPr>
            <w:r>
              <w:rPr>
                <w:rFonts w:cs="Times New Roma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Align w:val="center"/>
          </w:tcPr>
          <w:p>
            <w:pPr>
              <w:pStyle w:val="13"/>
              <w:ind w:left="-120" w:leftChars="-50" w:right="-120" w:rightChars="-50"/>
              <w:rPr>
                <w:rFonts w:cs="Times New Roman"/>
              </w:rPr>
            </w:pPr>
            <w:r>
              <w:rPr>
                <w:rFonts w:cs="Times New Roman"/>
              </w:rPr>
              <w:t>表土保护率(%)</w:t>
            </w:r>
          </w:p>
        </w:tc>
        <w:tc>
          <w:tcPr>
            <w:tcW w:w="390" w:type="pct"/>
            <w:vAlign w:val="center"/>
          </w:tcPr>
          <w:p>
            <w:pPr>
              <w:pStyle w:val="13"/>
              <w:ind w:left="-120" w:leftChars="-50" w:right="-120" w:rightChars="-50"/>
              <w:rPr>
                <w:rFonts w:cs="Times New Roman"/>
              </w:rPr>
            </w:pPr>
            <w:r>
              <w:rPr>
                <w:rFonts w:cs="Times New Roman"/>
              </w:rPr>
              <w:t>92</w:t>
            </w:r>
          </w:p>
        </w:tc>
        <w:tc>
          <w:tcPr>
            <w:tcW w:w="603" w:type="pct"/>
            <w:vAlign w:val="center"/>
          </w:tcPr>
          <w:p>
            <w:pPr>
              <w:pStyle w:val="13"/>
              <w:ind w:left="-120" w:leftChars="-50" w:right="-120" w:rightChars="-50"/>
              <w:rPr>
                <w:rFonts w:cs="Times New Roman"/>
              </w:rPr>
            </w:pPr>
            <w:r>
              <w:rPr>
                <w:rFonts w:cs="Times New Roman"/>
              </w:rPr>
              <w:t>92</w:t>
            </w:r>
          </w:p>
        </w:tc>
        <w:tc>
          <w:tcPr>
            <w:tcW w:w="704" w:type="pct"/>
            <w:noWrap/>
            <w:vAlign w:val="center"/>
          </w:tcPr>
          <w:p>
            <w:pPr>
              <w:pStyle w:val="13"/>
              <w:ind w:left="-120" w:leftChars="-50" w:right="-120" w:rightChars="-50"/>
              <w:rPr>
                <w:rFonts w:cs="Times New Roman"/>
              </w:rPr>
            </w:pPr>
          </w:p>
        </w:tc>
        <w:tc>
          <w:tcPr>
            <w:tcW w:w="497" w:type="pct"/>
            <w:noWrap/>
            <w:vAlign w:val="center"/>
          </w:tcPr>
          <w:p>
            <w:pPr>
              <w:pStyle w:val="13"/>
              <w:ind w:left="-120" w:leftChars="-50" w:right="-120" w:rightChars="-50"/>
              <w:rPr>
                <w:rFonts w:cs="Times New Roman"/>
              </w:rPr>
            </w:pPr>
          </w:p>
        </w:tc>
        <w:tc>
          <w:tcPr>
            <w:tcW w:w="522" w:type="pct"/>
            <w:noWrap/>
            <w:vAlign w:val="center"/>
          </w:tcPr>
          <w:p>
            <w:pPr>
              <w:pStyle w:val="13"/>
              <w:ind w:left="-120" w:leftChars="-50" w:right="-120" w:rightChars="-50"/>
              <w:rPr>
                <w:rFonts w:cs="Times New Roman"/>
              </w:rPr>
            </w:pPr>
          </w:p>
        </w:tc>
        <w:tc>
          <w:tcPr>
            <w:tcW w:w="499" w:type="pct"/>
            <w:vAlign w:val="center"/>
          </w:tcPr>
          <w:p>
            <w:pPr>
              <w:pStyle w:val="13"/>
              <w:ind w:left="-120" w:leftChars="-50" w:right="-120" w:rightChars="-50"/>
              <w:rPr>
                <w:rFonts w:cs="Times New Roman"/>
              </w:rPr>
            </w:pPr>
            <w:r>
              <w:rPr>
                <w:rFonts w:cs="Times New Roman"/>
              </w:rPr>
              <w:t>92</w:t>
            </w:r>
          </w:p>
        </w:tc>
        <w:tc>
          <w:tcPr>
            <w:tcW w:w="615" w:type="pct"/>
            <w:vAlign w:val="center"/>
          </w:tcPr>
          <w:p>
            <w:pPr>
              <w:pStyle w:val="13"/>
              <w:ind w:left="-120" w:leftChars="-50" w:right="-120" w:rightChars="-50"/>
              <w:rPr>
                <w:rFonts w:cs="Times New Roman"/>
              </w:rPr>
            </w:pPr>
            <w:r>
              <w:rPr>
                <w:rFonts w:cs="Times New Roma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Align w:val="center"/>
          </w:tcPr>
          <w:p>
            <w:pPr>
              <w:pStyle w:val="13"/>
              <w:ind w:left="-120" w:leftChars="-50" w:right="-120" w:rightChars="-50"/>
              <w:rPr>
                <w:rFonts w:cs="Times New Roman"/>
              </w:rPr>
            </w:pPr>
            <w:r>
              <w:rPr>
                <w:rFonts w:cs="Times New Roman"/>
              </w:rPr>
              <w:t>林草植被恢复率(%)</w:t>
            </w:r>
          </w:p>
        </w:tc>
        <w:tc>
          <w:tcPr>
            <w:tcW w:w="390" w:type="pct"/>
            <w:vAlign w:val="center"/>
          </w:tcPr>
          <w:p>
            <w:pPr>
              <w:pStyle w:val="13"/>
              <w:ind w:left="-120" w:leftChars="-50" w:right="-120" w:rightChars="-50"/>
              <w:rPr>
                <w:rFonts w:cs="Times New Roman"/>
              </w:rPr>
            </w:pPr>
            <w:r>
              <w:rPr>
                <w:rFonts w:cs="Times New Roman"/>
              </w:rPr>
              <w:t>-</w:t>
            </w:r>
          </w:p>
        </w:tc>
        <w:tc>
          <w:tcPr>
            <w:tcW w:w="603" w:type="pct"/>
            <w:vAlign w:val="center"/>
          </w:tcPr>
          <w:p>
            <w:pPr>
              <w:pStyle w:val="13"/>
              <w:ind w:left="-120" w:leftChars="-50" w:right="-120" w:rightChars="-50"/>
              <w:rPr>
                <w:rFonts w:cs="Times New Roman"/>
              </w:rPr>
            </w:pPr>
            <w:r>
              <w:rPr>
                <w:rFonts w:cs="Times New Roman"/>
              </w:rPr>
              <w:t>97</w:t>
            </w:r>
          </w:p>
        </w:tc>
        <w:tc>
          <w:tcPr>
            <w:tcW w:w="704" w:type="pct"/>
            <w:noWrap/>
            <w:vAlign w:val="center"/>
          </w:tcPr>
          <w:p>
            <w:pPr>
              <w:pStyle w:val="13"/>
              <w:ind w:left="-120" w:leftChars="-50" w:right="-120" w:rightChars="-50"/>
              <w:rPr>
                <w:rFonts w:cs="Times New Roman"/>
              </w:rPr>
            </w:pPr>
          </w:p>
        </w:tc>
        <w:tc>
          <w:tcPr>
            <w:tcW w:w="497" w:type="pct"/>
            <w:noWrap/>
            <w:vAlign w:val="center"/>
          </w:tcPr>
          <w:p>
            <w:pPr>
              <w:pStyle w:val="13"/>
              <w:ind w:left="-120" w:leftChars="-50" w:right="-120" w:rightChars="-50"/>
              <w:rPr>
                <w:rFonts w:cs="Times New Roman"/>
              </w:rPr>
            </w:pPr>
          </w:p>
        </w:tc>
        <w:tc>
          <w:tcPr>
            <w:tcW w:w="522" w:type="pct"/>
            <w:noWrap/>
            <w:vAlign w:val="center"/>
          </w:tcPr>
          <w:p>
            <w:pPr>
              <w:pStyle w:val="13"/>
              <w:ind w:left="-120" w:leftChars="-50" w:right="-120" w:rightChars="-50"/>
              <w:rPr>
                <w:rFonts w:cs="Times New Roman"/>
              </w:rPr>
            </w:pPr>
          </w:p>
        </w:tc>
        <w:tc>
          <w:tcPr>
            <w:tcW w:w="499" w:type="pct"/>
            <w:vAlign w:val="center"/>
          </w:tcPr>
          <w:p>
            <w:pPr>
              <w:pStyle w:val="13"/>
              <w:ind w:left="-120" w:leftChars="-50" w:right="-120" w:rightChars="-50"/>
              <w:rPr>
                <w:rFonts w:cs="Times New Roman"/>
              </w:rPr>
            </w:pPr>
            <w:r>
              <w:rPr>
                <w:rFonts w:cs="Times New Roman"/>
              </w:rPr>
              <w:t>-</w:t>
            </w:r>
          </w:p>
        </w:tc>
        <w:tc>
          <w:tcPr>
            <w:tcW w:w="615" w:type="pct"/>
            <w:vAlign w:val="center"/>
          </w:tcPr>
          <w:p>
            <w:pPr>
              <w:pStyle w:val="13"/>
              <w:ind w:left="-120" w:leftChars="-50" w:right="-120" w:rightChars="-50"/>
              <w:rPr>
                <w:rFonts w:cs="Times New Roman"/>
              </w:rPr>
            </w:pPr>
            <w:r>
              <w:rPr>
                <w:rFonts w:cs="Times New Roma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Align w:val="center"/>
          </w:tcPr>
          <w:p>
            <w:pPr>
              <w:pStyle w:val="13"/>
              <w:ind w:left="-120" w:leftChars="-50" w:right="-120" w:rightChars="-50"/>
              <w:rPr>
                <w:rFonts w:cs="Times New Roman"/>
              </w:rPr>
            </w:pPr>
            <w:r>
              <w:rPr>
                <w:rFonts w:cs="Times New Roman"/>
              </w:rPr>
              <w:t>林草覆盖率(%)</w:t>
            </w:r>
          </w:p>
        </w:tc>
        <w:tc>
          <w:tcPr>
            <w:tcW w:w="390" w:type="pct"/>
            <w:vAlign w:val="center"/>
          </w:tcPr>
          <w:p>
            <w:pPr>
              <w:pStyle w:val="13"/>
              <w:ind w:left="-120" w:leftChars="-50" w:right="-120" w:rightChars="-50"/>
              <w:rPr>
                <w:rFonts w:cs="Times New Roman"/>
              </w:rPr>
            </w:pPr>
            <w:r>
              <w:rPr>
                <w:rFonts w:cs="Times New Roman"/>
              </w:rPr>
              <w:t>-</w:t>
            </w:r>
          </w:p>
        </w:tc>
        <w:tc>
          <w:tcPr>
            <w:tcW w:w="603" w:type="pct"/>
            <w:vAlign w:val="center"/>
          </w:tcPr>
          <w:p>
            <w:pPr>
              <w:pStyle w:val="13"/>
              <w:ind w:left="-120" w:leftChars="-50" w:right="-120" w:rightChars="-50"/>
              <w:rPr>
                <w:rFonts w:cs="Times New Roman"/>
              </w:rPr>
            </w:pPr>
            <w:r>
              <w:rPr>
                <w:rFonts w:cs="Times New Roman"/>
              </w:rPr>
              <w:t>23</w:t>
            </w:r>
          </w:p>
        </w:tc>
        <w:tc>
          <w:tcPr>
            <w:tcW w:w="704" w:type="pct"/>
            <w:noWrap/>
            <w:vAlign w:val="center"/>
          </w:tcPr>
          <w:p>
            <w:pPr>
              <w:pStyle w:val="13"/>
              <w:ind w:left="-120" w:leftChars="-50" w:right="-120" w:rightChars="-50"/>
              <w:rPr>
                <w:rFonts w:cs="Times New Roman"/>
              </w:rPr>
            </w:pPr>
          </w:p>
        </w:tc>
        <w:tc>
          <w:tcPr>
            <w:tcW w:w="497" w:type="pct"/>
            <w:noWrap/>
            <w:vAlign w:val="center"/>
          </w:tcPr>
          <w:p>
            <w:pPr>
              <w:pStyle w:val="13"/>
              <w:ind w:left="-120" w:leftChars="-50" w:right="-120" w:rightChars="-50"/>
              <w:rPr>
                <w:rFonts w:cs="Times New Roman"/>
              </w:rPr>
            </w:pPr>
          </w:p>
        </w:tc>
        <w:tc>
          <w:tcPr>
            <w:tcW w:w="522" w:type="pct"/>
            <w:noWrap/>
            <w:vAlign w:val="center"/>
          </w:tcPr>
          <w:p>
            <w:pPr>
              <w:pStyle w:val="13"/>
              <w:ind w:left="-120" w:leftChars="-50" w:right="-120" w:rightChars="-50"/>
              <w:rPr>
                <w:rFonts w:cs="Times New Roman"/>
              </w:rPr>
            </w:pPr>
            <w:r>
              <w:rPr>
                <w:rFonts w:cs="Times New Roman"/>
              </w:rPr>
              <w:t>+2</w:t>
            </w:r>
          </w:p>
        </w:tc>
        <w:tc>
          <w:tcPr>
            <w:tcW w:w="499" w:type="pct"/>
            <w:vAlign w:val="center"/>
          </w:tcPr>
          <w:p>
            <w:pPr>
              <w:pStyle w:val="13"/>
              <w:ind w:left="-120" w:leftChars="-50" w:right="-120" w:rightChars="-50"/>
              <w:rPr>
                <w:rFonts w:cs="Times New Roman"/>
              </w:rPr>
            </w:pPr>
            <w:r>
              <w:rPr>
                <w:rFonts w:cs="Times New Roman"/>
              </w:rPr>
              <w:t>-</w:t>
            </w:r>
          </w:p>
        </w:tc>
        <w:tc>
          <w:tcPr>
            <w:tcW w:w="615" w:type="pct"/>
            <w:vAlign w:val="center"/>
          </w:tcPr>
          <w:p>
            <w:pPr>
              <w:pStyle w:val="13"/>
              <w:ind w:left="-120" w:leftChars="-50" w:right="-120" w:rightChars="-50"/>
              <w:rPr>
                <w:rFonts w:cs="Times New Roman"/>
              </w:rPr>
            </w:pPr>
            <w:r>
              <w:rPr>
                <w:rFonts w:cs="Times New Roman"/>
              </w:rPr>
              <w:t>25</w:t>
            </w:r>
          </w:p>
        </w:tc>
      </w:tr>
    </w:tbl>
    <w:p>
      <w:pPr>
        <w:widowControl w:val="0"/>
        <w:kinsoku/>
        <w:topLinePunct/>
        <w:autoSpaceDE/>
        <w:autoSpaceDN/>
        <w:spacing w:before="84" w:beforeLines="35" w:line="300" w:lineRule="auto"/>
        <w:ind w:firstLine="420"/>
        <w:jc w:val="both"/>
        <w:rPr>
          <w:rFonts w:cs="Times New Roman"/>
          <w:color w:val="auto"/>
          <w:sz w:val="21"/>
          <w:lang w:eastAsia="zh-CN"/>
        </w:rPr>
      </w:pPr>
      <w:r>
        <w:rPr>
          <w:rFonts w:cs="Times New Roman"/>
          <w:color w:val="auto"/>
          <w:sz w:val="21"/>
          <w:lang w:eastAsia="zh-CN"/>
        </w:rPr>
        <w:t>注：上表中“两区”是指水土流失重点预防区和重点治理区。</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13" w:name="_Toc171533273"/>
      <w:r>
        <w:rPr>
          <w:rFonts w:ascii="Times New Roman" w:hAnsi="Times New Roman" w:eastAsia="仿宋_GB2312" w:cs="Times New Roman"/>
          <w:color w:val="auto"/>
          <w:sz w:val="30"/>
          <w:szCs w:val="30"/>
          <w:lang w:eastAsia="zh-CN"/>
        </w:rPr>
        <w:t>1.6 项目水土保持评价结论</w:t>
      </w:r>
      <w:bookmarkEnd w:id="13"/>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1.6.1 主体工程选址（线）评价</w:t>
      </w:r>
    </w:p>
    <w:p>
      <w:pPr>
        <w:kinsoku/>
        <w:topLinePunct/>
        <w:autoSpaceDE/>
        <w:autoSpaceDN/>
        <w:adjustRightInd/>
        <w:snapToGrid/>
        <w:spacing w:line="360" w:lineRule="auto"/>
        <w:ind w:firstLine="480"/>
        <w:contextualSpacing/>
        <w:jc w:val="both"/>
        <w:textAlignment w:val="auto"/>
        <w:rPr>
          <w:rFonts w:cs="Times New Roman"/>
          <w:color w:val="auto"/>
          <w:szCs w:val="24"/>
          <w:lang w:eastAsia="zh-CN"/>
        </w:rPr>
      </w:pPr>
      <w:r>
        <w:rPr>
          <w:rFonts w:cs="Times New Roman"/>
          <w:color w:val="auto"/>
          <w:szCs w:val="24"/>
          <w:lang w:eastAsia="zh-CN"/>
        </w:rPr>
        <w:t>项目主体工程选址避让了河流两岸、湖泊和水库周边的植物带，避让了全国水土保持监测网络中的水土保持监测站点、重点试验区，未占用国家确定的水土保持长期定位观测站，避让了饮用水水源保护区、自然保护区、世界文化和自然遗产地、风景名胜区地质公园、森林公园、重要湿地及生态红线保护范围等区域。但无法避让水土流失重点预防区和重点治理区，方案执行-级防治标准，提出优化施工工艺、减少地表扰动和植被损坏范围的措施。</w:t>
      </w:r>
    </w:p>
    <w:p>
      <w:pPr>
        <w:kinsoku/>
        <w:topLinePunct/>
        <w:autoSpaceDE/>
        <w:autoSpaceDN/>
        <w:adjustRightInd/>
        <w:snapToGrid/>
        <w:spacing w:line="360" w:lineRule="auto"/>
        <w:ind w:firstLine="480"/>
        <w:contextualSpacing/>
        <w:jc w:val="both"/>
        <w:textAlignment w:val="auto"/>
        <w:rPr>
          <w:rFonts w:cs="Times New Roman"/>
          <w:color w:val="auto"/>
          <w:szCs w:val="24"/>
          <w:lang w:eastAsia="zh-CN"/>
        </w:rPr>
      </w:pPr>
      <w:r>
        <w:rPr>
          <w:rFonts w:cs="Times New Roman"/>
          <w:color w:val="auto"/>
          <w:szCs w:val="24"/>
          <w:lang w:eastAsia="zh-CN"/>
        </w:rPr>
        <w:t>因此，从水土保持的角度分析，项目无法避让水土流失重点预防区和重点治理区</w:t>
      </w:r>
      <w:r>
        <w:rPr>
          <w:rFonts w:hint="eastAsia" w:cs="Times New Roman"/>
          <w:color w:val="auto"/>
          <w:szCs w:val="24"/>
          <w:lang w:eastAsia="zh-CN"/>
        </w:rPr>
        <w:t>，通过适当提高防治目标值，后续设计和施工采取优化施工方案，减少工程占地和土石方量，提高植物措施标准等措施以控制水土流失。因此，本工程不存在水土保持重大制约性因素，项目建设可行</w:t>
      </w:r>
      <w:r>
        <w:rPr>
          <w:rFonts w:cs="Times New Roman"/>
          <w:snapToGrid/>
          <w:color w:val="auto"/>
          <w:szCs w:val="20"/>
          <w:lang w:eastAsia="zh-CN"/>
        </w:rPr>
        <w:t>。</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1.6.2 建设方案与布局评价</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玛瑙500kV变电站220kV间隔扩建与芭蕉220kV变电站220kV间隔扩建工程均在原站区围墙内预留场地内进行扩建，无需新征地，施工交通、施工用水、用电均利用变电站已有设施，布置合理。</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线路工程铁塔设计充分利用地形条件采用全方位长短腿，配合长短柱基础使用，避免大量开方降基面，对地表扰动范围较小，有利于水土保持，线路经过林区时采用高塔跨越方式通过，尽量减少树木的砍伐，保护植被。工程建设方案符合水土保持要求。</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工程占地本着“尽量少用耕地、少占农田”的原则，永久占地面积控制严格，同时在施工结束后采取一定的复耕措施，对土地生产力影响较小；占地面积控制在预定施工范围内，对周边产生的影响较小，符合水土保持少占地的原则；对于临时占地在使用后尽量恢复至原状，工程占地符合水土保持要求。</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工程建设中尽可能利用开挖土石方，将开挖土石方作为回填料使用，减小了余方量及占地面积，降低工程投资和新增水土流失量。工程余土亦在塔基占地区就地堆放综合利用，减少弃方堆放面积和扰动程度，符合水土保持要求。</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本工程不设置单独的取土(石、料)场，减少了新增水土流失。</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变电站扩建施工过程中应尽量避开大雨、大风天气，并做好防雨、防风措施，可有效减少施工过程中的水土流失。开挖宜从上到下分层分段依次进行，随时作一定的坡度以利泄水，尽快回填，减少裸露时间和裸露面积，减少临时堆土量，对部分临时堆土进行防护；线路工程施工主要水土流失发生于塔基基础土石方开挖和回填，开挖土石方过程应做到先挡后弃，开挖基础坡面时应先修筑挡土墙或护坡进行防护，同时在基础施工之前应先修筑排水沟进行排导引流，减少施工过程中水土流失。工程施工方法与工艺符合水土保持要求。主体工程中已设计了排水、碎石地坪等措施，具有一定的水土保持功能，有利于减少水土流失，但还不足以控制工程施工期间的水土流失，本方案将针对造成水土流失的重点部位和环节补充布设相应的水十保持措施，以形成完整的水土流失防治措施体系。在后续主体设计过程中应进-步优化线路路径选择，尽量减少工程占地和土石方量减少因此而可能造成的水土流失量。</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通过对主体工程的选址(线)、总体布置、占地情况、土石方工程量、施工方法与工艺方面等进行分析和评价，认为本项目建设方案符合水土保持要求，建设方案与布局合理可行。</w:t>
      </w:r>
    </w:p>
    <w:p>
      <w:pPr>
        <w:pStyle w:val="3"/>
        <w:widowControl w:val="0"/>
        <w:kinsoku/>
        <w:topLinePunct/>
        <w:autoSpaceDE/>
        <w:autoSpaceDN/>
        <w:spacing w:before="120" w:after="120" w:line="360" w:lineRule="auto"/>
        <w:ind w:firstLine="0" w:firstLineChars="0"/>
        <w:rPr>
          <w:rFonts w:ascii="Times New Roman" w:hAnsi="Times New Roman" w:eastAsia="仿宋_GB2312" w:cs="Times New Roman"/>
          <w:color w:val="auto"/>
          <w:sz w:val="30"/>
          <w:szCs w:val="30"/>
          <w:lang w:eastAsia="zh-CN"/>
        </w:rPr>
      </w:pPr>
      <w:bookmarkStart w:id="14" w:name="_Toc171533274"/>
      <w:r>
        <w:rPr>
          <w:rFonts w:ascii="Times New Roman" w:hAnsi="Times New Roman" w:eastAsia="仿宋_GB2312" w:cs="Times New Roman"/>
          <w:color w:val="auto"/>
          <w:sz w:val="30"/>
          <w:szCs w:val="30"/>
          <w:lang w:eastAsia="zh-CN"/>
        </w:rPr>
        <w:t>1.7 水土流失预测结果</w:t>
      </w:r>
      <w:bookmarkEnd w:id="14"/>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本项目施工期间扰动地表面积为3.81hm</w:t>
      </w:r>
      <w:r>
        <w:rPr>
          <w:rFonts w:cs="Times New Roman"/>
          <w:color w:val="auto"/>
          <w:szCs w:val="24"/>
          <w:vertAlign w:val="superscript"/>
          <w:lang w:eastAsia="zh-CN"/>
        </w:rPr>
        <w:t>2</w:t>
      </w:r>
      <w:r>
        <w:rPr>
          <w:rFonts w:cs="Times New Roman"/>
          <w:color w:val="auto"/>
          <w:szCs w:val="24"/>
          <w:lang w:eastAsia="zh-CN"/>
        </w:rPr>
        <w:t>，损毁植被面积3.22</w:t>
      </w:r>
      <w:r>
        <w:rPr>
          <w:rFonts w:hint="eastAsia" w:cs="Times New Roman"/>
          <w:color w:val="auto"/>
          <w:szCs w:val="24"/>
          <w:lang w:eastAsia="zh-CN"/>
        </w:rPr>
        <w:t>h</w:t>
      </w:r>
      <w:r>
        <w:rPr>
          <w:rFonts w:cs="Times New Roman"/>
          <w:color w:val="auto"/>
          <w:szCs w:val="24"/>
          <w:lang w:eastAsia="zh-CN"/>
        </w:rPr>
        <w:t>m</w:t>
      </w:r>
      <w:r>
        <w:rPr>
          <w:rFonts w:cs="Times New Roman"/>
          <w:color w:val="auto"/>
          <w:szCs w:val="24"/>
          <w:vertAlign w:val="superscript"/>
          <w:lang w:eastAsia="zh-CN"/>
        </w:rPr>
        <w:t>2</w:t>
      </w:r>
      <w:r>
        <w:rPr>
          <w:rFonts w:cs="Times New Roman"/>
          <w:color w:val="auto"/>
          <w:szCs w:val="24"/>
          <w:lang w:eastAsia="zh-CN"/>
        </w:rPr>
        <w:t>，本工程建设期9个月，扰动后土壤流失总量为243.77t，其中背景流失量129.03t，新增流失量114.74t。线路工程是水土流失防治重点区域，施工期是水土流失防治重点时段。</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工程水土流失危害主要表现在：工程表土剥离、变电站工程基础开挖和铁塔基础开挖、回填等，局部扰动强烈，若工程施工不规范，容易形成裸露区域、临时堆土未采取有效挡护及覆盖措施等，造成新增水土流失，降低土地生产力。</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（1）本项目扰动后土壤流失总量为243.77t，其中背景流失量129.03t，新增流失量114.74t。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（2）本项目产生水土流失重点部位为变电站间隔扩建工程、线路工程的塔基及临时施工区、施工便道区和电缆工程区。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（3）本项扰动地表面积共3.81hm²。</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本项目如果不采取措施控制其可能造成的水土流失，可能影响周边生态环境以及居民正常生活质量，一定时间内对周边居民产生不良影响。</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15" w:name="_Toc171533275"/>
      <w:r>
        <w:rPr>
          <w:rFonts w:ascii="Times New Roman" w:hAnsi="Times New Roman" w:eastAsia="仿宋_GB2312" w:cs="Times New Roman"/>
          <w:color w:val="auto"/>
          <w:sz w:val="30"/>
          <w:szCs w:val="30"/>
          <w:lang w:eastAsia="zh-CN"/>
        </w:rPr>
        <w:t>1.8 水土保持措施布设成果</w:t>
      </w:r>
      <w:bookmarkEnd w:id="15"/>
    </w:p>
    <w:p>
      <w:pPr>
        <w:spacing w:line="360" w:lineRule="auto"/>
        <w:ind w:firstLine="476"/>
        <w:rPr>
          <w:rFonts w:cs="Times New Roman"/>
          <w:color w:val="auto"/>
          <w:szCs w:val="24"/>
          <w:lang w:eastAsia="zh-CN"/>
        </w:rPr>
      </w:pPr>
      <w:bookmarkStart w:id="16" w:name="_Hlk155881381"/>
      <w:r>
        <w:rPr>
          <w:rFonts w:cs="Times New Roman"/>
          <w:color w:val="auto"/>
          <w:spacing w:val="-1"/>
          <w:szCs w:val="24"/>
          <w:lang w:eastAsia="zh-CN"/>
        </w:rPr>
        <w:t>本项目</w:t>
      </w:r>
      <w:r>
        <w:rPr>
          <w:rFonts w:cs="Times New Roman"/>
          <w:color w:val="auto"/>
          <w:szCs w:val="24"/>
          <w:lang w:eastAsia="zh-CN"/>
        </w:rPr>
        <w:t>水土流失防治区划分为变电站工程区和线路工程区2个一级防治区。变电站工程区划分为玛瑙500kV变电站220kV间隔扩建工程区、芭蕉220kV变电站220kV间隔扩建工程区2个二级防治区；线路工程区划分为玛瑙-正达凯220kV线路工程区（划分为玛瑙塔基及施工临时占地区、玛瑙施工便道区、玛瑙牵张场区、玛瑙跨越场区4个三级防治区）、芭蕉-正达凯220kV线路工程区（划分为芭蕉塔基及施工临时占地区、芭蕉施工便道区、芭蕉牵张场区、芭蕉跨越场区、芭蕉电缆工程区5个三级防治区）2个二级防治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各防治分区水土保持措施布设和工程量如下</w:t>
      </w:r>
      <w:r>
        <w:rPr>
          <w:rFonts w:hint="eastAsia" w:cs="Times New Roman"/>
          <w:color w:val="auto"/>
          <w:szCs w:val="24"/>
          <w:lang w:eastAsia="zh-CN"/>
        </w:rPr>
        <w:t>（</w:t>
      </w:r>
      <w:r>
        <w:rPr>
          <w:color w:val="auto"/>
          <w:lang w:eastAsia="zh-CN"/>
        </w:rPr>
        <w:t>带下划线内容为主体工程设计中具有水土保持功能措施</w:t>
      </w:r>
      <w:r>
        <w:rPr>
          <w:rFonts w:hint="eastAsia"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（1）变电站工程区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①玛瑙500kV变电站220kV间隔扩建工程区（玛瑙变电站站区）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施工前对变电站可剥离表土处进行剥离，施工期在临时表土堆场采用土袋临时拦挡、防雨布临时遮盖；施工后前对迹地进行土地整治、表土回覆，对绿化区域进行植树草绿化。</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工程措施：表土剥离5m</w:t>
      </w:r>
      <w:r>
        <w:rPr>
          <w:rFonts w:cs="Times New Roman"/>
          <w:color w:val="auto"/>
          <w:szCs w:val="24"/>
          <w:vertAlign w:val="superscript"/>
          <w:lang w:eastAsia="zh-CN"/>
        </w:rPr>
        <w:t>3</w:t>
      </w:r>
      <w:r>
        <w:rPr>
          <w:rFonts w:cs="Times New Roman"/>
          <w:color w:val="auto"/>
          <w:szCs w:val="24"/>
          <w:lang w:eastAsia="zh-CN"/>
        </w:rPr>
        <w:t>，土地整治25m</w:t>
      </w:r>
      <w:r>
        <w:rPr>
          <w:rFonts w:cs="Times New Roman"/>
          <w:color w:val="auto"/>
          <w:szCs w:val="24"/>
          <w:vertAlign w:val="superscript"/>
          <w:lang w:eastAsia="zh-CN"/>
        </w:rPr>
        <w:t>2</w:t>
      </w:r>
      <w:r>
        <w:rPr>
          <w:rFonts w:cs="Times New Roman"/>
          <w:color w:val="auto"/>
          <w:szCs w:val="24"/>
          <w:lang w:eastAsia="zh-CN"/>
        </w:rPr>
        <w:t>，表土回覆5m</w:t>
      </w:r>
      <w:r>
        <w:rPr>
          <w:rFonts w:cs="Times New Roman"/>
          <w:color w:val="auto"/>
          <w:szCs w:val="24"/>
          <w:vertAlign w:val="superscript"/>
          <w:lang w:eastAsia="zh-CN"/>
        </w:rPr>
        <w:t>3</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植物措施：</w:t>
      </w:r>
      <w:r>
        <w:rPr>
          <w:rFonts w:cs="Times New Roman"/>
          <w:color w:val="auto"/>
          <w:szCs w:val="24"/>
          <w:u w:val="single"/>
          <w:lang w:eastAsia="zh-CN"/>
        </w:rPr>
        <w:t>植树草绿化25m</w:t>
      </w:r>
      <w:r>
        <w:rPr>
          <w:rFonts w:cs="Times New Roman"/>
          <w:color w:val="auto"/>
          <w:szCs w:val="24"/>
          <w:u w:val="single"/>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临时措施：土袋临挡墙10m、防雨布临时遮盖40m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②玛瑙500kV变电站220kV间隔扩建工程区（玛瑙变电站站区）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施工前对变电站可剥离表土处进行剥离，施工期对临时表土堆场采用土袋临时拦挡、防雨布临时遮盖，在南侧至出入口段布设雨水管；施工后前对迹地进行土地整治、表土回覆，对绿化区域进行植树草绿化。</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工程措施：</w:t>
      </w:r>
      <w:r>
        <w:rPr>
          <w:rFonts w:cs="Times New Roman"/>
          <w:color w:val="auto"/>
          <w:szCs w:val="24"/>
          <w:u w:val="single"/>
          <w:lang w:eastAsia="zh-CN"/>
        </w:rPr>
        <w:t>表土剥离23m</w:t>
      </w:r>
      <w:r>
        <w:rPr>
          <w:rFonts w:cs="Times New Roman"/>
          <w:color w:val="auto"/>
          <w:szCs w:val="24"/>
          <w:u w:val="single"/>
          <w:vertAlign w:val="superscript"/>
          <w:lang w:eastAsia="zh-CN"/>
        </w:rPr>
        <w:t>3</w:t>
      </w:r>
      <w:r>
        <w:rPr>
          <w:rFonts w:cs="Times New Roman"/>
          <w:color w:val="auto"/>
          <w:szCs w:val="24"/>
          <w:u w:val="single"/>
          <w:lang w:eastAsia="zh-CN"/>
        </w:rPr>
        <w:t>，雨水管90m、雨水口2个</w:t>
      </w:r>
      <w:r>
        <w:rPr>
          <w:rFonts w:cs="Times New Roman"/>
          <w:color w:val="auto"/>
          <w:szCs w:val="24"/>
          <w:lang w:eastAsia="zh-CN"/>
        </w:rPr>
        <w:t>，土地整治115m</w:t>
      </w:r>
      <w:r>
        <w:rPr>
          <w:rFonts w:cs="Times New Roman"/>
          <w:color w:val="auto"/>
          <w:szCs w:val="24"/>
          <w:vertAlign w:val="superscript"/>
          <w:lang w:eastAsia="zh-CN"/>
        </w:rPr>
        <w:t>2</w:t>
      </w:r>
      <w:r>
        <w:rPr>
          <w:rFonts w:cs="Times New Roman"/>
          <w:color w:val="auto"/>
          <w:szCs w:val="24"/>
          <w:lang w:eastAsia="zh-CN"/>
        </w:rPr>
        <w:t>，表土回覆23m</w:t>
      </w:r>
      <w:r>
        <w:rPr>
          <w:rFonts w:cs="Times New Roman"/>
          <w:color w:val="auto"/>
          <w:szCs w:val="24"/>
          <w:vertAlign w:val="superscript"/>
          <w:lang w:eastAsia="zh-CN"/>
        </w:rPr>
        <w:t>3</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植物措施：植树草绿化115m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临时措施：土袋临挡墙30m、防雨布临时遮盖220m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（2）线路工程区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1）玛瑙-正达凯220kV线路工程区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①玛瑙塔基及临时施工区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施工前对塔基及临时施工区可剥离表土处进行剥离，施工期在临时表土堆场采用土袋临时拦挡、防雨布临时遮盖，在高陡处的塔基上方布置排洪沟、下方布置护坡墙；施工后前对迹地进行土地整治、表土回覆，对绿化区域进行植树草绿化。</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工程措施：表土剥离387m</w:t>
      </w:r>
      <w:r>
        <w:rPr>
          <w:rFonts w:cs="Times New Roman"/>
          <w:color w:val="auto"/>
          <w:szCs w:val="24"/>
          <w:vertAlign w:val="superscript"/>
          <w:lang w:eastAsia="zh-CN"/>
        </w:rPr>
        <w:t>3</w:t>
      </w:r>
      <w:r>
        <w:rPr>
          <w:rFonts w:cs="Times New Roman"/>
          <w:color w:val="auto"/>
          <w:szCs w:val="24"/>
          <w:lang w:eastAsia="zh-CN"/>
        </w:rPr>
        <w:t>，</w:t>
      </w:r>
      <w:r>
        <w:rPr>
          <w:rFonts w:cs="Times New Roman"/>
          <w:color w:val="auto"/>
          <w:szCs w:val="24"/>
          <w:u w:val="single"/>
          <w:lang w:eastAsia="zh-CN"/>
        </w:rPr>
        <w:t>排洪沟65m、护坡墙70m</w:t>
      </w:r>
      <w:r>
        <w:rPr>
          <w:rFonts w:cs="Times New Roman"/>
          <w:color w:val="auto"/>
          <w:szCs w:val="24"/>
          <w:lang w:eastAsia="zh-CN"/>
        </w:rPr>
        <w:t>，土地整治6315m</w:t>
      </w:r>
      <w:r>
        <w:rPr>
          <w:rFonts w:cs="Times New Roman"/>
          <w:color w:val="auto"/>
          <w:szCs w:val="24"/>
          <w:vertAlign w:val="superscript"/>
          <w:lang w:eastAsia="zh-CN"/>
        </w:rPr>
        <w:t>2</w:t>
      </w:r>
      <w:r>
        <w:rPr>
          <w:rFonts w:cs="Times New Roman"/>
          <w:color w:val="auto"/>
          <w:szCs w:val="24"/>
          <w:lang w:eastAsia="zh-CN"/>
        </w:rPr>
        <w:t>，表土回覆387m</w:t>
      </w:r>
      <w:r>
        <w:rPr>
          <w:rFonts w:cs="Times New Roman"/>
          <w:color w:val="auto"/>
          <w:szCs w:val="24"/>
          <w:vertAlign w:val="superscript"/>
          <w:lang w:eastAsia="zh-CN"/>
        </w:rPr>
        <w:t>3</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植物措施：</w:t>
      </w:r>
      <w:r>
        <w:rPr>
          <w:rFonts w:cs="Times New Roman"/>
          <w:color w:val="auto"/>
          <w:szCs w:val="24"/>
          <w:u w:val="single"/>
          <w:lang w:eastAsia="zh-CN"/>
        </w:rPr>
        <w:t>植树草绿化6315m</w:t>
      </w:r>
      <w:r>
        <w:rPr>
          <w:rFonts w:cs="Times New Roman"/>
          <w:color w:val="auto"/>
          <w:szCs w:val="24"/>
          <w:u w:val="single"/>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临时措施：土袋临挡墙150m、防雨布临时遮盖1200m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②玛瑙施工便道区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施工前对施工便道区可剥离表土处进行剥离，施工期在临时表土堆场采用土袋临时拦挡、防雨布临时遮盖；施工后前对迹地进行土地整治、表土回覆，对绿化区域进行植树草绿化。</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工程措施：表土剥离144m</w:t>
      </w:r>
      <w:r>
        <w:rPr>
          <w:rFonts w:cs="Times New Roman"/>
          <w:color w:val="auto"/>
          <w:szCs w:val="24"/>
          <w:vertAlign w:val="superscript"/>
          <w:lang w:eastAsia="zh-CN"/>
        </w:rPr>
        <w:t>3</w:t>
      </w:r>
      <w:r>
        <w:rPr>
          <w:rFonts w:cs="Times New Roman"/>
          <w:color w:val="auto"/>
          <w:szCs w:val="24"/>
          <w:lang w:eastAsia="zh-CN"/>
        </w:rPr>
        <w:t>，土地整治3960m</w:t>
      </w:r>
      <w:r>
        <w:rPr>
          <w:rFonts w:cs="Times New Roman"/>
          <w:color w:val="auto"/>
          <w:szCs w:val="24"/>
          <w:vertAlign w:val="superscript"/>
          <w:lang w:eastAsia="zh-CN"/>
        </w:rPr>
        <w:t>2</w:t>
      </w:r>
      <w:r>
        <w:rPr>
          <w:rFonts w:cs="Times New Roman"/>
          <w:color w:val="auto"/>
          <w:szCs w:val="24"/>
          <w:lang w:eastAsia="zh-CN"/>
        </w:rPr>
        <w:t>，表土回覆144m</w:t>
      </w:r>
      <w:r>
        <w:rPr>
          <w:rFonts w:cs="Times New Roman"/>
          <w:color w:val="auto"/>
          <w:szCs w:val="24"/>
          <w:vertAlign w:val="superscript"/>
          <w:lang w:eastAsia="zh-CN"/>
        </w:rPr>
        <w:t>3</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植物措施：植树草绿化3960m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临时措施：土袋临挡墙80m、防雨布临时遮盖280m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③玛瑙牵张场区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施工后前对迹地进行土地整治。</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工程措施：土地整治1200m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④玛瑙跨越场区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施工后前对迹地进行土地整治，对绿化区域进行植树草绿化。</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工程措施：土地平整480m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植物措施：植树草绿化240m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2）芭蕉-正达凯220kV线路工程区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①芭蕉塔基及临时施工区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施工前对塔基及临时施工区可剥离表土处进行剥离，施工期在临时表土堆场采用土袋临时拦挡、防雨布临时遮盖，在高陡处的塔基上方布置排洪沟、下方布置护坡墙；施工后前对迹地进行土地整治、表土回覆，对绿化区域进行植树草绿化。</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工程措施：表土剥离1025m</w:t>
      </w:r>
      <w:r>
        <w:rPr>
          <w:rFonts w:cs="Times New Roman"/>
          <w:color w:val="auto"/>
          <w:szCs w:val="24"/>
          <w:vertAlign w:val="superscript"/>
          <w:lang w:eastAsia="zh-CN"/>
        </w:rPr>
        <w:t>3</w:t>
      </w:r>
      <w:r>
        <w:rPr>
          <w:rFonts w:cs="Times New Roman"/>
          <w:color w:val="auto"/>
          <w:szCs w:val="24"/>
          <w:lang w:eastAsia="zh-CN"/>
        </w:rPr>
        <w:t>，</w:t>
      </w:r>
      <w:r>
        <w:rPr>
          <w:rFonts w:cs="Times New Roman"/>
          <w:color w:val="auto"/>
          <w:szCs w:val="24"/>
          <w:u w:val="single"/>
          <w:lang w:eastAsia="zh-CN"/>
        </w:rPr>
        <w:t>排洪沟100m、护坡墙130m</w:t>
      </w:r>
      <w:r>
        <w:rPr>
          <w:rFonts w:cs="Times New Roman"/>
          <w:color w:val="auto"/>
          <w:szCs w:val="24"/>
          <w:lang w:eastAsia="zh-CN"/>
        </w:rPr>
        <w:t>，土地整治14240m</w:t>
      </w:r>
      <w:r>
        <w:rPr>
          <w:rFonts w:cs="Times New Roman"/>
          <w:color w:val="auto"/>
          <w:szCs w:val="24"/>
          <w:vertAlign w:val="superscript"/>
          <w:lang w:eastAsia="zh-CN"/>
        </w:rPr>
        <w:t>2</w:t>
      </w:r>
      <w:r>
        <w:rPr>
          <w:rFonts w:cs="Times New Roman"/>
          <w:color w:val="auto"/>
          <w:szCs w:val="24"/>
          <w:lang w:eastAsia="zh-CN"/>
        </w:rPr>
        <w:t>，表土回覆1025m</w:t>
      </w:r>
      <w:r>
        <w:rPr>
          <w:rFonts w:cs="Times New Roman"/>
          <w:color w:val="auto"/>
          <w:szCs w:val="24"/>
          <w:vertAlign w:val="superscript"/>
          <w:lang w:eastAsia="zh-CN"/>
        </w:rPr>
        <w:t>3</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植物措施：</w:t>
      </w:r>
      <w:r>
        <w:rPr>
          <w:rFonts w:cs="Times New Roman"/>
          <w:color w:val="auto"/>
          <w:szCs w:val="24"/>
          <w:u w:val="single"/>
          <w:lang w:eastAsia="zh-CN"/>
        </w:rPr>
        <w:t>植灌草绿化14240m</w:t>
      </w:r>
      <w:r>
        <w:rPr>
          <w:rFonts w:cs="Times New Roman"/>
          <w:color w:val="auto"/>
          <w:szCs w:val="24"/>
          <w:u w:val="single"/>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临时措施：土袋临挡墙290m、防雨布临时遮盖2500m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②芭蕉施工便道区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施工后前对迹地进行土地整治，对绿化区域进行植树草绿化。</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工程措施：土地整治7644m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植物措施：植树草绿化7644m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③芭蕉牵张场区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施工后前对迹地进行土地整治。</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工程措施：土地整治2800m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④芭蕉跨越场区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施工后前对迹地进行土地整治，对绿化区域进行植灌草绿化。</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工程措施：土地平整720m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植物措施：植灌草绿化720m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⑤电缆工程区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施工前对可剥离表土区域进行表土剥离，施工期在临时表土堆场采用土袋临时拦挡、防雨布临时遮盖；施工后前对迹地进行土地整治、表土回覆，对绿化区域进行植树草绿化。</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工程措施：表土剥离72m</w:t>
      </w:r>
      <w:r>
        <w:rPr>
          <w:rFonts w:cs="Times New Roman"/>
          <w:color w:val="auto"/>
          <w:szCs w:val="24"/>
          <w:vertAlign w:val="superscript"/>
          <w:lang w:eastAsia="zh-CN"/>
        </w:rPr>
        <w:t>3</w:t>
      </w:r>
      <w:r>
        <w:rPr>
          <w:rFonts w:cs="Times New Roman"/>
          <w:color w:val="auto"/>
          <w:szCs w:val="24"/>
          <w:lang w:eastAsia="zh-CN"/>
        </w:rPr>
        <w:t>，土地整治240m</w:t>
      </w:r>
      <w:r>
        <w:rPr>
          <w:rFonts w:cs="Times New Roman"/>
          <w:color w:val="auto"/>
          <w:szCs w:val="24"/>
          <w:vertAlign w:val="superscript"/>
          <w:lang w:eastAsia="zh-CN"/>
        </w:rPr>
        <w:t>2</w:t>
      </w:r>
      <w:r>
        <w:rPr>
          <w:rFonts w:cs="Times New Roman"/>
          <w:color w:val="auto"/>
          <w:szCs w:val="24"/>
          <w:lang w:eastAsia="zh-CN"/>
        </w:rPr>
        <w:t>，表土回覆72m</w:t>
      </w:r>
      <w:r>
        <w:rPr>
          <w:rFonts w:cs="Times New Roman"/>
          <w:color w:val="auto"/>
          <w:szCs w:val="24"/>
          <w:vertAlign w:val="superscript"/>
          <w:lang w:eastAsia="zh-CN"/>
        </w:rPr>
        <w:t>3</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临时措施：土袋临挡墙40m、防雨布临时遮盖300m</w:t>
      </w:r>
      <w:r>
        <w:rPr>
          <w:rFonts w:cs="Times New Roman"/>
          <w:color w:val="auto"/>
          <w:szCs w:val="24"/>
          <w:vertAlign w:val="superscript"/>
          <w:lang w:eastAsia="zh-CN"/>
        </w:rPr>
        <w:t>2</w:t>
      </w:r>
      <w:r>
        <w:rPr>
          <w:rFonts w:cs="Times New Roman"/>
          <w:color w:val="auto"/>
          <w:szCs w:val="24"/>
          <w:lang w:eastAsia="zh-CN"/>
        </w:rPr>
        <w:t>。</w:t>
      </w:r>
    </w:p>
    <w:bookmarkEnd w:id="16"/>
    <w:p>
      <w:pPr>
        <w:pStyle w:val="3"/>
        <w:widowControl w:val="0"/>
        <w:kinsoku/>
        <w:topLinePunct/>
        <w:autoSpaceDE/>
        <w:autoSpaceDN/>
        <w:spacing w:before="120" w:after="120" w:line="360" w:lineRule="auto"/>
        <w:ind w:firstLine="0" w:firstLineChars="0"/>
        <w:rPr>
          <w:rFonts w:ascii="Times New Roman" w:hAnsi="Times New Roman" w:eastAsia="仿宋_GB2312" w:cs="Times New Roman"/>
          <w:color w:val="auto"/>
          <w:sz w:val="30"/>
          <w:szCs w:val="30"/>
          <w:lang w:eastAsia="zh-CN"/>
        </w:rPr>
      </w:pPr>
      <w:bookmarkStart w:id="17" w:name="_Toc171533276"/>
      <w:r>
        <w:rPr>
          <w:rFonts w:ascii="Times New Roman" w:hAnsi="Times New Roman" w:eastAsia="仿宋_GB2312" w:cs="Times New Roman"/>
          <w:color w:val="auto"/>
          <w:sz w:val="30"/>
          <w:szCs w:val="30"/>
          <w:lang w:eastAsia="zh-CN"/>
        </w:rPr>
        <w:t>1.9 水土保持监测方案</w:t>
      </w:r>
      <w:bookmarkEnd w:id="17"/>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水利部办公厅关于进一步加强生产建设项目水土保持监测工作的通知》（办水保〔2020]161号）对编制水土保持方案报告书的生产建设项目（即征占地面积在5公顷以上或者石方总量在5万立方米以上的生产建设项目)，生产建设单自行或者委托具备相应技术条件的机构开展水土保持监测工作。本方案为水土保持方案报告表，水土保持监测工作不作具体要求。工程水土保持监测将由施工单位、监理单位以及验收调查单位通过巡查方式进行调查监测。</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18" w:name="_Toc171533277"/>
      <w:r>
        <w:rPr>
          <w:rFonts w:ascii="Times New Roman" w:hAnsi="Times New Roman" w:eastAsia="仿宋_GB2312" w:cs="Times New Roman"/>
          <w:color w:val="auto"/>
          <w:sz w:val="30"/>
          <w:szCs w:val="30"/>
          <w:lang w:eastAsia="zh-CN"/>
        </w:rPr>
        <w:t>1.10 水土保持投资及效益分析成果</w:t>
      </w:r>
      <w:bookmarkEnd w:id="18"/>
    </w:p>
    <w:p>
      <w:pPr>
        <w:widowControl w:val="0"/>
        <w:kinsoku/>
        <w:topLinePunct/>
        <w:autoSpaceDE/>
        <w:autoSpaceDN/>
        <w:spacing w:line="360" w:lineRule="auto"/>
        <w:ind w:firstLine="480"/>
        <w:jc w:val="both"/>
        <w:rPr>
          <w:rFonts w:cs="Times New Roman"/>
          <w:color w:val="auto"/>
          <w:szCs w:val="24"/>
          <w:lang w:eastAsia="zh-CN"/>
        </w:rPr>
      </w:pPr>
      <w:r>
        <w:rPr>
          <w:color w:val="auto"/>
          <w:lang w:eastAsia="zh-CN"/>
        </w:rPr>
        <w:t>本</w:t>
      </w:r>
      <w:r>
        <w:rPr>
          <w:rFonts w:cs="Times New Roman"/>
          <w:color w:val="auto"/>
          <w:szCs w:val="24"/>
          <w:lang w:eastAsia="zh-CN"/>
        </w:rPr>
        <w:t>工程</w:t>
      </w:r>
      <w:r>
        <w:rPr>
          <w:color w:val="auto"/>
          <w:lang w:eastAsia="zh-CN"/>
        </w:rPr>
        <w:t>水土保持静态总投资1</w:t>
      </w:r>
      <w:r>
        <w:rPr>
          <w:rFonts w:hint="eastAsia"/>
          <w:color w:val="auto"/>
          <w:lang w:eastAsia="zh-CN"/>
        </w:rPr>
        <w:t>93</w:t>
      </w:r>
      <w:r>
        <w:rPr>
          <w:color w:val="auto"/>
          <w:lang w:eastAsia="zh-CN"/>
        </w:rPr>
        <w:t>.</w:t>
      </w:r>
      <w:r>
        <w:rPr>
          <w:rFonts w:hint="eastAsia"/>
          <w:color w:val="auto"/>
          <w:lang w:eastAsia="zh-CN"/>
        </w:rPr>
        <w:t>86</w:t>
      </w:r>
      <w:r>
        <w:rPr>
          <w:color w:val="auto"/>
          <w:lang w:eastAsia="zh-CN"/>
        </w:rPr>
        <w:t>万元，其中，主体工程设计中的水土保持措施投资86.16万元，新增水土保持专项投资</w:t>
      </w:r>
      <w:r>
        <w:rPr>
          <w:rFonts w:hint="eastAsia"/>
          <w:color w:val="auto"/>
          <w:lang w:eastAsia="zh-CN"/>
        </w:rPr>
        <w:t>107</w:t>
      </w:r>
      <w:r>
        <w:rPr>
          <w:color w:val="auto"/>
          <w:lang w:eastAsia="zh-CN"/>
        </w:rPr>
        <w:t>.</w:t>
      </w:r>
      <w:r>
        <w:rPr>
          <w:rFonts w:hint="eastAsia"/>
          <w:color w:val="auto"/>
          <w:lang w:eastAsia="zh-CN"/>
        </w:rPr>
        <w:t>70</w:t>
      </w:r>
      <w:r>
        <w:rPr>
          <w:color w:val="auto"/>
          <w:lang w:eastAsia="zh-CN"/>
        </w:rPr>
        <w:t>万元。投资中，工程措施费66.78万元，植物措施费78.76</w:t>
      </w:r>
      <w:r>
        <w:rPr>
          <w:rFonts w:hint="eastAsia"/>
          <w:color w:val="auto"/>
          <w:lang w:eastAsia="zh-CN"/>
        </w:rPr>
        <w:t xml:space="preserve"> </w:t>
      </w:r>
      <w:r>
        <w:rPr>
          <w:color w:val="auto"/>
          <w:lang w:eastAsia="zh-CN"/>
        </w:rPr>
        <w:t>万元，临时工程费3.12万元，独立费用</w:t>
      </w:r>
      <w:r>
        <w:rPr>
          <w:rFonts w:hint="eastAsia"/>
          <w:color w:val="auto"/>
          <w:lang w:eastAsia="zh-CN"/>
        </w:rPr>
        <w:t>30</w:t>
      </w:r>
      <w:r>
        <w:rPr>
          <w:color w:val="auto"/>
          <w:lang w:eastAsia="zh-CN"/>
        </w:rPr>
        <w:t>.</w:t>
      </w:r>
      <w:r>
        <w:rPr>
          <w:rFonts w:hint="eastAsia"/>
          <w:color w:val="auto"/>
          <w:lang w:eastAsia="zh-CN"/>
        </w:rPr>
        <w:t>90</w:t>
      </w:r>
      <w:r>
        <w:rPr>
          <w:color w:val="auto"/>
          <w:lang w:eastAsia="zh-CN"/>
        </w:rPr>
        <w:t>万元，</w:t>
      </w:r>
      <w:r>
        <w:rPr>
          <w:rFonts w:hint="eastAsia"/>
          <w:color w:val="auto"/>
          <w:lang w:eastAsia="zh-CN"/>
        </w:rPr>
        <w:t>基本</w:t>
      </w:r>
      <w:r>
        <w:rPr>
          <w:color w:val="auto"/>
          <w:lang w:eastAsia="zh-CN"/>
        </w:rPr>
        <w:t>预备费</w:t>
      </w:r>
      <w:r>
        <w:rPr>
          <w:rFonts w:hint="eastAsia"/>
          <w:color w:val="auto"/>
          <w:lang w:eastAsia="zh-CN"/>
        </w:rPr>
        <w:t>9.34</w:t>
      </w:r>
      <w:r>
        <w:rPr>
          <w:color w:val="auto"/>
          <w:lang w:eastAsia="zh-CN"/>
        </w:rPr>
        <w:t>万元</w:t>
      </w:r>
      <w:r>
        <w:rPr>
          <w:rFonts w:cs="Times New Roman"/>
          <w:color w:val="auto"/>
          <w:szCs w:val="24"/>
          <w:lang w:eastAsia="zh-CN"/>
        </w:rPr>
        <w:t>，水土保持补偿费4.955547万元</w:t>
      </w:r>
      <w:r>
        <w:rPr>
          <w:rFonts w:hint="eastAsia" w:cs="Times New Roman"/>
          <w:color w:val="auto"/>
          <w:szCs w:val="24"/>
          <w:lang w:eastAsia="zh-CN"/>
        </w:rPr>
        <w:t>。</w:t>
      </w:r>
    </w:p>
    <w:p>
      <w:pPr>
        <w:kinsoku/>
        <w:topLinePunct/>
        <w:autoSpaceDE/>
        <w:autoSpaceDN/>
        <w:adjustRightInd/>
        <w:snapToGrid/>
        <w:spacing w:line="360" w:lineRule="auto"/>
        <w:ind w:firstLine="480"/>
        <w:contextualSpacing/>
        <w:jc w:val="both"/>
        <w:textAlignment w:val="auto"/>
        <w:rPr>
          <w:rFonts w:cs="Times New Roman"/>
          <w:snapToGrid/>
          <w:color w:val="auto"/>
          <w:szCs w:val="20"/>
          <w:lang w:eastAsia="zh-CN"/>
        </w:rPr>
      </w:pPr>
      <w:r>
        <w:rPr>
          <w:rFonts w:cs="Times New Roman"/>
          <w:color w:val="auto"/>
          <w:szCs w:val="24"/>
          <w:lang w:eastAsia="zh-CN"/>
        </w:rPr>
        <w:t>通过实施本方案水土保持防治措施，可治理水土流失面积3.81hm</w:t>
      </w:r>
      <w:r>
        <w:rPr>
          <w:rFonts w:cs="Times New Roman"/>
          <w:color w:val="auto"/>
          <w:szCs w:val="24"/>
          <w:vertAlign w:val="superscript"/>
          <w:lang w:eastAsia="zh-CN"/>
        </w:rPr>
        <w:t>2</w:t>
      </w:r>
      <w:r>
        <w:rPr>
          <w:rFonts w:cs="Times New Roman"/>
          <w:color w:val="auto"/>
          <w:szCs w:val="24"/>
          <w:lang w:eastAsia="zh-CN"/>
        </w:rPr>
        <w:t>。在严格执行和落实本方案设计的水土保持措施后，至设计水平年，本工程水土流失治理度99.</w:t>
      </w:r>
      <w:r>
        <w:rPr>
          <w:rFonts w:hint="eastAsia" w:cs="Times New Roman"/>
          <w:color w:val="auto"/>
          <w:szCs w:val="24"/>
          <w:lang w:eastAsia="zh-CN"/>
        </w:rPr>
        <w:t>87</w:t>
      </w:r>
      <w:r>
        <w:rPr>
          <w:rFonts w:cs="Times New Roman"/>
          <w:color w:val="auto"/>
          <w:szCs w:val="24"/>
          <w:lang w:eastAsia="zh-CN"/>
        </w:rPr>
        <w:t>%、土壤流失控制比1.0</w:t>
      </w:r>
      <w:r>
        <w:rPr>
          <w:rFonts w:hint="eastAsia" w:cs="Times New Roman"/>
          <w:color w:val="auto"/>
          <w:szCs w:val="24"/>
          <w:lang w:eastAsia="zh-CN"/>
        </w:rPr>
        <w:t>9</w:t>
      </w:r>
      <w:r>
        <w:rPr>
          <w:rFonts w:cs="Times New Roman"/>
          <w:color w:val="auto"/>
          <w:szCs w:val="24"/>
          <w:lang w:eastAsia="zh-CN"/>
        </w:rPr>
        <w:t>、渣土防护率9</w:t>
      </w:r>
      <w:r>
        <w:rPr>
          <w:rFonts w:hint="eastAsia" w:cs="Times New Roman"/>
          <w:color w:val="auto"/>
          <w:szCs w:val="24"/>
          <w:lang w:eastAsia="zh-CN"/>
        </w:rPr>
        <w:t>8</w:t>
      </w:r>
      <w:r>
        <w:rPr>
          <w:rFonts w:cs="Times New Roman"/>
          <w:color w:val="auto"/>
          <w:szCs w:val="24"/>
          <w:lang w:eastAsia="zh-CN"/>
        </w:rPr>
        <w:t>.</w:t>
      </w:r>
      <w:r>
        <w:rPr>
          <w:rFonts w:hint="eastAsia" w:cs="Times New Roman"/>
          <w:color w:val="auto"/>
          <w:szCs w:val="24"/>
          <w:lang w:eastAsia="zh-CN"/>
        </w:rPr>
        <w:t>15</w:t>
      </w:r>
      <w:r>
        <w:rPr>
          <w:rFonts w:cs="Times New Roman"/>
          <w:color w:val="auto"/>
          <w:szCs w:val="24"/>
          <w:lang w:eastAsia="zh-CN"/>
        </w:rPr>
        <w:t>%、表土保护率9</w:t>
      </w:r>
      <w:r>
        <w:rPr>
          <w:rFonts w:hint="eastAsia" w:cs="Times New Roman"/>
          <w:color w:val="auto"/>
          <w:szCs w:val="24"/>
          <w:lang w:eastAsia="zh-CN"/>
        </w:rPr>
        <w:t>7</w:t>
      </w:r>
      <w:r>
        <w:rPr>
          <w:rFonts w:cs="Times New Roman"/>
          <w:color w:val="auto"/>
          <w:szCs w:val="24"/>
          <w:lang w:eastAsia="zh-CN"/>
        </w:rPr>
        <w:t>.</w:t>
      </w:r>
      <w:r>
        <w:rPr>
          <w:rFonts w:hint="eastAsia" w:cs="Times New Roman"/>
          <w:color w:val="auto"/>
          <w:szCs w:val="24"/>
          <w:lang w:eastAsia="zh-CN"/>
        </w:rPr>
        <w:t>06</w:t>
      </w:r>
      <w:r>
        <w:rPr>
          <w:rFonts w:cs="Times New Roman"/>
          <w:color w:val="auto"/>
          <w:szCs w:val="24"/>
          <w:lang w:eastAsia="zh-CN"/>
        </w:rPr>
        <w:t>%、林草植被恢复率99.</w:t>
      </w:r>
      <w:r>
        <w:rPr>
          <w:rFonts w:hint="eastAsia" w:cs="Times New Roman"/>
          <w:color w:val="auto"/>
          <w:szCs w:val="24"/>
          <w:lang w:eastAsia="zh-CN"/>
        </w:rPr>
        <w:t>77</w:t>
      </w:r>
      <w:r>
        <w:rPr>
          <w:rFonts w:cs="Times New Roman"/>
          <w:color w:val="auto"/>
          <w:szCs w:val="24"/>
          <w:lang w:eastAsia="zh-CN"/>
        </w:rPr>
        <w:t>%、林草覆盖率</w:t>
      </w:r>
      <w:r>
        <w:rPr>
          <w:rFonts w:hint="eastAsia" w:cs="Times New Roman"/>
          <w:color w:val="auto"/>
          <w:szCs w:val="24"/>
          <w:lang w:eastAsia="zh-CN"/>
        </w:rPr>
        <w:t>57</w:t>
      </w:r>
      <w:r>
        <w:rPr>
          <w:rFonts w:cs="Times New Roman"/>
          <w:color w:val="auto"/>
          <w:szCs w:val="24"/>
          <w:lang w:eastAsia="zh-CN"/>
        </w:rPr>
        <w:t>.</w:t>
      </w:r>
      <w:r>
        <w:rPr>
          <w:rFonts w:hint="eastAsia" w:cs="Times New Roman"/>
          <w:color w:val="auto"/>
          <w:szCs w:val="24"/>
          <w:lang w:eastAsia="zh-CN"/>
        </w:rPr>
        <w:t>09</w:t>
      </w:r>
      <w:r>
        <w:rPr>
          <w:rFonts w:cs="Times New Roman"/>
          <w:color w:val="auto"/>
          <w:szCs w:val="24"/>
          <w:lang w:eastAsia="zh-CN"/>
        </w:rPr>
        <w:t>%，</w:t>
      </w:r>
      <w:r>
        <w:rPr>
          <w:rFonts w:cs="Times New Roman"/>
          <w:snapToGrid/>
          <w:color w:val="auto"/>
          <w:szCs w:val="20"/>
          <w:lang w:val="zh-CN" w:eastAsia="zh-CN"/>
        </w:rPr>
        <w:t>六</w:t>
      </w:r>
      <w:r>
        <w:rPr>
          <w:rFonts w:cs="Times New Roman"/>
          <w:snapToGrid/>
          <w:color w:val="auto"/>
          <w:szCs w:val="20"/>
          <w:lang w:eastAsia="zh-CN"/>
        </w:rPr>
        <w:t>项生态效益指标均达到或超过方案制定的目标值，具有良好的生态效益。</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19" w:name="_Toc171533278"/>
      <w:r>
        <w:rPr>
          <w:rFonts w:ascii="Times New Roman" w:hAnsi="Times New Roman" w:eastAsia="仿宋_GB2312" w:cs="Times New Roman"/>
          <w:color w:val="auto"/>
          <w:sz w:val="30"/>
          <w:szCs w:val="30"/>
          <w:lang w:eastAsia="zh-CN"/>
        </w:rPr>
        <w:t>1.11 结论</w:t>
      </w:r>
      <w:bookmarkEnd w:id="19"/>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通过方案的预测评价和论证，主体工程初步设计在施工组织设计、工程施工等方面基本能满足规范中要求的约束性规定及线性建设类项目的特殊规定。但在项目选线方面，需采取提高防治标准，优化施工工艺，减少地表扰动和植被损坏范围，有效控制可能造成的水土流失的前提下，项目建设可行。</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主体工程设计了排水沟等防护措施，这些防护措施既能够保证主体工程的安全运营，同时也具有水土保持的功能，本方案予以充分的肯定。在对主体工程各项具有水土保持功能措施进行分析与评价的基础上，本方案针对各个水土流失防治分区补充完善工程措施和临时措施，这些措施实施后可以满足项目水土流失防治目标要求，不会再形成大的水土流失危害，对周边区域影响不大。因此，从水土保持角度考虑，本项目无水土保持制约性因素，本工程的建设是可行的。</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（1）对主体设计工作的建议</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为确保有效的控制本项目在实施过程中人为的水土流失，在下阶段主体设计时，应将批复的本方案中水土保持措施纳入主体工程设计中，水土保持工程投资纳入主体工程投资中，进行水土保持设施专项设计，进一步细化各项措施内容。</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（2）对施工管理工作的建议</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施工单位应在施工手册专章给出水土保持实施细则，将水土保持方案报告书及设计文件中规定的水土保持措施细化，管理到位，监督到场，责任到人。考虑在施工场地竖立水土保持相关告示标语，增强施工与管理人员的水土保持与环境保护意识。</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要求施工单位合理安排工期，尽量避开雨天施工。雨天施工时，要加强施工管理，采取相应的临时防护措施，尽量减少施工所造成的水土流失。</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（3）对监理工作的建议</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实行水土保持工程监理制，对水土保持措施的实施进度、质量和资金进行监控管理，保证工程质量。监理单位要认真做好监理工作，要注重积累并整理水土保持工程资料，特别是临时措施的影像资料和质量评定的原始资料。</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（4）对监测工作的建议</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要加强项目生产建设过程中水土保持监测工作，首先根据本方案中的监测要求编制监测计划并实施，监测结果应定期向地方水行政主管部门报告，在水土保持设施竣工验收时，监测单位应提交监测专项报告。</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（5）对建设单位的工作建议</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建设单位通过合同管理、宣传培训和检查验收等对水土流失防治工作进行控制。建设单位应积极进行该项目水土保持措施的实施，做好工程建设的监理、监测工作。</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建设单位应加强施工单位的施工管理工作，真正落实施工期临时防护措施及预防措施，将施工期水土流失减少到最小程度。对于本项目产生的弃渣，严格按照宣汉市有关规定处理，禁止乱堆乱弃。</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工程检查验收文件中落实水土保持工程验收程序、标准和要求，在主体工程竣工验收前完成水土保持设施的专项验收。</w:t>
      </w:r>
      <w:bookmarkStart w:id="20" w:name="_Toc157009202"/>
      <w:bookmarkStart w:id="21" w:name="_Toc149230388"/>
      <w:bookmarkStart w:id="22" w:name="_Toc157073063"/>
    </w:p>
    <w:bookmarkEnd w:id="20"/>
    <w:bookmarkEnd w:id="21"/>
    <w:bookmarkEnd w:id="22"/>
    <w:p>
      <w:pPr>
        <w:widowControl w:val="0"/>
        <w:kinsoku/>
        <w:topLinePunct/>
        <w:autoSpaceDE/>
        <w:autoSpaceDN/>
        <w:spacing w:line="300" w:lineRule="auto"/>
        <w:ind w:firstLine="480"/>
        <w:jc w:val="both"/>
        <w:rPr>
          <w:rFonts w:cs="Times New Roman"/>
          <w:color w:val="auto"/>
          <w:szCs w:val="24"/>
          <w:lang w:eastAsia="zh-CN"/>
        </w:rPr>
        <w:sectPr>
          <w:pgSz w:w="11906" w:h="16838"/>
          <w:pgMar w:top="1440" w:right="1797" w:bottom="1440" w:left="1797" w:header="851" w:footer="992" w:gutter="0"/>
          <w:pgNumType w:start="1"/>
          <w:cols w:space="425" w:num="1"/>
          <w:docGrid w:linePitch="312" w:charSpace="0"/>
        </w:sectPr>
      </w:pPr>
    </w:p>
    <w:p>
      <w:pPr>
        <w:pStyle w:val="2"/>
        <w:widowControl w:val="0"/>
        <w:kinsoku/>
        <w:topLinePunct/>
        <w:autoSpaceDE/>
        <w:autoSpaceDN/>
        <w:spacing w:before="120" w:after="120" w:line="300" w:lineRule="auto"/>
        <w:ind w:firstLine="0" w:firstLineChars="0"/>
        <w:jc w:val="center"/>
        <w:rPr>
          <w:rFonts w:cs="Times New Roman"/>
          <w:color w:val="auto"/>
          <w:sz w:val="32"/>
          <w:szCs w:val="32"/>
          <w:lang w:eastAsia="zh-CN"/>
        </w:rPr>
      </w:pPr>
      <w:bookmarkStart w:id="23" w:name="_Toc171533279"/>
      <w:r>
        <w:rPr>
          <w:rFonts w:cs="Times New Roman"/>
          <w:color w:val="auto"/>
          <w:sz w:val="32"/>
          <w:szCs w:val="32"/>
          <w:lang w:eastAsia="zh-CN"/>
        </w:rPr>
        <w:t>2  项目概况</w:t>
      </w:r>
      <w:bookmarkEnd w:id="23"/>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24" w:name="_Toc171533280"/>
      <w:r>
        <w:rPr>
          <w:rFonts w:ascii="Times New Roman" w:hAnsi="Times New Roman" w:eastAsia="仿宋_GB2312" w:cs="Times New Roman"/>
          <w:color w:val="auto"/>
          <w:sz w:val="30"/>
          <w:szCs w:val="30"/>
          <w:lang w:eastAsia="zh-CN"/>
        </w:rPr>
        <w:t>2.1 项目组成及工程布置</w:t>
      </w:r>
      <w:bookmarkEnd w:id="24"/>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2.1.1 项目基本情况</w:t>
      </w:r>
    </w:p>
    <w:p>
      <w:pPr>
        <w:spacing w:before="120" w:beforeLines="50" w:after="120" w:afterLines="50"/>
        <w:ind w:firstLine="0" w:firstLineChars="0"/>
        <w:outlineLvl w:val="3"/>
        <w:rPr>
          <w:b/>
          <w:color w:val="auto"/>
          <w:lang w:eastAsia="zh-CN"/>
        </w:rPr>
      </w:pPr>
      <w:r>
        <w:rPr>
          <w:b/>
          <w:color w:val="auto"/>
          <w:lang w:eastAsia="zh-CN"/>
        </w:rPr>
        <w:t>2.1.1.1 地理位置</w:t>
      </w:r>
    </w:p>
    <w:p>
      <w:pPr>
        <w:widowControl w:val="0"/>
        <w:kinsoku/>
        <w:topLinePunct/>
        <w:autoSpaceDE/>
        <w:autoSpaceDN/>
        <w:spacing w:line="360" w:lineRule="auto"/>
        <w:ind w:firstLine="480"/>
        <w:jc w:val="both"/>
        <w:rPr>
          <w:rFonts w:cs="Times New Roman"/>
          <w:color w:val="auto"/>
          <w:kern w:val="2"/>
          <w:szCs w:val="24"/>
          <w:lang w:eastAsia="zh-CN"/>
        </w:rPr>
      </w:pPr>
      <w:r>
        <w:rPr>
          <w:rFonts w:cs="Times New Roman"/>
          <w:color w:val="auto"/>
          <w:kern w:val="2"/>
          <w:szCs w:val="24"/>
          <w:lang w:eastAsia="zh-CN"/>
        </w:rPr>
        <w:t>达州正达凯乙二醇220千伏输电线路工程位于四川省达州市宣汉县，涉及普光镇和双河镇。本工程从已建玛瑙500kV变电站、芭蕉220kV变电站分别至拟建正达凯220kV变电站的单回220kV输电线路。玛瑙500kV变电站220kV间隔扩建工程坐标E107°38′17.01″、N31°30′23.19″；芭蕉220kV变电站220kV间隔扩建工程坐标E107°46′28.98″、N31°32′52.00″；玛瑙至正达凯220kV输电线路工程起点坐标E107°38′21.00″、N31°30′27.44″，终点坐标E107°40′45.44″、N31°30′51.65″；芭蕉至正达凯220kV输电线路工程起点坐标E107°46′28.24″、N31°32′49.94″，终点坐标E107°40′45.03″、N31°30′52.39″。</w:t>
      </w:r>
    </w:p>
    <w:p>
      <w:pPr>
        <w:spacing w:before="120" w:beforeLines="50" w:after="120" w:afterLines="50"/>
        <w:ind w:firstLine="0" w:firstLineChars="0"/>
        <w:outlineLvl w:val="3"/>
        <w:rPr>
          <w:b/>
          <w:color w:val="auto"/>
          <w:lang w:eastAsia="zh-CN"/>
        </w:rPr>
      </w:pPr>
      <w:r>
        <w:rPr>
          <w:b/>
          <w:color w:val="auto"/>
          <w:lang w:eastAsia="zh-CN"/>
        </w:rPr>
        <w:t>2.1.1.2 项目特性</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项目名称：达州正达凯乙二醇220千伏输电线路工程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建设单位：达州普光建设开发有限公司</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工程性质：新建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建设内容及规模：玛瑙500kV变电站220kV间隔扩建工程；芭蕉220kV变电站220kV间隔扩建工程；玛瑙</w:t>
      </w:r>
      <w:r>
        <w:rPr>
          <w:rFonts w:cs="Times New Roman"/>
          <w:color w:val="auto"/>
          <w:kern w:val="2"/>
          <w:szCs w:val="24"/>
          <w:lang w:eastAsia="zh-CN"/>
        </w:rPr>
        <w:t>至</w:t>
      </w:r>
      <w:r>
        <w:rPr>
          <w:rFonts w:cs="Times New Roman"/>
          <w:color w:val="auto"/>
          <w:szCs w:val="24"/>
          <w:lang w:eastAsia="zh-CN"/>
        </w:rPr>
        <w:t>正达凯220kV</w:t>
      </w:r>
      <w:r>
        <w:rPr>
          <w:rFonts w:cs="Times New Roman"/>
          <w:color w:val="auto"/>
          <w:kern w:val="2"/>
          <w:szCs w:val="24"/>
          <w:lang w:eastAsia="zh-CN"/>
        </w:rPr>
        <w:t>输电</w:t>
      </w:r>
      <w:r>
        <w:rPr>
          <w:rFonts w:cs="Times New Roman"/>
          <w:color w:val="auto"/>
          <w:szCs w:val="24"/>
          <w:lang w:eastAsia="zh-CN"/>
        </w:rPr>
        <w:t>线路工程，新建单回架空线路全长为4.683公里，曲折系数为1.15。塔位共计16个（NA1-NA16）；芭蕉</w:t>
      </w:r>
      <w:r>
        <w:rPr>
          <w:rFonts w:cs="Times New Roman"/>
          <w:color w:val="auto"/>
          <w:kern w:val="2"/>
          <w:szCs w:val="24"/>
          <w:lang w:eastAsia="zh-CN"/>
        </w:rPr>
        <w:t>至</w:t>
      </w:r>
      <w:r>
        <w:rPr>
          <w:rFonts w:cs="Times New Roman"/>
          <w:color w:val="auto"/>
          <w:szCs w:val="24"/>
          <w:lang w:eastAsia="zh-CN"/>
        </w:rPr>
        <w:t>正达凯220kV</w:t>
      </w:r>
      <w:r>
        <w:rPr>
          <w:rFonts w:cs="Times New Roman"/>
          <w:color w:val="auto"/>
          <w:kern w:val="2"/>
          <w:szCs w:val="24"/>
          <w:lang w:eastAsia="zh-CN"/>
        </w:rPr>
        <w:t>输电</w:t>
      </w:r>
      <w:r>
        <w:rPr>
          <w:rFonts w:cs="Times New Roman"/>
          <w:color w:val="auto"/>
          <w:szCs w:val="24"/>
          <w:lang w:eastAsia="zh-CN"/>
        </w:rPr>
        <w:t>线路工程，新建单回线路全长约12.452km（其中，架空约12.392km，电缆约0.06km），塔位共计32个（NB1-NB32）。</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工程</w:t>
      </w:r>
      <w:r>
        <w:rPr>
          <w:rFonts w:cs="Times New Roman"/>
          <w:color w:val="auto"/>
          <w:szCs w:val="24"/>
          <w:lang w:eastAsia="zh-CN"/>
        </w:rPr>
        <w:t>投资：总投资9739万元，</w:t>
      </w:r>
      <w:r>
        <w:rPr>
          <w:rFonts w:hint="eastAsia" w:cs="Times New Roman"/>
          <w:color w:val="auto"/>
          <w:szCs w:val="24"/>
          <w:lang w:eastAsia="zh-CN"/>
        </w:rPr>
        <w:t>其中</w:t>
      </w:r>
      <w:r>
        <w:rPr>
          <w:rFonts w:cs="Times New Roman"/>
          <w:color w:val="auto"/>
          <w:szCs w:val="24"/>
          <w:lang w:eastAsia="zh-CN"/>
        </w:rPr>
        <w:t>土建投资2435万元。</w:t>
      </w:r>
      <w:r>
        <w:rPr>
          <w:color w:val="auto"/>
          <w:lang w:eastAsia="zh-CN"/>
        </w:rPr>
        <w:t>资金来源为</w:t>
      </w:r>
      <w:r>
        <w:rPr>
          <w:rFonts w:hint="eastAsia"/>
          <w:color w:val="auto"/>
          <w:lang w:eastAsia="zh-CN"/>
        </w:rPr>
        <w:t>资本金1948万元，占总投资的20%，由达州普光建设开发有限公司出资，其余资金通过银行贷款解决。</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建设工期：</w:t>
      </w:r>
      <w:r>
        <w:rPr>
          <w:color w:val="auto"/>
          <w:lang w:eastAsia="zh-CN"/>
        </w:rPr>
        <w:t>计划于</w:t>
      </w:r>
      <w:r>
        <w:rPr>
          <w:rFonts w:cs="Times New Roman"/>
          <w:color w:val="auto"/>
          <w:szCs w:val="24"/>
          <w:lang w:eastAsia="zh-CN"/>
        </w:rPr>
        <w:t>2024年8月</w:t>
      </w:r>
      <w:r>
        <w:rPr>
          <w:color w:val="auto"/>
          <w:lang w:eastAsia="zh-CN"/>
        </w:rPr>
        <w:t>开工，于</w:t>
      </w:r>
      <w:r>
        <w:rPr>
          <w:rFonts w:cs="Times New Roman"/>
          <w:color w:val="auto"/>
          <w:szCs w:val="24"/>
          <w:lang w:eastAsia="zh-CN"/>
        </w:rPr>
        <w:t>2025年4月</w:t>
      </w:r>
      <w:r>
        <w:rPr>
          <w:color w:val="auto"/>
          <w:lang w:eastAsia="zh-CN"/>
        </w:rPr>
        <w:t>完工</w:t>
      </w:r>
      <w:r>
        <w:rPr>
          <w:rFonts w:cs="Times New Roman"/>
          <w:color w:val="auto"/>
          <w:szCs w:val="24"/>
          <w:lang w:eastAsia="zh-CN"/>
        </w:rPr>
        <w:t>，</w:t>
      </w:r>
      <w:r>
        <w:rPr>
          <w:color w:val="auto"/>
          <w:lang w:eastAsia="zh-CN"/>
        </w:rPr>
        <w:t>总工期</w:t>
      </w:r>
      <w:r>
        <w:rPr>
          <w:rFonts w:cs="Times New Roman"/>
          <w:color w:val="auto"/>
          <w:szCs w:val="24"/>
          <w:lang w:eastAsia="zh-CN"/>
        </w:rPr>
        <w:t>9个月。</w:t>
      </w:r>
    </w:p>
    <w:p>
      <w:pPr>
        <w:widowControl w:val="0"/>
        <w:kinsoku/>
        <w:topLinePunct/>
        <w:autoSpaceDE/>
        <w:autoSpaceDN/>
        <w:spacing w:line="360" w:lineRule="auto"/>
        <w:ind w:firstLine="480"/>
        <w:jc w:val="both"/>
        <w:rPr>
          <w:color w:val="auto"/>
          <w:lang w:eastAsia="zh-CN"/>
        </w:rPr>
      </w:pPr>
      <w:r>
        <w:rPr>
          <w:color w:val="auto"/>
          <w:lang w:eastAsia="zh-CN"/>
        </w:rPr>
        <w:t>本</w:t>
      </w:r>
      <w:r>
        <w:rPr>
          <w:rFonts w:hint="eastAsia" w:cs="Times New Roman"/>
          <w:color w:val="auto"/>
          <w:szCs w:val="24"/>
          <w:lang w:eastAsia="zh-CN"/>
        </w:rPr>
        <w:t>工程</w:t>
      </w:r>
      <w:r>
        <w:rPr>
          <w:color w:val="auto"/>
          <w:lang w:eastAsia="zh-CN"/>
        </w:rPr>
        <w:t>主要特性见表2-1。</w:t>
      </w:r>
    </w:p>
    <w:p>
      <w:pPr>
        <w:spacing w:line="300" w:lineRule="auto"/>
        <w:ind w:firstLine="482"/>
        <w:jc w:val="center"/>
        <w:rPr>
          <w:rFonts w:cs="Times New Roman"/>
          <w:b/>
          <w:bCs/>
          <w:color w:val="auto"/>
          <w:lang w:eastAsia="zh-CN"/>
        </w:rPr>
      </w:pPr>
      <w:r>
        <w:rPr>
          <w:rFonts w:cs="Times New Roman"/>
          <w:b/>
          <w:bCs/>
          <w:color w:val="auto"/>
          <w:lang w:eastAsia="zh-CN"/>
        </w:rPr>
        <w:t>表2.1-1 达州正达凯乙二醇220千伏输电线路工程特性表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7"/>
        <w:gridCol w:w="491"/>
        <w:gridCol w:w="25"/>
        <w:gridCol w:w="373"/>
        <w:gridCol w:w="240"/>
        <w:gridCol w:w="10"/>
        <w:gridCol w:w="642"/>
        <w:gridCol w:w="135"/>
        <w:gridCol w:w="383"/>
        <w:gridCol w:w="511"/>
        <w:gridCol w:w="649"/>
        <w:gridCol w:w="649"/>
        <w:gridCol w:w="642"/>
        <w:gridCol w:w="677"/>
        <w:gridCol w:w="566"/>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000" w:type="pct"/>
            <w:gridSpan w:val="16"/>
            <w:vAlign w:val="center"/>
          </w:tcPr>
          <w:p>
            <w:pPr>
              <w:pStyle w:val="13"/>
              <w:rPr>
                <w:rFonts w:cs="Times New Roman"/>
                <w:sz w:val="20"/>
                <w:szCs w:val="20"/>
              </w:rPr>
            </w:pPr>
            <w:r>
              <w:rPr>
                <w:rFonts w:cs="Times New Roman"/>
                <w:sz w:val="20"/>
                <w:szCs w:val="20"/>
              </w:rPr>
              <w:t>一、项目基本情况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717" w:type="pct"/>
            <w:gridSpan w:val="3"/>
            <w:vAlign w:val="center"/>
          </w:tcPr>
          <w:p>
            <w:pPr>
              <w:pStyle w:val="13"/>
              <w:rPr>
                <w:rFonts w:cs="Times New Roman"/>
                <w:sz w:val="20"/>
                <w:szCs w:val="20"/>
              </w:rPr>
            </w:pPr>
            <w:r>
              <w:rPr>
                <w:rFonts w:cs="Times New Roman"/>
                <w:sz w:val="20"/>
                <w:szCs w:val="20"/>
              </w:rPr>
              <w:t>项目名称</w:t>
            </w:r>
          </w:p>
        </w:tc>
        <w:tc>
          <w:tcPr>
            <w:tcW w:w="4283" w:type="pct"/>
            <w:gridSpan w:val="13"/>
            <w:vAlign w:val="center"/>
          </w:tcPr>
          <w:p>
            <w:pPr>
              <w:pStyle w:val="13"/>
              <w:rPr>
                <w:rFonts w:cs="Times New Roman"/>
                <w:sz w:val="20"/>
                <w:szCs w:val="20"/>
              </w:rPr>
            </w:pPr>
            <w:r>
              <w:rPr>
                <w:rFonts w:cs="Times New Roman"/>
                <w:sz w:val="20"/>
                <w:szCs w:val="20"/>
              </w:rPr>
              <w:t>达州正达凯乙二醇220千伏输电线路工程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717" w:type="pct"/>
            <w:gridSpan w:val="3"/>
            <w:vAlign w:val="center"/>
          </w:tcPr>
          <w:p>
            <w:pPr>
              <w:pStyle w:val="13"/>
              <w:rPr>
                <w:rFonts w:cs="Times New Roman"/>
                <w:sz w:val="20"/>
                <w:szCs w:val="20"/>
              </w:rPr>
            </w:pPr>
            <w:r>
              <w:rPr>
                <w:rFonts w:cs="Times New Roman"/>
                <w:sz w:val="20"/>
                <w:szCs w:val="20"/>
              </w:rPr>
              <w:t>建设地点</w:t>
            </w:r>
          </w:p>
        </w:tc>
        <w:tc>
          <w:tcPr>
            <w:tcW w:w="841" w:type="pct"/>
            <w:gridSpan w:val="5"/>
            <w:vAlign w:val="center"/>
          </w:tcPr>
          <w:p>
            <w:pPr>
              <w:pStyle w:val="13"/>
              <w:rPr>
                <w:rFonts w:cs="Times New Roman"/>
                <w:sz w:val="20"/>
                <w:szCs w:val="20"/>
              </w:rPr>
            </w:pPr>
            <w:r>
              <w:rPr>
                <w:rFonts w:cs="Times New Roman"/>
                <w:sz w:val="20"/>
                <w:szCs w:val="20"/>
              </w:rPr>
              <w:t>达州市宣汉县</w:t>
            </w:r>
          </w:p>
        </w:tc>
        <w:tc>
          <w:tcPr>
            <w:tcW w:w="1317" w:type="pct"/>
            <w:gridSpan w:val="4"/>
            <w:vAlign w:val="center"/>
          </w:tcPr>
          <w:p>
            <w:pPr>
              <w:pStyle w:val="13"/>
              <w:rPr>
                <w:rFonts w:cs="Times New Roman"/>
                <w:sz w:val="20"/>
                <w:szCs w:val="20"/>
              </w:rPr>
            </w:pPr>
            <w:r>
              <w:rPr>
                <w:rFonts w:cs="Times New Roman"/>
                <w:sz w:val="20"/>
                <w:szCs w:val="20"/>
              </w:rPr>
              <w:t>所属流域</w:t>
            </w:r>
          </w:p>
        </w:tc>
        <w:tc>
          <w:tcPr>
            <w:tcW w:w="2126" w:type="pct"/>
            <w:gridSpan w:val="4"/>
            <w:vAlign w:val="center"/>
          </w:tcPr>
          <w:p>
            <w:pPr>
              <w:pStyle w:val="13"/>
              <w:rPr>
                <w:rFonts w:cs="Times New Roman"/>
                <w:sz w:val="20"/>
                <w:szCs w:val="20"/>
              </w:rPr>
            </w:pPr>
            <w:r>
              <w:rPr>
                <w:rFonts w:cs="Times New Roman"/>
                <w:sz w:val="20"/>
                <w:szCs w:val="20"/>
              </w:rPr>
              <w:t>长江流域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717" w:type="pct"/>
            <w:gridSpan w:val="3"/>
            <w:vAlign w:val="center"/>
          </w:tcPr>
          <w:p>
            <w:pPr>
              <w:pStyle w:val="13"/>
              <w:rPr>
                <w:rFonts w:cs="Times New Roman"/>
                <w:sz w:val="20"/>
                <w:szCs w:val="20"/>
              </w:rPr>
            </w:pPr>
            <w:r>
              <w:rPr>
                <w:rFonts w:cs="Times New Roman"/>
                <w:sz w:val="20"/>
                <w:szCs w:val="20"/>
              </w:rPr>
              <w:t>工程性质</w:t>
            </w:r>
          </w:p>
        </w:tc>
        <w:tc>
          <w:tcPr>
            <w:tcW w:w="841" w:type="pct"/>
            <w:gridSpan w:val="5"/>
            <w:vAlign w:val="center"/>
          </w:tcPr>
          <w:p>
            <w:pPr>
              <w:pStyle w:val="13"/>
              <w:rPr>
                <w:rFonts w:cs="Times New Roman"/>
                <w:sz w:val="20"/>
                <w:szCs w:val="20"/>
              </w:rPr>
            </w:pPr>
            <w:r>
              <w:rPr>
                <w:rFonts w:cs="Times New Roman"/>
                <w:sz w:val="20"/>
                <w:szCs w:val="20"/>
              </w:rPr>
              <w:t>新建</w:t>
            </w:r>
          </w:p>
        </w:tc>
        <w:tc>
          <w:tcPr>
            <w:tcW w:w="1317" w:type="pct"/>
            <w:gridSpan w:val="4"/>
            <w:vAlign w:val="center"/>
          </w:tcPr>
          <w:p>
            <w:pPr>
              <w:pStyle w:val="13"/>
              <w:rPr>
                <w:rFonts w:cs="Times New Roman"/>
                <w:sz w:val="20"/>
                <w:szCs w:val="20"/>
              </w:rPr>
            </w:pPr>
            <w:r>
              <w:rPr>
                <w:rFonts w:cs="Times New Roman"/>
                <w:sz w:val="20"/>
                <w:szCs w:val="20"/>
              </w:rPr>
              <w:t>建设单位</w:t>
            </w:r>
          </w:p>
        </w:tc>
        <w:tc>
          <w:tcPr>
            <w:tcW w:w="2126" w:type="pct"/>
            <w:gridSpan w:val="4"/>
            <w:vAlign w:val="center"/>
          </w:tcPr>
          <w:p>
            <w:pPr>
              <w:pStyle w:val="13"/>
              <w:rPr>
                <w:rFonts w:cs="Times New Roman"/>
                <w:sz w:val="20"/>
                <w:szCs w:val="20"/>
              </w:rPr>
            </w:pPr>
            <w:r>
              <w:rPr>
                <w:rFonts w:cs="Times New Roman"/>
                <w:sz w:val="20"/>
                <w:szCs w:val="20"/>
              </w:rPr>
              <w:t>达州普光建设开发有限公司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717" w:type="pct"/>
            <w:gridSpan w:val="3"/>
            <w:vAlign w:val="center"/>
          </w:tcPr>
          <w:p>
            <w:pPr>
              <w:pStyle w:val="13"/>
              <w:rPr>
                <w:rFonts w:cs="Times New Roman"/>
                <w:sz w:val="20"/>
                <w:szCs w:val="20"/>
              </w:rPr>
            </w:pPr>
            <w:r>
              <w:rPr>
                <w:rFonts w:cs="Times New Roman"/>
                <w:sz w:val="20"/>
                <w:szCs w:val="20"/>
              </w:rPr>
              <w:t>工程总投资</w:t>
            </w:r>
          </w:p>
        </w:tc>
        <w:tc>
          <w:tcPr>
            <w:tcW w:w="4283" w:type="pct"/>
            <w:gridSpan w:val="13"/>
            <w:vAlign w:val="center"/>
          </w:tcPr>
          <w:p>
            <w:pPr>
              <w:pStyle w:val="13"/>
              <w:rPr>
                <w:rFonts w:cs="Times New Roman"/>
                <w:sz w:val="20"/>
                <w:szCs w:val="20"/>
              </w:rPr>
            </w:pPr>
            <w:r>
              <w:rPr>
                <w:rFonts w:cs="Times New Roman"/>
                <w:sz w:val="20"/>
                <w:szCs w:val="20"/>
              </w:rPr>
              <w:t>9739万元（其中土建投资2435万元）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717" w:type="pct"/>
            <w:gridSpan w:val="3"/>
            <w:vAlign w:val="center"/>
          </w:tcPr>
          <w:p>
            <w:pPr>
              <w:pStyle w:val="13"/>
              <w:rPr>
                <w:rFonts w:cs="Times New Roman"/>
                <w:sz w:val="20"/>
                <w:szCs w:val="20"/>
              </w:rPr>
            </w:pPr>
            <w:r>
              <w:rPr>
                <w:rFonts w:cs="Times New Roman"/>
                <w:sz w:val="20"/>
                <w:szCs w:val="20"/>
              </w:rPr>
              <w:t>工程建设期</w:t>
            </w:r>
          </w:p>
        </w:tc>
        <w:tc>
          <w:tcPr>
            <w:tcW w:w="4283" w:type="pct"/>
            <w:gridSpan w:val="13"/>
            <w:vAlign w:val="center"/>
          </w:tcPr>
          <w:p>
            <w:pPr>
              <w:pStyle w:val="13"/>
              <w:rPr>
                <w:rFonts w:cs="Times New Roman"/>
                <w:sz w:val="20"/>
                <w:szCs w:val="20"/>
              </w:rPr>
            </w:pPr>
            <w:r>
              <w:rPr>
                <w:rFonts w:cs="Times New Roman"/>
                <w:sz w:val="20"/>
                <w:szCs w:val="20"/>
              </w:rPr>
              <w:t>2024年</w:t>
            </w:r>
            <w:r>
              <w:rPr>
                <w:rFonts w:hint="eastAsia" w:cs="Times New Roman"/>
                <w:sz w:val="20"/>
                <w:szCs w:val="20"/>
              </w:rPr>
              <w:t>8</w:t>
            </w:r>
            <w:r>
              <w:rPr>
                <w:rFonts w:cs="Times New Roman"/>
                <w:sz w:val="20"/>
                <w:szCs w:val="20"/>
              </w:rPr>
              <w:t>月～2025年</w:t>
            </w:r>
            <w:r>
              <w:rPr>
                <w:rFonts w:hint="eastAsia" w:cs="Times New Roman"/>
                <w:sz w:val="20"/>
                <w:szCs w:val="20"/>
              </w:rPr>
              <w:t>4</w:t>
            </w:r>
            <w:r>
              <w:rPr>
                <w:rFonts w:cs="Times New Roman"/>
                <w:sz w:val="20"/>
                <w:szCs w:val="20"/>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000" w:type="pct"/>
            <w:gridSpan w:val="16"/>
            <w:vAlign w:val="center"/>
          </w:tcPr>
          <w:p>
            <w:pPr>
              <w:pStyle w:val="13"/>
              <w:rPr>
                <w:rFonts w:cs="Times New Roman"/>
                <w:sz w:val="20"/>
                <w:szCs w:val="20"/>
              </w:rPr>
            </w:pPr>
            <w:r>
              <w:rPr>
                <w:rFonts w:cs="Times New Roman"/>
                <w:sz w:val="20"/>
                <w:szCs w:val="20"/>
              </w:rPr>
              <w:t>二、项目组成及占地情况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477" w:type="pct"/>
            <w:gridSpan w:val="7"/>
            <w:vMerge w:val="restart"/>
            <w:vAlign w:val="center"/>
          </w:tcPr>
          <w:p>
            <w:pPr>
              <w:pStyle w:val="13"/>
              <w:rPr>
                <w:rFonts w:cs="Times New Roman"/>
                <w:sz w:val="20"/>
                <w:szCs w:val="20"/>
              </w:rPr>
            </w:pPr>
            <w:r>
              <w:rPr>
                <w:rFonts w:cs="Times New Roman"/>
                <w:sz w:val="20"/>
                <w:szCs w:val="20"/>
              </w:rPr>
              <w:t>项目组成</w:t>
            </w:r>
          </w:p>
        </w:tc>
        <w:tc>
          <w:tcPr>
            <w:tcW w:w="3523" w:type="pct"/>
            <w:gridSpan w:val="9"/>
            <w:vAlign w:val="center"/>
          </w:tcPr>
          <w:p>
            <w:pPr>
              <w:pStyle w:val="13"/>
              <w:rPr>
                <w:rFonts w:cs="Times New Roman"/>
                <w:sz w:val="20"/>
                <w:szCs w:val="20"/>
              </w:rPr>
            </w:pPr>
            <w:r>
              <w:rPr>
                <w:rFonts w:cs="Times New Roman"/>
                <w:sz w:val="20"/>
                <w:szCs w:val="20"/>
              </w:rPr>
              <w:t>占地面积（</w:t>
            </w:r>
            <w:r>
              <w:rPr>
                <w:rFonts w:hint="eastAsia" w:cs="Times New Roman"/>
                <w:sz w:val="20"/>
                <w:szCs w:val="20"/>
              </w:rPr>
              <w:t>h</w:t>
            </w:r>
            <w:r>
              <w:rPr>
                <w:rFonts w:cs="Times New Roman"/>
                <w:sz w:val="20"/>
                <w:szCs w:val="20"/>
              </w:rPr>
              <w:t>m</w:t>
            </w:r>
            <w:r>
              <w:rPr>
                <w:rFonts w:cs="Times New Roman"/>
                <w:position w:val="7"/>
                <w:sz w:val="20"/>
                <w:szCs w:val="20"/>
              </w:rPr>
              <w:t>2</w:t>
            </w:r>
            <w:r>
              <w:rPr>
                <w:rFonts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477" w:type="pct"/>
            <w:gridSpan w:val="7"/>
            <w:vMerge w:val="continue"/>
            <w:vAlign w:val="center"/>
          </w:tcPr>
          <w:p>
            <w:pPr>
              <w:pStyle w:val="13"/>
              <w:rPr>
                <w:rFonts w:cs="Times New Roman"/>
                <w:sz w:val="20"/>
                <w:szCs w:val="20"/>
              </w:rPr>
            </w:pPr>
          </w:p>
        </w:tc>
        <w:tc>
          <w:tcPr>
            <w:tcW w:w="311" w:type="pct"/>
            <w:gridSpan w:val="2"/>
            <w:vAlign w:val="center"/>
          </w:tcPr>
          <w:p>
            <w:pPr>
              <w:pStyle w:val="13"/>
              <w:rPr>
                <w:rFonts w:cs="Times New Roman"/>
                <w:sz w:val="20"/>
                <w:szCs w:val="20"/>
              </w:rPr>
            </w:pPr>
            <w:r>
              <w:rPr>
                <w:rFonts w:cs="Times New Roman"/>
                <w:sz w:val="20"/>
                <w:szCs w:val="20"/>
              </w:rPr>
              <w:t>永久</w:t>
            </w:r>
          </w:p>
          <w:p>
            <w:pPr>
              <w:pStyle w:val="13"/>
              <w:rPr>
                <w:rFonts w:cs="Times New Roman"/>
                <w:sz w:val="20"/>
                <w:szCs w:val="20"/>
              </w:rPr>
            </w:pPr>
            <w:r>
              <w:rPr>
                <w:rFonts w:cs="Times New Roman"/>
                <w:sz w:val="20"/>
                <w:szCs w:val="20"/>
              </w:rPr>
              <w:t>占地</w:t>
            </w:r>
          </w:p>
        </w:tc>
        <w:tc>
          <w:tcPr>
            <w:tcW w:w="306" w:type="pct"/>
            <w:vAlign w:val="center"/>
          </w:tcPr>
          <w:p>
            <w:pPr>
              <w:pStyle w:val="13"/>
              <w:rPr>
                <w:rFonts w:cs="Times New Roman"/>
                <w:sz w:val="20"/>
                <w:szCs w:val="20"/>
              </w:rPr>
            </w:pPr>
            <w:r>
              <w:rPr>
                <w:rFonts w:cs="Times New Roman"/>
                <w:sz w:val="20"/>
                <w:szCs w:val="20"/>
              </w:rPr>
              <w:t>临时</w:t>
            </w:r>
          </w:p>
          <w:p>
            <w:pPr>
              <w:pStyle w:val="13"/>
              <w:rPr>
                <w:rFonts w:cs="Times New Roman"/>
                <w:sz w:val="20"/>
                <w:szCs w:val="20"/>
              </w:rPr>
            </w:pPr>
            <w:r>
              <w:rPr>
                <w:rFonts w:cs="Times New Roman"/>
                <w:sz w:val="20"/>
                <w:szCs w:val="20"/>
              </w:rPr>
              <w:t>占地</w:t>
            </w:r>
          </w:p>
        </w:tc>
        <w:tc>
          <w:tcPr>
            <w:tcW w:w="390" w:type="pct"/>
            <w:vAlign w:val="center"/>
          </w:tcPr>
          <w:p>
            <w:pPr>
              <w:pStyle w:val="13"/>
              <w:rPr>
                <w:rFonts w:cs="Times New Roman"/>
                <w:sz w:val="20"/>
                <w:szCs w:val="20"/>
              </w:rPr>
            </w:pPr>
            <w:r>
              <w:rPr>
                <w:rFonts w:cs="Times New Roman"/>
                <w:sz w:val="20"/>
                <w:szCs w:val="20"/>
              </w:rPr>
              <w:t>合计</w:t>
            </w:r>
          </w:p>
        </w:tc>
        <w:tc>
          <w:tcPr>
            <w:tcW w:w="2516" w:type="pct"/>
            <w:gridSpan w:val="5"/>
            <w:vAlign w:val="center"/>
          </w:tcPr>
          <w:p>
            <w:pPr>
              <w:pStyle w:val="13"/>
              <w:rPr>
                <w:rFonts w:cs="Times New Roman"/>
                <w:sz w:val="20"/>
                <w:szCs w:val="20"/>
              </w:rPr>
            </w:pPr>
            <w:r>
              <w:rPr>
                <w:rFonts w:cs="Times New Roman"/>
                <w:sz w:val="20"/>
                <w:szCs w:val="20"/>
              </w:rPr>
              <w:t>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07" w:type="pct"/>
            <w:vMerge w:val="restart"/>
            <w:vAlign w:val="center"/>
          </w:tcPr>
          <w:p>
            <w:pPr>
              <w:pStyle w:val="13"/>
              <w:rPr>
                <w:rFonts w:cs="Times New Roman"/>
                <w:sz w:val="20"/>
                <w:szCs w:val="20"/>
              </w:rPr>
            </w:pPr>
            <w:r>
              <w:rPr>
                <w:rFonts w:cs="Times New Roman"/>
                <w:sz w:val="20"/>
                <w:szCs w:val="20"/>
              </w:rPr>
              <w:t>变电站工程</w:t>
            </w:r>
          </w:p>
        </w:tc>
        <w:tc>
          <w:tcPr>
            <w:tcW w:w="678" w:type="pct"/>
            <w:gridSpan w:val="4"/>
            <w:vAlign w:val="center"/>
          </w:tcPr>
          <w:p>
            <w:pPr>
              <w:pStyle w:val="13"/>
              <w:rPr>
                <w:rFonts w:cs="Times New Roman"/>
                <w:sz w:val="20"/>
                <w:szCs w:val="20"/>
              </w:rPr>
            </w:pPr>
            <w:r>
              <w:rPr>
                <w:rFonts w:cs="Times New Roman"/>
                <w:sz w:val="20"/>
                <w:szCs w:val="20"/>
              </w:rPr>
              <w:t>玛瑙500kV变电站220kV间隔扩建工程</w:t>
            </w:r>
          </w:p>
        </w:tc>
        <w:tc>
          <w:tcPr>
            <w:tcW w:w="392" w:type="pct"/>
            <w:gridSpan w:val="2"/>
            <w:vAlign w:val="center"/>
          </w:tcPr>
          <w:p>
            <w:pPr>
              <w:pStyle w:val="13"/>
              <w:rPr>
                <w:rFonts w:cs="Times New Roman"/>
                <w:sz w:val="20"/>
                <w:szCs w:val="20"/>
              </w:rPr>
            </w:pPr>
            <w:r>
              <w:rPr>
                <w:rFonts w:cs="Times New Roman"/>
                <w:sz w:val="20"/>
                <w:szCs w:val="20"/>
              </w:rPr>
              <w:t>玛瑙变电站站区</w:t>
            </w:r>
          </w:p>
        </w:tc>
        <w:tc>
          <w:tcPr>
            <w:tcW w:w="311" w:type="pct"/>
            <w:gridSpan w:val="2"/>
            <w:vAlign w:val="center"/>
          </w:tcPr>
          <w:p>
            <w:pPr>
              <w:pStyle w:val="13"/>
              <w:rPr>
                <w:rFonts w:cs="Times New Roman"/>
                <w:sz w:val="20"/>
                <w:szCs w:val="20"/>
              </w:rPr>
            </w:pPr>
            <w:r>
              <w:rPr>
                <w:rFonts w:cs="Times New Roman"/>
                <w:sz w:val="20"/>
                <w:szCs w:val="20"/>
              </w:rPr>
              <w:t>0.003</w:t>
            </w:r>
          </w:p>
        </w:tc>
        <w:tc>
          <w:tcPr>
            <w:tcW w:w="306" w:type="pct"/>
            <w:vAlign w:val="center"/>
          </w:tcPr>
          <w:p>
            <w:pPr>
              <w:pStyle w:val="13"/>
              <w:rPr>
                <w:rFonts w:cs="Times New Roman"/>
                <w:sz w:val="20"/>
                <w:szCs w:val="20"/>
              </w:rPr>
            </w:pPr>
            <w:r>
              <w:rPr>
                <w:rFonts w:hint="eastAsia" w:cs="Times New Roman"/>
                <w:sz w:val="20"/>
                <w:szCs w:val="20"/>
              </w:rPr>
              <w:t>0.0</w:t>
            </w:r>
            <w:r>
              <w:rPr>
                <w:rFonts w:cs="Times New Roman"/>
                <w:sz w:val="20"/>
                <w:szCs w:val="20"/>
              </w:rPr>
              <w:t>05</w:t>
            </w:r>
          </w:p>
        </w:tc>
        <w:tc>
          <w:tcPr>
            <w:tcW w:w="390" w:type="pct"/>
            <w:vAlign w:val="center"/>
          </w:tcPr>
          <w:p>
            <w:pPr>
              <w:pStyle w:val="13"/>
              <w:rPr>
                <w:rFonts w:cs="Times New Roman"/>
                <w:sz w:val="20"/>
                <w:szCs w:val="20"/>
              </w:rPr>
            </w:pPr>
            <w:r>
              <w:rPr>
                <w:rFonts w:hint="eastAsia" w:cs="Times New Roman"/>
                <w:sz w:val="20"/>
                <w:szCs w:val="20"/>
              </w:rPr>
              <w:t>0.01</w:t>
            </w:r>
          </w:p>
        </w:tc>
        <w:tc>
          <w:tcPr>
            <w:tcW w:w="2516" w:type="pct"/>
            <w:gridSpan w:val="5"/>
            <w:vAlign w:val="center"/>
          </w:tcPr>
          <w:p>
            <w:pPr>
              <w:pStyle w:val="13"/>
              <w:jc w:val="both"/>
              <w:rPr>
                <w:rFonts w:cs="Times New Roman"/>
                <w:sz w:val="20"/>
                <w:szCs w:val="20"/>
              </w:rPr>
            </w:pPr>
            <w:r>
              <w:rPr>
                <w:rFonts w:cs="Times New Roman"/>
                <w:sz w:val="20"/>
                <w:szCs w:val="20"/>
              </w:rPr>
              <w:t>玛瑙500kV变电站220kV间隔扩建工程在原变电站建设1处间隔</w:t>
            </w:r>
            <w:r>
              <w:rPr>
                <w:rFonts w:hint="eastAsia" w:cs="Times New Roman"/>
                <w:sz w:val="20"/>
                <w:szCs w:val="20"/>
              </w:rPr>
              <w:t>，间隔扩建部分永久占地面积为25m</w:t>
            </w:r>
            <w:r>
              <w:rPr>
                <w:rFonts w:hint="eastAsia" w:cs="Times New Roman"/>
                <w:sz w:val="20"/>
                <w:szCs w:val="20"/>
                <w:vertAlign w:val="superscript"/>
              </w:rPr>
              <w:t>2</w:t>
            </w:r>
            <w:r>
              <w:rPr>
                <w:rFonts w:hint="eastAsia" w:cs="Times New Roman"/>
                <w:sz w:val="20"/>
                <w:szCs w:val="20"/>
              </w:rPr>
              <w:t>（宽2.5m×长10m），施工临时占地50m</w:t>
            </w:r>
            <w:r>
              <w:rPr>
                <w:rFonts w:hint="eastAsia" w:cs="Times New Roman"/>
                <w:sz w:val="20"/>
                <w:szCs w:val="20"/>
                <w:vertAlign w:val="superscript"/>
              </w:rPr>
              <w:t>2</w:t>
            </w:r>
            <w:r>
              <w:rPr>
                <w:rFonts w:hint="eastAsia" w:cs="Times New Roman"/>
                <w:sz w:val="20"/>
                <w:szCs w:val="20"/>
              </w:rPr>
              <w:t>，总占地面积为75m</w:t>
            </w:r>
            <w:r>
              <w:rPr>
                <w:rFonts w:hint="eastAsia" w:cs="Times New Roman"/>
                <w:sz w:val="20"/>
                <w:szCs w:val="20"/>
                <w:vertAlign w:val="superscript"/>
              </w:rPr>
              <w:t>2</w:t>
            </w:r>
            <w:r>
              <w:rPr>
                <w:rFonts w:hint="eastAsia" w:cs="Times New Roman"/>
                <w:sz w:val="20"/>
                <w:szCs w:val="20"/>
              </w:rPr>
              <w:t>，占地均在玛瑙变电站内。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07" w:type="pct"/>
            <w:vMerge w:val="continue"/>
            <w:vAlign w:val="center"/>
          </w:tcPr>
          <w:p>
            <w:pPr>
              <w:pStyle w:val="13"/>
              <w:rPr>
                <w:rFonts w:cs="Times New Roman"/>
                <w:sz w:val="20"/>
                <w:szCs w:val="20"/>
              </w:rPr>
            </w:pPr>
          </w:p>
        </w:tc>
        <w:tc>
          <w:tcPr>
            <w:tcW w:w="678" w:type="pct"/>
            <w:gridSpan w:val="4"/>
            <w:vAlign w:val="center"/>
          </w:tcPr>
          <w:p>
            <w:pPr>
              <w:pStyle w:val="13"/>
              <w:rPr>
                <w:rFonts w:cs="Times New Roman"/>
                <w:sz w:val="20"/>
                <w:szCs w:val="20"/>
              </w:rPr>
            </w:pPr>
            <w:r>
              <w:rPr>
                <w:rFonts w:cs="Times New Roman"/>
                <w:sz w:val="20"/>
                <w:szCs w:val="20"/>
              </w:rPr>
              <w:t>芭蕉220kV变电站220kV间隔扩建工程</w:t>
            </w:r>
          </w:p>
        </w:tc>
        <w:tc>
          <w:tcPr>
            <w:tcW w:w="392" w:type="pct"/>
            <w:gridSpan w:val="2"/>
            <w:vAlign w:val="center"/>
          </w:tcPr>
          <w:p>
            <w:pPr>
              <w:pStyle w:val="13"/>
              <w:rPr>
                <w:rFonts w:cs="Times New Roman"/>
                <w:sz w:val="20"/>
                <w:szCs w:val="20"/>
              </w:rPr>
            </w:pPr>
            <w:r>
              <w:rPr>
                <w:rFonts w:cs="Times New Roman"/>
                <w:sz w:val="20"/>
                <w:szCs w:val="20"/>
              </w:rPr>
              <w:t>芭蕉变电站站区</w:t>
            </w:r>
          </w:p>
        </w:tc>
        <w:tc>
          <w:tcPr>
            <w:tcW w:w="311" w:type="pct"/>
            <w:gridSpan w:val="2"/>
            <w:vAlign w:val="center"/>
          </w:tcPr>
          <w:p>
            <w:pPr>
              <w:pStyle w:val="13"/>
              <w:rPr>
                <w:rFonts w:cs="Times New Roman"/>
                <w:sz w:val="20"/>
                <w:szCs w:val="20"/>
              </w:rPr>
            </w:pPr>
            <w:r>
              <w:rPr>
                <w:rFonts w:cs="Times New Roman"/>
                <w:sz w:val="20"/>
                <w:szCs w:val="20"/>
              </w:rPr>
              <w:t>0.003</w:t>
            </w:r>
          </w:p>
        </w:tc>
        <w:tc>
          <w:tcPr>
            <w:tcW w:w="306" w:type="pct"/>
            <w:vAlign w:val="center"/>
          </w:tcPr>
          <w:p>
            <w:pPr>
              <w:pStyle w:val="13"/>
              <w:rPr>
                <w:rFonts w:cs="Times New Roman"/>
                <w:sz w:val="20"/>
                <w:szCs w:val="20"/>
              </w:rPr>
            </w:pPr>
            <w:r>
              <w:rPr>
                <w:rFonts w:hint="eastAsia" w:cs="Times New Roman"/>
                <w:sz w:val="20"/>
                <w:szCs w:val="20"/>
              </w:rPr>
              <w:t>0.03</w:t>
            </w:r>
          </w:p>
        </w:tc>
        <w:tc>
          <w:tcPr>
            <w:tcW w:w="390" w:type="pct"/>
            <w:vAlign w:val="center"/>
          </w:tcPr>
          <w:p>
            <w:pPr>
              <w:pStyle w:val="13"/>
              <w:rPr>
                <w:rFonts w:cs="Times New Roman"/>
                <w:sz w:val="20"/>
                <w:szCs w:val="20"/>
              </w:rPr>
            </w:pPr>
            <w:r>
              <w:rPr>
                <w:rFonts w:hint="eastAsia" w:cs="Times New Roman"/>
                <w:sz w:val="20"/>
                <w:szCs w:val="20"/>
              </w:rPr>
              <w:t>0.03</w:t>
            </w:r>
          </w:p>
        </w:tc>
        <w:tc>
          <w:tcPr>
            <w:tcW w:w="2516" w:type="pct"/>
            <w:gridSpan w:val="5"/>
            <w:vAlign w:val="center"/>
          </w:tcPr>
          <w:p>
            <w:pPr>
              <w:pStyle w:val="13"/>
              <w:jc w:val="both"/>
              <w:rPr>
                <w:rFonts w:cs="Times New Roman"/>
                <w:sz w:val="20"/>
                <w:szCs w:val="20"/>
              </w:rPr>
            </w:pPr>
            <w:r>
              <w:rPr>
                <w:rFonts w:hint="eastAsia" w:cs="Times New Roman"/>
                <w:sz w:val="20"/>
                <w:szCs w:val="20"/>
              </w:rPr>
              <w:t>在芭蕉220kV变电站预留场地扩建220kV出线间隔1个，永久占地面积为25m</w:t>
            </w:r>
            <w:r>
              <w:rPr>
                <w:rFonts w:hint="eastAsia" w:cs="Times New Roman"/>
                <w:sz w:val="20"/>
                <w:szCs w:val="20"/>
                <w:vertAlign w:val="superscript"/>
              </w:rPr>
              <w:t>2</w:t>
            </w:r>
            <w:r>
              <w:rPr>
                <w:rFonts w:hint="eastAsia" w:cs="Times New Roman"/>
                <w:sz w:val="20"/>
                <w:szCs w:val="20"/>
              </w:rPr>
              <w:t>（宽2.5m×长10m），临时占地65m</w:t>
            </w:r>
            <w:r>
              <w:rPr>
                <w:rFonts w:hint="eastAsia" w:cs="Times New Roman"/>
                <w:sz w:val="20"/>
                <w:szCs w:val="20"/>
                <w:vertAlign w:val="superscript"/>
              </w:rPr>
              <w:t>2</w:t>
            </w:r>
            <w:r>
              <w:rPr>
                <w:rFonts w:hint="eastAsia" w:cs="Times New Roman"/>
                <w:sz w:val="20"/>
                <w:szCs w:val="20"/>
              </w:rPr>
              <w:t>；排水管90m，占地90m</w:t>
            </w:r>
            <w:r>
              <w:rPr>
                <w:rFonts w:hint="eastAsia" w:cs="Times New Roman"/>
                <w:sz w:val="20"/>
                <w:szCs w:val="20"/>
                <w:vertAlign w:val="superscript"/>
              </w:rPr>
              <w:t>2</w:t>
            </w:r>
            <w:r>
              <w:rPr>
                <w:rFonts w:hint="eastAsia" w:cs="Times New Roman"/>
                <w:sz w:val="20"/>
                <w:szCs w:val="20"/>
              </w:rPr>
              <w:t>（开挖宽度1m），临时占地面积135m</w:t>
            </w:r>
            <w:r>
              <w:rPr>
                <w:rFonts w:hint="eastAsia" w:cs="Times New Roman"/>
                <w:sz w:val="20"/>
                <w:szCs w:val="20"/>
                <w:vertAlign w:val="superscript"/>
              </w:rPr>
              <w:t>2</w:t>
            </w:r>
            <w:r>
              <w:rPr>
                <w:rFonts w:hint="eastAsia" w:cs="Times New Roman"/>
                <w:sz w:val="20"/>
                <w:szCs w:val="20"/>
              </w:rPr>
              <w:t>（临时施工占地宽1.5m）；雨水口10座、检查井2座，永久占地2m</w:t>
            </w:r>
            <w:r>
              <w:rPr>
                <w:rFonts w:hint="eastAsia" w:cs="Times New Roman"/>
                <w:sz w:val="20"/>
                <w:szCs w:val="20"/>
                <w:vertAlign w:val="superscript"/>
              </w:rPr>
              <w:t>2</w:t>
            </w:r>
            <w:r>
              <w:rPr>
                <w:rFonts w:hint="eastAsia" w:cs="Times New Roman"/>
                <w:sz w:val="20"/>
                <w:szCs w:val="20"/>
              </w:rPr>
              <w:t>，临时占地8m</w:t>
            </w:r>
            <w:r>
              <w:rPr>
                <w:rFonts w:hint="eastAsia" w:cs="Times New Roman"/>
                <w:sz w:val="20"/>
                <w:szCs w:val="20"/>
                <w:vertAlign w:val="superscript"/>
              </w:rPr>
              <w:t>2</w:t>
            </w:r>
            <w:r>
              <w:rPr>
                <w:rFonts w:hint="eastAsia" w:cs="Times New Roman"/>
                <w:sz w:val="20"/>
                <w:szCs w:val="20"/>
              </w:rPr>
              <w:t>；总占地面积325m</w:t>
            </w:r>
            <w:r>
              <w:rPr>
                <w:rFonts w:hint="eastAsia" w:cs="Times New Roman"/>
                <w:sz w:val="20"/>
                <w:szCs w:val="20"/>
                <w:vertAlign w:val="superscript"/>
              </w:rPr>
              <w:t>2</w:t>
            </w:r>
            <w:r>
              <w:rPr>
                <w:rFonts w:hint="eastAsia" w:cs="Times New Roman"/>
                <w:sz w:val="20"/>
                <w:szCs w:val="20"/>
              </w:rPr>
              <w:t>， 占地均在芭蕉变电站内。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477" w:type="pct"/>
            <w:gridSpan w:val="7"/>
            <w:vAlign w:val="center"/>
          </w:tcPr>
          <w:p>
            <w:pPr>
              <w:pStyle w:val="13"/>
              <w:rPr>
                <w:rFonts w:cs="Times New Roman"/>
                <w:sz w:val="20"/>
                <w:szCs w:val="20"/>
              </w:rPr>
            </w:pPr>
            <w:r>
              <w:rPr>
                <w:rFonts w:cs="Times New Roman"/>
                <w:sz w:val="20"/>
                <w:szCs w:val="20"/>
              </w:rPr>
              <w:t>小计</w:t>
            </w:r>
          </w:p>
        </w:tc>
        <w:tc>
          <w:tcPr>
            <w:tcW w:w="311" w:type="pct"/>
            <w:gridSpan w:val="2"/>
            <w:vAlign w:val="center"/>
          </w:tcPr>
          <w:p>
            <w:pPr>
              <w:pStyle w:val="13"/>
              <w:rPr>
                <w:rFonts w:cs="Times New Roman"/>
                <w:sz w:val="20"/>
                <w:szCs w:val="20"/>
              </w:rPr>
            </w:pPr>
            <w:r>
              <w:rPr>
                <w:rFonts w:hint="eastAsia" w:cs="Times New Roman"/>
                <w:sz w:val="20"/>
                <w:szCs w:val="20"/>
              </w:rPr>
              <w:t>/</w:t>
            </w:r>
          </w:p>
        </w:tc>
        <w:tc>
          <w:tcPr>
            <w:tcW w:w="306" w:type="pct"/>
            <w:vAlign w:val="center"/>
          </w:tcPr>
          <w:p>
            <w:pPr>
              <w:pStyle w:val="13"/>
              <w:rPr>
                <w:rFonts w:cs="Times New Roman"/>
                <w:sz w:val="20"/>
                <w:szCs w:val="20"/>
              </w:rPr>
            </w:pPr>
            <w:r>
              <w:rPr>
                <w:rFonts w:hint="eastAsia" w:cs="Times New Roman"/>
                <w:sz w:val="20"/>
                <w:szCs w:val="20"/>
              </w:rPr>
              <w:t>0.0</w:t>
            </w:r>
            <w:r>
              <w:rPr>
                <w:rFonts w:cs="Times New Roman"/>
                <w:sz w:val="20"/>
                <w:szCs w:val="20"/>
              </w:rPr>
              <w:t>4</w:t>
            </w:r>
          </w:p>
        </w:tc>
        <w:tc>
          <w:tcPr>
            <w:tcW w:w="390" w:type="pct"/>
            <w:vAlign w:val="center"/>
          </w:tcPr>
          <w:p>
            <w:pPr>
              <w:pStyle w:val="13"/>
              <w:rPr>
                <w:rFonts w:cs="Times New Roman"/>
                <w:sz w:val="20"/>
                <w:szCs w:val="20"/>
              </w:rPr>
            </w:pPr>
            <w:r>
              <w:rPr>
                <w:rFonts w:hint="eastAsia" w:cs="Times New Roman"/>
                <w:sz w:val="20"/>
                <w:szCs w:val="20"/>
              </w:rPr>
              <w:t>0.04</w:t>
            </w:r>
          </w:p>
        </w:tc>
        <w:tc>
          <w:tcPr>
            <w:tcW w:w="2516" w:type="pct"/>
            <w:gridSpan w:val="5"/>
            <w:vAlign w:val="center"/>
          </w:tcPr>
          <w:p>
            <w:pPr>
              <w:pStyle w:val="13"/>
              <w:jc w:val="both"/>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07" w:type="pct"/>
            <w:vMerge w:val="restart"/>
            <w:vAlign w:val="center"/>
          </w:tcPr>
          <w:p>
            <w:pPr>
              <w:pStyle w:val="13"/>
              <w:rPr>
                <w:rFonts w:cs="Times New Roman"/>
                <w:sz w:val="20"/>
                <w:szCs w:val="20"/>
              </w:rPr>
            </w:pPr>
            <w:r>
              <w:rPr>
                <w:rFonts w:cs="Times New Roman"/>
                <w:sz w:val="20"/>
                <w:szCs w:val="20"/>
              </w:rPr>
              <w:t>线路</w:t>
            </w:r>
          </w:p>
          <w:p>
            <w:pPr>
              <w:pStyle w:val="13"/>
              <w:rPr>
                <w:rFonts w:cs="Times New Roman"/>
                <w:sz w:val="20"/>
                <w:szCs w:val="20"/>
              </w:rPr>
            </w:pPr>
            <w:r>
              <w:rPr>
                <w:rFonts w:cs="Times New Roman"/>
                <w:sz w:val="20"/>
                <w:szCs w:val="20"/>
              </w:rPr>
              <w:t>工程</w:t>
            </w:r>
          </w:p>
        </w:tc>
        <w:tc>
          <w:tcPr>
            <w:tcW w:w="534" w:type="pct"/>
            <w:gridSpan w:val="3"/>
            <w:vMerge w:val="restart"/>
            <w:vAlign w:val="center"/>
          </w:tcPr>
          <w:p>
            <w:pPr>
              <w:pStyle w:val="13"/>
              <w:rPr>
                <w:rFonts w:cs="Times New Roman"/>
                <w:sz w:val="20"/>
                <w:szCs w:val="20"/>
              </w:rPr>
            </w:pPr>
            <w:r>
              <w:rPr>
                <w:rFonts w:cs="Times New Roman"/>
                <w:sz w:val="20"/>
                <w:szCs w:val="20"/>
              </w:rPr>
              <w:t>玛瑙</w:t>
            </w:r>
            <w:r>
              <w:rPr>
                <w:rFonts w:hint="eastAsia" w:cs="Times New Roman"/>
                <w:sz w:val="20"/>
                <w:szCs w:val="20"/>
              </w:rPr>
              <w:t>-</w:t>
            </w:r>
          </w:p>
          <w:p>
            <w:pPr>
              <w:pStyle w:val="13"/>
              <w:rPr>
                <w:rFonts w:cs="Times New Roman"/>
                <w:sz w:val="20"/>
                <w:szCs w:val="20"/>
              </w:rPr>
            </w:pPr>
            <w:r>
              <w:rPr>
                <w:rFonts w:cs="Times New Roman"/>
                <w:sz w:val="20"/>
                <w:szCs w:val="20"/>
              </w:rPr>
              <w:t>正达凯220kV线路工程</w:t>
            </w:r>
          </w:p>
        </w:tc>
        <w:tc>
          <w:tcPr>
            <w:tcW w:w="536" w:type="pct"/>
            <w:gridSpan w:val="3"/>
            <w:vAlign w:val="center"/>
          </w:tcPr>
          <w:p>
            <w:pPr>
              <w:pStyle w:val="13"/>
              <w:rPr>
                <w:rFonts w:cs="Times New Roman"/>
                <w:sz w:val="20"/>
                <w:szCs w:val="20"/>
              </w:rPr>
            </w:pPr>
            <w:r>
              <w:rPr>
                <w:rFonts w:cs="Times New Roman"/>
                <w:sz w:val="20"/>
                <w:szCs w:val="20"/>
              </w:rPr>
              <w:t>玛瑙塔基及临时施工区</w:t>
            </w:r>
          </w:p>
        </w:tc>
        <w:tc>
          <w:tcPr>
            <w:tcW w:w="311" w:type="pct"/>
            <w:gridSpan w:val="2"/>
            <w:vAlign w:val="center"/>
          </w:tcPr>
          <w:p>
            <w:pPr>
              <w:pStyle w:val="13"/>
              <w:rPr>
                <w:rFonts w:cs="Times New Roman"/>
                <w:sz w:val="20"/>
                <w:szCs w:val="20"/>
              </w:rPr>
            </w:pPr>
            <w:r>
              <w:rPr>
                <w:rFonts w:hint="eastAsia" w:cs="Times New Roman"/>
                <w:sz w:val="20"/>
                <w:szCs w:val="20"/>
              </w:rPr>
              <w:t>0.</w:t>
            </w:r>
            <w:r>
              <w:rPr>
                <w:rFonts w:cs="Times New Roman"/>
                <w:sz w:val="20"/>
                <w:szCs w:val="20"/>
              </w:rPr>
              <w:t>26</w:t>
            </w:r>
          </w:p>
        </w:tc>
        <w:tc>
          <w:tcPr>
            <w:tcW w:w="306" w:type="pct"/>
            <w:vAlign w:val="center"/>
          </w:tcPr>
          <w:p>
            <w:pPr>
              <w:pStyle w:val="13"/>
              <w:rPr>
                <w:rFonts w:cs="Times New Roman"/>
                <w:sz w:val="20"/>
                <w:szCs w:val="20"/>
              </w:rPr>
            </w:pPr>
            <w:r>
              <w:rPr>
                <w:rFonts w:hint="eastAsia" w:cs="Times New Roman"/>
                <w:sz w:val="20"/>
                <w:szCs w:val="20"/>
              </w:rPr>
              <w:t>0.</w:t>
            </w:r>
            <w:r>
              <w:rPr>
                <w:rFonts w:cs="Times New Roman"/>
                <w:sz w:val="20"/>
                <w:szCs w:val="20"/>
              </w:rPr>
              <w:t>37</w:t>
            </w:r>
          </w:p>
        </w:tc>
        <w:tc>
          <w:tcPr>
            <w:tcW w:w="390" w:type="pct"/>
            <w:vAlign w:val="center"/>
          </w:tcPr>
          <w:p>
            <w:pPr>
              <w:pStyle w:val="13"/>
              <w:rPr>
                <w:rFonts w:cs="Times New Roman"/>
                <w:sz w:val="20"/>
                <w:szCs w:val="20"/>
              </w:rPr>
            </w:pPr>
            <w:r>
              <w:rPr>
                <w:rFonts w:hint="eastAsia" w:cs="Times New Roman"/>
                <w:sz w:val="20"/>
                <w:szCs w:val="20"/>
              </w:rPr>
              <w:t>0.63</w:t>
            </w:r>
          </w:p>
        </w:tc>
        <w:tc>
          <w:tcPr>
            <w:tcW w:w="2516" w:type="pct"/>
            <w:gridSpan w:val="5"/>
            <w:vAlign w:val="center"/>
          </w:tcPr>
          <w:p>
            <w:pPr>
              <w:pStyle w:val="13"/>
              <w:jc w:val="both"/>
              <w:rPr>
                <w:rFonts w:cs="Times New Roman"/>
                <w:sz w:val="20"/>
                <w:szCs w:val="20"/>
              </w:rPr>
            </w:pPr>
            <w:r>
              <w:rPr>
                <w:rFonts w:cs="Times New Roman"/>
                <w:sz w:val="20"/>
                <w:szCs w:val="20"/>
              </w:rPr>
              <w:t>塔基、护坡墙和排水沟永久占地面积为2588m</w:t>
            </w:r>
            <w:r>
              <w:rPr>
                <w:rFonts w:cs="Times New Roman"/>
                <w:sz w:val="20"/>
                <w:szCs w:val="20"/>
                <w:vertAlign w:val="superscript"/>
              </w:rPr>
              <w:t>2</w:t>
            </w:r>
            <w:r>
              <w:rPr>
                <w:rFonts w:cs="Times New Roman"/>
                <w:sz w:val="20"/>
                <w:szCs w:val="20"/>
              </w:rPr>
              <w:t>；塔位NA1、NA2、NA15、NA16为机械施工，塔基临时施工区按塔基占地外约6m计算；其余塔位为人工施工，塔基临时施工区按塔基占地外约4m计算，临时施工区总面积3466m</w:t>
            </w:r>
            <w:r>
              <w:rPr>
                <w:rFonts w:cs="Times New Roman"/>
                <w:sz w:val="20"/>
                <w:szCs w:val="20"/>
                <w:vertAlign w:val="superscript"/>
              </w:rPr>
              <w:t>2</w:t>
            </w:r>
            <w:r>
              <w:rPr>
                <w:rFonts w:cs="Times New Roman"/>
                <w:sz w:val="20"/>
                <w:szCs w:val="20"/>
              </w:rPr>
              <w:t>，护坡墙、排水沟临时占地261m</w:t>
            </w:r>
            <w:r>
              <w:rPr>
                <w:rFonts w:cs="Times New Roman"/>
                <w:sz w:val="20"/>
                <w:szCs w:val="20"/>
                <w:vertAlign w:val="superscript"/>
              </w:rPr>
              <w:t>2</w:t>
            </w:r>
            <w:r>
              <w:rPr>
                <w:rFonts w:cs="Times New Roman"/>
                <w:sz w:val="20"/>
                <w:szCs w:val="20"/>
              </w:rPr>
              <w:t>，临时占地总面积3727m</w:t>
            </w:r>
            <w:r>
              <w:rPr>
                <w:rFonts w:cs="Times New Roman"/>
                <w:sz w:val="20"/>
                <w:szCs w:val="20"/>
                <w:vertAlign w:val="superscript"/>
              </w:rPr>
              <w:t>2</w:t>
            </w:r>
            <w:r>
              <w:rPr>
                <w:rFonts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07" w:type="pct"/>
            <w:vMerge w:val="continue"/>
            <w:vAlign w:val="center"/>
          </w:tcPr>
          <w:p>
            <w:pPr>
              <w:pStyle w:val="13"/>
              <w:rPr>
                <w:rFonts w:cs="Times New Roman"/>
                <w:sz w:val="20"/>
                <w:szCs w:val="20"/>
              </w:rPr>
            </w:pPr>
          </w:p>
        </w:tc>
        <w:tc>
          <w:tcPr>
            <w:tcW w:w="534" w:type="pct"/>
            <w:gridSpan w:val="3"/>
            <w:vMerge w:val="continue"/>
            <w:vAlign w:val="center"/>
          </w:tcPr>
          <w:p>
            <w:pPr>
              <w:pStyle w:val="13"/>
              <w:rPr>
                <w:rFonts w:cs="Times New Roman"/>
                <w:sz w:val="20"/>
                <w:szCs w:val="20"/>
              </w:rPr>
            </w:pPr>
          </w:p>
        </w:tc>
        <w:tc>
          <w:tcPr>
            <w:tcW w:w="536" w:type="pct"/>
            <w:gridSpan w:val="3"/>
            <w:vAlign w:val="center"/>
          </w:tcPr>
          <w:p>
            <w:pPr>
              <w:pStyle w:val="13"/>
              <w:rPr>
                <w:rFonts w:cs="Times New Roman"/>
                <w:sz w:val="20"/>
                <w:szCs w:val="20"/>
              </w:rPr>
            </w:pPr>
            <w:r>
              <w:rPr>
                <w:rFonts w:cs="Times New Roman"/>
                <w:sz w:val="20"/>
                <w:szCs w:val="20"/>
              </w:rPr>
              <w:t>玛瑙施工便道区</w:t>
            </w:r>
          </w:p>
        </w:tc>
        <w:tc>
          <w:tcPr>
            <w:tcW w:w="311" w:type="pct"/>
            <w:gridSpan w:val="2"/>
            <w:vAlign w:val="center"/>
          </w:tcPr>
          <w:p>
            <w:pPr>
              <w:pStyle w:val="13"/>
              <w:rPr>
                <w:rFonts w:cs="Times New Roman"/>
                <w:sz w:val="20"/>
                <w:szCs w:val="20"/>
              </w:rPr>
            </w:pPr>
            <w:r>
              <w:rPr>
                <w:rFonts w:hint="eastAsia" w:cs="Times New Roman"/>
                <w:sz w:val="20"/>
                <w:szCs w:val="20"/>
              </w:rPr>
              <w:t>/</w:t>
            </w:r>
          </w:p>
        </w:tc>
        <w:tc>
          <w:tcPr>
            <w:tcW w:w="306" w:type="pct"/>
            <w:vAlign w:val="center"/>
          </w:tcPr>
          <w:p>
            <w:pPr>
              <w:pStyle w:val="13"/>
              <w:rPr>
                <w:rFonts w:cs="Times New Roman"/>
                <w:sz w:val="20"/>
                <w:szCs w:val="20"/>
              </w:rPr>
            </w:pPr>
            <w:r>
              <w:rPr>
                <w:rFonts w:hint="eastAsia" w:cs="Times New Roman"/>
                <w:sz w:val="20"/>
                <w:szCs w:val="20"/>
              </w:rPr>
              <w:t>0.40</w:t>
            </w:r>
          </w:p>
        </w:tc>
        <w:tc>
          <w:tcPr>
            <w:tcW w:w="390" w:type="pct"/>
            <w:vAlign w:val="center"/>
          </w:tcPr>
          <w:p>
            <w:pPr>
              <w:pStyle w:val="13"/>
              <w:rPr>
                <w:rFonts w:cs="Times New Roman"/>
                <w:sz w:val="20"/>
                <w:szCs w:val="20"/>
              </w:rPr>
            </w:pPr>
            <w:r>
              <w:rPr>
                <w:rFonts w:hint="eastAsia" w:cs="Times New Roman"/>
                <w:sz w:val="20"/>
                <w:szCs w:val="20"/>
              </w:rPr>
              <w:t>0.4</w:t>
            </w:r>
            <w:r>
              <w:rPr>
                <w:rFonts w:cs="Times New Roman"/>
                <w:sz w:val="20"/>
                <w:szCs w:val="20"/>
              </w:rPr>
              <w:t>0</w:t>
            </w:r>
          </w:p>
        </w:tc>
        <w:tc>
          <w:tcPr>
            <w:tcW w:w="2516" w:type="pct"/>
            <w:gridSpan w:val="5"/>
            <w:vAlign w:val="center"/>
          </w:tcPr>
          <w:p>
            <w:pPr>
              <w:pStyle w:val="13"/>
              <w:jc w:val="both"/>
              <w:rPr>
                <w:rFonts w:cs="Times New Roman"/>
                <w:sz w:val="20"/>
                <w:szCs w:val="20"/>
              </w:rPr>
            </w:pPr>
            <w:r>
              <w:rPr>
                <w:rFonts w:cs="Times New Roman"/>
                <w:sz w:val="20"/>
                <w:szCs w:val="20"/>
              </w:rPr>
              <w:t>塔位NA1、NA2、NA15、NA16为机械施工，NA15、NA16紧邻公路，利用原有道路，NA1、NA2需修建施工便道，新建施工便道160m，宽度3m，临时占地480m</w:t>
            </w:r>
            <w:r>
              <w:rPr>
                <w:rFonts w:cs="Times New Roman"/>
                <w:sz w:val="20"/>
                <w:szCs w:val="20"/>
                <w:vertAlign w:val="superscript"/>
              </w:rPr>
              <w:t>2</w:t>
            </w:r>
            <w:r>
              <w:rPr>
                <w:rFonts w:cs="Times New Roman"/>
                <w:sz w:val="20"/>
                <w:szCs w:val="20"/>
              </w:rPr>
              <w:t>，其余塔位（骡马搬运）新建施工便道为长2900m，宽度1.2m，临时占地3480m</w:t>
            </w:r>
            <w:r>
              <w:rPr>
                <w:rFonts w:cs="Times New Roman"/>
                <w:sz w:val="20"/>
                <w:szCs w:val="20"/>
                <w:vertAlign w:val="superscript"/>
              </w:rPr>
              <w:t>2</w:t>
            </w:r>
            <w:r>
              <w:rPr>
                <w:rFonts w:cs="Times New Roman"/>
                <w:sz w:val="20"/>
                <w:szCs w:val="20"/>
              </w:rPr>
              <w:t>。</w:t>
            </w:r>
            <w:r>
              <w:rPr>
                <w:rFonts w:hint="eastAsia" w:cs="Times New Roman"/>
                <w:sz w:val="20"/>
                <w:szCs w:val="20"/>
              </w:rPr>
              <w:t>总占地面积3960m</w:t>
            </w:r>
            <w:r>
              <w:rPr>
                <w:rFonts w:hint="eastAsia" w:cs="Times New Roman"/>
                <w:sz w:val="20"/>
                <w:szCs w:val="20"/>
                <w:vertAlign w:val="superscript"/>
              </w:rPr>
              <w:t>2</w:t>
            </w:r>
            <w:r>
              <w:rPr>
                <w:rFonts w:hint="eastAsia" w:cs="Times New Roman"/>
                <w:sz w:val="20"/>
                <w:szCs w:val="20"/>
              </w:rPr>
              <w:t>，占地类型为林地。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07" w:type="pct"/>
            <w:vMerge w:val="continue"/>
            <w:vAlign w:val="center"/>
          </w:tcPr>
          <w:p>
            <w:pPr>
              <w:pStyle w:val="13"/>
              <w:rPr>
                <w:rFonts w:cs="Times New Roman"/>
                <w:sz w:val="20"/>
                <w:szCs w:val="20"/>
              </w:rPr>
            </w:pPr>
          </w:p>
        </w:tc>
        <w:tc>
          <w:tcPr>
            <w:tcW w:w="534" w:type="pct"/>
            <w:gridSpan w:val="3"/>
            <w:vMerge w:val="continue"/>
            <w:vAlign w:val="center"/>
          </w:tcPr>
          <w:p>
            <w:pPr>
              <w:pStyle w:val="13"/>
              <w:rPr>
                <w:rFonts w:cs="Times New Roman"/>
                <w:sz w:val="20"/>
                <w:szCs w:val="20"/>
              </w:rPr>
            </w:pPr>
          </w:p>
        </w:tc>
        <w:tc>
          <w:tcPr>
            <w:tcW w:w="536" w:type="pct"/>
            <w:gridSpan w:val="3"/>
            <w:vAlign w:val="center"/>
          </w:tcPr>
          <w:p>
            <w:pPr>
              <w:pStyle w:val="13"/>
              <w:rPr>
                <w:rFonts w:cs="Times New Roman"/>
                <w:sz w:val="20"/>
                <w:szCs w:val="20"/>
              </w:rPr>
            </w:pPr>
            <w:r>
              <w:rPr>
                <w:rFonts w:cs="Times New Roman"/>
                <w:sz w:val="20"/>
                <w:szCs w:val="20"/>
              </w:rPr>
              <w:t>玛瑙牵张场区</w:t>
            </w:r>
          </w:p>
        </w:tc>
        <w:tc>
          <w:tcPr>
            <w:tcW w:w="311" w:type="pct"/>
            <w:gridSpan w:val="2"/>
            <w:vAlign w:val="center"/>
          </w:tcPr>
          <w:p>
            <w:pPr>
              <w:pStyle w:val="13"/>
              <w:rPr>
                <w:rFonts w:cs="Times New Roman"/>
                <w:sz w:val="20"/>
                <w:szCs w:val="20"/>
              </w:rPr>
            </w:pPr>
            <w:r>
              <w:rPr>
                <w:rFonts w:hint="eastAsia" w:cs="Times New Roman"/>
                <w:sz w:val="20"/>
                <w:szCs w:val="20"/>
              </w:rPr>
              <w:t>/</w:t>
            </w:r>
          </w:p>
        </w:tc>
        <w:tc>
          <w:tcPr>
            <w:tcW w:w="306" w:type="pct"/>
            <w:vAlign w:val="center"/>
          </w:tcPr>
          <w:p>
            <w:pPr>
              <w:pStyle w:val="13"/>
              <w:rPr>
                <w:rFonts w:cs="Times New Roman"/>
                <w:sz w:val="20"/>
                <w:szCs w:val="20"/>
              </w:rPr>
            </w:pPr>
            <w:r>
              <w:rPr>
                <w:rFonts w:hint="eastAsia" w:cs="Times New Roman"/>
                <w:sz w:val="20"/>
                <w:szCs w:val="20"/>
              </w:rPr>
              <w:t>0.</w:t>
            </w:r>
            <w:r>
              <w:rPr>
                <w:rFonts w:cs="Times New Roman"/>
                <w:sz w:val="20"/>
                <w:szCs w:val="20"/>
              </w:rPr>
              <w:t>12</w:t>
            </w:r>
          </w:p>
        </w:tc>
        <w:tc>
          <w:tcPr>
            <w:tcW w:w="390" w:type="pct"/>
            <w:vAlign w:val="center"/>
          </w:tcPr>
          <w:p>
            <w:pPr>
              <w:pStyle w:val="13"/>
              <w:rPr>
                <w:rFonts w:cs="Times New Roman"/>
                <w:sz w:val="20"/>
                <w:szCs w:val="20"/>
              </w:rPr>
            </w:pPr>
            <w:r>
              <w:rPr>
                <w:rFonts w:hint="eastAsia" w:cs="Times New Roman"/>
                <w:sz w:val="20"/>
                <w:szCs w:val="20"/>
              </w:rPr>
              <w:t>0.</w:t>
            </w:r>
            <w:r>
              <w:rPr>
                <w:rFonts w:cs="Times New Roman"/>
                <w:sz w:val="20"/>
                <w:szCs w:val="20"/>
              </w:rPr>
              <w:t>12</w:t>
            </w:r>
          </w:p>
        </w:tc>
        <w:tc>
          <w:tcPr>
            <w:tcW w:w="2516" w:type="pct"/>
            <w:gridSpan w:val="5"/>
            <w:vAlign w:val="center"/>
          </w:tcPr>
          <w:p>
            <w:pPr>
              <w:pStyle w:val="13"/>
              <w:jc w:val="both"/>
              <w:rPr>
                <w:rFonts w:cs="Times New Roman"/>
                <w:sz w:val="20"/>
                <w:szCs w:val="20"/>
              </w:rPr>
            </w:pPr>
            <w:r>
              <w:rPr>
                <w:rFonts w:cs="Times New Roman"/>
                <w:sz w:val="20"/>
                <w:szCs w:val="20"/>
              </w:rPr>
              <w:t>设置牵张场3处，每处临时占地400m</w:t>
            </w:r>
            <w:r>
              <w:rPr>
                <w:rFonts w:cs="Times New Roman"/>
                <w:sz w:val="20"/>
                <w:szCs w:val="20"/>
                <w:vertAlign w:val="superscript"/>
              </w:rPr>
              <w:t>2</w:t>
            </w:r>
            <w:r>
              <w:rPr>
                <w:rFonts w:cs="Times New Roman"/>
                <w:sz w:val="20"/>
                <w:szCs w:val="20"/>
              </w:rPr>
              <w:t>，</w:t>
            </w:r>
            <w:r>
              <w:rPr>
                <w:rFonts w:cs="Times New Roman"/>
                <w:spacing w:val="-3"/>
                <w:sz w:val="20"/>
                <w:szCs w:val="20"/>
              </w:rPr>
              <w:t>牵张场区临时占地共计1200m</w:t>
            </w:r>
            <w:r>
              <w:rPr>
                <w:rFonts w:cs="Times New Roman"/>
                <w:spacing w:val="-3"/>
                <w:position w:val="7"/>
                <w:sz w:val="20"/>
                <w:szCs w:val="20"/>
                <w:vertAlign w:val="superscript"/>
              </w:rPr>
              <w:t>2</w:t>
            </w:r>
            <w:r>
              <w:rPr>
                <w:rFonts w:cs="Times New Roman"/>
                <w:spacing w:val="-3"/>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07" w:type="pct"/>
            <w:vMerge w:val="continue"/>
            <w:vAlign w:val="center"/>
          </w:tcPr>
          <w:p>
            <w:pPr>
              <w:pStyle w:val="13"/>
              <w:rPr>
                <w:rFonts w:cs="Times New Roman"/>
                <w:sz w:val="20"/>
                <w:szCs w:val="20"/>
              </w:rPr>
            </w:pPr>
          </w:p>
        </w:tc>
        <w:tc>
          <w:tcPr>
            <w:tcW w:w="534" w:type="pct"/>
            <w:gridSpan w:val="3"/>
            <w:vMerge w:val="continue"/>
            <w:vAlign w:val="center"/>
          </w:tcPr>
          <w:p>
            <w:pPr>
              <w:pStyle w:val="13"/>
              <w:rPr>
                <w:rFonts w:cs="Times New Roman"/>
                <w:sz w:val="20"/>
                <w:szCs w:val="20"/>
              </w:rPr>
            </w:pPr>
          </w:p>
        </w:tc>
        <w:tc>
          <w:tcPr>
            <w:tcW w:w="536" w:type="pct"/>
            <w:gridSpan w:val="3"/>
            <w:vAlign w:val="center"/>
          </w:tcPr>
          <w:p>
            <w:pPr>
              <w:pStyle w:val="13"/>
              <w:rPr>
                <w:rFonts w:cs="Times New Roman"/>
                <w:sz w:val="20"/>
                <w:szCs w:val="20"/>
              </w:rPr>
            </w:pPr>
            <w:r>
              <w:rPr>
                <w:rFonts w:cs="Times New Roman"/>
                <w:sz w:val="20"/>
                <w:szCs w:val="20"/>
              </w:rPr>
              <w:t>玛瑙跨越场区</w:t>
            </w:r>
          </w:p>
        </w:tc>
        <w:tc>
          <w:tcPr>
            <w:tcW w:w="311" w:type="pct"/>
            <w:gridSpan w:val="2"/>
            <w:vAlign w:val="center"/>
          </w:tcPr>
          <w:p>
            <w:pPr>
              <w:pStyle w:val="13"/>
              <w:rPr>
                <w:rFonts w:cs="Times New Roman"/>
                <w:sz w:val="20"/>
                <w:szCs w:val="20"/>
              </w:rPr>
            </w:pPr>
            <w:r>
              <w:rPr>
                <w:rFonts w:hint="eastAsia" w:cs="Times New Roman"/>
                <w:sz w:val="20"/>
                <w:szCs w:val="20"/>
              </w:rPr>
              <w:t>/</w:t>
            </w:r>
          </w:p>
        </w:tc>
        <w:tc>
          <w:tcPr>
            <w:tcW w:w="306" w:type="pct"/>
            <w:vAlign w:val="center"/>
          </w:tcPr>
          <w:p>
            <w:pPr>
              <w:pStyle w:val="13"/>
              <w:rPr>
                <w:rFonts w:cs="Times New Roman"/>
                <w:sz w:val="20"/>
                <w:szCs w:val="20"/>
              </w:rPr>
            </w:pPr>
            <w:r>
              <w:rPr>
                <w:rFonts w:hint="eastAsia" w:cs="Times New Roman"/>
                <w:sz w:val="20"/>
                <w:szCs w:val="20"/>
              </w:rPr>
              <w:t>0.05</w:t>
            </w:r>
          </w:p>
        </w:tc>
        <w:tc>
          <w:tcPr>
            <w:tcW w:w="390" w:type="pct"/>
            <w:vAlign w:val="center"/>
          </w:tcPr>
          <w:p>
            <w:pPr>
              <w:pStyle w:val="13"/>
              <w:rPr>
                <w:rFonts w:cs="Times New Roman"/>
                <w:sz w:val="20"/>
                <w:szCs w:val="20"/>
              </w:rPr>
            </w:pPr>
            <w:r>
              <w:rPr>
                <w:rFonts w:hint="eastAsia" w:cs="Times New Roman"/>
                <w:sz w:val="20"/>
                <w:szCs w:val="20"/>
              </w:rPr>
              <w:t>0.05</w:t>
            </w:r>
          </w:p>
        </w:tc>
        <w:tc>
          <w:tcPr>
            <w:tcW w:w="2516" w:type="pct"/>
            <w:gridSpan w:val="5"/>
            <w:vAlign w:val="center"/>
          </w:tcPr>
          <w:p>
            <w:pPr>
              <w:pStyle w:val="13"/>
              <w:jc w:val="both"/>
              <w:rPr>
                <w:rFonts w:cs="Times New Roman"/>
                <w:sz w:val="20"/>
                <w:szCs w:val="20"/>
              </w:rPr>
            </w:pPr>
            <w:r>
              <w:rPr>
                <w:rFonts w:cs="Times New Roman"/>
                <w:sz w:val="20"/>
                <w:szCs w:val="20"/>
              </w:rPr>
              <w:t>设置跨越场4处，每处临时占地120m</w:t>
            </w:r>
            <w:r>
              <w:rPr>
                <w:rFonts w:cs="Times New Roman"/>
                <w:sz w:val="20"/>
                <w:szCs w:val="20"/>
                <w:vertAlign w:val="superscript"/>
              </w:rPr>
              <w:t>2</w:t>
            </w:r>
            <w:r>
              <w:rPr>
                <w:rFonts w:cs="Times New Roman"/>
                <w:sz w:val="20"/>
                <w:szCs w:val="20"/>
              </w:rPr>
              <w:t>，</w:t>
            </w:r>
            <w:r>
              <w:rPr>
                <w:rFonts w:cs="Times New Roman"/>
                <w:spacing w:val="-3"/>
                <w:sz w:val="20"/>
                <w:szCs w:val="20"/>
              </w:rPr>
              <w:t>牵张场区临时占地共计480m</w:t>
            </w:r>
            <w:r>
              <w:rPr>
                <w:rFonts w:cs="Times New Roman"/>
                <w:spacing w:val="-3"/>
                <w:position w:val="7"/>
                <w:sz w:val="20"/>
                <w:szCs w:val="20"/>
                <w:vertAlign w:val="superscript"/>
              </w:rPr>
              <w:t>2</w:t>
            </w:r>
            <w:r>
              <w:rPr>
                <w:rFonts w:cs="Times New Roman"/>
                <w:spacing w:val="-3"/>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07" w:type="pct"/>
            <w:vMerge w:val="continue"/>
            <w:vAlign w:val="center"/>
          </w:tcPr>
          <w:p>
            <w:pPr>
              <w:pStyle w:val="13"/>
              <w:rPr>
                <w:rFonts w:cs="Times New Roman"/>
                <w:sz w:val="20"/>
                <w:szCs w:val="20"/>
              </w:rPr>
            </w:pPr>
          </w:p>
        </w:tc>
        <w:tc>
          <w:tcPr>
            <w:tcW w:w="534" w:type="pct"/>
            <w:gridSpan w:val="3"/>
            <w:vMerge w:val="restart"/>
            <w:vAlign w:val="center"/>
          </w:tcPr>
          <w:p>
            <w:pPr>
              <w:pStyle w:val="13"/>
              <w:rPr>
                <w:rFonts w:cs="Times New Roman"/>
                <w:sz w:val="20"/>
                <w:szCs w:val="20"/>
              </w:rPr>
            </w:pPr>
            <w:r>
              <w:rPr>
                <w:rFonts w:cs="Times New Roman"/>
                <w:sz w:val="20"/>
                <w:szCs w:val="20"/>
              </w:rPr>
              <w:t>芭蕉</w:t>
            </w:r>
            <w:r>
              <w:rPr>
                <w:rFonts w:hint="eastAsia" w:cs="Times New Roman"/>
                <w:sz w:val="20"/>
                <w:szCs w:val="20"/>
              </w:rPr>
              <w:t>-</w:t>
            </w:r>
          </w:p>
          <w:p>
            <w:pPr>
              <w:pStyle w:val="13"/>
              <w:rPr>
                <w:rFonts w:cs="Times New Roman"/>
                <w:sz w:val="20"/>
                <w:szCs w:val="20"/>
              </w:rPr>
            </w:pPr>
            <w:r>
              <w:rPr>
                <w:rFonts w:cs="Times New Roman"/>
                <w:sz w:val="20"/>
                <w:szCs w:val="20"/>
              </w:rPr>
              <w:t>正达凯220kV线路工程</w:t>
            </w:r>
          </w:p>
        </w:tc>
        <w:tc>
          <w:tcPr>
            <w:tcW w:w="536" w:type="pct"/>
            <w:gridSpan w:val="3"/>
            <w:vAlign w:val="center"/>
          </w:tcPr>
          <w:p>
            <w:pPr>
              <w:pStyle w:val="13"/>
              <w:rPr>
                <w:rFonts w:cs="Times New Roman"/>
                <w:sz w:val="20"/>
                <w:szCs w:val="20"/>
              </w:rPr>
            </w:pPr>
            <w:r>
              <w:rPr>
                <w:rFonts w:cs="Times New Roman"/>
                <w:sz w:val="20"/>
                <w:szCs w:val="20"/>
              </w:rPr>
              <w:t>芭蕉塔基及临时施工区</w:t>
            </w:r>
          </w:p>
        </w:tc>
        <w:tc>
          <w:tcPr>
            <w:tcW w:w="311" w:type="pct"/>
            <w:gridSpan w:val="2"/>
            <w:vAlign w:val="center"/>
          </w:tcPr>
          <w:p>
            <w:pPr>
              <w:pStyle w:val="13"/>
              <w:rPr>
                <w:rFonts w:cs="Times New Roman"/>
                <w:sz w:val="20"/>
                <w:szCs w:val="20"/>
              </w:rPr>
            </w:pPr>
            <w:r>
              <w:rPr>
                <w:rFonts w:hint="eastAsia" w:cs="Times New Roman"/>
                <w:sz w:val="20"/>
                <w:szCs w:val="20"/>
              </w:rPr>
              <w:t>0.</w:t>
            </w:r>
            <w:r>
              <w:rPr>
                <w:rFonts w:cs="Times New Roman"/>
                <w:sz w:val="20"/>
                <w:szCs w:val="20"/>
              </w:rPr>
              <w:t>69</w:t>
            </w:r>
          </w:p>
        </w:tc>
        <w:tc>
          <w:tcPr>
            <w:tcW w:w="306" w:type="pct"/>
            <w:vAlign w:val="center"/>
          </w:tcPr>
          <w:p>
            <w:pPr>
              <w:pStyle w:val="13"/>
              <w:rPr>
                <w:rFonts w:cs="Times New Roman"/>
                <w:sz w:val="20"/>
                <w:szCs w:val="20"/>
              </w:rPr>
            </w:pPr>
            <w:r>
              <w:rPr>
                <w:rFonts w:hint="eastAsia" w:cs="Times New Roman"/>
                <w:sz w:val="20"/>
                <w:szCs w:val="20"/>
              </w:rPr>
              <w:t>0.</w:t>
            </w:r>
            <w:r>
              <w:rPr>
                <w:rFonts w:cs="Times New Roman"/>
                <w:sz w:val="20"/>
                <w:szCs w:val="20"/>
              </w:rPr>
              <w:t>73</w:t>
            </w:r>
          </w:p>
        </w:tc>
        <w:tc>
          <w:tcPr>
            <w:tcW w:w="390" w:type="pct"/>
            <w:vAlign w:val="center"/>
          </w:tcPr>
          <w:p>
            <w:pPr>
              <w:pStyle w:val="13"/>
              <w:rPr>
                <w:rFonts w:cs="Times New Roman"/>
                <w:sz w:val="20"/>
                <w:szCs w:val="20"/>
              </w:rPr>
            </w:pPr>
            <w:r>
              <w:rPr>
                <w:rFonts w:hint="eastAsia" w:cs="Times New Roman"/>
                <w:sz w:val="20"/>
                <w:szCs w:val="20"/>
              </w:rPr>
              <w:t>1.42</w:t>
            </w:r>
          </w:p>
        </w:tc>
        <w:tc>
          <w:tcPr>
            <w:tcW w:w="2516" w:type="pct"/>
            <w:gridSpan w:val="5"/>
            <w:vAlign w:val="center"/>
          </w:tcPr>
          <w:p>
            <w:pPr>
              <w:pStyle w:val="13"/>
              <w:jc w:val="both"/>
              <w:rPr>
                <w:rFonts w:cs="Times New Roman"/>
                <w:sz w:val="20"/>
                <w:szCs w:val="20"/>
              </w:rPr>
            </w:pPr>
            <w:r>
              <w:rPr>
                <w:rFonts w:hint="eastAsia" w:cs="Times New Roman"/>
                <w:sz w:val="20"/>
                <w:szCs w:val="20"/>
              </w:rPr>
              <w:t>塔基、护坡墙和排水沟永久占地面积为6931.6m</w:t>
            </w:r>
            <w:r>
              <w:rPr>
                <w:rFonts w:hint="eastAsia" w:cs="Times New Roman"/>
                <w:sz w:val="20"/>
                <w:szCs w:val="20"/>
                <w:vertAlign w:val="superscript"/>
              </w:rPr>
              <w:t>2</w:t>
            </w:r>
            <w:r>
              <w:rPr>
                <w:rFonts w:hint="eastAsia" w:cs="Times New Roman"/>
                <w:sz w:val="20"/>
                <w:szCs w:val="20"/>
              </w:rPr>
              <w:t xml:space="preserve"> ；塔位NB1、NB2、NB31和NB32为机械施工，塔基临时施工区按塔基占地外约6m计算，其余塔位为人工施工，塔基临时施工区按塔基占地外约4m计算，临时施工区总面积7065m</w:t>
            </w:r>
            <w:r>
              <w:rPr>
                <w:rFonts w:hint="eastAsia" w:cs="Times New Roman"/>
                <w:sz w:val="20"/>
                <w:szCs w:val="20"/>
                <w:vertAlign w:val="superscript"/>
              </w:rPr>
              <w:t>2</w:t>
            </w:r>
            <w:r>
              <w:rPr>
                <w:rFonts w:hint="eastAsia" w:cs="Times New Roman"/>
                <w:sz w:val="20"/>
                <w:szCs w:val="20"/>
              </w:rPr>
              <w:t>，护坡墙、排水沟临时占地504 m</w:t>
            </w:r>
            <w:r>
              <w:rPr>
                <w:rFonts w:hint="eastAsia" w:cs="Times New Roman"/>
                <w:sz w:val="20"/>
                <w:szCs w:val="20"/>
                <w:vertAlign w:val="superscript"/>
              </w:rPr>
              <w:t>2</w:t>
            </w:r>
            <w:r>
              <w:rPr>
                <w:rFonts w:hint="eastAsia" w:cs="Times New Roman"/>
                <w:sz w:val="20"/>
                <w:szCs w:val="20"/>
              </w:rPr>
              <w:t>，临时占地总面积7307.94 m</w:t>
            </w:r>
            <w:r>
              <w:rPr>
                <w:rFonts w:hint="eastAsia" w:cs="Times New Roman"/>
                <w:sz w:val="20"/>
                <w:szCs w:val="20"/>
                <w:vertAlign w:val="superscript"/>
              </w:rPr>
              <w:t>2</w:t>
            </w:r>
            <w:r>
              <w:rPr>
                <w:rFonts w:hint="eastAsia" w:cs="Times New Roman"/>
                <w:sz w:val="20"/>
                <w:szCs w:val="20"/>
              </w:rPr>
              <w:t>，见表2.3-1。NB5、NB6和NB31占地面积588.3m</w:t>
            </w:r>
            <w:r>
              <w:rPr>
                <w:rFonts w:hint="eastAsia" w:cs="Times New Roman"/>
                <w:sz w:val="20"/>
                <w:szCs w:val="20"/>
                <w:vertAlign w:val="superscript"/>
              </w:rPr>
              <w:t>2</w:t>
            </w:r>
            <w:r>
              <w:rPr>
                <w:rFonts w:hint="eastAsia" w:cs="Times New Roman"/>
                <w:sz w:val="20"/>
                <w:szCs w:val="20"/>
              </w:rPr>
              <w:t>为耕地，其余塔位为林地。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07" w:type="pct"/>
            <w:vMerge w:val="continue"/>
            <w:vAlign w:val="center"/>
          </w:tcPr>
          <w:p>
            <w:pPr>
              <w:pStyle w:val="13"/>
              <w:rPr>
                <w:rFonts w:cs="Times New Roman"/>
                <w:sz w:val="20"/>
                <w:szCs w:val="20"/>
              </w:rPr>
            </w:pPr>
          </w:p>
        </w:tc>
        <w:tc>
          <w:tcPr>
            <w:tcW w:w="534" w:type="pct"/>
            <w:gridSpan w:val="3"/>
            <w:vMerge w:val="continue"/>
            <w:vAlign w:val="center"/>
          </w:tcPr>
          <w:p>
            <w:pPr>
              <w:pStyle w:val="13"/>
              <w:rPr>
                <w:rFonts w:cs="Times New Roman"/>
                <w:sz w:val="20"/>
                <w:szCs w:val="20"/>
              </w:rPr>
            </w:pPr>
          </w:p>
        </w:tc>
        <w:tc>
          <w:tcPr>
            <w:tcW w:w="536" w:type="pct"/>
            <w:gridSpan w:val="3"/>
            <w:vAlign w:val="center"/>
          </w:tcPr>
          <w:p>
            <w:pPr>
              <w:pStyle w:val="13"/>
              <w:rPr>
                <w:rFonts w:cs="Times New Roman"/>
                <w:sz w:val="20"/>
                <w:szCs w:val="20"/>
              </w:rPr>
            </w:pPr>
            <w:r>
              <w:rPr>
                <w:rFonts w:cs="Times New Roman"/>
                <w:sz w:val="20"/>
                <w:szCs w:val="20"/>
              </w:rPr>
              <w:t>芭蕉施工便道区</w:t>
            </w:r>
          </w:p>
        </w:tc>
        <w:tc>
          <w:tcPr>
            <w:tcW w:w="311" w:type="pct"/>
            <w:gridSpan w:val="2"/>
            <w:vAlign w:val="center"/>
          </w:tcPr>
          <w:p>
            <w:pPr>
              <w:pStyle w:val="13"/>
              <w:rPr>
                <w:rFonts w:cs="Times New Roman"/>
                <w:sz w:val="20"/>
                <w:szCs w:val="20"/>
              </w:rPr>
            </w:pPr>
            <w:r>
              <w:rPr>
                <w:rFonts w:hint="eastAsia" w:cs="Times New Roman"/>
                <w:sz w:val="20"/>
                <w:szCs w:val="20"/>
              </w:rPr>
              <w:t>/</w:t>
            </w:r>
          </w:p>
        </w:tc>
        <w:tc>
          <w:tcPr>
            <w:tcW w:w="306" w:type="pct"/>
            <w:vAlign w:val="center"/>
          </w:tcPr>
          <w:p>
            <w:pPr>
              <w:pStyle w:val="13"/>
              <w:rPr>
                <w:rFonts w:cs="Times New Roman"/>
                <w:sz w:val="20"/>
                <w:szCs w:val="20"/>
              </w:rPr>
            </w:pPr>
            <w:r>
              <w:rPr>
                <w:rFonts w:hint="eastAsia" w:cs="Times New Roman"/>
                <w:sz w:val="20"/>
                <w:szCs w:val="20"/>
              </w:rPr>
              <w:t>0.76</w:t>
            </w:r>
          </w:p>
        </w:tc>
        <w:tc>
          <w:tcPr>
            <w:tcW w:w="390" w:type="pct"/>
            <w:vAlign w:val="center"/>
          </w:tcPr>
          <w:p>
            <w:pPr>
              <w:pStyle w:val="13"/>
              <w:rPr>
                <w:rFonts w:cs="Times New Roman"/>
                <w:sz w:val="20"/>
                <w:szCs w:val="20"/>
              </w:rPr>
            </w:pPr>
            <w:r>
              <w:rPr>
                <w:rFonts w:hint="eastAsia" w:cs="Times New Roman"/>
                <w:sz w:val="20"/>
                <w:szCs w:val="20"/>
              </w:rPr>
              <w:t>0.76</w:t>
            </w:r>
          </w:p>
        </w:tc>
        <w:tc>
          <w:tcPr>
            <w:tcW w:w="2516" w:type="pct"/>
            <w:gridSpan w:val="5"/>
            <w:vAlign w:val="center"/>
          </w:tcPr>
          <w:p>
            <w:pPr>
              <w:pStyle w:val="13"/>
              <w:jc w:val="both"/>
              <w:rPr>
                <w:rFonts w:cs="Times New Roman"/>
                <w:sz w:val="20"/>
                <w:szCs w:val="20"/>
              </w:rPr>
            </w:pPr>
            <w:r>
              <w:rPr>
                <w:rFonts w:cs="Times New Roman"/>
                <w:sz w:val="20"/>
                <w:szCs w:val="20"/>
              </w:rPr>
              <w:t>塔位NB1、NB2、NB31和NB32为机械施工，紧邻公路，利用原有道路，其余塔位（骡马搬运）新建施工便道为长6370m，宽度1.2m，临时占地7644m</w:t>
            </w:r>
            <w:r>
              <w:rPr>
                <w:rFonts w:cs="Times New Roman"/>
                <w:sz w:val="20"/>
                <w:szCs w:val="20"/>
                <w:vertAlign w:val="superscript"/>
              </w:rPr>
              <w:t>2</w:t>
            </w:r>
            <w:r>
              <w:rPr>
                <w:rFonts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07" w:type="pct"/>
            <w:vMerge w:val="continue"/>
            <w:vAlign w:val="center"/>
          </w:tcPr>
          <w:p>
            <w:pPr>
              <w:pStyle w:val="13"/>
              <w:rPr>
                <w:rFonts w:cs="Times New Roman"/>
                <w:sz w:val="20"/>
                <w:szCs w:val="20"/>
              </w:rPr>
            </w:pPr>
          </w:p>
        </w:tc>
        <w:tc>
          <w:tcPr>
            <w:tcW w:w="534" w:type="pct"/>
            <w:gridSpan w:val="3"/>
            <w:vMerge w:val="continue"/>
            <w:vAlign w:val="center"/>
          </w:tcPr>
          <w:p>
            <w:pPr>
              <w:pStyle w:val="13"/>
              <w:rPr>
                <w:rFonts w:cs="Times New Roman"/>
                <w:sz w:val="20"/>
                <w:szCs w:val="20"/>
              </w:rPr>
            </w:pPr>
          </w:p>
        </w:tc>
        <w:tc>
          <w:tcPr>
            <w:tcW w:w="536" w:type="pct"/>
            <w:gridSpan w:val="3"/>
            <w:vAlign w:val="center"/>
          </w:tcPr>
          <w:p>
            <w:pPr>
              <w:pStyle w:val="13"/>
              <w:rPr>
                <w:rFonts w:cs="Times New Roman"/>
                <w:sz w:val="20"/>
                <w:szCs w:val="20"/>
              </w:rPr>
            </w:pPr>
            <w:r>
              <w:rPr>
                <w:rFonts w:cs="Times New Roman"/>
                <w:sz w:val="20"/>
                <w:szCs w:val="20"/>
              </w:rPr>
              <w:t>芭蕉牵张场区</w:t>
            </w:r>
          </w:p>
        </w:tc>
        <w:tc>
          <w:tcPr>
            <w:tcW w:w="311" w:type="pct"/>
            <w:gridSpan w:val="2"/>
            <w:vAlign w:val="center"/>
          </w:tcPr>
          <w:p>
            <w:pPr>
              <w:pStyle w:val="13"/>
              <w:rPr>
                <w:rFonts w:cs="Times New Roman"/>
                <w:sz w:val="20"/>
                <w:szCs w:val="20"/>
              </w:rPr>
            </w:pPr>
            <w:r>
              <w:rPr>
                <w:rFonts w:hint="eastAsia" w:cs="Times New Roman"/>
                <w:sz w:val="20"/>
                <w:szCs w:val="20"/>
              </w:rPr>
              <w:t>/</w:t>
            </w:r>
          </w:p>
        </w:tc>
        <w:tc>
          <w:tcPr>
            <w:tcW w:w="306" w:type="pct"/>
            <w:vAlign w:val="center"/>
          </w:tcPr>
          <w:p>
            <w:pPr>
              <w:pStyle w:val="13"/>
              <w:rPr>
                <w:rFonts w:cs="Times New Roman"/>
                <w:sz w:val="20"/>
                <w:szCs w:val="20"/>
              </w:rPr>
            </w:pPr>
            <w:r>
              <w:rPr>
                <w:rFonts w:hint="eastAsia" w:cs="Times New Roman"/>
                <w:sz w:val="20"/>
                <w:szCs w:val="20"/>
              </w:rPr>
              <w:t>0.28</w:t>
            </w:r>
          </w:p>
        </w:tc>
        <w:tc>
          <w:tcPr>
            <w:tcW w:w="390" w:type="pct"/>
            <w:vAlign w:val="center"/>
          </w:tcPr>
          <w:p>
            <w:pPr>
              <w:pStyle w:val="13"/>
              <w:rPr>
                <w:rFonts w:cs="Times New Roman"/>
                <w:sz w:val="20"/>
                <w:szCs w:val="20"/>
              </w:rPr>
            </w:pPr>
            <w:r>
              <w:rPr>
                <w:rFonts w:hint="eastAsia" w:cs="Times New Roman"/>
                <w:sz w:val="20"/>
                <w:szCs w:val="20"/>
              </w:rPr>
              <w:t>0.28</w:t>
            </w:r>
          </w:p>
        </w:tc>
        <w:tc>
          <w:tcPr>
            <w:tcW w:w="2516" w:type="pct"/>
            <w:gridSpan w:val="5"/>
            <w:vAlign w:val="center"/>
          </w:tcPr>
          <w:p>
            <w:pPr>
              <w:pStyle w:val="13"/>
              <w:jc w:val="both"/>
              <w:rPr>
                <w:rFonts w:cs="Times New Roman"/>
                <w:sz w:val="20"/>
                <w:szCs w:val="20"/>
              </w:rPr>
            </w:pPr>
            <w:r>
              <w:rPr>
                <w:rFonts w:cs="Times New Roman"/>
                <w:sz w:val="20"/>
                <w:szCs w:val="20"/>
              </w:rPr>
              <w:t>设置牵张场7处，每处临时占地400m</w:t>
            </w:r>
            <w:r>
              <w:rPr>
                <w:rFonts w:cs="Times New Roman"/>
                <w:sz w:val="20"/>
                <w:szCs w:val="20"/>
                <w:vertAlign w:val="superscript"/>
              </w:rPr>
              <w:t>2</w:t>
            </w:r>
            <w:r>
              <w:rPr>
                <w:rFonts w:cs="Times New Roman"/>
                <w:sz w:val="20"/>
                <w:szCs w:val="20"/>
              </w:rPr>
              <w:t>，</w:t>
            </w:r>
            <w:r>
              <w:rPr>
                <w:rFonts w:cs="Times New Roman"/>
                <w:spacing w:val="-3"/>
                <w:sz w:val="20"/>
                <w:szCs w:val="20"/>
              </w:rPr>
              <w:t>牵张场区临时占地共计2800m</w:t>
            </w:r>
            <w:r>
              <w:rPr>
                <w:rFonts w:cs="Times New Roman"/>
                <w:spacing w:val="-3"/>
                <w:position w:val="7"/>
                <w:sz w:val="20"/>
                <w:szCs w:val="20"/>
                <w:vertAlign w:val="superscript"/>
              </w:rPr>
              <w:t>2</w:t>
            </w:r>
            <w:r>
              <w:rPr>
                <w:rFonts w:cs="Times New Roman"/>
                <w:spacing w:val="-3"/>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07" w:type="pct"/>
            <w:vMerge w:val="continue"/>
            <w:vAlign w:val="center"/>
          </w:tcPr>
          <w:p>
            <w:pPr>
              <w:pStyle w:val="13"/>
              <w:rPr>
                <w:rFonts w:cs="Times New Roman"/>
                <w:sz w:val="20"/>
                <w:szCs w:val="20"/>
              </w:rPr>
            </w:pPr>
          </w:p>
        </w:tc>
        <w:tc>
          <w:tcPr>
            <w:tcW w:w="534" w:type="pct"/>
            <w:gridSpan w:val="3"/>
            <w:vMerge w:val="continue"/>
            <w:vAlign w:val="center"/>
          </w:tcPr>
          <w:p>
            <w:pPr>
              <w:pStyle w:val="13"/>
              <w:rPr>
                <w:rFonts w:cs="Times New Roman"/>
                <w:sz w:val="20"/>
                <w:szCs w:val="20"/>
              </w:rPr>
            </w:pPr>
          </w:p>
        </w:tc>
        <w:tc>
          <w:tcPr>
            <w:tcW w:w="536" w:type="pct"/>
            <w:gridSpan w:val="3"/>
            <w:vAlign w:val="center"/>
          </w:tcPr>
          <w:p>
            <w:pPr>
              <w:pStyle w:val="13"/>
              <w:rPr>
                <w:rFonts w:cs="Times New Roman"/>
                <w:sz w:val="20"/>
                <w:szCs w:val="20"/>
              </w:rPr>
            </w:pPr>
            <w:r>
              <w:rPr>
                <w:rFonts w:cs="Times New Roman"/>
                <w:sz w:val="20"/>
                <w:szCs w:val="20"/>
              </w:rPr>
              <w:t>芭蕉跨越场区</w:t>
            </w:r>
          </w:p>
        </w:tc>
        <w:tc>
          <w:tcPr>
            <w:tcW w:w="311" w:type="pct"/>
            <w:gridSpan w:val="2"/>
            <w:vAlign w:val="center"/>
          </w:tcPr>
          <w:p>
            <w:pPr>
              <w:pStyle w:val="13"/>
              <w:rPr>
                <w:rFonts w:cs="Times New Roman"/>
                <w:sz w:val="20"/>
                <w:szCs w:val="20"/>
              </w:rPr>
            </w:pPr>
            <w:r>
              <w:rPr>
                <w:rFonts w:hint="eastAsia" w:cs="Times New Roman"/>
                <w:sz w:val="20"/>
                <w:szCs w:val="20"/>
              </w:rPr>
              <w:t>/</w:t>
            </w:r>
          </w:p>
        </w:tc>
        <w:tc>
          <w:tcPr>
            <w:tcW w:w="306" w:type="pct"/>
            <w:vAlign w:val="center"/>
          </w:tcPr>
          <w:p>
            <w:pPr>
              <w:pStyle w:val="13"/>
              <w:rPr>
                <w:rFonts w:cs="Times New Roman"/>
                <w:sz w:val="20"/>
                <w:szCs w:val="20"/>
              </w:rPr>
            </w:pPr>
            <w:r>
              <w:rPr>
                <w:rFonts w:hint="eastAsia" w:cs="Times New Roman"/>
                <w:sz w:val="20"/>
                <w:szCs w:val="20"/>
              </w:rPr>
              <w:t>0.07</w:t>
            </w:r>
          </w:p>
        </w:tc>
        <w:tc>
          <w:tcPr>
            <w:tcW w:w="390" w:type="pct"/>
            <w:vAlign w:val="center"/>
          </w:tcPr>
          <w:p>
            <w:pPr>
              <w:pStyle w:val="13"/>
              <w:rPr>
                <w:rFonts w:cs="Times New Roman"/>
                <w:sz w:val="20"/>
                <w:szCs w:val="20"/>
              </w:rPr>
            </w:pPr>
            <w:r>
              <w:rPr>
                <w:rFonts w:hint="eastAsia" w:cs="Times New Roman"/>
                <w:sz w:val="20"/>
                <w:szCs w:val="20"/>
              </w:rPr>
              <w:t>0.07</w:t>
            </w:r>
          </w:p>
        </w:tc>
        <w:tc>
          <w:tcPr>
            <w:tcW w:w="2516" w:type="pct"/>
            <w:gridSpan w:val="5"/>
            <w:vAlign w:val="center"/>
          </w:tcPr>
          <w:p>
            <w:pPr>
              <w:pStyle w:val="13"/>
              <w:jc w:val="both"/>
              <w:rPr>
                <w:rFonts w:cs="Times New Roman"/>
                <w:sz w:val="20"/>
                <w:szCs w:val="20"/>
              </w:rPr>
            </w:pPr>
            <w:r>
              <w:rPr>
                <w:rFonts w:cs="Times New Roman"/>
                <w:sz w:val="20"/>
                <w:szCs w:val="20"/>
              </w:rPr>
              <w:t>设置跨越场6处，每处临时占地120m</w:t>
            </w:r>
            <w:r>
              <w:rPr>
                <w:rFonts w:cs="Times New Roman"/>
                <w:sz w:val="20"/>
                <w:szCs w:val="20"/>
                <w:vertAlign w:val="superscript"/>
              </w:rPr>
              <w:t>2</w:t>
            </w:r>
            <w:r>
              <w:rPr>
                <w:rFonts w:cs="Times New Roman"/>
                <w:sz w:val="20"/>
                <w:szCs w:val="20"/>
              </w:rPr>
              <w:t>，</w:t>
            </w:r>
            <w:r>
              <w:rPr>
                <w:rFonts w:cs="Times New Roman"/>
                <w:spacing w:val="-3"/>
                <w:sz w:val="20"/>
                <w:szCs w:val="20"/>
              </w:rPr>
              <w:t>牵张场区临时占地共计720m</w:t>
            </w:r>
            <w:r>
              <w:rPr>
                <w:rFonts w:cs="Times New Roman"/>
                <w:spacing w:val="-3"/>
                <w:position w:val="7"/>
                <w:sz w:val="20"/>
                <w:szCs w:val="20"/>
                <w:vertAlign w:val="superscript"/>
              </w:rPr>
              <w:t>2</w:t>
            </w:r>
            <w:r>
              <w:rPr>
                <w:rFonts w:cs="Times New Roman"/>
                <w:spacing w:val="-3"/>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07" w:type="pct"/>
            <w:vMerge w:val="continue"/>
            <w:vAlign w:val="center"/>
          </w:tcPr>
          <w:p>
            <w:pPr>
              <w:pStyle w:val="13"/>
              <w:rPr>
                <w:rFonts w:cs="Times New Roman"/>
                <w:sz w:val="20"/>
                <w:szCs w:val="20"/>
              </w:rPr>
            </w:pPr>
          </w:p>
        </w:tc>
        <w:tc>
          <w:tcPr>
            <w:tcW w:w="534" w:type="pct"/>
            <w:gridSpan w:val="3"/>
            <w:vMerge w:val="continue"/>
            <w:vAlign w:val="center"/>
          </w:tcPr>
          <w:p>
            <w:pPr>
              <w:pStyle w:val="13"/>
              <w:rPr>
                <w:rFonts w:cs="Times New Roman"/>
                <w:sz w:val="20"/>
                <w:szCs w:val="20"/>
              </w:rPr>
            </w:pPr>
          </w:p>
        </w:tc>
        <w:tc>
          <w:tcPr>
            <w:tcW w:w="536" w:type="pct"/>
            <w:gridSpan w:val="3"/>
            <w:vAlign w:val="center"/>
          </w:tcPr>
          <w:p>
            <w:pPr>
              <w:pStyle w:val="13"/>
              <w:rPr>
                <w:rFonts w:cs="Times New Roman"/>
                <w:sz w:val="20"/>
                <w:szCs w:val="20"/>
              </w:rPr>
            </w:pPr>
            <w:r>
              <w:rPr>
                <w:rFonts w:cs="Times New Roman"/>
                <w:sz w:val="20"/>
                <w:szCs w:val="20"/>
              </w:rPr>
              <w:t>芭蕉电缆工程区</w:t>
            </w:r>
          </w:p>
        </w:tc>
        <w:tc>
          <w:tcPr>
            <w:tcW w:w="311" w:type="pct"/>
            <w:gridSpan w:val="2"/>
            <w:vAlign w:val="center"/>
          </w:tcPr>
          <w:p>
            <w:pPr>
              <w:pStyle w:val="13"/>
              <w:rPr>
                <w:rFonts w:cs="Times New Roman"/>
                <w:sz w:val="20"/>
                <w:szCs w:val="20"/>
              </w:rPr>
            </w:pPr>
            <w:r>
              <w:rPr>
                <w:rFonts w:hint="eastAsia" w:cs="Times New Roman"/>
                <w:sz w:val="20"/>
                <w:szCs w:val="20"/>
              </w:rPr>
              <w:t>/</w:t>
            </w:r>
          </w:p>
        </w:tc>
        <w:tc>
          <w:tcPr>
            <w:tcW w:w="306" w:type="pct"/>
            <w:vAlign w:val="center"/>
          </w:tcPr>
          <w:p>
            <w:pPr>
              <w:pStyle w:val="13"/>
              <w:rPr>
                <w:rFonts w:cs="Times New Roman"/>
                <w:sz w:val="20"/>
                <w:szCs w:val="20"/>
              </w:rPr>
            </w:pPr>
            <w:r>
              <w:rPr>
                <w:rFonts w:hint="eastAsia" w:cs="Times New Roman"/>
                <w:sz w:val="20"/>
                <w:szCs w:val="20"/>
              </w:rPr>
              <w:t>0.04</w:t>
            </w:r>
          </w:p>
        </w:tc>
        <w:tc>
          <w:tcPr>
            <w:tcW w:w="390" w:type="pct"/>
            <w:vAlign w:val="center"/>
          </w:tcPr>
          <w:p>
            <w:pPr>
              <w:pStyle w:val="13"/>
              <w:rPr>
                <w:rFonts w:cs="Times New Roman"/>
                <w:sz w:val="20"/>
                <w:szCs w:val="20"/>
              </w:rPr>
            </w:pPr>
            <w:r>
              <w:rPr>
                <w:rFonts w:hint="eastAsia" w:cs="Times New Roman"/>
                <w:sz w:val="20"/>
                <w:szCs w:val="20"/>
              </w:rPr>
              <w:t>0.04</w:t>
            </w:r>
          </w:p>
        </w:tc>
        <w:tc>
          <w:tcPr>
            <w:tcW w:w="2516" w:type="pct"/>
            <w:gridSpan w:val="5"/>
            <w:vAlign w:val="center"/>
          </w:tcPr>
          <w:p>
            <w:pPr>
              <w:pStyle w:val="13"/>
              <w:jc w:val="both"/>
              <w:rPr>
                <w:rFonts w:cs="Times New Roman"/>
                <w:sz w:val="20"/>
                <w:szCs w:val="20"/>
              </w:rPr>
            </w:pPr>
            <w:r>
              <w:rPr>
                <w:rFonts w:cs="Times New Roman"/>
                <w:sz w:val="20"/>
                <w:szCs w:val="20"/>
              </w:rPr>
              <w:t>电缆工程全长60m，电缆沟1.4m*1.4m，埋深0.8m，宽度3.6m，施工作业宽度6m，临时占地</w:t>
            </w:r>
            <w:r>
              <w:rPr>
                <w:rFonts w:hint="eastAsia" w:cs="Times New Roman"/>
                <w:sz w:val="20"/>
                <w:szCs w:val="20"/>
              </w:rPr>
              <w:t>3</w:t>
            </w:r>
            <w:r>
              <w:rPr>
                <w:rFonts w:cs="Times New Roman"/>
                <w:sz w:val="20"/>
                <w:szCs w:val="20"/>
              </w:rPr>
              <w:t>60m</w:t>
            </w:r>
            <w:r>
              <w:rPr>
                <w:rFonts w:cs="Times New Roman"/>
                <w:sz w:val="20"/>
                <w:szCs w:val="20"/>
                <w:vertAlign w:val="superscript"/>
              </w:rPr>
              <w:t>2</w:t>
            </w:r>
            <w:r>
              <w:rPr>
                <w:rFonts w:cs="Times New Roman"/>
                <w:spacing w:val="-3"/>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477" w:type="pct"/>
            <w:gridSpan w:val="7"/>
            <w:vAlign w:val="center"/>
          </w:tcPr>
          <w:p>
            <w:pPr>
              <w:pStyle w:val="13"/>
              <w:rPr>
                <w:rFonts w:cs="Times New Roman"/>
                <w:sz w:val="20"/>
                <w:szCs w:val="20"/>
              </w:rPr>
            </w:pPr>
            <w:r>
              <w:rPr>
                <w:rFonts w:cs="Times New Roman"/>
                <w:sz w:val="20"/>
                <w:szCs w:val="20"/>
              </w:rPr>
              <w:t>合计</w:t>
            </w:r>
          </w:p>
        </w:tc>
        <w:tc>
          <w:tcPr>
            <w:tcW w:w="311" w:type="pct"/>
            <w:gridSpan w:val="2"/>
            <w:vAlign w:val="center"/>
          </w:tcPr>
          <w:p>
            <w:pPr>
              <w:pStyle w:val="13"/>
              <w:rPr>
                <w:rFonts w:cs="Times New Roman"/>
                <w:sz w:val="20"/>
                <w:szCs w:val="20"/>
              </w:rPr>
            </w:pPr>
            <w:r>
              <w:rPr>
                <w:rFonts w:hint="eastAsia" w:cs="Times New Roman"/>
                <w:sz w:val="20"/>
                <w:szCs w:val="20"/>
              </w:rPr>
              <w:t>0.95</w:t>
            </w:r>
          </w:p>
        </w:tc>
        <w:tc>
          <w:tcPr>
            <w:tcW w:w="306" w:type="pct"/>
            <w:vAlign w:val="center"/>
          </w:tcPr>
          <w:p>
            <w:pPr>
              <w:pStyle w:val="13"/>
              <w:rPr>
                <w:rFonts w:cs="Times New Roman"/>
                <w:sz w:val="20"/>
                <w:szCs w:val="20"/>
              </w:rPr>
            </w:pPr>
            <w:r>
              <w:rPr>
                <w:rFonts w:cs="Times New Roman"/>
                <w:sz w:val="20"/>
                <w:szCs w:val="20"/>
              </w:rPr>
              <w:t>2</w:t>
            </w:r>
            <w:r>
              <w:rPr>
                <w:rFonts w:hint="eastAsia" w:cs="Times New Roman"/>
                <w:sz w:val="20"/>
                <w:szCs w:val="20"/>
              </w:rPr>
              <w:t>.</w:t>
            </w:r>
            <w:r>
              <w:rPr>
                <w:rFonts w:cs="Times New Roman"/>
                <w:sz w:val="20"/>
                <w:szCs w:val="20"/>
              </w:rPr>
              <w:t>8</w:t>
            </w:r>
            <w:r>
              <w:rPr>
                <w:rFonts w:hint="eastAsia" w:cs="Times New Roman"/>
                <w:sz w:val="20"/>
                <w:szCs w:val="20"/>
              </w:rPr>
              <w:t>6</w:t>
            </w:r>
          </w:p>
        </w:tc>
        <w:tc>
          <w:tcPr>
            <w:tcW w:w="390" w:type="pct"/>
            <w:vAlign w:val="center"/>
          </w:tcPr>
          <w:p>
            <w:pPr>
              <w:pStyle w:val="13"/>
              <w:rPr>
                <w:rFonts w:cs="Times New Roman"/>
                <w:sz w:val="20"/>
                <w:szCs w:val="20"/>
              </w:rPr>
            </w:pPr>
            <w:r>
              <w:rPr>
                <w:rFonts w:cs="Times New Roman"/>
                <w:sz w:val="20"/>
                <w:szCs w:val="20"/>
              </w:rPr>
              <w:t>3</w:t>
            </w:r>
            <w:r>
              <w:rPr>
                <w:rFonts w:hint="eastAsia" w:cs="Times New Roman"/>
                <w:sz w:val="20"/>
                <w:szCs w:val="20"/>
              </w:rPr>
              <w:t>.</w:t>
            </w:r>
            <w:r>
              <w:rPr>
                <w:rFonts w:cs="Times New Roman"/>
                <w:sz w:val="20"/>
                <w:szCs w:val="20"/>
              </w:rPr>
              <w:t>81</w:t>
            </w:r>
          </w:p>
        </w:tc>
        <w:tc>
          <w:tcPr>
            <w:tcW w:w="2516" w:type="pct"/>
            <w:gridSpan w:val="5"/>
            <w:vAlign w:val="center"/>
          </w:tcPr>
          <w:p>
            <w:pPr>
              <w:pStyle w:val="13"/>
              <w:rPr>
                <w:rFonts w:cs="Times New Roman"/>
                <w:sz w:val="20"/>
                <w:szCs w:val="20"/>
              </w:rPr>
            </w:pPr>
            <w:r>
              <w:rPr>
                <w:rFonts w:hint="eastAsia"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000" w:type="pct"/>
            <w:gridSpan w:val="16"/>
            <w:vAlign w:val="center"/>
          </w:tcPr>
          <w:p>
            <w:pPr>
              <w:pStyle w:val="13"/>
              <w:rPr>
                <w:rFonts w:cs="Times New Roman"/>
                <w:sz w:val="20"/>
                <w:szCs w:val="20"/>
              </w:rPr>
            </w:pPr>
            <w:r>
              <w:rPr>
                <w:rFonts w:cs="Times New Roman"/>
                <w:sz w:val="20"/>
                <w:szCs w:val="20"/>
              </w:rPr>
              <w:t>三、项目土石方量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702" w:type="pct"/>
            <w:gridSpan w:val="2"/>
            <w:vMerge w:val="restart"/>
            <w:vAlign w:val="center"/>
          </w:tcPr>
          <w:p>
            <w:pPr>
              <w:pStyle w:val="13"/>
              <w:rPr>
                <w:rFonts w:cs="Times New Roman"/>
                <w:sz w:val="20"/>
                <w:szCs w:val="20"/>
              </w:rPr>
            </w:pPr>
            <w:r>
              <w:rPr>
                <w:rFonts w:cs="Times New Roman"/>
                <w:sz w:val="20"/>
                <w:szCs w:val="20"/>
              </w:rPr>
              <w:t>项目组成</w:t>
            </w:r>
          </w:p>
        </w:tc>
        <w:tc>
          <w:tcPr>
            <w:tcW w:w="1393" w:type="pct"/>
            <w:gridSpan w:val="8"/>
            <w:vAlign w:val="center"/>
          </w:tcPr>
          <w:p>
            <w:pPr>
              <w:pStyle w:val="13"/>
              <w:rPr>
                <w:rFonts w:cs="Times New Roman"/>
                <w:sz w:val="20"/>
                <w:szCs w:val="20"/>
              </w:rPr>
            </w:pPr>
            <w:r>
              <w:rPr>
                <w:rFonts w:cs="Times New Roman"/>
                <w:sz w:val="20"/>
                <w:szCs w:val="20"/>
              </w:rPr>
              <w:t>挖方（</w:t>
            </w:r>
            <w:r>
              <w:rPr>
                <w:rFonts w:cs="Times New Roman"/>
                <w:spacing w:val="-46"/>
                <w:sz w:val="20"/>
                <w:szCs w:val="20"/>
              </w:rPr>
              <w:t xml:space="preserve"> </w:t>
            </w:r>
            <w:r>
              <w:rPr>
                <w:rFonts w:cs="Times New Roman"/>
                <w:sz w:val="20"/>
                <w:szCs w:val="20"/>
              </w:rPr>
              <w:t>m</w:t>
            </w:r>
            <w:r>
              <w:rPr>
                <w:rFonts w:cs="Times New Roman"/>
                <w:position w:val="7"/>
                <w:sz w:val="20"/>
                <w:szCs w:val="20"/>
                <w:vertAlign w:val="superscript"/>
              </w:rPr>
              <w:t>3</w:t>
            </w:r>
            <w:r>
              <w:rPr>
                <w:rFonts w:cs="Times New Roman"/>
                <w:sz w:val="20"/>
                <w:szCs w:val="20"/>
              </w:rPr>
              <w:t>）</w:t>
            </w:r>
          </w:p>
        </w:tc>
        <w:tc>
          <w:tcPr>
            <w:tcW w:w="1166" w:type="pct"/>
            <w:gridSpan w:val="3"/>
            <w:vAlign w:val="center"/>
          </w:tcPr>
          <w:p>
            <w:pPr>
              <w:pStyle w:val="13"/>
              <w:rPr>
                <w:rFonts w:cs="Times New Roman"/>
                <w:sz w:val="20"/>
                <w:szCs w:val="20"/>
              </w:rPr>
            </w:pPr>
            <w:r>
              <w:rPr>
                <w:rFonts w:cs="Times New Roman"/>
                <w:sz w:val="20"/>
                <w:szCs w:val="20"/>
              </w:rPr>
              <w:t>填方（</w:t>
            </w:r>
            <w:r>
              <w:rPr>
                <w:rFonts w:cs="Times New Roman"/>
                <w:spacing w:val="-44"/>
                <w:sz w:val="20"/>
                <w:szCs w:val="20"/>
              </w:rPr>
              <w:t xml:space="preserve"> </w:t>
            </w:r>
            <w:r>
              <w:rPr>
                <w:rFonts w:cs="Times New Roman"/>
                <w:sz w:val="20"/>
                <w:szCs w:val="20"/>
              </w:rPr>
              <w:t>m</w:t>
            </w:r>
            <w:r>
              <w:rPr>
                <w:rFonts w:cs="Times New Roman"/>
                <w:position w:val="6"/>
                <w:sz w:val="20"/>
                <w:szCs w:val="20"/>
                <w:vertAlign w:val="superscript"/>
              </w:rPr>
              <w:t>3</w:t>
            </w:r>
            <w:r>
              <w:rPr>
                <w:rFonts w:cs="Times New Roman"/>
                <w:sz w:val="20"/>
                <w:szCs w:val="20"/>
              </w:rPr>
              <w:t>）</w:t>
            </w:r>
          </w:p>
        </w:tc>
        <w:tc>
          <w:tcPr>
            <w:tcW w:w="407" w:type="pct"/>
            <w:vMerge w:val="restart"/>
            <w:vAlign w:val="center"/>
          </w:tcPr>
          <w:p>
            <w:pPr>
              <w:pStyle w:val="13"/>
              <w:rPr>
                <w:rFonts w:cs="Times New Roman"/>
                <w:sz w:val="20"/>
                <w:szCs w:val="20"/>
              </w:rPr>
            </w:pPr>
            <w:r>
              <w:rPr>
                <w:rFonts w:cs="Times New Roman"/>
                <w:sz w:val="20"/>
                <w:szCs w:val="20"/>
              </w:rPr>
              <w:t>借方</w:t>
            </w:r>
          </w:p>
          <w:p>
            <w:pPr>
              <w:pStyle w:val="13"/>
              <w:rPr>
                <w:rFonts w:cs="Times New Roman"/>
                <w:sz w:val="20"/>
                <w:szCs w:val="20"/>
              </w:rPr>
            </w:pPr>
            <w:r>
              <w:rPr>
                <w:rFonts w:cs="Times New Roman"/>
                <w:sz w:val="20"/>
                <w:szCs w:val="20"/>
              </w:rPr>
              <w:t>(m</w:t>
            </w:r>
            <w:r>
              <w:rPr>
                <w:rFonts w:cs="Times New Roman"/>
                <w:position w:val="6"/>
                <w:sz w:val="20"/>
                <w:szCs w:val="20"/>
                <w:vertAlign w:val="superscript"/>
              </w:rPr>
              <w:t>3</w:t>
            </w:r>
            <w:r>
              <w:rPr>
                <w:rFonts w:cs="Times New Roman"/>
                <w:position w:val="-1"/>
                <w:sz w:val="20"/>
                <w:szCs w:val="20"/>
              </w:rPr>
              <w:t>)</w:t>
            </w:r>
          </w:p>
        </w:tc>
        <w:tc>
          <w:tcPr>
            <w:tcW w:w="340" w:type="pct"/>
            <w:vMerge w:val="restart"/>
            <w:vAlign w:val="center"/>
          </w:tcPr>
          <w:p>
            <w:pPr>
              <w:pStyle w:val="13"/>
              <w:rPr>
                <w:rFonts w:cs="Times New Roman"/>
                <w:sz w:val="20"/>
                <w:szCs w:val="20"/>
              </w:rPr>
            </w:pPr>
            <w:r>
              <w:rPr>
                <w:rFonts w:cs="Times New Roman"/>
                <w:sz w:val="20"/>
                <w:szCs w:val="20"/>
              </w:rPr>
              <w:t>余方</w:t>
            </w:r>
          </w:p>
          <w:p>
            <w:pPr>
              <w:pStyle w:val="13"/>
              <w:rPr>
                <w:rFonts w:cs="Times New Roman"/>
                <w:sz w:val="20"/>
                <w:szCs w:val="20"/>
              </w:rPr>
            </w:pPr>
            <w:r>
              <w:rPr>
                <w:rFonts w:cs="Times New Roman"/>
                <w:spacing w:val="-12"/>
                <w:sz w:val="20"/>
                <w:szCs w:val="20"/>
              </w:rPr>
              <w:t>(</w:t>
            </w:r>
            <w:r>
              <w:rPr>
                <w:rFonts w:cs="Times New Roman"/>
                <w:sz w:val="20"/>
                <w:szCs w:val="20"/>
              </w:rPr>
              <w:t>m</w:t>
            </w:r>
            <w:r>
              <w:rPr>
                <w:rFonts w:cs="Times New Roman"/>
                <w:position w:val="6"/>
                <w:sz w:val="20"/>
                <w:szCs w:val="20"/>
                <w:vertAlign w:val="superscript"/>
              </w:rPr>
              <w:t>3</w:t>
            </w:r>
            <w:r>
              <w:rPr>
                <w:rFonts w:cs="Times New Roman"/>
                <w:position w:val="-1"/>
                <w:sz w:val="20"/>
                <w:szCs w:val="20"/>
              </w:rPr>
              <w:t>)</w:t>
            </w:r>
          </w:p>
        </w:tc>
        <w:tc>
          <w:tcPr>
            <w:tcW w:w="993" w:type="pct"/>
            <w:vMerge w:val="restart"/>
            <w:vAlign w:val="center"/>
          </w:tcPr>
          <w:p>
            <w:pPr>
              <w:pStyle w:val="13"/>
              <w:rPr>
                <w:rFonts w:cs="Times New Roman"/>
                <w:sz w:val="20"/>
                <w:szCs w:val="20"/>
              </w:rPr>
            </w:pPr>
            <w:r>
              <w:rPr>
                <w:rFonts w:cs="Times New Roman"/>
                <w:sz w:val="20"/>
                <w:szCs w:val="20"/>
              </w:rPr>
              <w:t>来源/去向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702" w:type="pct"/>
            <w:gridSpan w:val="2"/>
            <w:vMerge w:val="continue"/>
            <w:vAlign w:val="center"/>
          </w:tcPr>
          <w:p>
            <w:pPr>
              <w:pStyle w:val="13"/>
              <w:rPr>
                <w:rFonts w:cs="Times New Roman"/>
                <w:sz w:val="20"/>
                <w:szCs w:val="20"/>
              </w:rPr>
            </w:pPr>
          </w:p>
        </w:tc>
        <w:tc>
          <w:tcPr>
            <w:tcW w:w="389" w:type="pct"/>
            <w:gridSpan w:val="4"/>
            <w:vAlign w:val="center"/>
          </w:tcPr>
          <w:p>
            <w:pPr>
              <w:pStyle w:val="13"/>
              <w:rPr>
                <w:rFonts w:cs="Times New Roman"/>
                <w:sz w:val="20"/>
                <w:szCs w:val="20"/>
              </w:rPr>
            </w:pPr>
            <w:r>
              <w:rPr>
                <w:rFonts w:cs="Times New Roman"/>
                <w:sz w:val="20"/>
                <w:szCs w:val="20"/>
              </w:rPr>
              <w:t>表土</w:t>
            </w:r>
          </w:p>
          <w:p>
            <w:pPr>
              <w:pStyle w:val="13"/>
              <w:rPr>
                <w:rFonts w:cs="Times New Roman"/>
                <w:sz w:val="20"/>
                <w:szCs w:val="20"/>
              </w:rPr>
            </w:pPr>
            <w:r>
              <w:rPr>
                <w:rFonts w:cs="Times New Roman"/>
                <w:sz w:val="20"/>
                <w:szCs w:val="20"/>
              </w:rPr>
              <w:t>剥离</w:t>
            </w:r>
          </w:p>
        </w:tc>
        <w:tc>
          <w:tcPr>
            <w:tcW w:w="467" w:type="pct"/>
            <w:gridSpan w:val="2"/>
            <w:vAlign w:val="center"/>
          </w:tcPr>
          <w:p>
            <w:pPr>
              <w:pStyle w:val="13"/>
              <w:rPr>
                <w:rFonts w:cs="Times New Roman"/>
                <w:sz w:val="20"/>
                <w:szCs w:val="20"/>
              </w:rPr>
            </w:pPr>
            <w:r>
              <w:rPr>
                <w:rFonts w:cs="Times New Roman"/>
                <w:sz w:val="20"/>
                <w:szCs w:val="20"/>
              </w:rPr>
              <w:t>一般</w:t>
            </w:r>
          </w:p>
          <w:p>
            <w:pPr>
              <w:pStyle w:val="13"/>
              <w:rPr>
                <w:rFonts w:cs="Times New Roman"/>
                <w:sz w:val="20"/>
                <w:szCs w:val="20"/>
              </w:rPr>
            </w:pPr>
            <w:r>
              <w:rPr>
                <w:rFonts w:cs="Times New Roman"/>
                <w:sz w:val="20"/>
                <w:szCs w:val="20"/>
              </w:rPr>
              <w:t>土</w:t>
            </w:r>
            <w:r>
              <w:rPr>
                <w:rFonts w:cs="Times New Roman"/>
                <w:spacing w:val="-4"/>
                <w:sz w:val="20"/>
                <w:szCs w:val="20"/>
              </w:rPr>
              <w:t>石方</w:t>
            </w:r>
          </w:p>
        </w:tc>
        <w:tc>
          <w:tcPr>
            <w:tcW w:w="537" w:type="pct"/>
            <w:gridSpan w:val="2"/>
            <w:vAlign w:val="center"/>
          </w:tcPr>
          <w:p>
            <w:pPr>
              <w:pStyle w:val="13"/>
              <w:rPr>
                <w:rFonts w:cs="Times New Roman"/>
                <w:sz w:val="20"/>
                <w:szCs w:val="20"/>
              </w:rPr>
            </w:pPr>
            <w:r>
              <w:rPr>
                <w:rFonts w:hint="eastAsia" w:cs="Times New Roman"/>
                <w:sz w:val="20"/>
                <w:szCs w:val="20"/>
              </w:rPr>
              <w:t>小计</w:t>
            </w:r>
          </w:p>
        </w:tc>
        <w:tc>
          <w:tcPr>
            <w:tcW w:w="390" w:type="pct"/>
            <w:vAlign w:val="center"/>
          </w:tcPr>
          <w:p>
            <w:pPr>
              <w:pStyle w:val="13"/>
              <w:rPr>
                <w:rFonts w:cs="Times New Roman"/>
                <w:sz w:val="20"/>
                <w:szCs w:val="20"/>
              </w:rPr>
            </w:pPr>
            <w:r>
              <w:rPr>
                <w:rFonts w:cs="Times New Roman"/>
                <w:sz w:val="20"/>
                <w:szCs w:val="20"/>
              </w:rPr>
              <w:t>表土</w:t>
            </w:r>
          </w:p>
          <w:p>
            <w:pPr>
              <w:pStyle w:val="13"/>
              <w:rPr>
                <w:rFonts w:cs="Times New Roman"/>
                <w:sz w:val="20"/>
                <w:szCs w:val="20"/>
              </w:rPr>
            </w:pPr>
            <w:r>
              <w:rPr>
                <w:rFonts w:cs="Times New Roman"/>
                <w:spacing w:val="-13"/>
                <w:sz w:val="20"/>
                <w:szCs w:val="20"/>
              </w:rPr>
              <w:t>回覆</w:t>
            </w:r>
          </w:p>
        </w:tc>
        <w:tc>
          <w:tcPr>
            <w:tcW w:w="390" w:type="pct"/>
            <w:vAlign w:val="center"/>
          </w:tcPr>
          <w:p>
            <w:pPr>
              <w:pStyle w:val="13"/>
              <w:rPr>
                <w:rFonts w:cs="Times New Roman"/>
                <w:sz w:val="20"/>
                <w:szCs w:val="20"/>
              </w:rPr>
            </w:pPr>
            <w:r>
              <w:rPr>
                <w:rFonts w:cs="Times New Roman"/>
                <w:sz w:val="20"/>
                <w:szCs w:val="20"/>
              </w:rPr>
              <w:t>一般</w:t>
            </w:r>
          </w:p>
          <w:p>
            <w:pPr>
              <w:pStyle w:val="13"/>
              <w:rPr>
                <w:rFonts w:cs="Times New Roman"/>
                <w:sz w:val="20"/>
                <w:szCs w:val="20"/>
              </w:rPr>
            </w:pPr>
            <w:r>
              <w:rPr>
                <w:rFonts w:cs="Times New Roman"/>
                <w:sz w:val="20"/>
                <w:szCs w:val="20"/>
              </w:rPr>
              <w:t>土</w:t>
            </w:r>
            <w:r>
              <w:rPr>
                <w:rFonts w:cs="Times New Roman"/>
                <w:spacing w:val="-4"/>
                <w:sz w:val="20"/>
                <w:szCs w:val="20"/>
              </w:rPr>
              <w:t>石方</w:t>
            </w:r>
          </w:p>
        </w:tc>
        <w:tc>
          <w:tcPr>
            <w:tcW w:w="386" w:type="pct"/>
            <w:vAlign w:val="center"/>
          </w:tcPr>
          <w:p>
            <w:pPr>
              <w:pStyle w:val="13"/>
              <w:rPr>
                <w:rFonts w:cs="Times New Roman"/>
                <w:sz w:val="20"/>
                <w:szCs w:val="20"/>
              </w:rPr>
            </w:pPr>
            <w:r>
              <w:rPr>
                <w:rFonts w:hint="eastAsia" w:cs="Times New Roman"/>
                <w:sz w:val="20"/>
                <w:szCs w:val="20"/>
              </w:rPr>
              <w:t>小计</w:t>
            </w:r>
          </w:p>
        </w:tc>
        <w:tc>
          <w:tcPr>
            <w:tcW w:w="407" w:type="pct"/>
            <w:vMerge w:val="continue"/>
            <w:vAlign w:val="center"/>
          </w:tcPr>
          <w:p>
            <w:pPr>
              <w:pStyle w:val="13"/>
              <w:rPr>
                <w:rFonts w:cs="Times New Roman"/>
                <w:sz w:val="20"/>
                <w:szCs w:val="20"/>
              </w:rPr>
            </w:pPr>
          </w:p>
        </w:tc>
        <w:tc>
          <w:tcPr>
            <w:tcW w:w="340" w:type="pct"/>
            <w:vMerge w:val="continue"/>
            <w:vAlign w:val="center"/>
          </w:tcPr>
          <w:p>
            <w:pPr>
              <w:pStyle w:val="13"/>
              <w:rPr>
                <w:rFonts w:cs="Times New Roman"/>
                <w:sz w:val="20"/>
                <w:szCs w:val="20"/>
              </w:rPr>
            </w:pPr>
          </w:p>
        </w:tc>
        <w:tc>
          <w:tcPr>
            <w:tcW w:w="993" w:type="pct"/>
            <w:vMerge w:val="continue"/>
            <w:vAlign w:val="center"/>
          </w:tcPr>
          <w:p>
            <w:pPr>
              <w:pStyle w:val="13"/>
              <w:jc w:val="both"/>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702" w:type="pct"/>
            <w:gridSpan w:val="2"/>
            <w:vAlign w:val="center"/>
          </w:tcPr>
          <w:p>
            <w:pPr>
              <w:pStyle w:val="13"/>
              <w:rPr>
                <w:rFonts w:cs="Times New Roman"/>
                <w:sz w:val="20"/>
                <w:szCs w:val="20"/>
              </w:rPr>
            </w:pPr>
            <w:r>
              <w:rPr>
                <w:rFonts w:cs="Times New Roman"/>
                <w:sz w:val="20"/>
                <w:szCs w:val="20"/>
              </w:rPr>
              <w:t>变电站工程</w:t>
            </w:r>
          </w:p>
        </w:tc>
        <w:tc>
          <w:tcPr>
            <w:tcW w:w="389" w:type="pct"/>
            <w:gridSpan w:val="4"/>
            <w:vAlign w:val="center"/>
          </w:tcPr>
          <w:p>
            <w:pPr>
              <w:pStyle w:val="13"/>
              <w:rPr>
                <w:rFonts w:cs="Times New Roman"/>
                <w:sz w:val="20"/>
                <w:szCs w:val="20"/>
              </w:rPr>
            </w:pPr>
            <w:r>
              <w:rPr>
                <w:rFonts w:cs="Times New Roman"/>
                <w:sz w:val="20"/>
                <w:szCs w:val="20"/>
              </w:rPr>
              <w:t>28</w:t>
            </w:r>
          </w:p>
        </w:tc>
        <w:tc>
          <w:tcPr>
            <w:tcW w:w="467" w:type="pct"/>
            <w:gridSpan w:val="2"/>
            <w:vAlign w:val="center"/>
          </w:tcPr>
          <w:p>
            <w:pPr>
              <w:pStyle w:val="13"/>
              <w:rPr>
                <w:rFonts w:cs="Times New Roman"/>
                <w:sz w:val="20"/>
                <w:szCs w:val="20"/>
              </w:rPr>
            </w:pPr>
            <w:r>
              <w:rPr>
                <w:rFonts w:cs="Times New Roman"/>
                <w:sz w:val="20"/>
                <w:szCs w:val="20"/>
              </w:rPr>
              <w:t>120</w:t>
            </w:r>
          </w:p>
        </w:tc>
        <w:tc>
          <w:tcPr>
            <w:tcW w:w="537" w:type="pct"/>
            <w:gridSpan w:val="2"/>
            <w:vAlign w:val="center"/>
          </w:tcPr>
          <w:p>
            <w:pPr>
              <w:pStyle w:val="13"/>
              <w:rPr>
                <w:rFonts w:cs="Times New Roman"/>
                <w:sz w:val="20"/>
                <w:szCs w:val="20"/>
              </w:rPr>
            </w:pPr>
            <w:r>
              <w:rPr>
                <w:rFonts w:cs="Times New Roman"/>
                <w:sz w:val="20"/>
                <w:szCs w:val="20"/>
              </w:rPr>
              <w:t>148</w:t>
            </w:r>
          </w:p>
        </w:tc>
        <w:tc>
          <w:tcPr>
            <w:tcW w:w="390" w:type="pct"/>
            <w:vAlign w:val="center"/>
          </w:tcPr>
          <w:p>
            <w:pPr>
              <w:pStyle w:val="13"/>
              <w:rPr>
                <w:rFonts w:cs="Times New Roman"/>
                <w:sz w:val="20"/>
                <w:szCs w:val="20"/>
              </w:rPr>
            </w:pPr>
            <w:r>
              <w:rPr>
                <w:rFonts w:cs="Times New Roman"/>
                <w:sz w:val="20"/>
                <w:szCs w:val="20"/>
              </w:rPr>
              <w:t>28</w:t>
            </w:r>
          </w:p>
        </w:tc>
        <w:tc>
          <w:tcPr>
            <w:tcW w:w="390" w:type="pct"/>
            <w:vAlign w:val="center"/>
          </w:tcPr>
          <w:p>
            <w:pPr>
              <w:pStyle w:val="13"/>
              <w:rPr>
                <w:rFonts w:cs="Times New Roman"/>
                <w:sz w:val="20"/>
                <w:szCs w:val="20"/>
              </w:rPr>
            </w:pPr>
            <w:r>
              <w:rPr>
                <w:rFonts w:cs="Times New Roman"/>
                <w:sz w:val="20"/>
                <w:szCs w:val="20"/>
              </w:rPr>
              <w:t>90</w:t>
            </w:r>
          </w:p>
        </w:tc>
        <w:tc>
          <w:tcPr>
            <w:tcW w:w="386" w:type="pct"/>
            <w:vAlign w:val="center"/>
          </w:tcPr>
          <w:p>
            <w:pPr>
              <w:pStyle w:val="13"/>
              <w:rPr>
                <w:rFonts w:cs="Times New Roman"/>
                <w:sz w:val="20"/>
                <w:szCs w:val="20"/>
              </w:rPr>
            </w:pPr>
            <w:r>
              <w:rPr>
                <w:rFonts w:cs="Times New Roman"/>
                <w:sz w:val="20"/>
                <w:szCs w:val="20"/>
              </w:rPr>
              <w:t>118</w:t>
            </w:r>
          </w:p>
        </w:tc>
        <w:tc>
          <w:tcPr>
            <w:tcW w:w="407" w:type="pct"/>
            <w:vAlign w:val="center"/>
          </w:tcPr>
          <w:p>
            <w:pPr>
              <w:pStyle w:val="13"/>
              <w:rPr>
                <w:rFonts w:cs="Times New Roman"/>
                <w:sz w:val="20"/>
                <w:szCs w:val="20"/>
              </w:rPr>
            </w:pPr>
            <w:r>
              <w:rPr>
                <w:rFonts w:cs="Times New Roman"/>
                <w:sz w:val="20"/>
                <w:szCs w:val="20"/>
              </w:rPr>
              <w:t>/</w:t>
            </w:r>
          </w:p>
        </w:tc>
        <w:tc>
          <w:tcPr>
            <w:tcW w:w="340" w:type="pct"/>
            <w:vAlign w:val="center"/>
          </w:tcPr>
          <w:p>
            <w:pPr>
              <w:pStyle w:val="13"/>
              <w:rPr>
                <w:rFonts w:cs="Times New Roman"/>
                <w:sz w:val="20"/>
                <w:szCs w:val="20"/>
              </w:rPr>
            </w:pPr>
            <w:r>
              <w:rPr>
                <w:rFonts w:cs="Times New Roman"/>
                <w:sz w:val="20"/>
                <w:szCs w:val="20"/>
              </w:rPr>
              <w:t>/</w:t>
            </w:r>
          </w:p>
        </w:tc>
        <w:tc>
          <w:tcPr>
            <w:tcW w:w="993" w:type="pct"/>
            <w:vAlign w:val="center"/>
          </w:tcPr>
          <w:p>
            <w:pPr>
              <w:pStyle w:val="13"/>
              <w:jc w:val="both"/>
              <w:rPr>
                <w:rFonts w:cs="Times New Roman"/>
                <w:sz w:val="20"/>
                <w:szCs w:val="20"/>
              </w:rPr>
            </w:pPr>
            <w:r>
              <w:rPr>
                <w:rFonts w:cs="Times New Roman"/>
                <w:sz w:val="20"/>
                <w:szCs w:val="20"/>
              </w:rPr>
              <w:t>运至新建塔基及临时施工区摊平处理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702" w:type="pct"/>
            <w:gridSpan w:val="2"/>
            <w:vAlign w:val="center"/>
          </w:tcPr>
          <w:p>
            <w:pPr>
              <w:pStyle w:val="13"/>
              <w:rPr>
                <w:rFonts w:cs="Times New Roman"/>
                <w:sz w:val="20"/>
                <w:szCs w:val="20"/>
              </w:rPr>
            </w:pPr>
            <w:r>
              <w:rPr>
                <w:rFonts w:cs="Times New Roman"/>
                <w:sz w:val="20"/>
                <w:szCs w:val="20"/>
              </w:rPr>
              <w:t>线路工程</w:t>
            </w:r>
          </w:p>
        </w:tc>
        <w:tc>
          <w:tcPr>
            <w:tcW w:w="389" w:type="pct"/>
            <w:gridSpan w:val="4"/>
            <w:vAlign w:val="center"/>
          </w:tcPr>
          <w:p>
            <w:pPr>
              <w:pStyle w:val="13"/>
              <w:rPr>
                <w:rFonts w:cs="Times New Roman"/>
                <w:sz w:val="20"/>
                <w:szCs w:val="20"/>
              </w:rPr>
            </w:pPr>
            <w:r>
              <w:rPr>
                <w:rFonts w:cs="Times New Roman"/>
                <w:sz w:val="20"/>
                <w:szCs w:val="20"/>
              </w:rPr>
              <w:t>1644</w:t>
            </w:r>
          </w:p>
        </w:tc>
        <w:tc>
          <w:tcPr>
            <w:tcW w:w="467" w:type="pct"/>
            <w:gridSpan w:val="2"/>
            <w:vAlign w:val="center"/>
          </w:tcPr>
          <w:p>
            <w:pPr>
              <w:pStyle w:val="13"/>
              <w:rPr>
                <w:rFonts w:cs="Times New Roman"/>
                <w:sz w:val="20"/>
                <w:szCs w:val="20"/>
              </w:rPr>
            </w:pPr>
            <w:r>
              <w:rPr>
                <w:rFonts w:cs="Times New Roman"/>
                <w:sz w:val="20"/>
                <w:szCs w:val="20"/>
              </w:rPr>
              <w:t>3642</w:t>
            </w:r>
          </w:p>
        </w:tc>
        <w:tc>
          <w:tcPr>
            <w:tcW w:w="537" w:type="pct"/>
            <w:gridSpan w:val="2"/>
            <w:vAlign w:val="center"/>
          </w:tcPr>
          <w:p>
            <w:pPr>
              <w:pStyle w:val="13"/>
              <w:rPr>
                <w:rFonts w:cs="Times New Roman"/>
                <w:sz w:val="20"/>
                <w:szCs w:val="20"/>
              </w:rPr>
            </w:pPr>
            <w:r>
              <w:rPr>
                <w:rFonts w:cs="Times New Roman"/>
                <w:sz w:val="20"/>
                <w:szCs w:val="20"/>
              </w:rPr>
              <w:t>5286</w:t>
            </w:r>
          </w:p>
        </w:tc>
        <w:tc>
          <w:tcPr>
            <w:tcW w:w="390" w:type="pct"/>
            <w:vAlign w:val="center"/>
          </w:tcPr>
          <w:p>
            <w:pPr>
              <w:pStyle w:val="13"/>
              <w:rPr>
                <w:rFonts w:cs="Times New Roman"/>
                <w:sz w:val="20"/>
                <w:szCs w:val="20"/>
              </w:rPr>
            </w:pPr>
            <w:r>
              <w:rPr>
                <w:rFonts w:cs="Times New Roman"/>
                <w:sz w:val="20"/>
                <w:szCs w:val="20"/>
              </w:rPr>
              <w:t>1644</w:t>
            </w:r>
          </w:p>
        </w:tc>
        <w:tc>
          <w:tcPr>
            <w:tcW w:w="390" w:type="pct"/>
            <w:vAlign w:val="center"/>
          </w:tcPr>
          <w:p>
            <w:pPr>
              <w:pStyle w:val="13"/>
              <w:rPr>
                <w:rFonts w:cs="Times New Roman"/>
                <w:sz w:val="20"/>
                <w:szCs w:val="20"/>
              </w:rPr>
            </w:pPr>
            <w:r>
              <w:rPr>
                <w:rFonts w:cs="Times New Roman"/>
                <w:sz w:val="20"/>
                <w:szCs w:val="20"/>
              </w:rPr>
              <w:t>3672</w:t>
            </w:r>
          </w:p>
        </w:tc>
        <w:tc>
          <w:tcPr>
            <w:tcW w:w="386" w:type="pct"/>
            <w:vAlign w:val="center"/>
          </w:tcPr>
          <w:p>
            <w:pPr>
              <w:pStyle w:val="13"/>
              <w:rPr>
                <w:rFonts w:cs="Times New Roman"/>
                <w:sz w:val="20"/>
                <w:szCs w:val="20"/>
              </w:rPr>
            </w:pPr>
            <w:r>
              <w:rPr>
                <w:rFonts w:cs="Times New Roman"/>
                <w:sz w:val="20"/>
                <w:szCs w:val="20"/>
              </w:rPr>
              <w:t>5316</w:t>
            </w:r>
          </w:p>
        </w:tc>
        <w:tc>
          <w:tcPr>
            <w:tcW w:w="407" w:type="pct"/>
            <w:vAlign w:val="center"/>
          </w:tcPr>
          <w:p>
            <w:pPr>
              <w:pStyle w:val="13"/>
              <w:rPr>
                <w:rFonts w:cs="Times New Roman"/>
                <w:sz w:val="20"/>
                <w:szCs w:val="20"/>
              </w:rPr>
            </w:pPr>
            <w:r>
              <w:rPr>
                <w:rFonts w:hint="eastAsia" w:cs="Times New Roman"/>
                <w:sz w:val="20"/>
                <w:szCs w:val="20"/>
              </w:rPr>
              <w:t>/</w:t>
            </w:r>
          </w:p>
        </w:tc>
        <w:tc>
          <w:tcPr>
            <w:tcW w:w="340" w:type="pct"/>
            <w:vAlign w:val="center"/>
          </w:tcPr>
          <w:p>
            <w:pPr>
              <w:pStyle w:val="13"/>
              <w:rPr>
                <w:rFonts w:cs="Times New Roman"/>
                <w:sz w:val="20"/>
                <w:szCs w:val="20"/>
              </w:rPr>
            </w:pPr>
            <w:r>
              <w:rPr>
                <w:rFonts w:cs="Times New Roman"/>
                <w:sz w:val="20"/>
                <w:szCs w:val="20"/>
              </w:rPr>
              <w:t>/</w:t>
            </w:r>
          </w:p>
        </w:tc>
        <w:tc>
          <w:tcPr>
            <w:tcW w:w="993" w:type="pct"/>
            <w:vAlign w:val="center"/>
          </w:tcPr>
          <w:p>
            <w:pPr>
              <w:pStyle w:val="13"/>
              <w:jc w:val="left"/>
              <w:rPr>
                <w:rFonts w:cs="Times New Roman"/>
                <w:sz w:val="20"/>
                <w:szCs w:val="20"/>
              </w:rPr>
            </w:pPr>
            <w:r>
              <w:rPr>
                <w:rFonts w:cs="Times New Roman"/>
                <w:sz w:val="20"/>
                <w:szCs w:val="20"/>
              </w:rPr>
              <w:t>塔基及临时施工期回填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702" w:type="pct"/>
            <w:gridSpan w:val="2"/>
            <w:vAlign w:val="center"/>
          </w:tcPr>
          <w:p>
            <w:pPr>
              <w:pStyle w:val="13"/>
              <w:rPr>
                <w:rFonts w:cs="Times New Roman"/>
                <w:sz w:val="20"/>
                <w:szCs w:val="20"/>
              </w:rPr>
            </w:pPr>
            <w:r>
              <w:rPr>
                <w:rFonts w:cs="Times New Roman"/>
                <w:sz w:val="20"/>
                <w:szCs w:val="20"/>
              </w:rPr>
              <w:t>合计</w:t>
            </w:r>
          </w:p>
        </w:tc>
        <w:tc>
          <w:tcPr>
            <w:tcW w:w="389" w:type="pct"/>
            <w:gridSpan w:val="4"/>
            <w:vAlign w:val="center"/>
          </w:tcPr>
          <w:p>
            <w:pPr>
              <w:pStyle w:val="13"/>
              <w:rPr>
                <w:rFonts w:cs="Times New Roman"/>
                <w:sz w:val="20"/>
                <w:szCs w:val="20"/>
              </w:rPr>
            </w:pPr>
            <w:r>
              <w:rPr>
                <w:rFonts w:cs="Times New Roman"/>
                <w:sz w:val="20"/>
                <w:szCs w:val="20"/>
              </w:rPr>
              <w:t>1672</w:t>
            </w:r>
          </w:p>
        </w:tc>
        <w:tc>
          <w:tcPr>
            <w:tcW w:w="467" w:type="pct"/>
            <w:gridSpan w:val="2"/>
            <w:vAlign w:val="center"/>
          </w:tcPr>
          <w:p>
            <w:pPr>
              <w:pStyle w:val="13"/>
              <w:rPr>
                <w:rFonts w:cs="Times New Roman"/>
                <w:sz w:val="20"/>
                <w:szCs w:val="20"/>
              </w:rPr>
            </w:pPr>
            <w:r>
              <w:rPr>
                <w:rFonts w:cs="Times New Roman"/>
                <w:sz w:val="20"/>
                <w:szCs w:val="20"/>
              </w:rPr>
              <w:t>3805</w:t>
            </w:r>
          </w:p>
        </w:tc>
        <w:tc>
          <w:tcPr>
            <w:tcW w:w="537" w:type="pct"/>
            <w:gridSpan w:val="2"/>
            <w:vAlign w:val="center"/>
          </w:tcPr>
          <w:p>
            <w:pPr>
              <w:pStyle w:val="13"/>
              <w:rPr>
                <w:rFonts w:cs="Times New Roman"/>
                <w:sz w:val="20"/>
                <w:szCs w:val="20"/>
              </w:rPr>
            </w:pPr>
            <w:r>
              <w:rPr>
                <w:rFonts w:cs="Times New Roman"/>
                <w:sz w:val="20"/>
                <w:szCs w:val="20"/>
              </w:rPr>
              <w:t>5434</w:t>
            </w:r>
          </w:p>
        </w:tc>
        <w:tc>
          <w:tcPr>
            <w:tcW w:w="390" w:type="pct"/>
            <w:vAlign w:val="center"/>
          </w:tcPr>
          <w:p>
            <w:pPr>
              <w:pStyle w:val="13"/>
              <w:rPr>
                <w:rFonts w:cs="Times New Roman"/>
                <w:sz w:val="20"/>
                <w:szCs w:val="20"/>
              </w:rPr>
            </w:pPr>
            <w:r>
              <w:rPr>
                <w:rFonts w:cs="Times New Roman"/>
                <w:sz w:val="20"/>
                <w:szCs w:val="20"/>
              </w:rPr>
              <w:t>1672</w:t>
            </w:r>
          </w:p>
        </w:tc>
        <w:tc>
          <w:tcPr>
            <w:tcW w:w="390" w:type="pct"/>
            <w:vAlign w:val="center"/>
          </w:tcPr>
          <w:p>
            <w:pPr>
              <w:pStyle w:val="13"/>
              <w:rPr>
                <w:rFonts w:cs="Times New Roman"/>
                <w:sz w:val="20"/>
                <w:szCs w:val="20"/>
              </w:rPr>
            </w:pPr>
            <w:r>
              <w:rPr>
                <w:rFonts w:cs="Times New Roman"/>
                <w:sz w:val="20"/>
                <w:szCs w:val="20"/>
              </w:rPr>
              <w:t>3805</w:t>
            </w:r>
          </w:p>
        </w:tc>
        <w:tc>
          <w:tcPr>
            <w:tcW w:w="386" w:type="pct"/>
            <w:vAlign w:val="center"/>
          </w:tcPr>
          <w:p>
            <w:pPr>
              <w:pStyle w:val="13"/>
              <w:rPr>
                <w:rFonts w:cs="Times New Roman"/>
                <w:sz w:val="20"/>
                <w:szCs w:val="20"/>
              </w:rPr>
            </w:pPr>
            <w:r>
              <w:rPr>
                <w:rFonts w:cs="Times New Roman"/>
                <w:sz w:val="20"/>
                <w:szCs w:val="20"/>
              </w:rPr>
              <w:t>5434</w:t>
            </w:r>
          </w:p>
        </w:tc>
        <w:tc>
          <w:tcPr>
            <w:tcW w:w="407" w:type="pct"/>
            <w:vAlign w:val="center"/>
          </w:tcPr>
          <w:p>
            <w:pPr>
              <w:pStyle w:val="13"/>
              <w:rPr>
                <w:rFonts w:cs="Times New Roman"/>
                <w:sz w:val="20"/>
                <w:szCs w:val="20"/>
              </w:rPr>
            </w:pPr>
            <w:r>
              <w:rPr>
                <w:rFonts w:cs="Times New Roman"/>
                <w:sz w:val="20"/>
                <w:szCs w:val="20"/>
              </w:rPr>
              <w:t>/</w:t>
            </w:r>
          </w:p>
        </w:tc>
        <w:tc>
          <w:tcPr>
            <w:tcW w:w="340" w:type="pct"/>
            <w:vAlign w:val="center"/>
          </w:tcPr>
          <w:p>
            <w:pPr>
              <w:pStyle w:val="13"/>
              <w:rPr>
                <w:rFonts w:cs="Times New Roman"/>
                <w:sz w:val="20"/>
                <w:szCs w:val="20"/>
              </w:rPr>
            </w:pPr>
            <w:r>
              <w:rPr>
                <w:rFonts w:cs="Times New Roman"/>
                <w:sz w:val="20"/>
                <w:szCs w:val="20"/>
              </w:rPr>
              <w:t>/</w:t>
            </w:r>
          </w:p>
        </w:tc>
        <w:tc>
          <w:tcPr>
            <w:tcW w:w="993" w:type="pct"/>
            <w:vAlign w:val="center"/>
          </w:tcPr>
          <w:p>
            <w:pPr>
              <w:pStyle w:val="13"/>
              <w:rPr>
                <w:rFonts w:cs="Times New Roman"/>
                <w:sz w:val="20"/>
                <w:szCs w:val="20"/>
              </w:rPr>
            </w:pPr>
          </w:p>
        </w:tc>
      </w:tr>
    </w:tbl>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2.1.2 项目组成及布置</w:t>
      </w:r>
    </w:p>
    <w:p>
      <w:pPr>
        <w:widowControl w:val="0"/>
        <w:kinsoku/>
        <w:topLinePunct/>
        <w:autoSpaceDE/>
        <w:autoSpaceDN/>
        <w:spacing w:line="360" w:lineRule="auto"/>
        <w:ind w:firstLine="480"/>
        <w:jc w:val="both"/>
        <w:rPr>
          <w:rFonts w:cs="Times New Roman"/>
          <w:color w:val="auto"/>
          <w:szCs w:val="24"/>
          <w:lang w:eastAsia="zh-CN"/>
        </w:rPr>
      </w:pPr>
      <w:bookmarkStart w:id="25" w:name="_Hlk152339446"/>
      <w:r>
        <w:rPr>
          <w:rFonts w:cs="Times New Roman"/>
          <w:color w:val="auto"/>
          <w:szCs w:val="24"/>
          <w:lang w:eastAsia="zh-CN"/>
        </w:rPr>
        <w:t>本工程包括玛瑙500kV变电站220kV间隔扩建工程、芭蕉220kV变电站220kV间隔扩建工程、玛瑙-正达凯220kV线路工程、芭蕉-正达凯220kV线路工程</w:t>
      </w:r>
      <w:r>
        <w:rPr>
          <w:rFonts w:hint="eastAsia"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本</w:t>
      </w:r>
      <w:r>
        <w:rPr>
          <w:rFonts w:cs="Times New Roman"/>
          <w:color w:val="auto"/>
          <w:szCs w:val="24"/>
          <w:lang w:eastAsia="zh-CN"/>
        </w:rPr>
        <w:t>项目组成</w:t>
      </w:r>
      <w:r>
        <w:rPr>
          <w:rFonts w:hint="eastAsia" w:cs="Times New Roman"/>
          <w:color w:val="auto"/>
          <w:szCs w:val="24"/>
          <w:lang w:eastAsia="zh-CN"/>
        </w:rPr>
        <w:t>见</w:t>
      </w:r>
      <w:r>
        <w:rPr>
          <w:rFonts w:cs="Times New Roman"/>
          <w:color w:val="auto"/>
          <w:szCs w:val="24"/>
          <w:lang w:eastAsia="zh-CN"/>
        </w:rPr>
        <w:t>表2.1-2</w:t>
      </w:r>
      <w:r>
        <w:rPr>
          <w:rFonts w:hint="eastAsia" w:cs="Times New Roman"/>
          <w:color w:val="auto"/>
          <w:szCs w:val="24"/>
          <w:lang w:eastAsia="zh-CN"/>
        </w:rPr>
        <w:t>。</w:t>
      </w:r>
    </w:p>
    <w:bookmarkEnd w:id="25"/>
    <w:p>
      <w:pPr>
        <w:widowControl w:val="0"/>
        <w:kinsoku/>
        <w:topLinePunct/>
        <w:autoSpaceDE/>
        <w:autoSpaceDN/>
        <w:spacing w:line="300" w:lineRule="auto"/>
        <w:ind w:firstLine="482"/>
        <w:jc w:val="center"/>
        <w:rPr>
          <w:rFonts w:cs="Times New Roman"/>
          <w:b/>
          <w:bCs/>
          <w:color w:val="auto"/>
          <w:lang w:eastAsia="zh-CN"/>
        </w:rPr>
      </w:pPr>
      <w:r>
        <w:rPr>
          <w:rFonts w:cs="Times New Roman"/>
          <w:b/>
          <w:bCs/>
          <w:color w:val="auto"/>
          <w:lang w:eastAsia="zh-CN"/>
        </w:rPr>
        <w:t>表2.1-2 项目组成表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277"/>
        <w:gridCol w:w="2768"/>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500" w:type="pct"/>
            <w:gridSpan w:val="3"/>
            <w:vAlign w:val="center"/>
          </w:tcPr>
          <w:p>
            <w:pPr>
              <w:pStyle w:val="13"/>
              <w:rPr>
                <w:rFonts w:cs="Times New Roman"/>
                <w:sz w:val="20"/>
                <w:szCs w:val="20"/>
              </w:rPr>
            </w:pPr>
            <w:r>
              <w:rPr>
                <w:rFonts w:cs="Times New Roman"/>
                <w:sz w:val="20"/>
                <w:szCs w:val="20"/>
              </w:rPr>
              <w:t>项目分区</w:t>
            </w:r>
          </w:p>
        </w:tc>
        <w:tc>
          <w:tcPr>
            <w:tcW w:w="1500" w:type="pct"/>
            <w:vAlign w:val="center"/>
          </w:tcPr>
          <w:p>
            <w:pPr>
              <w:pStyle w:val="13"/>
              <w:rPr>
                <w:rFonts w:cs="Times New Roman"/>
                <w:sz w:val="20"/>
                <w:szCs w:val="20"/>
              </w:rPr>
            </w:pPr>
            <w:r>
              <w:rPr>
                <w:rFonts w:cs="Times New Roman"/>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42" w:type="pct"/>
            <w:vMerge w:val="restart"/>
            <w:vAlign w:val="center"/>
          </w:tcPr>
          <w:p>
            <w:pPr>
              <w:pStyle w:val="13"/>
              <w:rPr>
                <w:rFonts w:cs="Times New Roman"/>
                <w:sz w:val="20"/>
                <w:szCs w:val="20"/>
              </w:rPr>
            </w:pPr>
            <w:r>
              <w:rPr>
                <w:rFonts w:hint="eastAsia" w:cs="Times New Roman"/>
                <w:sz w:val="20"/>
                <w:szCs w:val="20"/>
              </w:rPr>
              <w:t>变电站工程</w:t>
            </w:r>
          </w:p>
        </w:tc>
        <w:tc>
          <w:tcPr>
            <w:tcW w:w="1335" w:type="pct"/>
            <w:vAlign w:val="center"/>
          </w:tcPr>
          <w:p>
            <w:pPr>
              <w:pStyle w:val="13"/>
              <w:rPr>
                <w:rFonts w:cs="Times New Roman"/>
                <w:sz w:val="20"/>
                <w:szCs w:val="20"/>
              </w:rPr>
            </w:pPr>
            <w:r>
              <w:rPr>
                <w:rFonts w:cs="Times New Roman"/>
                <w:sz w:val="20"/>
                <w:szCs w:val="20"/>
              </w:rPr>
              <w:t>玛瑙500kV变电站220kV间隔扩建工程</w:t>
            </w:r>
          </w:p>
        </w:tc>
        <w:tc>
          <w:tcPr>
            <w:tcW w:w="1623" w:type="pct"/>
            <w:vAlign w:val="center"/>
          </w:tcPr>
          <w:p>
            <w:pPr>
              <w:pStyle w:val="13"/>
              <w:rPr>
                <w:rFonts w:cs="Times New Roman"/>
                <w:sz w:val="20"/>
                <w:szCs w:val="20"/>
              </w:rPr>
            </w:pPr>
            <w:r>
              <w:rPr>
                <w:rFonts w:cs="Times New Roman"/>
                <w:sz w:val="20"/>
                <w:szCs w:val="20"/>
              </w:rPr>
              <w:t>玛瑙变电站站区</w:t>
            </w:r>
          </w:p>
        </w:tc>
        <w:tc>
          <w:tcPr>
            <w:tcW w:w="1500" w:type="pct"/>
            <w:vAlign w:val="center"/>
          </w:tcPr>
          <w:p>
            <w:pPr>
              <w:pStyle w:val="13"/>
              <w:rPr>
                <w:rFonts w:cs="Times New Roman"/>
                <w:sz w:val="20"/>
                <w:szCs w:val="20"/>
              </w:rPr>
            </w:pPr>
            <w:r>
              <w:rPr>
                <w:rFonts w:cs="Times New Roman"/>
                <w:sz w:val="20"/>
                <w:szCs w:val="20"/>
              </w:rPr>
              <w:t>设备基础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42" w:type="pct"/>
            <w:vMerge w:val="continue"/>
          </w:tcPr>
          <w:p>
            <w:pPr>
              <w:pStyle w:val="13"/>
              <w:jc w:val="both"/>
              <w:rPr>
                <w:rFonts w:cs="Times New Roman"/>
                <w:sz w:val="20"/>
                <w:szCs w:val="20"/>
              </w:rPr>
            </w:pPr>
          </w:p>
        </w:tc>
        <w:tc>
          <w:tcPr>
            <w:tcW w:w="1335" w:type="pct"/>
            <w:vAlign w:val="center"/>
          </w:tcPr>
          <w:p>
            <w:pPr>
              <w:pStyle w:val="13"/>
              <w:rPr>
                <w:rFonts w:cs="Times New Roman"/>
                <w:sz w:val="20"/>
                <w:szCs w:val="20"/>
              </w:rPr>
            </w:pPr>
            <w:r>
              <w:rPr>
                <w:rFonts w:cs="Times New Roman"/>
                <w:sz w:val="20"/>
                <w:szCs w:val="20"/>
              </w:rPr>
              <w:t>芭蕉220kV变电站220kV间隔扩建工程</w:t>
            </w:r>
          </w:p>
        </w:tc>
        <w:tc>
          <w:tcPr>
            <w:tcW w:w="1623" w:type="pct"/>
            <w:vAlign w:val="center"/>
          </w:tcPr>
          <w:p>
            <w:pPr>
              <w:pStyle w:val="13"/>
              <w:rPr>
                <w:rFonts w:cs="Times New Roman"/>
                <w:sz w:val="20"/>
                <w:szCs w:val="20"/>
              </w:rPr>
            </w:pPr>
            <w:r>
              <w:rPr>
                <w:rFonts w:cs="Times New Roman"/>
                <w:sz w:val="20"/>
                <w:szCs w:val="20"/>
              </w:rPr>
              <w:t>芭蕉变电站站区</w:t>
            </w:r>
          </w:p>
        </w:tc>
        <w:tc>
          <w:tcPr>
            <w:tcW w:w="1500" w:type="pct"/>
            <w:vAlign w:val="center"/>
          </w:tcPr>
          <w:p>
            <w:pPr>
              <w:pStyle w:val="13"/>
              <w:rPr>
                <w:rFonts w:cs="Times New Roman"/>
                <w:sz w:val="20"/>
                <w:szCs w:val="20"/>
              </w:rPr>
            </w:pPr>
            <w:r>
              <w:rPr>
                <w:rFonts w:cs="Times New Roman"/>
                <w:sz w:val="20"/>
                <w:szCs w:val="20"/>
              </w:rPr>
              <w:t>设备基础、排水管道等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42" w:type="pct"/>
            <w:vMerge w:val="restart"/>
            <w:vAlign w:val="center"/>
          </w:tcPr>
          <w:p>
            <w:pPr>
              <w:pStyle w:val="13"/>
              <w:rPr>
                <w:rFonts w:cs="Times New Roman"/>
                <w:sz w:val="20"/>
                <w:szCs w:val="20"/>
              </w:rPr>
            </w:pPr>
            <w:r>
              <w:rPr>
                <w:rFonts w:hint="eastAsia" w:cs="Times New Roman"/>
                <w:sz w:val="20"/>
                <w:szCs w:val="20"/>
              </w:rPr>
              <w:t>线路</w:t>
            </w:r>
          </w:p>
          <w:p>
            <w:pPr>
              <w:pStyle w:val="13"/>
              <w:rPr>
                <w:rFonts w:cs="Times New Roman"/>
                <w:sz w:val="20"/>
                <w:szCs w:val="20"/>
              </w:rPr>
            </w:pPr>
            <w:r>
              <w:rPr>
                <w:rFonts w:hint="eastAsia" w:cs="Times New Roman"/>
                <w:sz w:val="20"/>
                <w:szCs w:val="20"/>
              </w:rPr>
              <w:t>工程</w:t>
            </w:r>
          </w:p>
        </w:tc>
        <w:tc>
          <w:tcPr>
            <w:tcW w:w="1335" w:type="pct"/>
            <w:vMerge w:val="restart"/>
            <w:vAlign w:val="center"/>
          </w:tcPr>
          <w:p>
            <w:pPr>
              <w:pStyle w:val="13"/>
              <w:rPr>
                <w:rFonts w:cs="Times New Roman"/>
                <w:sz w:val="20"/>
                <w:szCs w:val="20"/>
              </w:rPr>
            </w:pPr>
            <w:r>
              <w:rPr>
                <w:rFonts w:cs="Times New Roman"/>
                <w:sz w:val="20"/>
                <w:szCs w:val="20"/>
              </w:rPr>
              <w:t>玛瑙-正达凯220kV线路工程</w:t>
            </w:r>
          </w:p>
        </w:tc>
        <w:tc>
          <w:tcPr>
            <w:tcW w:w="1623" w:type="pct"/>
            <w:vAlign w:val="center"/>
          </w:tcPr>
          <w:p>
            <w:pPr>
              <w:pStyle w:val="13"/>
              <w:rPr>
                <w:rFonts w:cs="Times New Roman"/>
                <w:sz w:val="20"/>
                <w:szCs w:val="20"/>
              </w:rPr>
            </w:pPr>
            <w:r>
              <w:rPr>
                <w:rFonts w:cs="Times New Roman"/>
                <w:sz w:val="20"/>
                <w:szCs w:val="20"/>
              </w:rPr>
              <w:t>玛瑙塔基及临时施工区</w:t>
            </w:r>
          </w:p>
        </w:tc>
        <w:tc>
          <w:tcPr>
            <w:tcW w:w="1500" w:type="pct"/>
            <w:vMerge w:val="restart"/>
            <w:vAlign w:val="center"/>
          </w:tcPr>
          <w:p>
            <w:pPr>
              <w:pStyle w:val="13"/>
              <w:rPr>
                <w:rFonts w:cs="Times New Roman"/>
                <w:sz w:val="20"/>
                <w:szCs w:val="20"/>
              </w:rPr>
            </w:pPr>
            <w:r>
              <w:rPr>
                <w:rFonts w:cs="Times New Roman"/>
                <w:sz w:val="20"/>
                <w:szCs w:val="20"/>
              </w:rPr>
              <w:t>塔基开挖、电塔修建、护坡墙及排水沟、施工便道区</w:t>
            </w:r>
            <w:r>
              <w:rPr>
                <w:rFonts w:hint="eastAsia" w:cs="Times New Roman"/>
                <w:sz w:val="20"/>
                <w:szCs w:val="20"/>
              </w:rPr>
              <w:t>、牵张场，跨越场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42" w:type="pct"/>
            <w:vMerge w:val="continue"/>
          </w:tcPr>
          <w:p>
            <w:pPr>
              <w:pStyle w:val="13"/>
              <w:jc w:val="both"/>
              <w:rPr>
                <w:rFonts w:cs="Times New Roman"/>
                <w:sz w:val="20"/>
                <w:szCs w:val="20"/>
              </w:rPr>
            </w:pPr>
          </w:p>
        </w:tc>
        <w:tc>
          <w:tcPr>
            <w:tcW w:w="1335" w:type="pct"/>
            <w:vMerge w:val="continue"/>
            <w:vAlign w:val="center"/>
          </w:tcPr>
          <w:p>
            <w:pPr>
              <w:pStyle w:val="13"/>
              <w:rPr>
                <w:rFonts w:cs="Times New Roman"/>
                <w:sz w:val="20"/>
                <w:szCs w:val="20"/>
              </w:rPr>
            </w:pPr>
          </w:p>
        </w:tc>
        <w:tc>
          <w:tcPr>
            <w:tcW w:w="1623" w:type="pct"/>
            <w:vAlign w:val="center"/>
          </w:tcPr>
          <w:p>
            <w:pPr>
              <w:pStyle w:val="13"/>
              <w:rPr>
                <w:rFonts w:cs="Times New Roman"/>
                <w:sz w:val="20"/>
                <w:szCs w:val="20"/>
              </w:rPr>
            </w:pPr>
            <w:r>
              <w:rPr>
                <w:rFonts w:cs="Times New Roman"/>
                <w:sz w:val="20"/>
                <w:szCs w:val="20"/>
              </w:rPr>
              <w:t>玛瑙施工便道区</w:t>
            </w:r>
          </w:p>
        </w:tc>
        <w:tc>
          <w:tcPr>
            <w:tcW w:w="1500" w:type="pct"/>
            <w:vMerge w:val="continue"/>
            <w:vAlign w:val="center"/>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42" w:type="pct"/>
            <w:vMerge w:val="continue"/>
          </w:tcPr>
          <w:p>
            <w:pPr>
              <w:pStyle w:val="13"/>
              <w:jc w:val="both"/>
              <w:rPr>
                <w:rFonts w:cs="Times New Roman"/>
                <w:sz w:val="20"/>
                <w:szCs w:val="20"/>
              </w:rPr>
            </w:pPr>
          </w:p>
        </w:tc>
        <w:tc>
          <w:tcPr>
            <w:tcW w:w="1335" w:type="pct"/>
            <w:vMerge w:val="continue"/>
            <w:vAlign w:val="center"/>
          </w:tcPr>
          <w:p>
            <w:pPr>
              <w:pStyle w:val="13"/>
              <w:rPr>
                <w:rFonts w:cs="Times New Roman"/>
                <w:sz w:val="20"/>
                <w:szCs w:val="20"/>
              </w:rPr>
            </w:pPr>
          </w:p>
        </w:tc>
        <w:tc>
          <w:tcPr>
            <w:tcW w:w="1623" w:type="pct"/>
            <w:vAlign w:val="center"/>
          </w:tcPr>
          <w:p>
            <w:pPr>
              <w:pStyle w:val="13"/>
              <w:rPr>
                <w:rFonts w:cs="Times New Roman"/>
                <w:sz w:val="20"/>
                <w:szCs w:val="20"/>
              </w:rPr>
            </w:pPr>
            <w:r>
              <w:rPr>
                <w:rFonts w:cs="Times New Roman"/>
                <w:sz w:val="20"/>
                <w:szCs w:val="20"/>
              </w:rPr>
              <w:t>玛瑙牵张场区</w:t>
            </w:r>
          </w:p>
        </w:tc>
        <w:tc>
          <w:tcPr>
            <w:tcW w:w="1500" w:type="pct"/>
            <w:vMerge w:val="continue"/>
            <w:vAlign w:val="center"/>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42" w:type="pct"/>
            <w:vMerge w:val="continue"/>
          </w:tcPr>
          <w:p>
            <w:pPr>
              <w:pStyle w:val="13"/>
              <w:jc w:val="both"/>
              <w:rPr>
                <w:rFonts w:cs="Times New Roman"/>
                <w:sz w:val="20"/>
                <w:szCs w:val="20"/>
              </w:rPr>
            </w:pPr>
          </w:p>
        </w:tc>
        <w:tc>
          <w:tcPr>
            <w:tcW w:w="1335" w:type="pct"/>
            <w:vMerge w:val="continue"/>
            <w:vAlign w:val="center"/>
          </w:tcPr>
          <w:p>
            <w:pPr>
              <w:pStyle w:val="13"/>
              <w:rPr>
                <w:rFonts w:cs="Times New Roman"/>
                <w:sz w:val="20"/>
                <w:szCs w:val="20"/>
              </w:rPr>
            </w:pPr>
          </w:p>
        </w:tc>
        <w:tc>
          <w:tcPr>
            <w:tcW w:w="1623" w:type="pct"/>
            <w:vAlign w:val="center"/>
          </w:tcPr>
          <w:p>
            <w:pPr>
              <w:pStyle w:val="13"/>
              <w:rPr>
                <w:rFonts w:cs="Times New Roman"/>
                <w:sz w:val="20"/>
                <w:szCs w:val="20"/>
              </w:rPr>
            </w:pPr>
            <w:r>
              <w:rPr>
                <w:rFonts w:cs="Times New Roman"/>
                <w:sz w:val="20"/>
                <w:szCs w:val="20"/>
              </w:rPr>
              <w:t>玛瑙跨越场区</w:t>
            </w:r>
          </w:p>
        </w:tc>
        <w:tc>
          <w:tcPr>
            <w:tcW w:w="1500" w:type="pct"/>
            <w:vMerge w:val="continue"/>
            <w:vAlign w:val="center"/>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42" w:type="pct"/>
            <w:vMerge w:val="continue"/>
          </w:tcPr>
          <w:p>
            <w:pPr>
              <w:pStyle w:val="13"/>
              <w:jc w:val="both"/>
              <w:rPr>
                <w:rFonts w:cs="Times New Roman"/>
                <w:sz w:val="20"/>
                <w:szCs w:val="20"/>
              </w:rPr>
            </w:pPr>
          </w:p>
        </w:tc>
        <w:tc>
          <w:tcPr>
            <w:tcW w:w="1335" w:type="pct"/>
            <w:vMerge w:val="restart"/>
            <w:vAlign w:val="center"/>
          </w:tcPr>
          <w:p>
            <w:pPr>
              <w:pStyle w:val="13"/>
              <w:rPr>
                <w:rFonts w:cs="Times New Roman"/>
                <w:sz w:val="20"/>
                <w:szCs w:val="20"/>
              </w:rPr>
            </w:pPr>
            <w:r>
              <w:rPr>
                <w:rFonts w:cs="Times New Roman"/>
                <w:sz w:val="20"/>
                <w:szCs w:val="20"/>
              </w:rPr>
              <w:t>芭蕉-正达凯220kV线路工程</w:t>
            </w:r>
          </w:p>
        </w:tc>
        <w:tc>
          <w:tcPr>
            <w:tcW w:w="1623" w:type="pct"/>
            <w:vAlign w:val="center"/>
          </w:tcPr>
          <w:p>
            <w:pPr>
              <w:pStyle w:val="13"/>
              <w:rPr>
                <w:rFonts w:cs="Times New Roman"/>
                <w:sz w:val="20"/>
                <w:szCs w:val="20"/>
              </w:rPr>
            </w:pPr>
            <w:r>
              <w:rPr>
                <w:rFonts w:cs="Times New Roman"/>
                <w:sz w:val="20"/>
                <w:szCs w:val="20"/>
              </w:rPr>
              <w:t>芭蕉塔基及临时施工区</w:t>
            </w:r>
          </w:p>
        </w:tc>
        <w:tc>
          <w:tcPr>
            <w:tcW w:w="1500" w:type="pct"/>
            <w:vMerge w:val="restart"/>
            <w:vAlign w:val="center"/>
          </w:tcPr>
          <w:p>
            <w:pPr>
              <w:pStyle w:val="13"/>
              <w:rPr>
                <w:rFonts w:cs="Times New Roman"/>
                <w:sz w:val="20"/>
                <w:szCs w:val="20"/>
              </w:rPr>
            </w:pPr>
            <w:r>
              <w:rPr>
                <w:rFonts w:hint="eastAsia" w:cs="Times New Roman"/>
                <w:sz w:val="20"/>
                <w:szCs w:val="20"/>
              </w:rPr>
              <w:t>塔基开挖、电塔修建、护坡墙及排水沟、施工便道区、牵张场，跨越场、电缆工程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42" w:type="pct"/>
            <w:vMerge w:val="continue"/>
          </w:tcPr>
          <w:p>
            <w:pPr>
              <w:pStyle w:val="13"/>
              <w:jc w:val="both"/>
              <w:rPr>
                <w:rFonts w:cs="Times New Roman"/>
                <w:sz w:val="20"/>
                <w:szCs w:val="20"/>
              </w:rPr>
            </w:pPr>
          </w:p>
        </w:tc>
        <w:tc>
          <w:tcPr>
            <w:tcW w:w="1335" w:type="pct"/>
            <w:vMerge w:val="continue"/>
            <w:vAlign w:val="center"/>
          </w:tcPr>
          <w:p>
            <w:pPr>
              <w:pStyle w:val="13"/>
              <w:jc w:val="both"/>
              <w:rPr>
                <w:rFonts w:cs="Times New Roman"/>
                <w:sz w:val="20"/>
                <w:szCs w:val="20"/>
              </w:rPr>
            </w:pPr>
          </w:p>
        </w:tc>
        <w:tc>
          <w:tcPr>
            <w:tcW w:w="1623" w:type="pct"/>
            <w:vAlign w:val="center"/>
          </w:tcPr>
          <w:p>
            <w:pPr>
              <w:pStyle w:val="13"/>
              <w:rPr>
                <w:rFonts w:cs="Times New Roman"/>
                <w:sz w:val="20"/>
                <w:szCs w:val="20"/>
              </w:rPr>
            </w:pPr>
            <w:r>
              <w:rPr>
                <w:rFonts w:cs="Times New Roman"/>
                <w:sz w:val="20"/>
                <w:szCs w:val="20"/>
              </w:rPr>
              <w:t>芭蕉施工便道区</w:t>
            </w:r>
          </w:p>
        </w:tc>
        <w:tc>
          <w:tcPr>
            <w:tcW w:w="1500" w:type="pct"/>
            <w:vMerge w:val="continue"/>
            <w:vAlign w:val="center"/>
          </w:tcPr>
          <w:p>
            <w:pPr>
              <w:pStyle w:val="13"/>
              <w:jc w:val="both"/>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42" w:type="pct"/>
            <w:vMerge w:val="continue"/>
          </w:tcPr>
          <w:p>
            <w:pPr>
              <w:pStyle w:val="13"/>
              <w:jc w:val="both"/>
              <w:rPr>
                <w:rFonts w:cs="Times New Roman"/>
                <w:sz w:val="20"/>
                <w:szCs w:val="20"/>
              </w:rPr>
            </w:pPr>
          </w:p>
        </w:tc>
        <w:tc>
          <w:tcPr>
            <w:tcW w:w="1335" w:type="pct"/>
            <w:vMerge w:val="continue"/>
            <w:vAlign w:val="center"/>
          </w:tcPr>
          <w:p>
            <w:pPr>
              <w:pStyle w:val="13"/>
              <w:jc w:val="both"/>
              <w:rPr>
                <w:rFonts w:cs="Times New Roman"/>
                <w:sz w:val="20"/>
                <w:szCs w:val="20"/>
              </w:rPr>
            </w:pPr>
          </w:p>
        </w:tc>
        <w:tc>
          <w:tcPr>
            <w:tcW w:w="1623" w:type="pct"/>
            <w:vAlign w:val="center"/>
          </w:tcPr>
          <w:p>
            <w:pPr>
              <w:pStyle w:val="13"/>
              <w:rPr>
                <w:rFonts w:cs="Times New Roman"/>
                <w:sz w:val="20"/>
                <w:szCs w:val="20"/>
              </w:rPr>
            </w:pPr>
            <w:r>
              <w:rPr>
                <w:rFonts w:cs="Times New Roman"/>
                <w:sz w:val="20"/>
                <w:szCs w:val="20"/>
              </w:rPr>
              <w:t>芭蕉牵张场区</w:t>
            </w:r>
          </w:p>
        </w:tc>
        <w:tc>
          <w:tcPr>
            <w:tcW w:w="1500" w:type="pct"/>
            <w:vMerge w:val="continue"/>
            <w:vAlign w:val="center"/>
          </w:tcPr>
          <w:p>
            <w:pPr>
              <w:pStyle w:val="13"/>
              <w:jc w:val="both"/>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42" w:type="pct"/>
            <w:vMerge w:val="continue"/>
          </w:tcPr>
          <w:p>
            <w:pPr>
              <w:pStyle w:val="13"/>
              <w:jc w:val="both"/>
              <w:rPr>
                <w:rFonts w:cs="Times New Roman"/>
                <w:sz w:val="20"/>
                <w:szCs w:val="20"/>
              </w:rPr>
            </w:pPr>
          </w:p>
        </w:tc>
        <w:tc>
          <w:tcPr>
            <w:tcW w:w="1335" w:type="pct"/>
            <w:vMerge w:val="continue"/>
            <w:vAlign w:val="center"/>
          </w:tcPr>
          <w:p>
            <w:pPr>
              <w:pStyle w:val="13"/>
              <w:jc w:val="both"/>
              <w:rPr>
                <w:rFonts w:cs="Times New Roman"/>
                <w:sz w:val="20"/>
                <w:szCs w:val="20"/>
              </w:rPr>
            </w:pPr>
          </w:p>
        </w:tc>
        <w:tc>
          <w:tcPr>
            <w:tcW w:w="1623" w:type="pct"/>
            <w:vAlign w:val="center"/>
          </w:tcPr>
          <w:p>
            <w:pPr>
              <w:pStyle w:val="13"/>
              <w:rPr>
                <w:rFonts w:cs="Times New Roman"/>
                <w:sz w:val="20"/>
                <w:szCs w:val="20"/>
              </w:rPr>
            </w:pPr>
            <w:r>
              <w:rPr>
                <w:rFonts w:cs="Times New Roman"/>
                <w:sz w:val="20"/>
                <w:szCs w:val="20"/>
              </w:rPr>
              <w:t>芭蕉跨越场区</w:t>
            </w:r>
          </w:p>
        </w:tc>
        <w:tc>
          <w:tcPr>
            <w:tcW w:w="1500" w:type="pct"/>
            <w:vMerge w:val="continue"/>
            <w:vAlign w:val="center"/>
          </w:tcPr>
          <w:p>
            <w:pPr>
              <w:pStyle w:val="13"/>
              <w:jc w:val="both"/>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42" w:type="pct"/>
            <w:vMerge w:val="continue"/>
          </w:tcPr>
          <w:p>
            <w:pPr>
              <w:pStyle w:val="13"/>
              <w:jc w:val="both"/>
              <w:rPr>
                <w:rFonts w:cs="Times New Roman"/>
                <w:sz w:val="20"/>
                <w:szCs w:val="20"/>
              </w:rPr>
            </w:pPr>
          </w:p>
        </w:tc>
        <w:tc>
          <w:tcPr>
            <w:tcW w:w="1335" w:type="pct"/>
            <w:vMerge w:val="continue"/>
            <w:vAlign w:val="center"/>
          </w:tcPr>
          <w:p>
            <w:pPr>
              <w:pStyle w:val="13"/>
              <w:jc w:val="both"/>
              <w:rPr>
                <w:rFonts w:cs="Times New Roman"/>
                <w:sz w:val="20"/>
                <w:szCs w:val="20"/>
              </w:rPr>
            </w:pPr>
          </w:p>
        </w:tc>
        <w:tc>
          <w:tcPr>
            <w:tcW w:w="1623" w:type="pct"/>
            <w:vAlign w:val="center"/>
          </w:tcPr>
          <w:p>
            <w:pPr>
              <w:pStyle w:val="13"/>
              <w:rPr>
                <w:rFonts w:cs="Times New Roman"/>
                <w:sz w:val="20"/>
                <w:szCs w:val="20"/>
              </w:rPr>
            </w:pPr>
            <w:r>
              <w:rPr>
                <w:rFonts w:cs="Times New Roman"/>
                <w:sz w:val="20"/>
                <w:szCs w:val="20"/>
              </w:rPr>
              <w:t>芭蕉电缆工程区</w:t>
            </w:r>
          </w:p>
        </w:tc>
        <w:tc>
          <w:tcPr>
            <w:tcW w:w="1500" w:type="pct"/>
            <w:vMerge w:val="continue"/>
            <w:vAlign w:val="center"/>
          </w:tcPr>
          <w:p>
            <w:pPr>
              <w:pStyle w:val="13"/>
              <w:jc w:val="both"/>
              <w:rPr>
                <w:rFonts w:cs="Times New Roman"/>
                <w:sz w:val="20"/>
                <w:szCs w:val="20"/>
              </w:rPr>
            </w:pPr>
          </w:p>
        </w:tc>
      </w:tr>
    </w:tbl>
    <w:p>
      <w:pPr>
        <w:widowControl w:val="0"/>
        <w:kinsoku/>
        <w:topLinePunct/>
        <w:autoSpaceDE/>
        <w:autoSpaceDN/>
        <w:spacing w:before="120" w:beforeLines="50" w:line="360" w:lineRule="auto"/>
        <w:ind w:firstLine="482"/>
        <w:jc w:val="both"/>
        <w:rPr>
          <w:rFonts w:cs="Times New Roman"/>
          <w:b/>
          <w:bCs/>
          <w:color w:val="auto"/>
          <w:szCs w:val="24"/>
          <w:lang w:eastAsia="zh-CN"/>
        </w:rPr>
      </w:pPr>
      <w:r>
        <w:rPr>
          <w:rFonts w:cs="Times New Roman"/>
          <w:b/>
          <w:bCs/>
          <w:color w:val="auto"/>
          <w:szCs w:val="24"/>
          <w:lang w:eastAsia="zh-CN"/>
        </w:rPr>
        <w:t>（1）玛瑙500kV变电站220kV间隔扩建工程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1）站址概况</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玛瑙500kV变电站站址位于宣汉县双河镇玛瑙村马脑岩，现已建成场地较为平整，现有完备的排水及绿化设施。本期扩建是在220kV配电装置场地预留间隔进行，不需新征用地。</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2）建设规模</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本期需在玛瑙500kV变电站预留场地扩建220kV出线间隔1个。</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w:t>
      </w:r>
      <w:r>
        <w:rPr>
          <w:rFonts w:hint="eastAsia" w:cs="Times New Roman"/>
          <w:color w:val="auto"/>
          <w:szCs w:val="24"/>
          <w:lang w:eastAsia="zh-CN"/>
        </w:rPr>
        <w:t>玛瑙变电站</w:t>
      </w:r>
      <w:r>
        <w:rPr>
          <w:rFonts w:cs="Times New Roman"/>
          <w:color w:val="auto"/>
          <w:szCs w:val="24"/>
          <w:lang w:eastAsia="zh-CN"/>
        </w:rPr>
        <w:t>站区总平面及竖向布置</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变电站已建成，场地标高396.5m，场地平整，变电站原有排水系统完善，运行良好。本期220kV出线间隔扩建工程设计标高与原变电站场地标高相同，为396.5m。本期间隔扩建工程，间隔采用6个独立基础，独立基础深度1.6m，平面为1.2m×1.2m，布置在已有变电站东北部。</w:t>
      </w:r>
    </w:p>
    <w:p>
      <w:pPr>
        <w:widowControl w:val="0"/>
        <w:kinsoku/>
        <w:topLinePunct/>
        <w:autoSpaceDE/>
        <w:autoSpaceDN/>
        <w:spacing w:line="360" w:lineRule="auto"/>
        <w:ind w:firstLine="482"/>
        <w:jc w:val="both"/>
        <w:rPr>
          <w:rFonts w:cs="Times New Roman"/>
          <w:b/>
          <w:bCs/>
          <w:color w:val="auto"/>
          <w:szCs w:val="24"/>
          <w:lang w:eastAsia="zh-CN"/>
        </w:rPr>
      </w:pPr>
      <w:r>
        <w:rPr>
          <w:rFonts w:cs="Times New Roman"/>
          <w:b/>
          <w:bCs/>
          <w:color w:val="auto"/>
          <w:szCs w:val="24"/>
          <w:lang w:eastAsia="zh-CN"/>
        </w:rPr>
        <w:t>（2）芭蕉220kV变电站220kV间隔扩建工程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1）站址概况</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芭蕉220kV变电站站址位于宣汉县普光镇芭蕉村流杯湾，现已建成，场地较为平整，不设边坡及防护，现有完备的排水及绿化设施。本期扩建是在220kV配电装置场地预留间隔进行，不需新征用地。</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2）建设规模</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本期需在芭蕉220kV变电站预留场地扩建220kV出线间隔1个。</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w:t>
      </w:r>
      <w:r>
        <w:rPr>
          <w:rFonts w:hint="eastAsia" w:cs="Times New Roman"/>
          <w:color w:val="auto"/>
          <w:szCs w:val="24"/>
          <w:lang w:eastAsia="zh-CN"/>
        </w:rPr>
        <w:t>芭蕉变电站</w:t>
      </w:r>
      <w:r>
        <w:rPr>
          <w:rFonts w:cs="Times New Roman"/>
          <w:color w:val="auto"/>
          <w:szCs w:val="24"/>
          <w:lang w:eastAsia="zh-CN"/>
        </w:rPr>
        <w:t>站区总平面及竖向布置</w:t>
      </w:r>
    </w:p>
    <w:p>
      <w:pPr>
        <w:widowControl w:val="0"/>
        <w:kinsoku/>
        <w:topLinePunct/>
        <w:autoSpaceDE/>
        <w:autoSpaceDN/>
        <w:spacing w:line="360" w:lineRule="auto"/>
        <w:ind w:firstLine="480"/>
        <w:jc w:val="both"/>
        <w:rPr>
          <w:rFonts w:cs="Times New Roman"/>
          <w:color w:val="auto"/>
          <w:szCs w:val="24"/>
          <w:lang w:eastAsia="zh-CN"/>
        </w:rPr>
      </w:pPr>
      <w:bookmarkStart w:id="26" w:name="_Hlk162542221"/>
      <w:r>
        <w:rPr>
          <w:rFonts w:cs="Times New Roman"/>
          <w:color w:val="auto"/>
          <w:szCs w:val="24"/>
          <w:lang w:eastAsia="zh-CN"/>
        </w:rPr>
        <w:t>变电站已建成，场地标高344.6m，场地平整，变电站建设有排水</w:t>
      </w:r>
      <w:bookmarkEnd w:id="26"/>
      <w:r>
        <w:rPr>
          <w:rFonts w:cs="Times New Roman"/>
          <w:color w:val="auto"/>
          <w:szCs w:val="24"/>
          <w:lang w:eastAsia="zh-CN"/>
        </w:rPr>
        <w:t>系统。220kV出线间隔扩建工程设计标高与原变电站场地标高相同，均为344.6m。本期间隔扩建工程包括间隔扩建、雨水检查井和排水管，间隔采用6个独立基础，独立基础深度1.6m，平面为1.2m×1.2m，布置在已有变电站西北部；雨水检查井2座，独立基础深度1.2m，平面为1.0m×1.0m，布置在变电站西北部；排水管独立基础深度1.0m，平面为1.2m，长度90m，布置在变电站西部。</w:t>
      </w:r>
    </w:p>
    <w:p>
      <w:pPr>
        <w:widowControl w:val="0"/>
        <w:kinsoku/>
        <w:topLinePunct/>
        <w:autoSpaceDE/>
        <w:autoSpaceDN/>
        <w:spacing w:line="360" w:lineRule="auto"/>
        <w:ind w:firstLine="482"/>
        <w:jc w:val="both"/>
        <w:rPr>
          <w:rFonts w:cs="Times New Roman"/>
          <w:b/>
          <w:bCs/>
          <w:color w:val="auto"/>
          <w:szCs w:val="24"/>
          <w:lang w:eastAsia="zh-CN"/>
        </w:rPr>
      </w:pPr>
      <w:r>
        <w:rPr>
          <w:rFonts w:cs="Times New Roman"/>
          <w:b/>
          <w:bCs/>
          <w:color w:val="auto"/>
          <w:szCs w:val="24"/>
          <w:lang w:eastAsia="zh-CN"/>
        </w:rPr>
        <w:t>（3）玛瑙-正达凯220kV线路工程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1）建设规模</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线路从已建玛瑙500kV变电站220kV进出8#间隔构架向东北方向出线，到达新建的正达凯220kV变电站，架设2根48芯光缆。新建单回架空线路全长为4.683公里（玛瑙站出线侧0.5km按同塔双回单侧挂线建设，其余为按单回建设），导线采用2×JL/G1A-630/45-45/7型钢芯铝绞线，地线采用两根OPGW复合光缆。曲折系数为1.15。塔位共计16个（NA1-NA16）。</w:t>
      </w:r>
    </w:p>
    <w:p>
      <w:pPr>
        <w:spacing w:line="360" w:lineRule="auto"/>
        <w:ind w:firstLine="480"/>
        <w:rPr>
          <w:rFonts w:cs="Times New Roman"/>
          <w:color w:val="auto"/>
          <w:lang w:eastAsia="zh-CN"/>
        </w:rPr>
      </w:pPr>
      <w:r>
        <w:rPr>
          <w:rFonts w:cs="Times New Roman"/>
          <w:color w:val="auto"/>
          <w:lang w:eastAsia="zh-CN"/>
        </w:rPr>
        <w:t>2）路径走向及交叉情况</w:t>
      </w:r>
    </w:p>
    <w:p>
      <w:pPr>
        <w:spacing w:line="360" w:lineRule="auto"/>
        <w:ind w:firstLine="480"/>
        <w:rPr>
          <w:rFonts w:cs="Times New Roman"/>
          <w:color w:val="auto"/>
          <w:szCs w:val="24"/>
          <w:lang w:eastAsia="zh-CN"/>
        </w:rPr>
      </w:pPr>
      <w:r>
        <w:rPr>
          <w:rFonts w:cs="Times New Roman"/>
          <w:color w:val="auto"/>
          <w:szCs w:val="24"/>
          <w:lang w:eastAsia="zh-CN"/>
        </w:rPr>
        <w:t>新建玛瑙-正达凯220kV线路，从已建玛瑙500kV变电站220kV进出线8#构架至拟建正达凯220kV变电站220kV侧进出线1#构架，线路长度为4.683km。</w:t>
      </w:r>
      <w:r>
        <w:rPr>
          <w:rFonts w:hint="eastAsia" w:cs="Times New Roman"/>
          <w:color w:val="auto"/>
          <w:szCs w:val="24"/>
          <w:lang w:eastAsia="zh-CN"/>
        </w:rPr>
        <w:t>交叉跨越共4处。</w:t>
      </w:r>
    </w:p>
    <w:p>
      <w:pPr>
        <w:spacing w:line="360" w:lineRule="auto"/>
        <w:ind w:firstLine="480"/>
        <w:rPr>
          <w:rFonts w:cs="Times New Roman"/>
          <w:color w:val="auto"/>
          <w:szCs w:val="24"/>
          <w:lang w:eastAsia="zh-CN"/>
        </w:rPr>
      </w:pPr>
      <w:r>
        <w:rPr>
          <w:rFonts w:cs="Times New Roman"/>
          <w:color w:val="auto"/>
          <w:szCs w:val="24"/>
          <w:lang w:eastAsia="zh-CN"/>
        </w:rPr>
        <w:t>3）沿线地形地貌</w:t>
      </w:r>
    </w:p>
    <w:p>
      <w:pPr>
        <w:spacing w:line="360" w:lineRule="auto"/>
        <w:ind w:firstLine="480"/>
        <w:jc w:val="both"/>
        <w:rPr>
          <w:rFonts w:cs="Times New Roman"/>
          <w:color w:val="auto"/>
          <w:spacing w:val="-12"/>
          <w:szCs w:val="24"/>
          <w:lang w:eastAsia="zh-CN"/>
        </w:rPr>
      </w:pPr>
      <w:r>
        <w:rPr>
          <w:rFonts w:cs="Times New Roman"/>
          <w:color w:val="auto"/>
          <w:szCs w:val="24"/>
          <w:lang w:eastAsia="zh-CN"/>
        </w:rPr>
        <w:t>本线路工程路径海拔高度337~494m，相对高差0~157m。塔位海拔高度359.6~492.2m，相对高差0~132.6m</w:t>
      </w:r>
      <w:r>
        <w:rPr>
          <w:rFonts w:cs="Times New Roman"/>
          <w:color w:val="auto"/>
          <w:spacing w:val="-12"/>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4）塔型与基础型式</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根据工程区水文、地质条件，结合本工程特点，本工程采用挖孔桩基础（NA1-NA14）和灌注桩基础（NA15-NA16），铁塔采用地脚螺栓与基础连接，基础埋深6.0m~12.8m，柱径0.5~2.6m。</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塔基数量、塔型、根开、塔基形式见表2.1-3。</w:t>
      </w:r>
    </w:p>
    <w:p>
      <w:pPr>
        <w:spacing w:after="67" w:afterLines="28" w:line="240" w:lineRule="auto"/>
        <w:ind w:firstLine="0" w:firstLineChars="0"/>
        <w:jc w:val="center"/>
        <w:rPr>
          <w:rFonts w:cs="Times New Roman"/>
          <w:b/>
          <w:bCs/>
          <w:color w:val="auto"/>
          <w:sz w:val="21"/>
          <w:lang w:eastAsia="zh-CN"/>
        </w:rPr>
      </w:pPr>
      <w:r>
        <w:rPr>
          <w:rFonts w:cs="Times New Roman"/>
          <w:b/>
          <w:bCs/>
          <w:color w:val="auto"/>
          <w:sz w:val="21"/>
          <w:lang w:eastAsia="zh-CN"/>
        </w:rPr>
        <w:t>表2.1-3  玛瑙-正达凯220kV线路工程塔位建设统计表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907"/>
        <w:gridCol w:w="1448"/>
        <w:gridCol w:w="1024"/>
        <w:gridCol w:w="1272"/>
        <w:gridCol w:w="708"/>
        <w:gridCol w:w="879"/>
        <w:gridCol w:w="1001"/>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blHeader/>
        </w:trPr>
        <w:tc>
          <w:tcPr>
            <w:tcW w:w="287"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序号</w:t>
            </w:r>
          </w:p>
        </w:tc>
        <w:tc>
          <w:tcPr>
            <w:tcW w:w="54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塔位编号</w:t>
            </w:r>
          </w:p>
        </w:tc>
        <w:tc>
          <w:tcPr>
            <w:tcW w:w="86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塔型</w:t>
            </w:r>
          </w:p>
        </w:tc>
        <w:tc>
          <w:tcPr>
            <w:tcW w:w="612" w:type="pct"/>
            <w:shd w:val="clear" w:color="auto" w:fill="auto"/>
            <w:tcMar>
              <w:left w:w="28" w:type="dxa"/>
              <w:right w:w="28" w:type="dxa"/>
            </w:tcMar>
            <w:vAlign w:val="center"/>
          </w:tcPr>
          <w:p>
            <w:pPr>
              <w:pStyle w:val="13"/>
              <w:rPr>
                <w:rFonts w:cs="Times New Roman"/>
                <w:sz w:val="20"/>
                <w:szCs w:val="20"/>
              </w:rPr>
            </w:pPr>
            <w:r>
              <w:rPr>
                <w:rFonts w:cs="Times New Roman"/>
                <w:sz w:val="20"/>
                <w:szCs w:val="20"/>
              </w:rPr>
              <w:t>基础埋深(m)</w:t>
            </w:r>
          </w:p>
        </w:tc>
        <w:tc>
          <w:tcPr>
            <w:tcW w:w="760" w:type="pct"/>
            <w:shd w:val="clear" w:color="auto" w:fill="auto"/>
            <w:tcMar>
              <w:left w:w="28" w:type="dxa"/>
              <w:right w:w="28" w:type="dxa"/>
            </w:tcMar>
            <w:vAlign w:val="center"/>
          </w:tcPr>
          <w:p>
            <w:pPr>
              <w:pStyle w:val="13"/>
              <w:rPr>
                <w:rFonts w:cs="Times New Roman"/>
                <w:sz w:val="20"/>
                <w:szCs w:val="20"/>
              </w:rPr>
            </w:pPr>
            <w:r>
              <w:rPr>
                <w:rFonts w:cs="Times New Roman"/>
                <w:sz w:val="20"/>
                <w:szCs w:val="20"/>
              </w:rPr>
              <w:t>基础形式</w:t>
            </w:r>
          </w:p>
        </w:tc>
        <w:tc>
          <w:tcPr>
            <w:tcW w:w="423" w:type="pct"/>
            <w:shd w:val="clear" w:color="auto" w:fill="auto"/>
            <w:tcMar>
              <w:left w:w="28" w:type="dxa"/>
              <w:right w:w="28" w:type="dxa"/>
            </w:tcMar>
            <w:vAlign w:val="center"/>
          </w:tcPr>
          <w:p>
            <w:pPr>
              <w:pStyle w:val="13"/>
              <w:rPr>
                <w:rFonts w:cs="Times New Roman"/>
                <w:sz w:val="20"/>
                <w:szCs w:val="20"/>
              </w:rPr>
            </w:pPr>
            <w:r>
              <w:rPr>
                <w:rFonts w:cs="Times New Roman"/>
                <w:sz w:val="20"/>
                <w:szCs w:val="20"/>
              </w:rPr>
              <w:t>全高</w:t>
            </w:r>
          </w:p>
          <w:p>
            <w:pPr>
              <w:pStyle w:val="13"/>
              <w:rPr>
                <w:rFonts w:cs="Times New Roman"/>
                <w:sz w:val="20"/>
                <w:szCs w:val="20"/>
              </w:rPr>
            </w:pPr>
            <w:r>
              <w:rPr>
                <w:rFonts w:cs="Times New Roman"/>
                <w:sz w:val="20"/>
                <w:szCs w:val="20"/>
              </w:rPr>
              <w:t>（m）</w:t>
            </w:r>
          </w:p>
        </w:tc>
        <w:tc>
          <w:tcPr>
            <w:tcW w:w="525" w:type="pct"/>
            <w:shd w:val="clear" w:color="auto" w:fill="auto"/>
            <w:tcMar>
              <w:left w:w="28" w:type="dxa"/>
              <w:right w:w="28" w:type="dxa"/>
            </w:tcMar>
            <w:vAlign w:val="center"/>
          </w:tcPr>
          <w:p>
            <w:pPr>
              <w:pStyle w:val="13"/>
              <w:rPr>
                <w:rFonts w:cs="Times New Roman"/>
                <w:sz w:val="20"/>
                <w:szCs w:val="20"/>
              </w:rPr>
            </w:pPr>
            <w:r>
              <w:rPr>
                <w:rFonts w:cs="Times New Roman"/>
                <w:sz w:val="20"/>
                <w:szCs w:val="20"/>
              </w:rPr>
              <w:t>铁塔基础半根开(mm)</w:t>
            </w:r>
          </w:p>
        </w:tc>
        <w:tc>
          <w:tcPr>
            <w:tcW w:w="598" w:type="pct"/>
            <w:shd w:val="clear" w:color="auto" w:fill="auto"/>
            <w:tcMar>
              <w:left w:w="28" w:type="dxa"/>
              <w:right w:w="28" w:type="dxa"/>
            </w:tcMar>
            <w:vAlign w:val="center"/>
          </w:tcPr>
          <w:p>
            <w:pPr>
              <w:pStyle w:val="13"/>
              <w:rPr>
                <w:rFonts w:cs="Times New Roman"/>
                <w:sz w:val="20"/>
                <w:szCs w:val="20"/>
              </w:rPr>
            </w:pPr>
            <w:r>
              <w:rPr>
                <w:rFonts w:cs="Times New Roman"/>
                <w:sz w:val="20"/>
                <w:szCs w:val="20"/>
              </w:rPr>
              <w:t>铁塔基础根开(m)</w:t>
            </w:r>
          </w:p>
        </w:tc>
        <w:tc>
          <w:tcPr>
            <w:tcW w:w="388" w:type="pct"/>
            <w:shd w:val="clear" w:color="auto" w:fill="auto"/>
            <w:tcMar>
              <w:left w:w="28" w:type="dxa"/>
              <w:right w:w="28" w:type="dxa"/>
            </w:tcMar>
            <w:vAlign w:val="center"/>
          </w:tcPr>
          <w:p>
            <w:pPr>
              <w:pStyle w:val="13"/>
              <w:rPr>
                <w:rFonts w:cs="Times New Roman"/>
                <w:sz w:val="20"/>
                <w:szCs w:val="20"/>
              </w:rPr>
            </w:pPr>
            <w:r>
              <w:rPr>
                <w:rFonts w:cs="Times New Roman"/>
                <w:sz w:val="20"/>
                <w:szCs w:val="20"/>
              </w:rPr>
              <w:t>基础立柱宽(m)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7"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1</w:t>
            </w:r>
          </w:p>
        </w:tc>
        <w:tc>
          <w:tcPr>
            <w:tcW w:w="54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NA1</w:t>
            </w:r>
          </w:p>
        </w:tc>
        <w:tc>
          <w:tcPr>
            <w:tcW w:w="86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2F2-SDJC1-24</w:t>
            </w:r>
          </w:p>
        </w:tc>
        <w:tc>
          <w:tcPr>
            <w:tcW w:w="61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10.2~11.5</w:t>
            </w:r>
          </w:p>
        </w:tc>
        <w:tc>
          <w:tcPr>
            <w:tcW w:w="760"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挖孔桩基础</w:t>
            </w:r>
          </w:p>
        </w:tc>
        <w:tc>
          <w:tcPr>
            <w:tcW w:w="423"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41.5</w:t>
            </w:r>
          </w:p>
        </w:tc>
        <w:tc>
          <w:tcPr>
            <w:tcW w:w="52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6259.0 </w:t>
            </w:r>
          </w:p>
        </w:tc>
        <w:tc>
          <w:tcPr>
            <w:tcW w:w="59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12.518 </w:t>
            </w:r>
          </w:p>
        </w:tc>
        <w:tc>
          <w:tcPr>
            <w:tcW w:w="38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7"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w:t>
            </w:r>
          </w:p>
        </w:tc>
        <w:tc>
          <w:tcPr>
            <w:tcW w:w="54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NA2</w:t>
            </w:r>
          </w:p>
        </w:tc>
        <w:tc>
          <w:tcPr>
            <w:tcW w:w="86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2F2-SDJC1-27</w:t>
            </w:r>
          </w:p>
        </w:tc>
        <w:tc>
          <w:tcPr>
            <w:tcW w:w="61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10.0~11.5</w:t>
            </w:r>
          </w:p>
        </w:tc>
        <w:tc>
          <w:tcPr>
            <w:tcW w:w="760"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挖孔桩基础</w:t>
            </w:r>
          </w:p>
        </w:tc>
        <w:tc>
          <w:tcPr>
            <w:tcW w:w="423"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44.5</w:t>
            </w:r>
          </w:p>
        </w:tc>
        <w:tc>
          <w:tcPr>
            <w:tcW w:w="52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6844.0 </w:t>
            </w:r>
          </w:p>
        </w:tc>
        <w:tc>
          <w:tcPr>
            <w:tcW w:w="59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13.688 </w:t>
            </w:r>
          </w:p>
        </w:tc>
        <w:tc>
          <w:tcPr>
            <w:tcW w:w="38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7"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3</w:t>
            </w:r>
          </w:p>
        </w:tc>
        <w:tc>
          <w:tcPr>
            <w:tcW w:w="54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NA3</w:t>
            </w:r>
          </w:p>
        </w:tc>
        <w:tc>
          <w:tcPr>
            <w:tcW w:w="86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2F2-SDJC2-27</w:t>
            </w:r>
          </w:p>
        </w:tc>
        <w:tc>
          <w:tcPr>
            <w:tcW w:w="61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10.3~11.6</w:t>
            </w:r>
          </w:p>
        </w:tc>
        <w:tc>
          <w:tcPr>
            <w:tcW w:w="760"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挖孔桩基础</w:t>
            </w:r>
          </w:p>
        </w:tc>
        <w:tc>
          <w:tcPr>
            <w:tcW w:w="423"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44.5</w:t>
            </w:r>
          </w:p>
        </w:tc>
        <w:tc>
          <w:tcPr>
            <w:tcW w:w="52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6844.0 </w:t>
            </w:r>
          </w:p>
        </w:tc>
        <w:tc>
          <w:tcPr>
            <w:tcW w:w="59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13.688 </w:t>
            </w:r>
          </w:p>
        </w:tc>
        <w:tc>
          <w:tcPr>
            <w:tcW w:w="38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7"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4</w:t>
            </w:r>
          </w:p>
        </w:tc>
        <w:tc>
          <w:tcPr>
            <w:tcW w:w="54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NA4</w:t>
            </w:r>
          </w:p>
        </w:tc>
        <w:tc>
          <w:tcPr>
            <w:tcW w:w="86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2C2-JC1-19</w:t>
            </w:r>
          </w:p>
        </w:tc>
        <w:tc>
          <w:tcPr>
            <w:tcW w:w="61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6.9~7.3</w:t>
            </w:r>
          </w:p>
        </w:tc>
        <w:tc>
          <w:tcPr>
            <w:tcW w:w="760"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挖孔桩基础</w:t>
            </w:r>
          </w:p>
        </w:tc>
        <w:tc>
          <w:tcPr>
            <w:tcW w:w="423"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29</w:t>
            </w:r>
          </w:p>
        </w:tc>
        <w:tc>
          <w:tcPr>
            <w:tcW w:w="52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3000.0 </w:t>
            </w:r>
          </w:p>
        </w:tc>
        <w:tc>
          <w:tcPr>
            <w:tcW w:w="59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6.000 </w:t>
            </w:r>
          </w:p>
        </w:tc>
        <w:tc>
          <w:tcPr>
            <w:tcW w:w="38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7"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5</w:t>
            </w:r>
          </w:p>
        </w:tc>
        <w:tc>
          <w:tcPr>
            <w:tcW w:w="54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NA5</w:t>
            </w:r>
          </w:p>
        </w:tc>
        <w:tc>
          <w:tcPr>
            <w:tcW w:w="86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2C2-JC4-30</w:t>
            </w:r>
          </w:p>
        </w:tc>
        <w:tc>
          <w:tcPr>
            <w:tcW w:w="61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9.3~9.8</w:t>
            </w:r>
          </w:p>
        </w:tc>
        <w:tc>
          <w:tcPr>
            <w:tcW w:w="760"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挖孔桩基础</w:t>
            </w:r>
          </w:p>
        </w:tc>
        <w:tc>
          <w:tcPr>
            <w:tcW w:w="423"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40</w:t>
            </w:r>
          </w:p>
        </w:tc>
        <w:tc>
          <w:tcPr>
            <w:tcW w:w="52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5450.0 </w:t>
            </w:r>
          </w:p>
        </w:tc>
        <w:tc>
          <w:tcPr>
            <w:tcW w:w="59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10.900 </w:t>
            </w:r>
          </w:p>
        </w:tc>
        <w:tc>
          <w:tcPr>
            <w:tcW w:w="38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7"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6</w:t>
            </w:r>
          </w:p>
        </w:tc>
        <w:tc>
          <w:tcPr>
            <w:tcW w:w="54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NA6</w:t>
            </w:r>
          </w:p>
        </w:tc>
        <w:tc>
          <w:tcPr>
            <w:tcW w:w="86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220GT1-JC2-51</w:t>
            </w:r>
          </w:p>
        </w:tc>
        <w:tc>
          <w:tcPr>
            <w:tcW w:w="61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9.4~11.2</w:t>
            </w:r>
          </w:p>
        </w:tc>
        <w:tc>
          <w:tcPr>
            <w:tcW w:w="760"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挖孔桩基础</w:t>
            </w:r>
          </w:p>
        </w:tc>
        <w:tc>
          <w:tcPr>
            <w:tcW w:w="423"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60.5</w:t>
            </w:r>
          </w:p>
        </w:tc>
        <w:tc>
          <w:tcPr>
            <w:tcW w:w="52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6200.0 </w:t>
            </w:r>
          </w:p>
        </w:tc>
        <w:tc>
          <w:tcPr>
            <w:tcW w:w="59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12.400 </w:t>
            </w:r>
          </w:p>
        </w:tc>
        <w:tc>
          <w:tcPr>
            <w:tcW w:w="38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7"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7</w:t>
            </w:r>
          </w:p>
        </w:tc>
        <w:tc>
          <w:tcPr>
            <w:tcW w:w="54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NA7</w:t>
            </w:r>
          </w:p>
        </w:tc>
        <w:tc>
          <w:tcPr>
            <w:tcW w:w="86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2C2-ZBC2-35</w:t>
            </w:r>
          </w:p>
        </w:tc>
        <w:tc>
          <w:tcPr>
            <w:tcW w:w="61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7.2~8.3</w:t>
            </w:r>
          </w:p>
        </w:tc>
        <w:tc>
          <w:tcPr>
            <w:tcW w:w="760"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挖孔桩基础</w:t>
            </w:r>
          </w:p>
        </w:tc>
        <w:tc>
          <w:tcPr>
            <w:tcW w:w="423"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39</w:t>
            </w:r>
          </w:p>
        </w:tc>
        <w:tc>
          <w:tcPr>
            <w:tcW w:w="52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3350.0 </w:t>
            </w:r>
          </w:p>
        </w:tc>
        <w:tc>
          <w:tcPr>
            <w:tcW w:w="59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6.700 </w:t>
            </w:r>
          </w:p>
        </w:tc>
        <w:tc>
          <w:tcPr>
            <w:tcW w:w="38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7"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8</w:t>
            </w:r>
          </w:p>
        </w:tc>
        <w:tc>
          <w:tcPr>
            <w:tcW w:w="54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NA8</w:t>
            </w:r>
          </w:p>
        </w:tc>
        <w:tc>
          <w:tcPr>
            <w:tcW w:w="86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2C2-ZBC2-35</w:t>
            </w:r>
          </w:p>
        </w:tc>
        <w:tc>
          <w:tcPr>
            <w:tcW w:w="61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7.1~7.8</w:t>
            </w:r>
          </w:p>
        </w:tc>
        <w:tc>
          <w:tcPr>
            <w:tcW w:w="760"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挖孔桩基础</w:t>
            </w:r>
          </w:p>
        </w:tc>
        <w:tc>
          <w:tcPr>
            <w:tcW w:w="423"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39</w:t>
            </w:r>
          </w:p>
        </w:tc>
        <w:tc>
          <w:tcPr>
            <w:tcW w:w="52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3350.0 </w:t>
            </w:r>
          </w:p>
        </w:tc>
        <w:tc>
          <w:tcPr>
            <w:tcW w:w="59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6.700 </w:t>
            </w:r>
          </w:p>
        </w:tc>
        <w:tc>
          <w:tcPr>
            <w:tcW w:w="38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7"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9</w:t>
            </w:r>
          </w:p>
        </w:tc>
        <w:tc>
          <w:tcPr>
            <w:tcW w:w="54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NA9</w:t>
            </w:r>
          </w:p>
        </w:tc>
        <w:tc>
          <w:tcPr>
            <w:tcW w:w="86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2C2-ZBC2-45</w:t>
            </w:r>
          </w:p>
        </w:tc>
        <w:tc>
          <w:tcPr>
            <w:tcW w:w="61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7.3~7.9</w:t>
            </w:r>
          </w:p>
        </w:tc>
        <w:tc>
          <w:tcPr>
            <w:tcW w:w="760"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挖孔桩基础</w:t>
            </w:r>
          </w:p>
        </w:tc>
        <w:tc>
          <w:tcPr>
            <w:tcW w:w="423"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49</w:t>
            </w:r>
          </w:p>
        </w:tc>
        <w:tc>
          <w:tcPr>
            <w:tcW w:w="52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4150.0 </w:t>
            </w:r>
          </w:p>
        </w:tc>
        <w:tc>
          <w:tcPr>
            <w:tcW w:w="59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8.300 </w:t>
            </w:r>
          </w:p>
        </w:tc>
        <w:tc>
          <w:tcPr>
            <w:tcW w:w="38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7"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10</w:t>
            </w:r>
          </w:p>
        </w:tc>
        <w:tc>
          <w:tcPr>
            <w:tcW w:w="54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NA10</w:t>
            </w:r>
          </w:p>
        </w:tc>
        <w:tc>
          <w:tcPr>
            <w:tcW w:w="86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2C2-JC3G-33</w:t>
            </w:r>
          </w:p>
        </w:tc>
        <w:tc>
          <w:tcPr>
            <w:tcW w:w="61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8.5~9.9</w:t>
            </w:r>
          </w:p>
        </w:tc>
        <w:tc>
          <w:tcPr>
            <w:tcW w:w="760"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挖孔桩基础</w:t>
            </w:r>
          </w:p>
        </w:tc>
        <w:tc>
          <w:tcPr>
            <w:tcW w:w="423"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43</w:t>
            </w:r>
          </w:p>
        </w:tc>
        <w:tc>
          <w:tcPr>
            <w:tcW w:w="52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5195.0 </w:t>
            </w:r>
          </w:p>
        </w:tc>
        <w:tc>
          <w:tcPr>
            <w:tcW w:w="59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10.390 </w:t>
            </w:r>
          </w:p>
        </w:tc>
        <w:tc>
          <w:tcPr>
            <w:tcW w:w="38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7"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11</w:t>
            </w:r>
          </w:p>
        </w:tc>
        <w:tc>
          <w:tcPr>
            <w:tcW w:w="54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NA11</w:t>
            </w:r>
          </w:p>
        </w:tc>
        <w:tc>
          <w:tcPr>
            <w:tcW w:w="86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2C2-JC1-30</w:t>
            </w:r>
          </w:p>
        </w:tc>
        <w:tc>
          <w:tcPr>
            <w:tcW w:w="61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7.1~7.8</w:t>
            </w:r>
          </w:p>
        </w:tc>
        <w:tc>
          <w:tcPr>
            <w:tcW w:w="760"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挖孔桩基础</w:t>
            </w:r>
          </w:p>
        </w:tc>
        <w:tc>
          <w:tcPr>
            <w:tcW w:w="423"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40</w:t>
            </w:r>
          </w:p>
        </w:tc>
        <w:tc>
          <w:tcPr>
            <w:tcW w:w="52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4210.0 </w:t>
            </w:r>
          </w:p>
        </w:tc>
        <w:tc>
          <w:tcPr>
            <w:tcW w:w="59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8.420 </w:t>
            </w:r>
          </w:p>
        </w:tc>
        <w:tc>
          <w:tcPr>
            <w:tcW w:w="38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7"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12</w:t>
            </w:r>
          </w:p>
        </w:tc>
        <w:tc>
          <w:tcPr>
            <w:tcW w:w="54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NA12</w:t>
            </w:r>
          </w:p>
        </w:tc>
        <w:tc>
          <w:tcPr>
            <w:tcW w:w="86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2C2-JC1-30</w:t>
            </w:r>
          </w:p>
        </w:tc>
        <w:tc>
          <w:tcPr>
            <w:tcW w:w="61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7.1~8.0</w:t>
            </w:r>
          </w:p>
        </w:tc>
        <w:tc>
          <w:tcPr>
            <w:tcW w:w="760"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挖孔桩基础</w:t>
            </w:r>
          </w:p>
        </w:tc>
        <w:tc>
          <w:tcPr>
            <w:tcW w:w="423"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40</w:t>
            </w:r>
          </w:p>
        </w:tc>
        <w:tc>
          <w:tcPr>
            <w:tcW w:w="52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4210.0 </w:t>
            </w:r>
          </w:p>
        </w:tc>
        <w:tc>
          <w:tcPr>
            <w:tcW w:w="59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8.420 </w:t>
            </w:r>
          </w:p>
        </w:tc>
        <w:tc>
          <w:tcPr>
            <w:tcW w:w="38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7"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13</w:t>
            </w:r>
          </w:p>
        </w:tc>
        <w:tc>
          <w:tcPr>
            <w:tcW w:w="54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NA13</w:t>
            </w:r>
          </w:p>
        </w:tc>
        <w:tc>
          <w:tcPr>
            <w:tcW w:w="86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2C2-JC1-30</w:t>
            </w:r>
          </w:p>
        </w:tc>
        <w:tc>
          <w:tcPr>
            <w:tcW w:w="61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7.1~7.3</w:t>
            </w:r>
          </w:p>
        </w:tc>
        <w:tc>
          <w:tcPr>
            <w:tcW w:w="760"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挖孔桩基础</w:t>
            </w:r>
          </w:p>
        </w:tc>
        <w:tc>
          <w:tcPr>
            <w:tcW w:w="423"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40</w:t>
            </w:r>
          </w:p>
        </w:tc>
        <w:tc>
          <w:tcPr>
            <w:tcW w:w="52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4210.0 </w:t>
            </w:r>
          </w:p>
        </w:tc>
        <w:tc>
          <w:tcPr>
            <w:tcW w:w="59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8.420 </w:t>
            </w:r>
          </w:p>
        </w:tc>
        <w:tc>
          <w:tcPr>
            <w:tcW w:w="38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7"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14</w:t>
            </w:r>
          </w:p>
        </w:tc>
        <w:tc>
          <w:tcPr>
            <w:tcW w:w="54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NA14</w:t>
            </w:r>
          </w:p>
        </w:tc>
        <w:tc>
          <w:tcPr>
            <w:tcW w:w="86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2C2-DJC-30</w:t>
            </w:r>
          </w:p>
        </w:tc>
        <w:tc>
          <w:tcPr>
            <w:tcW w:w="61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9.3~9.9</w:t>
            </w:r>
          </w:p>
        </w:tc>
        <w:tc>
          <w:tcPr>
            <w:tcW w:w="760"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挖孔桩基础</w:t>
            </w:r>
          </w:p>
        </w:tc>
        <w:tc>
          <w:tcPr>
            <w:tcW w:w="423"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40</w:t>
            </w:r>
          </w:p>
        </w:tc>
        <w:tc>
          <w:tcPr>
            <w:tcW w:w="52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5130.0 </w:t>
            </w:r>
          </w:p>
        </w:tc>
        <w:tc>
          <w:tcPr>
            <w:tcW w:w="59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10.260 </w:t>
            </w:r>
          </w:p>
        </w:tc>
        <w:tc>
          <w:tcPr>
            <w:tcW w:w="38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7"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15</w:t>
            </w:r>
          </w:p>
        </w:tc>
        <w:tc>
          <w:tcPr>
            <w:tcW w:w="54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NA15</w:t>
            </w:r>
          </w:p>
        </w:tc>
        <w:tc>
          <w:tcPr>
            <w:tcW w:w="86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220GG1-DJ-30</w:t>
            </w:r>
          </w:p>
        </w:tc>
        <w:tc>
          <w:tcPr>
            <w:tcW w:w="61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13</w:t>
            </w:r>
          </w:p>
        </w:tc>
        <w:tc>
          <w:tcPr>
            <w:tcW w:w="760"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灌注桩基础</w:t>
            </w:r>
          </w:p>
        </w:tc>
        <w:tc>
          <w:tcPr>
            <w:tcW w:w="423"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40.4</w:t>
            </w:r>
          </w:p>
        </w:tc>
        <w:tc>
          <w:tcPr>
            <w:tcW w:w="52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w:t>
            </w:r>
          </w:p>
        </w:tc>
        <w:tc>
          <w:tcPr>
            <w:tcW w:w="59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0.000 </w:t>
            </w:r>
          </w:p>
        </w:tc>
        <w:tc>
          <w:tcPr>
            <w:tcW w:w="38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7"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16</w:t>
            </w:r>
          </w:p>
        </w:tc>
        <w:tc>
          <w:tcPr>
            <w:tcW w:w="54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NA16</w:t>
            </w:r>
          </w:p>
        </w:tc>
        <w:tc>
          <w:tcPr>
            <w:tcW w:w="86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220GG1-DJ-21</w:t>
            </w:r>
          </w:p>
        </w:tc>
        <w:tc>
          <w:tcPr>
            <w:tcW w:w="612"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11.8</w:t>
            </w:r>
          </w:p>
        </w:tc>
        <w:tc>
          <w:tcPr>
            <w:tcW w:w="760"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灌注桩基础</w:t>
            </w:r>
          </w:p>
        </w:tc>
        <w:tc>
          <w:tcPr>
            <w:tcW w:w="423"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31.4</w:t>
            </w:r>
          </w:p>
        </w:tc>
        <w:tc>
          <w:tcPr>
            <w:tcW w:w="525"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w:t>
            </w:r>
          </w:p>
        </w:tc>
        <w:tc>
          <w:tcPr>
            <w:tcW w:w="59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0.000 </w:t>
            </w:r>
          </w:p>
        </w:tc>
        <w:tc>
          <w:tcPr>
            <w:tcW w:w="388" w:type="pct"/>
            <w:shd w:val="clear" w:color="auto" w:fill="auto"/>
            <w:noWrap/>
            <w:tcMar>
              <w:left w:w="28" w:type="dxa"/>
              <w:right w:w="28" w:type="dxa"/>
            </w:tcMar>
            <w:vAlign w:val="center"/>
          </w:tcPr>
          <w:p>
            <w:pPr>
              <w:pStyle w:val="13"/>
              <w:rPr>
                <w:rFonts w:cs="Times New Roman"/>
                <w:sz w:val="20"/>
                <w:szCs w:val="20"/>
              </w:rPr>
            </w:pPr>
            <w:r>
              <w:rPr>
                <w:rFonts w:cs="Times New Roman"/>
                <w:sz w:val="20"/>
                <w:szCs w:val="20"/>
              </w:rPr>
              <w:t xml:space="preserve">2.4 </w:t>
            </w:r>
          </w:p>
        </w:tc>
      </w:tr>
    </w:tbl>
    <w:p>
      <w:pPr>
        <w:widowControl w:val="0"/>
        <w:kinsoku/>
        <w:topLinePunct/>
        <w:autoSpaceDE/>
        <w:autoSpaceDN/>
        <w:spacing w:line="360" w:lineRule="auto"/>
        <w:ind w:firstLine="480"/>
        <w:jc w:val="both"/>
        <w:rPr>
          <w:rFonts w:cs="Times New Roman"/>
          <w:color w:val="auto"/>
          <w:szCs w:val="24"/>
          <w:lang w:eastAsia="zh-CN"/>
        </w:rPr>
      </w:pPr>
      <w:bookmarkStart w:id="27" w:name="_Hlk162600192"/>
      <w:r>
        <w:rPr>
          <w:rFonts w:hint="eastAsia" w:cs="Times New Roman"/>
          <w:color w:val="auto"/>
          <w:szCs w:val="24"/>
          <w:lang w:eastAsia="zh-CN"/>
        </w:rPr>
        <w:t>5）玛瑙施工便道区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塔位NA1、NA2、NA15、NA16为机械施工，NA15、NA16紧邻公路，利用原有道路，NA1、NA2</w:t>
      </w:r>
      <w:r>
        <w:rPr>
          <w:rFonts w:hint="eastAsia" w:cs="Times New Roman"/>
          <w:color w:val="auto"/>
          <w:szCs w:val="24"/>
          <w:lang w:eastAsia="zh-CN"/>
        </w:rPr>
        <w:t>机械施工</w:t>
      </w:r>
      <w:r>
        <w:rPr>
          <w:rFonts w:cs="Times New Roman"/>
          <w:color w:val="auto"/>
          <w:szCs w:val="24"/>
          <w:lang w:eastAsia="zh-CN"/>
        </w:rPr>
        <w:t>需修建施工便道，新建施工便道160m，宽度3m，临时占地480m</w:t>
      </w:r>
      <w:r>
        <w:rPr>
          <w:rFonts w:cs="Times New Roman"/>
          <w:color w:val="auto"/>
          <w:szCs w:val="24"/>
          <w:vertAlign w:val="superscript"/>
          <w:lang w:eastAsia="zh-CN"/>
        </w:rPr>
        <w:t>2</w:t>
      </w:r>
      <w:r>
        <w:rPr>
          <w:rFonts w:cs="Times New Roman"/>
          <w:color w:val="auto"/>
          <w:szCs w:val="24"/>
          <w:lang w:eastAsia="zh-CN"/>
        </w:rPr>
        <w:t>，其余塔位（骡马搬运）便道为长2900m，宽度1.2m，临时占地3480m</w:t>
      </w:r>
      <w:r>
        <w:rPr>
          <w:rFonts w:cs="Times New Roman"/>
          <w:color w:val="auto"/>
          <w:szCs w:val="24"/>
          <w:vertAlign w:val="superscript"/>
          <w:lang w:eastAsia="zh-CN"/>
        </w:rPr>
        <w:t>2</w:t>
      </w:r>
      <w:r>
        <w:rPr>
          <w:rFonts w:cs="Times New Roman"/>
          <w:color w:val="auto"/>
          <w:szCs w:val="24"/>
          <w:lang w:eastAsia="zh-CN"/>
        </w:rPr>
        <w:t>。占地类型为林地。</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6）</w:t>
      </w:r>
      <w:r>
        <w:rPr>
          <w:rFonts w:hint="eastAsia" w:cs="Times New Roman"/>
          <w:color w:val="auto"/>
          <w:szCs w:val="24"/>
          <w:lang w:eastAsia="zh-CN"/>
        </w:rPr>
        <w:t>玛瑙</w:t>
      </w:r>
      <w:r>
        <w:rPr>
          <w:rFonts w:cs="Times New Roman"/>
          <w:color w:val="auto"/>
          <w:szCs w:val="24"/>
          <w:lang w:eastAsia="zh-CN"/>
        </w:rPr>
        <w:t>牵张场</w:t>
      </w:r>
      <w:r>
        <w:rPr>
          <w:rFonts w:hint="eastAsia" w:cs="Times New Roman"/>
          <w:color w:val="auto"/>
          <w:szCs w:val="24"/>
          <w:lang w:eastAsia="zh-CN"/>
        </w:rPr>
        <w:t>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为满足施工的需要，沿线需设置牵张场，根据沿线实际情况及设计资料，本项目线路工程施工期间需在每1.6～1.8km设置1处牵张场，据统计，本项目施工期间共布设3个牵张场，牵张场单个占地400m</w:t>
      </w:r>
      <w:r>
        <w:rPr>
          <w:rFonts w:cs="Times New Roman"/>
          <w:color w:val="auto"/>
          <w:szCs w:val="24"/>
          <w:vertAlign w:val="superscript"/>
          <w:lang w:eastAsia="zh-CN"/>
        </w:rPr>
        <w:t>2</w:t>
      </w:r>
      <w:r>
        <w:rPr>
          <w:rFonts w:cs="Times New Roman"/>
          <w:color w:val="auto"/>
          <w:szCs w:val="24"/>
          <w:lang w:eastAsia="zh-CN"/>
        </w:rPr>
        <w:t>，共计占地1200m</w:t>
      </w:r>
      <w:r>
        <w:rPr>
          <w:rFonts w:cs="Times New Roman"/>
          <w:color w:val="auto"/>
          <w:szCs w:val="24"/>
          <w:vertAlign w:val="superscript"/>
          <w:lang w:eastAsia="zh-CN"/>
        </w:rPr>
        <w:t>2</w:t>
      </w:r>
      <w:r>
        <w:rPr>
          <w:rFonts w:cs="Times New Roman"/>
          <w:color w:val="auto"/>
          <w:szCs w:val="24"/>
          <w:lang w:eastAsia="zh-CN"/>
        </w:rPr>
        <w:t>。牵张场为临时占地，选址时应避开植被较好的区域。</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7）</w:t>
      </w:r>
      <w:r>
        <w:rPr>
          <w:rFonts w:hint="eastAsia" w:cs="Times New Roman"/>
          <w:color w:val="auto"/>
          <w:szCs w:val="24"/>
          <w:lang w:eastAsia="zh-CN"/>
        </w:rPr>
        <w:t>玛瑙</w:t>
      </w:r>
      <w:r>
        <w:rPr>
          <w:rFonts w:cs="Times New Roman"/>
          <w:color w:val="auto"/>
          <w:szCs w:val="24"/>
          <w:lang w:eastAsia="zh-CN"/>
        </w:rPr>
        <w:t>跨越场</w:t>
      </w:r>
      <w:r>
        <w:rPr>
          <w:rFonts w:hint="eastAsia" w:cs="Times New Roman"/>
          <w:color w:val="auto"/>
          <w:szCs w:val="24"/>
          <w:lang w:eastAsia="zh-CN"/>
        </w:rPr>
        <w:t>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在放线施工中，为使导地线安全通过被跨越物(电力线、等级公路等)而搭设临时结构体，材料有竹竿、木杆、钢管及其他金属结构体等，置于跨越两侧，共设跨越施工临时占地4处，每处占地面积约120m</w:t>
      </w:r>
      <w:r>
        <w:rPr>
          <w:rFonts w:cs="Times New Roman"/>
          <w:color w:val="auto"/>
          <w:szCs w:val="24"/>
          <w:vertAlign w:val="superscript"/>
          <w:lang w:eastAsia="zh-CN"/>
        </w:rPr>
        <w:t>2</w:t>
      </w:r>
      <w:r>
        <w:rPr>
          <w:rFonts w:cs="Times New Roman"/>
          <w:color w:val="auto"/>
          <w:szCs w:val="24"/>
          <w:lang w:eastAsia="zh-CN"/>
        </w:rPr>
        <w:t>，跨越施工临时占地共计480m</w:t>
      </w:r>
      <w:r>
        <w:rPr>
          <w:rFonts w:cs="Times New Roman"/>
          <w:color w:val="auto"/>
          <w:szCs w:val="24"/>
          <w:vertAlign w:val="superscript"/>
          <w:lang w:eastAsia="zh-CN"/>
        </w:rPr>
        <w:t>2</w:t>
      </w:r>
      <w:r>
        <w:rPr>
          <w:rFonts w:cs="Times New Roman"/>
          <w:color w:val="auto"/>
          <w:szCs w:val="24"/>
          <w:lang w:eastAsia="zh-CN"/>
        </w:rPr>
        <w:t>。</w:t>
      </w:r>
      <w:bookmarkEnd w:id="27"/>
    </w:p>
    <w:p>
      <w:pPr>
        <w:widowControl w:val="0"/>
        <w:kinsoku/>
        <w:topLinePunct/>
        <w:autoSpaceDE/>
        <w:autoSpaceDN/>
        <w:spacing w:line="360" w:lineRule="auto"/>
        <w:ind w:firstLine="482"/>
        <w:jc w:val="both"/>
        <w:rPr>
          <w:rFonts w:cs="Times New Roman"/>
          <w:b/>
          <w:bCs/>
          <w:color w:val="auto"/>
          <w:szCs w:val="24"/>
          <w:lang w:eastAsia="zh-CN"/>
        </w:rPr>
      </w:pPr>
      <w:r>
        <w:rPr>
          <w:rFonts w:cs="Times New Roman"/>
          <w:b/>
          <w:bCs/>
          <w:color w:val="auto"/>
          <w:szCs w:val="24"/>
          <w:lang w:eastAsia="zh-CN"/>
        </w:rPr>
        <w:t>（4）芭蕉-正达凯220kV线路工程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1）建设规模</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新建芭蕉-正达凯220kV线路，从已建芭蕉220kV变电站GIS间隔至拟建正达凯220kV变电站220kV侧进出线2#构架，线路长度为12.452km（其中，芭蕉侧单回电缆约0.06km，芭蕉侧同塔双回路（另一回预留）约1.452km，中间同塔四回路（另三回预留）约9.789km，正达凯侧单回路约1.151km）的输电线路本体设计；根据通信方案，沿新建芭蕉—正达凯220kV线路架设2根OPGW光缆。塔位共计32个（NB1-NB32）。</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2）路径走向及交叉情况</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线路从已建芭蕉220kV变电站扩建GIS间隔经电缆出线至变电站南侧后，采用双回架空线路向西南方向走线，跨过待建110kV芭普线、中河到达诸家湾附近调整为同塔四回路走线，在跨过包茂高速公路（达陕段）后左转，跨过35kV胡普线、后河、35kV-355大湾线继续向西走线，在下罗家坪和上罗家坪附近先下穿220kV柳芭线（迁改升高）后，再依次跨越110kV柳花宣线、待建110kV芭普线、35kV-355大湾线-4，又继续向西南经杨大岩，在吴家沟附近跨过110kV土胡线、110kV柳胡线后，至文家湾附近跨过35kV胡土线、110kV柳宣蒲、柳花宣T接线双回线路，在窑厂梁附近调整为单回路大转角左转，朝东南方向走线，最终到达新建的正达凯220kV变电站。</w:t>
      </w:r>
      <w:r>
        <w:rPr>
          <w:rFonts w:hint="eastAsia" w:cs="Times New Roman"/>
          <w:color w:val="auto"/>
          <w:szCs w:val="24"/>
          <w:lang w:eastAsia="zh-CN"/>
        </w:rPr>
        <w:t>交叉跨越共6处。</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3）沿线地形地貌</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本工程路径海拔高度295~668m，相对高差0~373m。塔位海拔高度345.1~667.9m，相对高差0~322.8m</w:t>
      </w:r>
      <w:r>
        <w:rPr>
          <w:rFonts w:cs="Times New Roman"/>
          <w:color w:val="auto"/>
          <w:spacing w:val="-12"/>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4）塔型与基础型式</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工程区水文、地质条件，结合本工程特点，本工程采用挖孔桩基础（NB2-NB4、NB6、NB8-NB26、NB28-NB30）、灌注桩（NB1、NB31-NB32）和承台基础（NB5、NB7、NB27），铁塔采用地脚螺栓与基础连接，基础埋深6.0m~12.8m，柱径0.5~2.6m。</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塔基数量、塔型、根开、塔基形式见表2.1-4。</w:t>
      </w:r>
    </w:p>
    <w:p>
      <w:pPr>
        <w:spacing w:after="67" w:afterLines="28" w:line="240" w:lineRule="auto"/>
        <w:ind w:firstLine="0" w:firstLineChars="0"/>
        <w:jc w:val="center"/>
        <w:rPr>
          <w:rFonts w:cs="Times New Roman"/>
          <w:color w:val="auto"/>
          <w:sz w:val="21"/>
          <w:lang w:eastAsia="zh-CN"/>
        </w:rPr>
      </w:pPr>
      <w:r>
        <w:rPr>
          <w:rFonts w:cs="Times New Roman"/>
          <w:b/>
          <w:bCs/>
          <w:color w:val="auto"/>
          <w:sz w:val="21"/>
          <w:lang w:eastAsia="zh-CN"/>
        </w:rPr>
        <w:t>表2.1-4  芭蕉-正达凯220kV线路工程塔位建设统计表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456"/>
        <w:gridCol w:w="856"/>
        <w:gridCol w:w="1617"/>
        <w:gridCol w:w="1025"/>
        <w:gridCol w:w="1218"/>
        <w:gridCol w:w="612"/>
        <w:gridCol w:w="886"/>
        <w:gridCol w:w="915"/>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blHeader/>
          <w:jc w:val="center"/>
        </w:trPr>
        <w:tc>
          <w:tcPr>
            <w:tcW w:w="268" w:type="pct"/>
            <w:shd w:val="clear" w:color="auto" w:fill="FFFFFF" w:themeFill="background1"/>
            <w:noWrap/>
            <w:tcMar>
              <w:left w:w="28" w:type="dxa"/>
              <w:right w:w="28" w:type="dxa"/>
            </w:tcMar>
            <w:vAlign w:val="center"/>
          </w:tcPr>
          <w:p>
            <w:pPr>
              <w:pStyle w:val="13"/>
              <w:rPr>
                <w:rFonts w:cs="Times New Roman"/>
                <w:sz w:val="20"/>
                <w:szCs w:val="20"/>
              </w:rPr>
            </w:pPr>
            <w:r>
              <w:rPr>
                <w:rFonts w:cs="Times New Roman"/>
                <w:sz w:val="20"/>
                <w:szCs w:val="20"/>
              </w:rPr>
              <w:t>序号</w:t>
            </w:r>
          </w:p>
        </w:tc>
        <w:tc>
          <w:tcPr>
            <w:tcW w:w="502" w:type="pct"/>
            <w:shd w:val="clear" w:color="auto" w:fill="FFFFFF" w:themeFill="background1"/>
            <w:noWrap/>
            <w:tcMar>
              <w:left w:w="28" w:type="dxa"/>
              <w:right w:w="28" w:type="dxa"/>
            </w:tcMar>
            <w:vAlign w:val="center"/>
          </w:tcPr>
          <w:p>
            <w:pPr>
              <w:pStyle w:val="13"/>
              <w:rPr>
                <w:rFonts w:cs="Times New Roman"/>
                <w:sz w:val="20"/>
                <w:szCs w:val="20"/>
              </w:rPr>
            </w:pPr>
            <w:r>
              <w:rPr>
                <w:rFonts w:cs="Times New Roman"/>
                <w:sz w:val="20"/>
                <w:szCs w:val="20"/>
              </w:rPr>
              <w:t>塔位编号</w:t>
            </w:r>
          </w:p>
        </w:tc>
        <w:tc>
          <w:tcPr>
            <w:tcW w:w="945" w:type="pct"/>
            <w:shd w:val="clear" w:color="auto" w:fill="FFFFFF" w:themeFill="background1"/>
            <w:noWrap/>
            <w:tcMar>
              <w:left w:w="28" w:type="dxa"/>
              <w:right w:w="28" w:type="dxa"/>
            </w:tcMar>
            <w:vAlign w:val="center"/>
          </w:tcPr>
          <w:p>
            <w:pPr>
              <w:pStyle w:val="13"/>
              <w:rPr>
                <w:rFonts w:cs="Times New Roman"/>
                <w:sz w:val="20"/>
                <w:szCs w:val="20"/>
              </w:rPr>
            </w:pPr>
            <w:r>
              <w:rPr>
                <w:rFonts w:cs="Times New Roman"/>
                <w:sz w:val="20"/>
                <w:szCs w:val="20"/>
              </w:rPr>
              <w:t>塔型</w:t>
            </w:r>
          </w:p>
        </w:tc>
        <w:tc>
          <w:tcPr>
            <w:tcW w:w="620" w:type="pct"/>
            <w:shd w:val="clear" w:color="auto" w:fill="FFFFFF" w:themeFill="background1"/>
            <w:tcMar>
              <w:left w:w="28" w:type="dxa"/>
              <w:right w:w="28" w:type="dxa"/>
            </w:tcMar>
            <w:vAlign w:val="center"/>
          </w:tcPr>
          <w:p>
            <w:pPr>
              <w:pStyle w:val="13"/>
              <w:rPr>
                <w:rFonts w:cs="Times New Roman"/>
                <w:sz w:val="20"/>
                <w:szCs w:val="20"/>
              </w:rPr>
            </w:pPr>
            <w:r>
              <w:rPr>
                <w:rFonts w:cs="Times New Roman"/>
                <w:sz w:val="20"/>
                <w:szCs w:val="20"/>
              </w:rPr>
              <w:t>基础埋深(m)</w:t>
            </w:r>
          </w:p>
        </w:tc>
        <w:tc>
          <w:tcPr>
            <w:tcW w:w="737" w:type="pct"/>
            <w:shd w:val="clear" w:color="auto" w:fill="FFFFFF" w:themeFill="background1"/>
            <w:tcMar>
              <w:left w:w="28" w:type="dxa"/>
              <w:right w:w="28" w:type="dxa"/>
            </w:tcMar>
            <w:vAlign w:val="center"/>
          </w:tcPr>
          <w:p>
            <w:pPr>
              <w:pStyle w:val="13"/>
              <w:rPr>
                <w:rFonts w:cs="Times New Roman"/>
                <w:sz w:val="20"/>
                <w:szCs w:val="20"/>
              </w:rPr>
            </w:pPr>
            <w:r>
              <w:rPr>
                <w:rFonts w:cs="Times New Roman"/>
                <w:sz w:val="20"/>
                <w:szCs w:val="20"/>
              </w:rPr>
              <w:t>基础形式</w:t>
            </w:r>
          </w:p>
        </w:tc>
        <w:tc>
          <w:tcPr>
            <w:tcW w:w="359" w:type="pct"/>
            <w:shd w:val="clear" w:color="auto" w:fill="FFFFFF" w:themeFill="background1"/>
            <w:tcMar>
              <w:left w:w="28" w:type="dxa"/>
              <w:right w:w="28" w:type="dxa"/>
            </w:tcMar>
            <w:vAlign w:val="center"/>
          </w:tcPr>
          <w:p>
            <w:pPr>
              <w:pStyle w:val="13"/>
              <w:rPr>
                <w:rFonts w:cs="Times New Roman"/>
                <w:sz w:val="20"/>
                <w:szCs w:val="20"/>
              </w:rPr>
            </w:pPr>
            <w:r>
              <w:rPr>
                <w:rFonts w:cs="Times New Roman"/>
                <w:sz w:val="20"/>
                <w:szCs w:val="20"/>
              </w:rPr>
              <w:t>全高</w:t>
            </w:r>
            <w:r>
              <w:rPr>
                <w:rFonts w:cs="Times New Roman"/>
                <w:sz w:val="20"/>
                <w:szCs w:val="20"/>
              </w:rPr>
              <w:br w:type="textWrapping"/>
            </w:r>
            <w:r>
              <w:rPr>
                <w:rFonts w:cs="Times New Roman"/>
                <w:sz w:val="20"/>
                <w:szCs w:val="20"/>
              </w:rPr>
              <w:t>（m）</w:t>
            </w:r>
          </w:p>
        </w:tc>
        <w:tc>
          <w:tcPr>
            <w:tcW w:w="538" w:type="pct"/>
            <w:shd w:val="clear" w:color="auto" w:fill="FFFFFF" w:themeFill="background1"/>
            <w:tcMar>
              <w:left w:w="28" w:type="dxa"/>
              <w:right w:w="28" w:type="dxa"/>
            </w:tcMar>
            <w:vAlign w:val="center"/>
          </w:tcPr>
          <w:p>
            <w:pPr>
              <w:pStyle w:val="13"/>
              <w:rPr>
                <w:rFonts w:cs="Times New Roman"/>
                <w:sz w:val="20"/>
                <w:szCs w:val="20"/>
              </w:rPr>
            </w:pPr>
            <w:r>
              <w:rPr>
                <w:rFonts w:cs="Times New Roman"/>
                <w:sz w:val="20"/>
                <w:szCs w:val="20"/>
              </w:rPr>
              <w:t>铁塔基础半根开（mm）</w:t>
            </w:r>
          </w:p>
        </w:tc>
        <w:tc>
          <w:tcPr>
            <w:tcW w:w="555" w:type="pct"/>
            <w:shd w:val="clear" w:color="auto" w:fill="FFFFFF" w:themeFill="background1"/>
            <w:tcMar>
              <w:left w:w="28" w:type="dxa"/>
              <w:right w:w="28" w:type="dxa"/>
            </w:tcMar>
            <w:vAlign w:val="center"/>
          </w:tcPr>
          <w:p>
            <w:pPr>
              <w:pStyle w:val="13"/>
              <w:rPr>
                <w:rFonts w:cs="Times New Roman"/>
                <w:sz w:val="20"/>
                <w:szCs w:val="20"/>
              </w:rPr>
            </w:pPr>
            <w:r>
              <w:rPr>
                <w:rFonts w:cs="Times New Roman"/>
                <w:sz w:val="20"/>
                <w:szCs w:val="20"/>
              </w:rPr>
              <w:t>铁塔基础根开（m）</w:t>
            </w:r>
          </w:p>
        </w:tc>
        <w:tc>
          <w:tcPr>
            <w:tcW w:w="477" w:type="pct"/>
            <w:shd w:val="clear" w:color="auto" w:fill="FFFFFF" w:themeFill="background1"/>
            <w:tcMar>
              <w:left w:w="28" w:type="dxa"/>
              <w:right w:w="28" w:type="dxa"/>
            </w:tcMar>
            <w:vAlign w:val="center"/>
          </w:tcPr>
          <w:p>
            <w:pPr>
              <w:pStyle w:val="13"/>
              <w:rPr>
                <w:rFonts w:cs="Times New Roman"/>
                <w:sz w:val="20"/>
                <w:szCs w:val="20"/>
              </w:rPr>
            </w:pPr>
            <w:r>
              <w:rPr>
                <w:rFonts w:cs="Times New Roman"/>
                <w:sz w:val="20"/>
                <w:szCs w:val="20"/>
              </w:rPr>
              <w:t>基础立柱宽（m）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1</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NB1</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220GG2-SDJ-21</w:t>
            </w:r>
          </w:p>
        </w:tc>
        <w:tc>
          <w:tcPr>
            <w:tcW w:w="620" w:type="pct"/>
            <w:shd w:val="clear" w:color="auto" w:fill="auto"/>
            <w:noWrap/>
            <w:vAlign w:val="bottom"/>
          </w:tcPr>
          <w:p>
            <w:pPr>
              <w:pStyle w:val="13"/>
              <w:rPr>
                <w:rFonts w:cs="Times New Roman"/>
                <w:sz w:val="20"/>
                <w:szCs w:val="20"/>
              </w:rPr>
            </w:pPr>
            <w:r>
              <w:rPr>
                <w:rFonts w:cs="Times New Roman"/>
                <w:sz w:val="20"/>
                <w:szCs w:val="20"/>
              </w:rPr>
              <w:t>12.8</w:t>
            </w:r>
          </w:p>
        </w:tc>
        <w:tc>
          <w:tcPr>
            <w:tcW w:w="737" w:type="pct"/>
            <w:shd w:val="clear" w:color="auto" w:fill="auto"/>
            <w:noWrap/>
            <w:vAlign w:val="bottom"/>
          </w:tcPr>
          <w:p>
            <w:pPr>
              <w:pStyle w:val="13"/>
              <w:rPr>
                <w:rFonts w:cs="Times New Roman"/>
                <w:sz w:val="20"/>
                <w:szCs w:val="20"/>
              </w:rPr>
            </w:pPr>
            <w:r>
              <w:rPr>
                <w:rFonts w:cs="Times New Roman"/>
                <w:sz w:val="20"/>
                <w:szCs w:val="20"/>
              </w:rPr>
              <w:t>灌注桩基础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38.5</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0.000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2</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NB2</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2E2-SZCK-48</w:t>
            </w:r>
          </w:p>
        </w:tc>
        <w:tc>
          <w:tcPr>
            <w:tcW w:w="620" w:type="pct"/>
            <w:shd w:val="clear" w:color="auto" w:fill="auto"/>
            <w:noWrap/>
            <w:vAlign w:val="bottom"/>
          </w:tcPr>
          <w:p>
            <w:pPr>
              <w:pStyle w:val="13"/>
              <w:rPr>
                <w:rFonts w:cs="Times New Roman"/>
                <w:sz w:val="20"/>
                <w:szCs w:val="20"/>
              </w:rPr>
            </w:pPr>
            <w:r>
              <w:rPr>
                <w:rFonts w:cs="Times New Roman"/>
                <w:sz w:val="20"/>
                <w:szCs w:val="20"/>
              </w:rPr>
              <w:t>6.0~6.3</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64.4</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5560.0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11.120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3</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NB3</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2E2-SDJCG-39</w:t>
            </w:r>
          </w:p>
        </w:tc>
        <w:tc>
          <w:tcPr>
            <w:tcW w:w="620" w:type="pct"/>
            <w:shd w:val="clear" w:color="auto" w:fill="auto"/>
            <w:noWrap/>
            <w:vAlign w:val="bottom"/>
          </w:tcPr>
          <w:p>
            <w:pPr>
              <w:pStyle w:val="13"/>
              <w:rPr>
                <w:rFonts w:cs="Times New Roman"/>
                <w:sz w:val="20"/>
                <w:szCs w:val="20"/>
              </w:rPr>
            </w:pPr>
            <w:r>
              <w:rPr>
                <w:rFonts w:cs="Times New Roman"/>
                <w:sz w:val="20"/>
                <w:szCs w:val="20"/>
              </w:rPr>
              <w:t>9.5~9.8</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56.5</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7400.0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14.800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4</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NB4</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2E2-SJC2-30</w:t>
            </w:r>
          </w:p>
        </w:tc>
        <w:tc>
          <w:tcPr>
            <w:tcW w:w="620" w:type="pct"/>
            <w:shd w:val="clear" w:color="auto" w:fill="auto"/>
            <w:noWrap/>
            <w:vAlign w:val="bottom"/>
          </w:tcPr>
          <w:p>
            <w:pPr>
              <w:pStyle w:val="13"/>
              <w:rPr>
                <w:rFonts w:cs="Times New Roman"/>
                <w:sz w:val="20"/>
                <w:szCs w:val="20"/>
              </w:rPr>
            </w:pPr>
            <w:r>
              <w:rPr>
                <w:rFonts w:cs="Times New Roman"/>
                <w:sz w:val="20"/>
                <w:szCs w:val="20"/>
              </w:rPr>
              <w:t>8.3~8.7</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47.5</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5295.0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10.590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5</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NB5</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21GGS-SJC4-27</w:t>
            </w:r>
          </w:p>
        </w:tc>
        <w:tc>
          <w:tcPr>
            <w:tcW w:w="620" w:type="pct"/>
            <w:shd w:val="clear" w:color="auto" w:fill="auto"/>
            <w:noWrap/>
            <w:vAlign w:val="bottom"/>
          </w:tcPr>
          <w:p>
            <w:pPr>
              <w:pStyle w:val="13"/>
              <w:rPr>
                <w:rFonts w:cs="Times New Roman"/>
                <w:sz w:val="20"/>
                <w:szCs w:val="20"/>
              </w:rPr>
            </w:pPr>
            <w:r>
              <w:rPr>
                <w:rFonts w:cs="Times New Roman"/>
                <w:sz w:val="20"/>
                <w:szCs w:val="20"/>
              </w:rPr>
              <w:t>11.8~12.6</w:t>
            </w:r>
          </w:p>
        </w:tc>
        <w:tc>
          <w:tcPr>
            <w:tcW w:w="737" w:type="pct"/>
            <w:shd w:val="clear" w:color="auto" w:fill="auto"/>
            <w:noWrap/>
            <w:vAlign w:val="bottom"/>
          </w:tcPr>
          <w:p>
            <w:pPr>
              <w:pStyle w:val="13"/>
              <w:rPr>
                <w:rFonts w:cs="Times New Roman"/>
                <w:sz w:val="20"/>
                <w:szCs w:val="20"/>
              </w:rPr>
            </w:pPr>
            <w:r>
              <w:rPr>
                <w:rFonts w:cs="Times New Roman"/>
                <w:sz w:val="20"/>
                <w:szCs w:val="20"/>
              </w:rPr>
              <w:t>承台基础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57.2</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5520.0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11.040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6</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NB6</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21GGS-SZC1-36</w:t>
            </w:r>
          </w:p>
        </w:tc>
        <w:tc>
          <w:tcPr>
            <w:tcW w:w="620" w:type="pct"/>
            <w:shd w:val="clear" w:color="auto" w:fill="auto"/>
            <w:noWrap/>
            <w:vAlign w:val="bottom"/>
          </w:tcPr>
          <w:p>
            <w:pPr>
              <w:pStyle w:val="13"/>
              <w:rPr>
                <w:rFonts w:cs="Times New Roman"/>
                <w:sz w:val="20"/>
                <w:szCs w:val="20"/>
              </w:rPr>
            </w:pPr>
            <w:r>
              <w:rPr>
                <w:rFonts w:cs="Times New Roman"/>
                <w:sz w:val="20"/>
                <w:szCs w:val="20"/>
              </w:rPr>
              <w:t>7.0-7.6</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66.6</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5220.0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10.440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7</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NB7</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21GGS-SJC4-48</w:t>
            </w:r>
          </w:p>
        </w:tc>
        <w:tc>
          <w:tcPr>
            <w:tcW w:w="620" w:type="pct"/>
            <w:shd w:val="clear" w:color="auto" w:fill="auto"/>
            <w:noWrap/>
            <w:vAlign w:val="bottom"/>
          </w:tcPr>
          <w:p>
            <w:pPr>
              <w:pStyle w:val="13"/>
              <w:rPr>
                <w:rFonts w:cs="Times New Roman"/>
                <w:sz w:val="20"/>
                <w:szCs w:val="20"/>
              </w:rPr>
            </w:pPr>
            <w:r>
              <w:rPr>
                <w:rFonts w:cs="Times New Roman"/>
                <w:sz w:val="20"/>
                <w:szCs w:val="20"/>
              </w:rPr>
              <w:t>10.2-12.4</w:t>
            </w:r>
          </w:p>
        </w:tc>
        <w:tc>
          <w:tcPr>
            <w:tcW w:w="737" w:type="pct"/>
            <w:shd w:val="clear" w:color="auto" w:fill="auto"/>
            <w:noWrap/>
            <w:vAlign w:val="bottom"/>
          </w:tcPr>
          <w:p>
            <w:pPr>
              <w:pStyle w:val="13"/>
              <w:rPr>
                <w:rFonts w:cs="Times New Roman"/>
                <w:sz w:val="20"/>
                <w:szCs w:val="20"/>
              </w:rPr>
            </w:pPr>
            <w:r>
              <w:rPr>
                <w:rFonts w:cs="Times New Roman"/>
                <w:sz w:val="20"/>
                <w:szCs w:val="20"/>
              </w:rPr>
              <w:t>承台基础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78.2</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8250.0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16.500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8</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NB8</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21GGS-SZC1-39</w:t>
            </w:r>
          </w:p>
        </w:tc>
        <w:tc>
          <w:tcPr>
            <w:tcW w:w="620" w:type="pct"/>
            <w:shd w:val="clear" w:color="auto" w:fill="auto"/>
            <w:noWrap/>
            <w:vAlign w:val="bottom"/>
          </w:tcPr>
          <w:p>
            <w:pPr>
              <w:pStyle w:val="13"/>
              <w:rPr>
                <w:rFonts w:cs="Times New Roman"/>
                <w:sz w:val="20"/>
                <w:szCs w:val="20"/>
              </w:rPr>
            </w:pPr>
            <w:r>
              <w:rPr>
                <w:rFonts w:cs="Times New Roman"/>
                <w:sz w:val="20"/>
                <w:szCs w:val="20"/>
              </w:rPr>
              <w:t>7.3-7.7</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69.6</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5520.0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11.040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9</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NB9</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21GGS-SJC3-27</w:t>
            </w:r>
          </w:p>
        </w:tc>
        <w:tc>
          <w:tcPr>
            <w:tcW w:w="620" w:type="pct"/>
            <w:shd w:val="clear" w:color="auto" w:fill="auto"/>
            <w:noWrap/>
            <w:vAlign w:val="bottom"/>
          </w:tcPr>
          <w:p>
            <w:pPr>
              <w:pStyle w:val="13"/>
              <w:rPr>
                <w:rFonts w:cs="Times New Roman"/>
                <w:sz w:val="20"/>
                <w:szCs w:val="20"/>
              </w:rPr>
            </w:pPr>
            <w:r>
              <w:rPr>
                <w:rFonts w:cs="Times New Roman"/>
                <w:sz w:val="20"/>
                <w:szCs w:val="20"/>
              </w:rPr>
              <w:t>11.1~11.7</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57.2</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6000.0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12.000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10</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NB10</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21GGS-SZC2-48</w:t>
            </w:r>
          </w:p>
        </w:tc>
        <w:tc>
          <w:tcPr>
            <w:tcW w:w="620" w:type="pct"/>
            <w:shd w:val="clear" w:color="auto" w:fill="auto"/>
            <w:noWrap/>
            <w:vAlign w:val="bottom"/>
          </w:tcPr>
          <w:p>
            <w:pPr>
              <w:pStyle w:val="13"/>
              <w:rPr>
                <w:rFonts w:cs="Times New Roman"/>
                <w:sz w:val="20"/>
                <w:szCs w:val="20"/>
              </w:rPr>
            </w:pPr>
            <w:r>
              <w:rPr>
                <w:rFonts w:cs="Times New Roman"/>
                <w:sz w:val="20"/>
                <w:szCs w:val="20"/>
              </w:rPr>
              <w:t>8.3-9.3</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78.6</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6415.0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12.830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11</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NB11</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21GGS-SJC1-27</w:t>
            </w:r>
          </w:p>
        </w:tc>
        <w:tc>
          <w:tcPr>
            <w:tcW w:w="620" w:type="pct"/>
            <w:shd w:val="clear" w:color="auto" w:fill="auto"/>
            <w:noWrap/>
            <w:vAlign w:val="bottom"/>
          </w:tcPr>
          <w:p>
            <w:pPr>
              <w:pStyle w:val="13"/>
              <w:rPr>
                <w:rFonts w:cs="Times New Roman"/>
                <w:sz w:val="20"/>
                <w:szCs w:val="20"/>
              </w:rPr>
            </w:pPr>
            <w:r>
              <w:rPr>
                <w:rFonts w:cs="Times New Roman"/>
                <w:sz w:val="20"/>
                <w:szCs w:val="20"/>
              </w:rPr>
              <w:t>9.8~10.2</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57.2</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5180.0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10.360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12</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NB12</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21GGS-SJC2-21</w:t>
            </w:r>
          </w:p>
        </w:tc>
        <w:tc>
          <w:tcPr>
            <w:tcW w:w="620" w:type="pct"/>
            <w:shd w:val="clear" w:color="auto" w:fill="auto"/>
            <w:noWrap/>
            <w:vAlign w:val="bottom"/>
          </w:tcPr>
          <w:p>
            <w:pPr>
              <w:pStyle w:val="13"/>
              <w:rPr>
                <w:rFonts w:cs="Times New Roman"/>
                <w:sz w:val="20"/>
                <w:szCs w:val="20"/>
              </w:rPr>
            </w:pPr>
            <w:r>
              <w:rPr>
                <w:rFonts w:cs="Times New Roman"/>
                <w:sz w:val="20"/>
                <w:szCs w:val="20"/>
              </w:rPr>
              <w:t>10.5~11.1</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51.2</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4640.0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9.280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13</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NB13</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21GGS-SJC3-18</w:t>
            </w:r>
          </w:p>
        </w:tc>
        <w:tc>
          <w:tcPr>
            <w:tcW w:w="620" w:type="pct"/>
            <w:shd w:val="clear" w:color="auto" w:fill="auto"/>
            <w:noWrap/>
            <w:vAlign w:val="bottom"/>
          </w:tcPr>
          <w:p>
            <w:pPr>
              <w:pStyle w:val="13"/>
              <w:rPr>
                <w:rFonts w:cs="Times New Roman"/>
                <w:sz w:val="20"/>
                <w:szCs w:val="20"/>
              </w:rPr>
            </w:pPr>
            <w:r>
              <w:rPr>
                <w:rFonts w:cs="Times New Roman"/>
                <w:sz w:val="20"/>
                <w:szCs w:val="20"/>
              </w:rPr>
              <w:t>10.5</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48.2</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4650.0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9.300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14</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NB14</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21GGS-SZC1-51</w:t>
            </w:r>
          </w:p>
        </w:tc>
        <w:tc>
          <w:tcPr>
            <w:tcW w:w="620" w:type="pct"/>
            <w:shd w:val="clear" w:color="auto" w:fill="auto"/>
            <w:noWrap/>
            <w:vAlign w:val="bottom"/>
          </w:tcPr>
          <w:p>
            <w:pPr>
              <w:pStyle w:val="13"/>
              <w:rPr>
                <w:rFonts w:cs="Times New Roman"/>
                <w:sz w:val="20"/>
                <w:szCs w:val="20"/>
              </w:rPr>
            </w:pPr>
            <w:r>
              <w:rPr>
                <w:rFonts w:cs="Times New Roman"/>
                <w:sz w:val="20"/>
                <w:szCs w:val="20"/>
              </w:rPr>
              <w:t>7.1~7.7</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81.6</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6720.0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13.440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15</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NB15</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21GGS-SJC1-30</w:t>
            </w:r>
          </w:p>
        </w:tc>
        <w:tc>
          <w:tcPr>
            <w:tcW w:w="620" w:type="pct"/>
            <w:shd w:val="clear" w:color="auto" w:fill="auto"/>
            <w:noWrap/>
            <w:vAlign w:val="bottom"/>
          </w:tcPr>
          <w:p>
            <w:pPr>
              <w:pStyle w:val="13"/>
              <w:rPr>
                <w:rFonts w:cs="Times New Roman"/>
                <w:sz w:val="20"/>
                <w:szCs w:val="20"/>
              </w:rPr>
            </w:pPr>
            <w:r>
              <w:rPr>
                <w:rFonts w:cs="Times New Roman"/>
                <w:sz w:val="20"/>
                <w:szCs w:val="20"/>
              </w:rPr>
              <w:t>9.0~9.2</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60.2</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5540.0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11.080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16</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NB16</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21GGS-SZC1-42</w:t>
            </w:r>
          </w:p>
        </w:tc>
        <w:tc>
          <w:tcPr>
            <w:tcW w:w="620" w:type="pct"/>
            <w:shd w:val="clear" w:color="auto" w:fill="auto"/>
            <w:noWrap/>
            <w:vAlign w:val="bottom"/>
          </w:tcPr>
          <w:p>
            <w:pPr>
              <w:pStyle w:val="13"/>
              <w:rPr>
                <w:rFonts w:cs="Times New Roman"/>
                <w:sz w:val="20"/>
                <w:szCs w:val="20"/>
              </w:rPr>
            </w:pPr>
            <w:r>
              <w:rPr>
                <w:rFonts w:cs="Times New Roman"/>
                <w:sz w:val="20"/>
                <w:szCs w:val="20"/>
              </w:rPr>
              <w:t>7.0~7.2</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72.6</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5820.0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11.640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17</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NB17</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21GGS-SJC1-30</w:t>
            </w:r>
          </w:p>
        </w:tc>
        <w:tc>
          <w:tcPr>
            <w:tcW w:w="620" w:type="pct"/>
            <w:shd w:val="clear" w:color="auto" w:fill="auto"/>
            <w:noWrap/>
            <w:vAlign w:val="bottom"/>
          </w:tcPr>
          <w:p>
            <w:pPr>
              <w:pStyle w:val="13"/>
              <w:rPr>
                <w:rFonts w:cs="Times New Roman"/>
                <w:sz w:val="20"/>
                <w:szCs w:val="20"/>
              </w:rPr>
            </w:pPr>
            <w:r>
              <w:rPr>
                <w:rFonts w:cs="Times New Roman"/>
                <w:sz w:val="20"/>
                <w:szCs w:val="20"/>
              </w:rPr>
              <w:t>9.2~9.7</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60.2</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5540.0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11.080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18</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NB18</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21GGS-SZC2-45</w:t>
            </w:r>
          </w:p>
        </w:tc>
        <w:tc>
          <w:tcPr>
            <w:tcW w:w="620" w:type="pct"/>
            <w:shd w:val="clear" w:color="auto" w:fill="auto"/>
            <w:noWrap/>
            <w:vAlign w:val="bottom"/>
          </w:tcPr>
          <w:p>
            <w:pPr>
              <w:pStyle w:val="13"/>
              <w:rPr>
                <w:rFonts w:cs="Times New Roman"/>
                <w:sz w:val="20"/>
                <w:szCs w:val="20"/>
              </w:rPr>
            </w:pPr>
            <w:r>
              <w:rPr>
                <w:rFonts w:cs="Times New Roman"/>
                <w:sz w:val="20"/>
                <w:szCs w:val="20"/>
              </w:rPr>
              <w:t>8.2~8.7</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66.6</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6115.0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12.230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19</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NB19</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21GGS-SZC2-42</w:t>
            </w:r>
          </w:p>
        </w:tc>
        <w:tc>
          <w:tcPr>
            <w:tcW w:w="620" w:type="pct"/>
            <w:shd w:val="clear" w:color="auto" w:fill="auto"/>
            <w:noWrap/>
            <w:vAlign w:val="bottom"/>
          </w:tcPr>
          <w:p>
            <w:pPr>
              <w:pStyle w:val="13"/>
              <w:rPr>
                <w:rFonts w:cs="Times New Roman"/>
                <w:sz w:val="20"/>
                <w:szCs w:val="20"/>
              </w:rPr>
            </w:pPr>
            <w:r>
              <w:rPr>
                <w:rFonts w:cs="Times New Roman"/>
                <w:sz w:val="20"/>
                <w:szCs w:val="20"/>
              </w:rPr>
              <w:t>8.3~9.2</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72.6</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5815.0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11.630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20</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NB20</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21GGS-SJC2-48</w:t>
            </w:r>
          </w:p>
        </w:tc>
        <w:tc>
          <w:tcPr>
            <w:tcW w:w="620" w:type="pct"/>
            <w:shd w:val="clear" w:color="auto" w:fill="auto"/>
            <w:noWrap/>
            <w:vAlign w:val="bottom"/>
          </w:tcPr>
          <w:p>
            <w:pPr>
              <w:pStyle w:val="13"/>
              <w:rPr>
                <w:rFonts w:cs="Times New Roman"/>
                <w:sz w:val="20"/>
                <w:szCs w:val="20"/>
              </w:rPr>
            </w:pPr>
            <w:r>
              <w:rPr>
                <w:rFonts w:cs="Times New Roman"/>
                <w:sz w:val="20"/>
                <w:szCs w:val="20"/>
              </w:rPr>
              <w:t>10.3~10.4</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78.2</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8150.0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16.300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21</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NB21</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21GGS-SZC2-42</w:t>
            </w:r>
          </w:p>
        </w:tc>
        <w:tc>
          <w:tcPr>
            <w:tcW w:w="620" w:type="pct"/>
            <w:shd w:val="clear" w:color="auto" w:fill="auto"/>
            <w:noWrap/>
            <w:vAlign w:val="bottom"/>
          </w:tcPr>
          <w:p>
            <w:pPr>
              <w:pStyle w:val="13"/>
              <w:rPr>
                <w:rFonts w:cs="Times New Roman"/>
                <w:sz w:val="20"/>
                <w:szCs w:val="20"/>
              </w:rPr>
            </w:pPr>
            <w:r>
              <w:rPr>
                <w:rFonts w:cs="Times New Roman"/>
                <w:sz w:val="20"/>
                <w:szCs w:val="20"/>
              </w:rPr>
              <w:t>8.3~9.1</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72.6</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5815.0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11.630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22</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NB22</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21GGS-SJC1-30</w:t>
            </w:r>
          </w:p>
        </w:tc>
        <w:tc>
          <w:tcPr>
            <w:tcW w:w="620" w:type="pct"/>
            <w:shd w:val="clear" w:color="auto" w:fill="auto"/>
            <w:noWrap/>
            <w:vAlign w:val="bottom"/>
          </w:tcPr>
          <w:p>
            <w:pPr>
              <w:pStyle w:val="13"/>
              <w:rPr>
                <w:rFonts w:cs="Times New Roman"/>
                <w:sz w:val="20"/>
                <w:szCs w:val="20"/>
              </w:rPr>
            </w:pPr>
            <w:r>
              <w:rPr>
                <w:rFonts w:cs="Times New Roman"/>
                <w:sz w:val="20"/>
                <w:szCs w:val="20"/>
              </w:rPr>
              <w:t>9.4~10.2</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60.2</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5540.0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11.080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23</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NB23</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21GGS-SZC2-45</w:t>
            </w:r>
          </w:p>
        </w:tc>
        <w:tc>
          <w:tcPr>
            <w:tcW w:w="620" w:type="pct"/>
            <w:shd w:val="clear" w:color="auto" w:fill="auto"/>
            <w:noWrap/>
            <w:vAlign w:val="bottom"/>
          </w:tcPr>
          <w:p>
            <w:pPr>
              <w:pStyle w:val="13"/>
              <w:rPr>
                <w:rFonts w:cs="Times New Roman"/>
                <w:sz w:val="20"/>
                <w:szCs w:val="20"/>
              </w:rPr>
            </w:pPr>
            <w:r>
              <w:rPr>
                <w:rFonts w:cs="Times New Roman"/>
                <w:sz w:val="20"/>
                <w:szCs w:val="20"/>
              </w:rPr>
              <w:t>8.2~9.3</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75.6</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6115.0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12.230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24</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NB24</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21GGS-SJC2-36</w:t>
            </w:r>
          </w:p>
        </w:tc>
        <w:tc>
          <w:tcPr>
            <w:tcW w:w="620" w:type="pct"/>
            <w:shd w:val="clear" w:color="auto" w:fill="auto"/>
            <w:noWrap/>
            <w:vAlign w:val="bottom"/>
          </w:tcPr>
          <w:p>
            <w:pPr>
              <w:pStyle w:val="13"/>
              <w:rPr>
                <w:rFonts w:cs="Times New Roman"/>
                <w:sz w:val="20"/>
                <w:szCs w:val="20"/>
              </w:rPr>
            </w:pPr>
            <w:r>
              <w:rPr>
                <w:rFonts w:cs="Times New Roman"/>
                <w:sz w:val="20"/>
                <w:szCs w:val="20"/>
              </w:rPr>
              <w:t>10.4~11.3</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66.2</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6590.0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13.180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25</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NB25</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21GGS-SJC2-42</w:t>
            </w:r>
          </w:p>
        </w:tc>
        <w:tc>
          <w:tcPr>
            <w:tcW w:w="620" w:type="pct"/>
            <w:shd w:val="clear" w:color="auto" w:fill="auto"/>
            <w:noWrap/>
            <w:vAlign w:val="bottom"/>
          </w:tcPr>
          <w:p>
            <w:pPr>
              <w:pStyle w:val="13"/>
              <w:rPr>
                <w:rFonts w:cs="Times New Roman"/>
                <w:sz w:val="20"/>
                <w:szCs w:val="20"/>
              </w:rPr>
            </w:pPr>
            <w:r>
              <w:rPr>
                <w:rFonts w:cs="Times New Roman"/>
                <w:sz w:val="20"/>
                <w:szCs w:val="20"/>
              </w:rPr>
              <w:t>10.2~11.1</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72.2</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7370.0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14.740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26</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NB26</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21GGS-SZC2-42</w:t>
            </w:r>
          </w:p>
        </w:tc>
        <w:tc>
          <w:tcPr>
            <w:tcW w:w="620" w:type="pct"/>
            <w:shd w:val="clear" w:color="auto" w:fill="auto"/>
            <w:noWrap/>
            <w:vAlign w:val="bottom"/>
          </w:tcPr>
          <w:p>
            <w:pPr>
              <w:pStyle w:val="13"/>
              <w:rPr>
                <w:rFonts w:cs="Times New Roman"/>
                <w:sz w:val="20"/>
                <w:szCs w:val="20"/>
              </w:rPr>
            </w:pPr>
            <w:r>
              <w:rPr>
                <w:rFonts w:cs="Times New Roman"/>
                <w:sz w:val="20"/>
                <w:szCs w:val="20"/>
              </w:rPr>
              <w:t>7.2~7.4</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72.6</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5815.0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11.630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27</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NB27</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21GGS-SJC4-27</w:t>
            </w:r>
          </w:p>
        </w:tc>
        <w:tc>
          <w:tcPr>
            <w:tcW w:w="620" w:type="pct"/>
            <w:shd w:val="clear" w:color="auto" w:fill="auto"/>
            <w:noWrap/>
            <w:vAlign w:val="bottom"/>
          </w:tcPr>
          <w:p>
            <w:pPr>
              <w:pStyle w:val="13"/>
              <w:rPr>
                <w:rFonts w:cs="Times New Roman"/>
                <w:sz w:val="20"/>
                <w:szCs w:val="20"/>
              </w:rPr>
            </w:pPr>
            <w:r>
              <w:rPr>
                <w:rFonts w:cs="Times New Roman"/>
                <w:sz w:val="20"/>
                <w:szCs w:val="20"/>
              </w:rPr>
              <w:t>11.2~12.1</w:t>
            </w:r>
          </w:p>
        </w:tc>
        <w:tc>
          <w:tcPr>
            <w:tcW w:w="737" w:type="pct"/>
            <w:shd w:val="clear" w:color="auto" w:fill="auto"/>
            <w:noWrap/>
            <w:vAlign w:val="bottom"/>
          </w:tcPr>
          <w:p>
            <w:pPr>
              <w:pStyle w:val="13"/>
              <w:rPr>
                <w:rFonts w:cs="Times New Roman"/>
                <w:sz w:val="20"/>
                <w:szCs w:val="20"/>
              </w:rPr>
            </w:pPr>
            <w:r>
              <w:rPr>
                <w:rFonts w:cs="Times New Roman"/>
                <w:sz w:val="20"/>
                <w:szCs w:val="20"/>
              </w:rPr>
              <w:t>承台基础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57.2</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5520.0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11.040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28</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NB28</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220GT1-JC1-42</w:t>
            </w:r>
          </w:p>
        </w:tc>
        <w:tc>
          <w:tcPr>
            <w:tcW w:w="620" w:type="pct"/>
            <w:shd w:val="clear" w:color="auto" w:fill="auto"/>
            <w:noWrap/>
            <w:vAlign w:val="bottom"/>
          </w:tcPr>
          <w:p>
            <w:pPr>
              <w:pStyle w:val="13"/>
              <w:rPr>
                <w:rFonts w:cs="Times New Roman"/>
                <w:sz w:val="20"/>
                <w:szCs w:val="20"/>
              </w:rPr>
            </w:pPr>
            <w:r>
              <w:rPr>
                <w:rFonts w:cs="Times New Roman"/>
                <w:sz w:val="20"/>
                <w:szCs w:val="20"/>
              </w:rPr>
              <w:t>7.1~7.7</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51.5</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5000.0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10.000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29</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NB29</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220GT1-JC1-42</w:t>
            </w:r>
          </w:p>
        </w:tc>
        <w:tc>
          <w:tcPr>
            <w:tcW w:w="620" w:type="pct"/>
            <w:shd w:val="clear" w:color="auto" w:fill="auto"/>
            <w:noWrap/>
            <w:vAlign w:val="bottom"/>
          </w:tcPr>
          <w:p>
            <w:pPr>
              <w:pStyle w:val="13"/>
              <w:rPr>
                <w:rFonts w:cs="Times New Roman"/>
                <w:sz w:val="20"/>
                <w:szCs w:val="20"/>
              </w:rPr>
            </w:pPr>
            <w:r>
              <w:rPr>
                <w:rFonts w:cs="Times New Roman"/>
                <w:sz w:val="20"/>
                <w:szCs w:val="20"/>
              </w:rPr>
              <w:t>7.0~7.2</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51.5</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5000.0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10.000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30</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NB30</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2B2-DJC-30</w:t>
            </w:r>
          </w:p>
        </w:tc>
        <w:tc>
          <w:tcPr>
            <w:tcW w:w="620" w:type="pct"/>
            <w:shd w:val="clear" w:color="auto" w:fill="auto"/>
            <w:noWrap/>
            <w:vAlign w:val="bottom"/>
          </w:tcPr>
          <w:p>
            <w:pPr>
              <w:pStyle w:val="13"/>
              <w:rPr>
                <w:rFonts w:cs="Times New Roman"/>
                <w:sz w:val="20"/>
                <w:szCs w:val="20"/>
              </w:rPr>
            </w:pPr>
            <w:r>
              <w:rPr>
                <w:rFonts w:cs="Times New Roman"/>
                <w:sz w:val="20"/>
                <w:szCs w:val="20"/>
              </w:rPr>
              <w:t>8.2~8.7</w:t>
            </w:r>
          </w:p>
        </w:tc>
        <w:tc>
          <w:tcPr>
            <w:tcW w:w="737" w:type="pct"/>
            <w:shd w:val="clear" w:color="auto" w:fill="auto"/>
            <w:noWrap/>
            <w:vAlign w:val="bottom"/>
          </w:tcPr>
          <w:p>
            <w:pPr>
              <w:pStyle w:val="13"/>
              <w:rPr>
                <w:rFonts w:cs="Times New Roman"/>
                <w:sz w:val="20"/>
                <w:szCs w:val="20"/>
              </w:rPr>
            </w:pPr>
            <w:r>
              <w:rPr>
                <w:rFonts w:cs="Times New Roman"/>
                <w:sz w:val="20"/>
                <w:szCs w:val="20"/>
              </w:rPr>
              <w:t>挖孔桩基础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39.5</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xml:space="preserve">4830.0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9.660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31</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NB31</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220GG1-DJ-30</w:t>
            </w:r>
          </w:p>
        </w:tc>
        <w:tc>
          <w:tcPr>
            <w:tcW w:w="620" w:type="pct"/>
            <w:shd w:val="clear" w:color="auto" w:fill="auto"/>
            <w:noWrap/>
            <w:vAlign w:val="bottom"/>
          </w:tcPr>
          <w:p>
            <w:pPr>
              <w:pStyle w:val="13"/>
              <w:rPr>
                <w:rFonts w:cs="Times New Roman"/>
                <w:sz w:val="20"/>
                <w:szCs w:val="20"/>
              </w:rPr>
            </w:pPr>
            <w:r>
              <w:rPr>
                <w:rFonts w:cs="Times New Roman"/>
                <w:sz w:val="20"/>
                <w:szCs w:val="20"/>
              </w:rPr>
              <w:t>11</w:t>
            </w:r>
          </w:p>
        </w:tc>
        <w:tc>
          <w:tcPr>
            <w:tcW w:w="737" w:type="pct"/>
            <w:shd w:val="clear" w:color="auto" w:fill="auto"/>
            <w:noWrap/>
            <w:vAlign w:val="bottom"/>
          </w:tcPr>
          <w:p>
            <w:pPr>
              <w:pStyle w:val="13"/>
              <w:rPr>
                <w:rFonts w:cs="Times New Roman"/>
                <w:sz w:val="20"/>
                <w:szCs w:val="20"/>
              </w:rPr>
            </w:pPr>
            <w:r>
              <w:rPr>
                <w:rFonts w:cs="Times New Roman"/>
                <w:sz w:val="20"/>
                <w:szCs w:val="20"/>
              </w:rPr>
              <w:t>灌注桩基础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39.5</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0.000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8" w:type="pct"/>
            <w:shd w:val="clear" w:color="auto" w:fill="FFFFFF" w:themeFill="background1"/>
            <w:noWrap/>
            <w:vAlign w:val="center"/>
          </w:tcPr>
          <w:p>
            <w:pPr>
              <w:pStyle w:val="13"/>
              <w:rPr>
                <w:rFonts w:cs="Times New Roman"/>
                <w:sz w:val="20"/>
                <w:szCs w:val="20"/>
              </w:rPr>
            </w:pPr>
            <w:r>
              <w:rPr>
                <w:rFonts w:cs="Times New Roman"/>
                <w:sz w:val="20"/>
                <w:szCs w:val="20"/>
              </w:rPr>
              <w:t>32</w:t>
            </w:r>
          </w:p>
        </w:tc>
        <w:tc>
          <w:tcPr>
            <w:tcW w:w="502" w:type="pct"/>
            <w:shd w:val="clear" w:color="auto" w:fill="FFFFFF" w:themeFill="background1"/>
            <w:noWrap/>
            <w:vAlign w:val="center"/>
          </w:tcPr>
          <w:p>
            <w:pPr>
              <w:pStyle w:val="13"/>
              <w:rPr>
                <w:rFonts w:cs="Times New Roman"/>
                <w:sz w:val="20"/>
                <w:szCs w:val="20"/>
              </w:rPr>
            </w:pPr>
            <w:r>
              <w:rPr>
                <w:rFonts w:cs="Times New Roman"/>
                <w:sz w:val="20"/>
                <w:szCs w:val="20"/>
              </w:rPr>
              <w:t>NB32</w:t>
            </w:r>
          </w:p>
        </w:tc>
        <w:tc>
          <w:tcPr>
            <w:tcW w:w="945" w:type="pct"/>
            <w:shd w:val="clear" w:color="auto" w:fill="FFFFFF" w:themeFill="background1"/>
            <w:noWrap/>
            <w:vAlign w:val="center"/>
          </w:tcPr>
          <w:p>
            <w:pPr>
              <w:pStyle w:val="13"/>
              <w:rPr>
                <w:rFonts w:cs="Times New Roman"/>
                <w:sz w:val="20"/>
                <w:szCs w:val="20"/>
              </w:rPr>
            </w:pPr>
            <w:r>
              <w:rPr>
                <w:rFonts w:cs="Times New Roman"/>
                <w:sz w:val="20"/>
                <w:szCs w:val="20"/>
              </w:rPr>
              <w:t>220GG1-DJ-21</w:t>
            </w:r>
          </w:p>
        </w:tc>
        <w:tc>
          <w:tcPr>
            <w:tcW w:w="620" w:type="pct"/>
            <w:shd w:val="clear" w:color="auto" w:fill="auto"/>
            <w:noWrap/>
            <w:vAlign w:val="bottom"/>
          </w:tcPr>
          <w:p>
            <w:pPr>
              <w:pStyle w:val="13"/>
              <w:rPr>
                <w:rFonts w:cs="Times New Roman"/>
                <w:sz w:val="20"/>
                <w:szCs w:val="20"/>
              </w:rPr>
            </w:pPr>
            <w:r>
              <w:rPr>
                <w:rFonts w:cs="Times New Roman"/>
                <w:sz w:val="20"/>
                <w:szCs w:val="20"/>
              </w:rPr>
              <w:t>11.8</w:t>
            </w:r>
          </w:p>
        </w:tc>
        <w:tc>
          <w:tcPr>
            <w:tcW w:w="737" w:type="pct"/>
            <w:shd w:val="clear" w:color="auto" w:fill="auto"/>
            <w:noWrap/>
            <w:vAlign w:val="bottom"/>
          </w:tcPr>
          <w:p>
            <w:pPr>
              <w:pStyle w:val="13"/>
              <w:rPr>
                <w:rFonts w:cs="Times New Roman"/>
                <w:sz w:val="20"/>
                <w:szCs w:val="20"/>
              </w:rPr>
            </w:pPr>
            <w:r>
              <w:rPr>
                <w:rFonts w:cs="Times New Roman"/>
                <w:sz w:val="20"/>
                <w:szCs w:val="20"/>
              </w:rPr>
              <w:t>灌注桩基础</w:t>
            </w:r>
          </w:p>
        </w:tc>
        <w:tc>
          <w:tcPr>
            <w:tcW w:w="359" w:type="pct"/>
            <w:shd w:val="clear" w:color="auto" w:fill="FFFFFF" w:themeFill="background1"/>
            <w:noWrap/>
            <w:vAlign w:val="center"/>
          </w:tcPr>
          <w:p>
            <w:pPr>
              <w:pStyle w:val="13"/>
              <w:rPr>
                <w:rFonts w:cs="Times New Roman"/>
                <w:sz w:val="20"/>
                <w:szCs w:val="20"/>
              </w:rPr>
            </w:pPr>
            <w:r>
              <w:rPr>
                <w:rFonts w:cs="Times New Roman"/>
                <w:sz w:val="20"/>
                <w:szCs w:val="20"/>
              </w:rPr>
              <w:t>30.5</w:t>
            </w:r>
          </w:p>
        </w:tc>
        <w:tc>
          <w:tcPr>
            <w:tcW w:w="538" w:type="pct"/>
            <w:shd w:val="clear" w:color="auto" w:fill="FFFFFF" w:themeFill="background1"/>
            <w:noWrap/>
            <w:vAlign w:val="center"/>
          </w:tcPr>
          <w:p>
            <w:pPr>
              <w:pStyle w:val="13"/>
              <w:rPr>
                <w:rFonts w:cs="Times New Roman"/>
                <w:sz w:val="20"/>
                <w:szCs w:val="20"/>
              </w:rPr>
            </w:pPr>
            <w:r>
              <w:rPr>
                <w:rFonts w:cs="Times New Roman"/>
                <w:sz w:val="20"/>
                <w:szCs w:val="20"/>
              </w:rPr>
              <w:t>　</w:t>
            </w:r>
          </w:p>
        </w:tc>
        <w:tc>
          <w:tcPr>
            <w:tcW w:w="555" w:type="pct"/>
            <w:shd w:val="clear" w:color="auto" w:fill="FFFFFF" w:themeFill="background1"/>
            <w:noWrap/>
            <w:vAlign w:val="center"/>
          </w:tcPr>
          <w:p>
            <w:pPr>
              <w:pStyle w:val="13"/>
              <w:rPr>
                <w:rFonts w:cs="Times New Roman"/>
                <w:sz w:val="20"/>
                <w:szCs w:val="20"/>
              </w:rPr>
            </w:pPr>
            <w:r>
              <w:rPr>
                <w:rFonts w:cs="Times New Roman"/>
                <w:sz w:val="20"/>
                <w:szCs w:val="20"/>
              </w:rPr>
              <w:t xml:space="preserve">0.000 </w:t>
            </w:r>
          </w:p>
        </w:tc>
        <w:tc>
          <w:tcPr>
            <w:tcW w:w="477" w:type="pct"/>
            <w:shd w:val="clear" w:color="auto" w:fill="FFFFFF" w:themeFill="background1"/>
            <w:noWrap/>
            <w:vAlign w:val="center"/>
          </w:tcPr>
          <w:p>
            <w:pPr>
              <w:pStyle w:val="13"/>
              <w:rPr>
                <w:rFonts w:cs="Times New Roman"/>
                <w:sz w:val="20"/>
                <w:szCs w:val="20"/>
              </w:rPr>
            </w:pPr>
            <w:r>
              <w:rPr>
                <w:rFonts w:cs="Times New Roman"/>
                <w:sz w:val="20"/>
                <w:szCs w:val="20"/>
              </w:rPr>
              <w:t xml:space="preserve">2.4 </w:t>
            </w:r>
          </w:p>
        </w:tc>
      </w:tr>
    </w:tbl>
    <w:p>
      <w:pPr>
        <w:widowControl w:val="0"/>
        <w:kinsoku/>
        <w:topLinePunct/>
        <w:autoSpaceDE/>
        <w:autoSpaceDN/>
        <w:spacing w:line="360" w:lineRule="auto"/>
        <w:jc w:val="both"/>
        <w:rPr>
          <w:rFonts w:cs="Times New Roman"/>
          <w:color w:val="auto"/>
          <w:sz w:val="10"/>
          <w:szCs w:val="10"/>
          <w:lang w:eastAsia="zh-CN"/>
        </w:rPr>
      </w:pP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5）芭蕉</w:t>
      </w:r>
      <w:r>
        <w:rPr>
          <w:rFonts w:cs="Times New Roman"/>
          <w:color w:val="auto"/>
          <w:szCs w:val="24"/>
          <w:lang w:eastAsia="zh-CN"/>
        </w:rPr>
        <w:t>施工便道区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塔位NB1、NB2、NB31和NB3</w:t>
      </w:r>
      <w:r>
        <w:rPr>
          <w:rFonts w:eastAsia="微软雅黑" w:cs="Times New Roman"/>
          <w:color w:val="auto"/>
          <w:szCs w:val="24"/>
          <w:lang w:eastAsia="zh-CN"/>
        </w:rPr>
        <w:t>2</w:t>
      </w:r>
      <w:r>
        <w:rPr>
          <w:rFonts w:cs="Times New Roman"/>
          <w:color w:val="auto"/>
          <w:szCs w:val="24"/>
          <w:lang w:eastAsia="zh-CN"/>
        </w:rPr>
        <w:t>为机械施工，紧邻公路，利用原有道路，其余塔位（骡马搬运）新建施工便道为长6370m，宽度1.2m，临时占地7644m</w:t>
      </w:r>
      <w:r>
        <w:rPr>
          <w:rFonts w:cs="Times New Roman"/>
          <w:color w:val="auto"/>
          <w:szCs w:val="24"/>
          <w:vertAlign w:val="superscript"/>
          <w:lang w:eastAsia="zh-CN"/>
        </w:rPr>
        <w:t>2</w:t>
      </w:r>
      <w:r>
        <w:rPr>
          <w:rFonts w:cs="Times New Roman"/>
          <w:color w:val="auto"/>
          <w:szCs w:val="24"/>
          <w:lang w:eastAsia="zh-CN"/>
        </w:rPr>
        <w:t>。占地类型为林地。</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6）</w:t>
      </w:r>
      <w:r>
        <w:rPr>
          <w:rFonts w:hint="eastAsia" w:cs="Times New Roman"/>
          <w:color w:val="auto"/>
          <w:szCs w:val="24"/>
          <w:lang w:eastAsia="zh-CN"/>
        </w:rPr>
        <w:t>芭蕉</w:t>
      </w:r>
      <w:r>
        <w:rPr>
          <w:rFonts w:cs="Times New Roman"/>
          <w:color w:val="auto"/>
          <w:szCs w:val="24"/>
          <w:lang w:eastAsia="zh-CN"/>
        </w:rPr>
        <w:t>牵张场</w:t>
      </w:r>
      <w:r>
        <w:rPr>
          <w:rFonts w:hint="eastAsia" w:cs="Times New Roman"/>
          <w:color w:val="auto"/>
          <w:szCs w:val="24"/>
          <w:lang w:eastAsia="zh-CN"/>
        </w:rPr>
        <w:t>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为满足施工的需要，沿线需设置牵张场，根据沿线实际情况及设计资料，本项目线路工程施工期间需在每1.6～1.8km设置1处牵张场，据统计，本项目施工期间共布设7个牵张场，牵张场单个占地400m</w:t>
      </w:r>
      <w:r>
        <w:rPr>
          <w:rFonts w:cs="Times New Roman"/>
          <w:color w:val="auto"/>
          <w:szCs w:val="24"/>
          <w:vertAlign w:val="superscript"/>
          <w:lang w:eastAsia="zh-CN"/>
        </w:rPr>
        <w:t>2</w:t>
      </w:r>
      <w:r>
        <w:rPr>
          <w:rFonts w:cs="Times New Roman"/>
          <w:color w:val="auto"/>
          <w:szCs w:val="24"/>
          <w:lang w:eastAsia="zh-CN"/>
        </w:rPr>
        <w:t>，共计占地2800m</w:t>
      </w:r>
      <w:r>
        <w:rPr>
          <w:rFonts w:cs="Times New Roman"/>
          <w:color w:val="auto"/>
          <w:szCs w:val="24"/>
          <w:vertAlign w:val="superscript"/>
          <w:lang w:eastAsia="zh-CN"/>
        </w:rPr>
        <w:t>2</w:t>
      </w:r>
      <w:r>
        <w:rPr>
          <w:rFonts w:cs="Times New Roman"/>
          <w:color w:val="auto"/>
          <w:szCs w:val="24"/>
          <w:lang w:eastAsia="zh-CN"/>
        </w:rPr>
        <w:t>。牵张场为临时占地，选址时应避开植被较好的区域。</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7）</w:t>
      </w:r>
      <w:r>
        <w:rPr>
          <w:rFonts w:hint="eastAsia" w:cs="Times New Roman"/>
          <w:color w:val="auto"/>
          <w:szCs w:val="24"/>
          <w:lang w:eastAsia="zh-CN"/>
        </w:rPr>
        <w:t>芭蕉</w:t>
      </w:r>
      <w:r>
        <w:rPr>
          <w:rFonts w:cs="Times New Roman"/>
          <w:color w:val="auto"/>
          <w:szCs w:val="24"/>
          <w:lang w:eastAsia="zh-CN"/>
        </w:rPr>
        <w:t>跨越场</w:t>
      </w:r>
      <w:r>
        <w:rPr>
          <w:rFonts w:hint="eastAsia" w:cs="Times New Roman"/>
          <w:color w:val="auto"/>
          <w:szCs w:val="24"/>
          <w:lang w:eastAsia="zh-CN"/>
        </w:rPr>
        <w:t>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在放线施工中，为使导地线安全通过被跨越物(电力线、等级公路等)而搭设临时结构体，材料有竹竿、木杆、钢管及其他金属结构体等，置于跨越两侧，共设跨越施工临时占地6处，每处占地面积约120m</w:t>
      </w:r>
      <w:r>
        <w:rPr>
          <w:rFonts w:cs="Times New Roman"/>
          <w:color w:val="auto"/>
          <w:szCs w:val="24"/>
          <w:vertAlign w:val="superscript"/>
          <w:lang w:eastAsia="zh-CN"/>
        </w:rPr>
        <w:t>2</w:t>
      </w:r>
      <w:r>
        <w:rPr>
          <w:rFonts w:cs="Times New Roman"/>
          <w:color w:val="auto"/>
          <w:szCs w:val="24"/>
          <w:lang w:eastAsia="zh-CN"/>
        </w:rPr>
        <w:t>，跨越施工临时占地共计720m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8）芭蕉电缆工程区</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在进入芭蕉变电站时修建电缆工程全长60m，电缆沟1.4m*1.4m，埋深0.8m，宽度3.6m，施工作业宽度6m，临时占地</w:t>
      </w:r>
      <w:r>
        <w:rPr>
          <w:rFonts w:cs="Times New Roman"/>
          <w:color w:val="auto"/>
          <w:szCs w:val="24"/>
          <w:lang w:eastAsia="zh-CN"/>
        </w:rPr>
        <w:t>36</w:t>
      </w:r>
      <w:r>
        <w:rPr>
          <w:rFonts w:hint="eastAsia" w:cs="Times New Roman"/>
          <w:color w:val="auto"/>
          <w:szCs w:val="24"/>
          <w:lang w:eastAsia="zh-CN"/>
        </w:rPr>
        <w:t>0m</w:t>
      </w:r>
      <w:r>
        <w:rPr>
          <w:rFonts w:hint="eastAsia" w:cs="Times New Roman"/>
          <w:color w:val="auto"/>
          <w:szCs w:val="24"/>
          <w:vertAlign w:val="superscript"/>
          <w:lang w:eastAsia="zh-CN"/>
        </w:rPr>
        <w:t>2</w:t>
      </w:r>
      <w:r>
        <w:rPr>
          <w:rFonts w:hint="eastAsia" w:cs="Times New Roman"/>
          <w:color w:val="auto"/>
          <w:szCs w:val="24"/>
          <w:lang w:eastAsia="zh-CN"/>
        </w:rPr>
        <w:t>。其中变电站内长度20m，变电站外长度40m。</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28" w:name="_Toc171533281"/>
      <w:r>
        <w:rPr>
          <w:rFonts w:ascii="Times New Roman" w:hAnsi="Times New Roman" w:eastAsia="仿宋_GB2312" w:cs="Times New Roman"/>
          <w:color w:val="auto"/>
          <w:sz w:val="30"/>
          <w:szCs w:val="30"/>
          <w:lang w:eastAsia="zh-CN"/>
        </w:rPr>
        <w:t>2.2 施工组织</w:t>
      </w:r>
      <w:bookmarkEnd w:id="28"/>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2.2.1 施工生产区和生活区布置</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（1）变电站工程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本项目需在已建成两座变电站站内进行施工，施工场地占地面积约为400m</w:t>
      </w:r>
      <w:r>
        <w:rPr>
          <w:rFonts w:cs="Times New Roman"/>
          <w:color w:val="auto"/>
          <w:szCs w:val="24"/>
          <w:vertAlign w:val="superscript"/>
          <w:lang w:eastAsia="zh-CN"/>
        </w:rPr>
        <w:t>2</w:t>
      </w:r>
      <w:r>
        <w:rPr>
          <w:rFonts w:cs="Times New Roman"/>
          <w:color w:val="auto"/>
          <w:szCs w:val="24"/>
          <w:lang w:eastAsia="zh-CN"/>
        </w:rPr>
        <w:t>，主要用于停放机械等设备、临时堆放表土等，施工人员均为当地居民，因此不单独设置施工生产生活区。间隔扩建工程在建设过程中应充分利用站内空地合理地安排施工顺序，站外</w:t>
      </w:r>
      <w:r>
        <w:rPr>
          <w:rFonts w:hint="eastAsia" w:cs="Times New Roman"/>
          <w:color w:val="auto"/>
          <w:szCs w:val="24"/>
          <w:lang w:eastAsia="zh-CN"/>
        </w:rPr>
        <w:t>无</w:t>
      </w:r>
      <w:r>
        <w:rPr>
          <w:rFonts w:cs="Times New Roman"/>
          <w:color w:val="auto"/>
          <w:szCs w:val="24"/>
          <w:lang w:eastAsia="zh-CN"/>
        </w:rPr>
        <w:t>新增施工临建设施区。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（2）线路工程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1）塔基</w:t>
      </w:r>
      <w:r>
        <w:rPr>
          <w:rFonts w:hint="eastAsia" w:cs="Times New Roman"/>
          <w:color w:val="auto"/>
          <w:szCs w:val="24"/>
          <w:lang w:eastAsia="zh-CN"/>
        </w:rPr>
        <w:t>及</w:t>
      </w:r>
      <w:r>
        <w:rPr>
          <w:rFonts w:cs="Times New Roman"/>
          <w:color w:val="auto"/>
          <w:szCs w:val="24"/>
          <w:lang w:eastAsia="zh-CN"/>
        </w:rPr>
        <w:t>临时施工</w:t>
      </w:r>
      <w:r>
        <w:rPr>
          <w:rFonts w:hint="eastAsia" w:cs="Times New Roman"/>
          <w:color w:val="auto"/>
          <w:szCs w:val="24"/>
          <w:lang w:eastAsia="zh-CN"/>
        </w:rPr>
        <w:t>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在塔基施工过程中需设置施工场地，用来临时堆置回填土方（包括表土）、砂石料等材料和工具，每处塔基都有一处施工临时用地作为施工场地，根据类似工程现场调查，机械施工塔基临时占地约为塔基占地外约6m范围，人工施工塔基临时占地为塔基占地外约4m范围，根据计算，本项目线路工程共布设塔基施工场地48处，塔基施工场地占地面积约20554m</w:t>
      </w:r>
      <w:r>
        <w:rPr>
          <w:rFonts w:cs="Times New Roman"/>
          <w:color w:val="auto"/>
          <w:szCs w:val="24"/>
          <w:vertAlign w:val="superscript"/>
          <w:lang w:eastAsia="zh-CN"/>
        </w:rPr>
        <w:t>2</w:t>
      </w:r>
      <w:r>
        <w:rPr>
          <w:rFonts w:cs="Times New Roman"/>
          <w:color w:val="auto"/>
          <w:szCs w:val="24"/>
          <w:lang w:eastAsia="zh-CN"/>
        </w:rPr>
        <w:t>，塔基施工场地会占压和扰动原地表植被，施工完成后应清理场地，及时恢复植被。</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2）牵张场</w:t>
      </w:r>
      <w:r>
        <w:rPr>
          <w:rFonts w:hint="eastAsia" w:cs="Times New Roman"/>
          <w:color w:val="auto"/>
          <w:szCs w:val="24"/>
          <w:lang w:eastAsia="zh-CN"/>
        </w:rPr>
        <w:t>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为满足施工的需要，沿线需设置牵张场，牵张场应满足牵引机、张力机能直接运达到位，地形应平坦，能满足布置牵张设备、布置导线及施工操作等要求。牵张场平面布置包括施工通道、机械布置区、导线集放区、锚线区、压接区、工具集放区、工棚布置区、休息区等，各区域四周采用硬围栏封闭，区域之间用红白三角旗隔开。</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根据沿线实际情况及设计资料，本项目线路工程施工期间需在每1.6～1.8km设置1处牵张场，据统计，本项目施工期间共布设10个牵张场，牵张场单个占地400m</w:t>
      </w:r>
      <w:r>
        <w:rPr>
          <w:rFonts w:cs="Times New Roman"/>
          <w:color w:val="auto"/>
          <w:szCs w:val="24"/>
          <w:vertAlign w:val="superscript"/>
          <w:lang w:eastAsia="zh-CN"/>
        </w:rPr>
        <w:t>2</w:t>
      </w:r>
      <w:r>
        <w:rPr>
          <w:rFonts w:cs="Times New Roman"/>
          <w:color w:val="auto"/>
          <w:szCs w:val="24"/>
          <w:lang w:eastAsia="zh-CN"/>
        </w:rPr>
        <w:t>，共计占地4000m</w:t>
      </w:r>
      <w:r>
        <w:rPr>
          <w:rFonts w:cs="Times New Roman"/>
          <w:color w:val="auto"/>
          <w:szCs w:val="24"/>
          <w:vertAlign w:val="superscript"/>
          <w:lang w:eastAsia="zh-CN"/>
        </w:rPr>
        <w:t>2</w:t>
      </w:r>
      <w:r>
        <w:rPr>
          <w:rFonts w:cs="Times New Roman"/>
          <w:color w:val="auto"/>
          <w:szCs w:val="24"/>
          <w:lang w:eastAsia="zh-CN"/>
        </w:rPr>
        <w:t>。牵张场为临时占地，选址时应避开植被较好的区域。</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3）跨越场区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在放线施工中，为使导地线安全通过被跨越物(电力线、等级公路等)而搭设临时结构体，材料有竹竿、木杆、钢管及其他金属结构体等，置于跨越两侧，共设跨越施工临时占地10处，每处占地面积约120m</w:t>
      </w:r>
      <w:r>
        <w:rPr>
          <w:rFonts w:cs="Times New Roman"/>
          <w:color w:val="auto"/>
          <w:szCs w:val="24"/>
          <w:vertAlign w:val="superscript"/>
          <w:lang w:eastAsia="zh-CN"/>
        </w:rPr>
        <w:t>2</w:t>
      </w:r>
      <w:r>
        <w:rPr>
          <w:rFonts w:cs="Times New Roman"/>
          <w:color w:val="auto"/>
          <w:szCs w:val="24"/>
          <w:lang w:eastAsia="zh-CN"/>
        </w:rPr>
        <w:t>，跨越施工临时占地共计1200m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4）电缆工程区</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本项目新建电缆沟长度60m，电缆沟宽度为1.4m，施工作业宽度为6m，共计临时占地360m</w:t>
      </w:r>
      <w:r>
        <w:rPr>
          <w:rFonts w:hint="eastAsia" w:cs="Times New Roman"/>
          <w:color w:val="auto"/>
          <w:szCs w:val="24"/>
          <w:vertAlign w:val="superscript"/>
          <w:lang w:eastAsia="zh-CN"/>
        </w:rPr>
        <w:t>2</w:t>
      </w:r>
      <w:r>
        <w:rPr>
          <w:rFonts w:hint="eastAsia"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本工程施工生产生活区租用附近民房，不新增水土流失。</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2.2.2 施工道路</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（1）变电站工程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玛瑙和芭蕉变电站已有道路可直达，交通运输条件便利，因此利用原有进站公路作为对外施工道路，不另建施工道路。</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（2）线路工程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工程对外交通主要解决建筑材料和牵引张拉设备等运输问题。设备运输尽量利用项目沿线已有的高速公路、国道、省道、县道，当现有道路不能满足工程设施运输要求时，在无现有道路可利用的情况下，需开辟新的简易道路，以便机械或人力材料运输通过。NA1、NA2</w:t>
      </w:r>
      <w:r>
        <w:rPr>
          <w:rFonts w:hint="eastAsia" w:cs="Times New Roman"/>
          <w:color w:val="auto"/>
          <w:szCs w:val="24"/>
          <w:lang w:eastAsia="zh-CN"/>
        </w:rPr>
        <w:t>、NA15、NA16</w:t>
      </w:r>
      <w:r>
        <w:rPr>
          <w:rFonts w:cs="Times New Roman"/>
          <w:color w:val="auto"/>
          <w:szCs w:val="24"/>
          <w:lang w:eastAsia="zh-CN"/>
        </w:rPr>
        <w:t>采用机械施工，</w:t>
      </w:r>
      <w:r>
        <w:rPr>
          <w:rFonts w:hint="eastAsia" w:cs="Times New Roman"/>
          <w:color w:val="auto"/>
          <w:szCs w:val="24"/>
          <w:lang w:eastAsia="zh-CN"/>
        </w:rPr>
        <w:t>NA15、NA16紧邻公路，利用原有道路，NA1、NA2需修建施工便道，</w:t>
      </w:r>
      <w:r>
        <w:rPr>
          <w:rFonts w:cs="Times New Roman"/>
          <w:color w:val="auto"/>
          <w:szCs w:val="24"/>
          <w:lang w:eastAsia="zh-CN"/>
        </w:rPr>
        <w:t>新建施工便道160m，宽度3m，临时占地480m</w:t>
      </w:r>
      <w:r>
        <w:rPr>
          <w:rFonts w:cs="Times New Roman"/>
          <w:color w:val="auto"/>
          <w:szCs w:val="24"/>
          <w:vertAlign w:val="superscript"/>
          <w:lang w:eastAsia="zh-CN"/>
        </w:rPr>
        <w:t>2</w:t>
      </w:r>
      <w:r>
        <w:rPr>
          <w:rFonts w:cs="Times New Roman"/>
          <w:color w:val="auto"/>
          <w:szCs w:val="24"/>
          <w:lang w:eastAsia="zh-CN"/>
        </w:rPr>
        <w:t>，NA15、NA16、NB1、NB2</w:t>
      </w:r>
      <w:r>
        <w:rPr>
          <w:rFonts w:hint="eastAsia" w:cs="Times New Roman"/>
          <w:color w:val="auto"/>
          <w:szCs w:val="24"/>
          <w:lang w:eastAsia="zh-CN"/>
        </w:rPr>
        <w:t>、</w:t>
      </w:r>
      <w:r>
        <w:rPr>
          <w:rFonts w:cs="Times New Roman"/>
          <w:color w:val="auto"/>
          <w:szCs w:val="24"/>
          <w:lang w:eastAsia="zh-CN"/>
        </w:rPr>
        <w:t>NB31、NB32紧邻公路，不需要新建施工便道，其余塔位采用骡马运输，</w:t>
      </w:r>
      <w:r>
        <w:rPr>
          <w:rFonts w:hint="eastAsia" w:cs="Times New Roman"/>
          <w:color w:val="auto"/>
          <w:szCs w:val="24"/>
          <w:lang w:eastAsia="zh-CN"/>
        </w:rPr>
        <w:t>骡马运输</w:t>
      </w:r>
      <w:r>
        <w:rPr>
          <w:rFonts w:cs="Times New Roman"/>
          <w:color w:val="auto"/>
          <w:szCs w:val="24"/>
          <w:lang w:eastAsia="zh-CN"/>
        </w:rPr>
        <w:t>便道</w:t>
      </w:r>
      <w:r>
        <w:rPr>
          <w:rFonts w:hint="eastAsia" w:cs="Times New Roman"/>
          <w:color w:val="auto"/>
          <w:szCs w:val="24"/>
          <w:lang w:eastAsia="zh-CN"/>
        </w:rPr>
        <w:t>局部清理植被不进行挖填工作，局部进行</w:t>
      </w:r>
      <w:r>
        <w:rPr>
          <w:rFonts w:cs="Times New Roman"/>
          <w:color w:val="auto"/>
          <w:szCs w:val="24"/>
          <w:lang w:eastAsia="zh-CN"/>
        </w:rPr>
        <w:t>长6370m，宽1.2m，面积11124m</w:t>
      </w:r>
      <w:r>
        <w:rPr>
          <w:rFonts w:cs="Times New Roman"/>
          <w:color w:val="auto"/>
          <w:szCs w:val="24"/>
          <w:vertAlign w:val="superscript"/>
          <w:lang w:eastAsia="zh-CN"/>
        </w:rPr>
        <w:t>2</w:t>
      </w:r>
      <w:r>
        <w:rPr>
          <w:rFonts w:cs="Times New Roman"/>
          <w:color w:val="auto"/>
          <w:szCs w:val="24"/>
          <w:lang w:eastAsia="zh-CN"/>
        </w:rPr>
        <w:t>。</w:t>
      </w:r>
      <w:r>
        <w:rPr>
          <w:rFonts w:hint="eastAsia" w:cs="Times New Roman"/>
          <w:color w:val="auto"/>
          <w:szCs w:val="24"/>
          <w:lang w:eastAsia="zh-CN"/>
        </w:rPr>
        <w:t>施工便道总占地面积1</w:t>
      </w:r>
      <w:r>
        <w:rPr>
          <w:rFonts w:cs="Times New Roman"/>
          <w:color w:val="auto"/>
          <w:szCs w:val="24"/>
          <w:lang w:eastAsia="zh-CN"/>
        </w:rPr>
        <w:t>1604m</w:t>
      </w:r>
      <w:r>
        <w:rPr>
          <w:rFonts w:cs="Times New Roman"/>
          <w:color w:val="auto"/>
          <w:szCs w:val="24"/>
          <w:vertAlign w:val="superscript"/>
          <w:lang w:eastAsia="zh-CN"/>
        </w:rPr>
        <w:t>2</w:t>
      </w:r>
      <w:r>
        <w:rPr>
          <w:rFonts w:hint="eastAsia" w:cs="Times New Roman"/>
          <w:color w:val="auto"/>
          <w:szCs w:val="24"/>
          <w:lang w:eastAsia="zh-CN"/>
        </w:rPr>
        <w:t>。</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2.2.3 施工用水用电</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（1）变电站工程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变电站用电可直接从原有变电站接入，变电站生产及生活采用城市自来水管网，目前站址周围已规划建设城市自来水管网，可采用引接自来水管网。</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（2）线路工程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线路工程用水可从塔基附近的水源中抽取利用，附近无水源的，通过供水车运送抽取；施工用电均可从周边电网引接，能满足施工用水、用电要求。另外配备</w:t>
      </w:r>
      <w:r>
        <w:rPr>
          <w:rFonts w:hint="eastAsia" w:cs="Times New Roman"/>
          <w:color w:val="auto"/>
          <w:szCs w:val="24"/>
          <w:lang w:eastAsia="zh-CN"/>
        </w:rPr>
        <w:t>3</w:t>
      </w:r>
      <w:r>
        <w:rPr>
          <w:rFonts w:cs="Times New Roman"/>
          <w:color w:val="auto"/>
          <w:szCs w:val="24"/>
          <w:lang w:eastAsia="zh-CN"/>
        </w:rPr>
        <w:t>台20kw的柴油发电机作为备用。</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2.2.4 取土（石、砂）场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本项目土石方经区域内调配和综合利用后，无外借土石方，建设所需的砂石骨料等均在当地购买，外购所产生的水土流失责任由卖方承担。</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从水土保持角度分析，本项目土石方量明确，未新增取土场，减少了工程扰动面积，从源头上减少了水土流失，符合水土保持要求。</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2.2.5 弃土（石、砂）场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本项目土石方经区域内调配和综合利用后，无土石余方产生。因此本项目不设置弃土（石、料）场，减少了新增水土流失。</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2.2.</w:t>
      </w:r>
      <w:r>
        <w:rPr>
          <w:rFonts w:hint="eastAsia" w:cs="Times New Roman"/>
          <w:color w:val="auto"/>
          <w:sz w:val="28"/>
          <w:szCs w:val="28"/>
          <w:lang w:eastAsia="zh-CN"/>
        </w:rPr>
        <w:t>6</w:t>
      </w:r>
      <w:r>
        <w:rPr>
          <w:rFonts w:cs="Times New Roman"/>
          <w:color w:val="auto"/>
          <w:sz w:val="28"/>
          <w:szCs w:val="28"/>
          <w:lang w:eastAsia="zh-CN"/>
        </w:rPr>
        <w:t>施工</w:t>
      </w:r>
      <w:r>
        <w:rPr>
          <w:rFonts w:hint="eastAsia" w:cs="Times New Roman"/>
          <w:color w:val="auto"/>
          <w:sz w:val="28"/>
          <w:szCs w:val="28"/>
          <w:lang w:eastAsia="zh-CN"/>
        </w:rPr>
        <w:t>方法及</w:t>
      </w:r>
      <w:r>
        <w:rPr>
          <w:rFonts w:cs="Times New Roman"/>
          <w:color w:val="auto"/>
          <w:sz w:val="28"/>
          <w:szCs w:val="28"/>
          <w:lang w:eastAsia="zh-CN"/>
        </w:rPr>
        <w:t>工艺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（1）变电站工程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本次变电站工程主要为间隔扩建土建工程、安装工程与管沟施工组成。</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1）土建工程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变电站问隔扩建工程主要包括建构筑物基础、管沟等开挖，考虑采用机械开挖和人工挖土修边相结合方式。主要建(构)筑物基础混凝土购买商品混凝土，由混凝土运输车运输，泵车至工作面。问隔基槽开挖时需边坡支模防护，开挖时必须服从基坑支护要求。区土石方工程采用机械开挖和人工挖土修边相结合的方式开挖。土建工程应避开雨天施工，严禁大雨期间进行回填施工，并应做好防雨及时排水措施。</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2）管线设施</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变电站站区内排水管线敷设形式基本为地下直埋式。管线工程采取分段施工，边挖边铺管道，用挖掘机挖至距设计高程0.3m～0.5m时改用人工施工继续下挖，直至设计高程并清理槽底。排水沟及排水管线开挖土料的临时堆置按照一侧堆土、一侧施工的原则进行。临时堆土按照开挖顺序将表土层置于底层，先挖后填，后挖先填，回填土方按照工程设计要求进行碾压，管线多余土方平摊于施工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3）安装工程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安装工作在间隔建构筑物施工完成后进行，主要安装工程为间隔架构。安装站区内的安装工作视土建部分进展情况机动进入，设备一般采用吊车施工安装，在用吊车吊运装卸时，除一般平稳轻起轻落外，还需严格按厂家设备安装及施工技术要求进行安装。</w:t>
      </w:r>
    </w:p>
    <w:p>
      <w:pPr>
        <w:widowControl w:val="0"/>
        <w:kinsoku/>
        <w:topLinePunct/>
        <w:autoSpaceDE/>
        <w:autoSpaceDN/>
        <w:spacing w:line="360" w:lineRule="auto"/>
        <w:ind w:firstLine="482"/>
        <w:rPr>
          <w:rFonts w:cs="Times New Roman"/>
          <w:b/>
          <w:bCs/>
          <w:color w:val="auto"/>
          <w:szCs w:val="24"/>
          <w:lang w:eastAsia="zh-CN"/>
        </w:rPr>
      </w:pPr>
      <w:r>
        <w:rPr>
          <w:rFonts w:cs="Times New Roman"/>
          <w:b/>
          <w:bCs/>
          <w:color w:val="auto"/>
          <w:szCs w:val="24"/>
          <w:lang w:eastAsia="zh-CN"/>
        </w:rPr>
        <w:t>（2）线路工程</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线路工程施工主要有：施工准备、基础施工、组装铁塔、导地线安装及调整几个阶段。对水土保持影响较大的是施工准备、基础施工两个阶段。</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1）施工准备</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施工准备阶段主要工作内容为：场地清理，施工临时道路开挖、塔基永久占地区内表土剥离，设置施工场地等。</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施工便道布设：本项目根据实际地形及交通条件，施工便道分为机械运输及骡马搬运。本项目NA1、NA2、NA15、NA16、NB31、NB32、NB1、NB2共8个塔位基础采用机械运输，其中NA1、NA2处塔需修建临时道路，其余6处塔位位于路边材料可直接运抵塔位。其他塔位需新修骡马搬运的道路，根据线路的地形、地貌，对占用林地的人抬道路地方进行简单的伐疏枝条，对部分凹凸不平的地方进行填凹削凸处理</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表土剥离实施技术：在剥离表土前，对开挖区域及后期余土占压区域内的杂草、树木等有碍物进行彻底清除，然后采用机械及人工配合进行开挖，先把表层土按预定厚度剥离，单独堆放在塔基施工临时占地区内，需用防雨布覆盖，避免雨水和地表径流冲刷使土壤大量流失。</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基础浇筑完成后，再进行整平工作，局部高差较大处，进行土方回填，尽量做到挖填同时进行，使平整后高程符合设计要求。回填时应采取就近原则，并应保证表土下方土块有足够的隔水层，防止表土层底部形成漏水层，在施工时应注意高程的控制，并配合平整进行表层覆土。</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2）基础施工</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基础施工流程大体如下：</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塔腿小平台开挖：包括排水沟开挖，位于斜坡的塔基表面应回填成斜面，恢复自然排水，对可能出现较大汇水面且土层较厚的塔位，要求开挖排水沟，并接入原地形自然排水系统。开挖塔腿基础坑。凡能开挖成形的基坑，均采用以“坑壁”代替基础底模板式开挖，尽可能减少开挖量。</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高低腿与不等高基础配合设计为了减少挖方量、节省投资、少破坏山区植被，本项目铁塔采用全方位高低腿（长短腿）设计。铁塔长短腿的使用，由于不能做到无级调整，往往只能达到基本上同原自然地形、地貌吻合，会留下一定范围的高差需要用基础主柱高度去调整。</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铁塔全方位长短腿与不等高基础的配合使用如下图。</w:t>
      </w:r>
    </w:p>
    <w:p>
      <w:pPr>
        <w:widowControl w:val="0"/>
        <w:kinsoku/>
        <w:topLinePunct/>
        <w:autoSpaceDE/>
        <w:autoSpaceDN/>
        <w:spacing w:line="300" w:lineRule="auto"/>
        <w:ind w:firstLine="480"/>
        <w:jc w:val="center"/>
        <w:rPr>
          <w:rFonts w:cs="Times New Roman"/>
          <w:color w:val="auto"/>
          <w:szCs w:val="24"/>
          <w:lang w:eastAsia="zh-CN"/>
        </w:rPr>
      </w:pPr>
      <w:r>
        <w:rPr>
          <w:rFonts w:cs="Times New Roman"/>
          <w:snapToGrid/>
          <w:color w:val="auto"/>
          <w:lang w:eastAsia="zh-CN"/>
        </w:rPr>
        <w:drawing>
          <wp:inline distT="0" distB="0" distL="0" distR="0">
            <wp:extent cx="3127375" cy="2209800"/>
            <wp:effectExtent l="19050" t="0" r="0" b="0"/>
            <wp:docPr id="104880681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48806811" name="图片 1"/>
                    <pic:cNvPicPr>
                      <a:picLocks noChangeAspect="true"/>
                    </pic:cNvPicPr>
                  </pic:nvPicPr>
                  <pic:blipFill>
                    <a:blip r:embed="rId49" cstate="print"/>
                    <a:srcRect t="2975"/>
                    <a:stretch>
                      <a:fillRect/>
                    </a:stretch>
                  </pic:blipFill>
                  <pic:spPr>
                    <a:xfrm>
                      <a:off x="0" y="0"/>
                      <a:ext cx="3134910" cy="2215497"/>
                    </a:xfrm>
                    <a:prstGeom prst="rect">
                      <a:avLst/>
                    </a:prstGeom>
                    <a:ln>
                      <a:noFill/>
                    </a:ln>
                  </pic:spPr>
                </pic:pic>
              </a:graphicData>
            </a:graphic>
          </wp:inline>
        </w:drawing>
      </w:r>
    </w:p>
    <w:p>
      <w:pPr>
        <w:widowControl w:val="0"/>
        <w:kinsoku/>
        <w:topLinePunct/>
        <w:autoSpaceDE/>
        <w:autoSpaceDN/>
        <w:spacing w:line="300" w:lineRule="auto"/>
        <w:ind w:firstLine="422"/>
        <w:jc w:val="center"/>
        <w:rPr>
          <w:rFonts w:cs="Times New Roman"/>
          <w:b/>
          <w:bCs/>
          <w:color w:val="auto"/>
          <w:sz w:val="21"/>
          <w:lang w:eastAsia="zh-CN"/>
        </w:rPr>
      </w:pPr>
      <w:r>
        <w:rPr>
          <w:rFonts w:cs="Times New Roman"/>
          <w:b/>
          <w:bCs/>
          <w:color w:val="auto"/>
          <w:sz w:val="21"/>
          <w:lang w:eastAsia="zh-CN"/>
        </w:rPr>
        <w:t>图2.2-1 铁塔全方位长短腿与不等高基础应用一</w:t>
      </w:r>
    </w:p>
    <w:p>
      <w:pPr>
        <w:widowControl w:val="0"/>
        <w:kinsoku/>
        <w:topLinePunct/>
        <w:autoSpaceDE/>
        <w:autoSpaceDN/>
        <w:spacing w:line="300" w:lineRule="auto"/>
        <w:ind w:firstLine="480"/>
        <w:jc w:val="center"/>
        <w:rPr>
          <w:rFonts w:cs="Times New Roman"/>
          <w:color w:val="auto"/>
          <w:szCs w:val="24"/>
          <w:lang w:eastAsia="zh-CN"/>
        </w:rPr>
      </w:pPr>
      <w:r>
        <w:rPr>
          <w:rFonts w:cs="Times New Roman"/>
          <w:snapToGrid/>
          <w:color w:val="auto"/>
          <w:lang w:eastAsia="zh-CN"/>
        </w:rPr>
        <w:drawing>
          <wp:inline distT="0" distB="0" distL="0" distR="0">
            <wp:extent cx="3181350" cy="2306955"/>
            <wp:effectExtent l="19050" t="0" r="0" b="0"/>
            <wp:docPr id="35791199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7911994" name="图片 1"/>
                    <pic:cNvPicPr>
                      <a:picLocks noChangeAspect="true"/>
                    </pic:cNvPicPr>
                  </pic:nvPicPr>
                  <pic:blipFill>
                    <a:blip r:embed="rId50" cstate="print"/>
                    <a:stretch>
                      <a:fillRect/>
                    </a:stretch>
                  </pic:blipFill>
                  <pic:spPr>
                    <a:xfrm>
                      <a:off x="0" y="0"/>
                      <a:ext cx="3187959" cy="2311711"/>
                    </a:xfrm>
                    <a:prstGeom prst="rect">
                      <a:avLst/>
                    </a:prstGeom>
                  </pic:spPr>
                </pic:pic>
              </a:graphicData>
            </a:graphic>
          </wp:inline>
        </w:drawing>
      </w:r>
    </w:p>
    <w:p>
      <w:pPr>
        <w:widowControl w:val="0"/>
        <w:kinsoku/>
        <w:topLinePunct/>
        <w:autoSpaceDE/>
        <w:autoSpaceDN/>
        <w:spacing w:line="300" w:lineRule="auto"/>
        <w:ind w:firstLine="422"/>
        <w:jc w:val="center"/>
        <w:rPr>
          <w:rFonts w:cs="Times New Roman"/>
          <w:b/>
          <w:bCs/>
          <w:color w:val="auto"/>
          <w:sz w:val="21"/>
          <w:lang w:eastAsia="zh-CN"/>
        </w:rPr>
      </w:pPr>
      <w:r>
        <w:rPr>
          <w:rFonts w:cs="Times New Roman"/>
          <w:b/>
          <w:bCs/>
          <w:color w:val="auto"/>
          <w:sz w:val="21"/>
          <w:lang w:eastAsia="zh-CN"/>
        </w:rPr>
        <w:t>图2.2-2 铁塔全方位长短腿与不等高基础应用二</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开挖接地槽，对位于附近人口稀少的塔位，接地沟开挖可不形成封闭环形（允许开断一点），以避免沿垂直方向开挖接地沟从而形成冲沟危及塔位边坡的安全。绑扎钢筋、浇注塔腿基础混凝土，埋接地线材。</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基坑回填，余土处置：</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基坑开挖土临时堆放于塔基施工临时占地区，在回填之前应做好临时防护措施，基坑回填时采取“先粗后细”方式，方便地表迹地恢复。降基面及基坑开挖的余土置于塔位范围内放坡处理。</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土石方及基础施工流程见图2.2-3、图2.2-4。</w:t>
      </w:r>
    </w:p>
    <w:p>
      <w:pPr>
        <w:widowControl w:val="0"/>
        <w:kinsoku/>
        <w:topLinePunct/>
        <w:autoSpaceDE/>
        <w:autoSpaceDN/>
        <w:spacing w:line="300" w:lineRule="auto"/>
        <w:ind w:firstLine="199" w:firstLineChars="83"/>
        <w:rPr>
          <w:rFonts w:cs="Times New Roman"/>
          <w:color w:val="auto"/>
          <w:szCs w:val="24"/>
          <w:lang w:eastAsia="zh-CN"/>
        </w:rPr>
      </w:pPr>
      <w:r>
        <w:rPr>
          <w:rFonts w:cs="Times New Roman"/>
          <w:snapToGrid/>
          <w:color w:val="auto"/>
          <w:lang w:eastAsia="zh-CN"/>
        </w:rPr>
        <w:drawing>
          <wp:inline distT="0" distB="0" distL="0" distR="0">
            <wp:extent cx="5274310" cy="1289050"/>
            <wp:effectExtent l="0" t="0" r="2540" b="6350"/>
            <wp:docPr id="116713640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7136405" name="图片 1"/>
                    <pic:cNvPicPr>
                      <a:picLocks noChangeAspect="true"/>
                    </pic:cNvPicPr>
                  </pic:nvPicPr>
                  <pic:blipFill>
                    <a:blip r:embed="rId51" cstate="print"/>
                    <a:stretch>
                      <a:fillRect/>
                    </a:stretch>
                  </pic:blipFill>
                  <pic:spPr>
                    <a:xfrm>
                      <a:off x="0" y="0"/>
                      <a:ext cx="5274310" cy="1289050"/>
                    </a:xfrm>
                    <a:prstGeom prst="rect">
                      <a:avLst/>
                    </a:prstGeom>
                  </pic:spPr>
                </pic:pic>
              </a:graphicData>
            </a:graphic>
          </wp:inline>
        </w:drawing>
      </w:r>
    </w:p>
    <w:p>
      <w:pPr>
        <w:widowControl w:val="0"/>
        <w:kinsoku/>
        <w:topLinePunct/>
        <w:autoSpaceDE/>
        <w:autoSpaceDN/>
        <w:spacing w:line="300" w:lineRule="auto"/>
        <w:ind w:firstLine="422"/>
        <w:jc w:val="center"/>
        <w:rPr>
          <w:rFonts w:cs="Times New Roman"/>
          <w:b/>
          <w:bCs/>
          <w:color w:val="auto"/>
          <w:sz w:val="21"/>
          <w:lang w:eastAsia="zh-CN"/>
        </w:rPr>
      </w:pPr>
      <w:r>
        <w:rPr>
          <w:rFonts w:cs="Times New Roman"/>
          <w:b/>
          <w:bCs/>
          <w:color w:val="auto"/>
          <w:sz w:val="21"/>
          <w:lang w:eastAsia="zh-CN"/>
        </w:rPr>
        <w:t>图2.2-3 土石方施工流程图</w:t>
      </w:r>
    </w:p>
    <w:p>
      <w:pPr>
        <w:widowControl w:val="0"/>
        <w:kinsoku/>
        <w:topLinePunct/>
        <w:autoSpaceDE/>
        <w:autoSpaceDN/>
        <w:spacing w:line="300" w:lineRule="auto"/>
        <w:ind w:firstLine="199" w:firstLineChars="83"/>
        <w:rPr>
          <w:rFonts w:cs="Times New Roman"/>
          <w:color w:val="auto"/>
          <w:szCs w:val="24"/>
          <w:lang w:eastAsia="zh-CN"/>
        </w:rPr>
      </w:pPr>
      <w:r>
        <w:rPr>
          <w:rFonts w:cs="Times New Roman"/>
          <w:snapToGrid/>
          <w:color w:val="auto"/>
          <w:lang w:eastAsia="zh-CN"/>
        </w:rPr>
        <w:drawing>
          <wp:inline distT="0" distB="0" distL="0" distR="0">
            <wp:extent cx="5177790" cy="1161415"/>
            <wp:effectExtent l="19050" t="0" r="3636" b="0"/>
            <wp:docPr id="208308905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83089052" name="图片 1"/>
                    <pic:cNvPicPr>
                      <a:picLocks noChangeAspect="true"/>
                    </pic:cNvPicPr>
                  </pic:nvPicPr>
                  <pic:blipFill>
                    <a:blip r:embed="rId52" cstate="print"/>
                    <a:srcRect l="1375" r="541"/>
                    <a:stretch>
                      <a:fillRect/>
                    </a:stretch>
                  </pic:blipFill>
                  <pic:spPr>
                    <a:xfrm>
                      <a:off x="0" y="0"/>
                      <a:ext cx="5177964" cy="1161418"/>
                    </a:xfrm>
                    <a:prstGeom prst="rect">
                      <a:avLst/>
                    </a:prstGeom>
                  </pic:spPr>
                </pic:pic>
              </a:graphicData>
            </a:graphic>
          </wp:inline>
        </w:drawing>
      </w:r>
    </w:p>
    <w:p>
      <w:pPr>
        <w:widowControl w:val="0"/>
        <w:kinsoku/>
        <w:topLinePunct/>
        <w:autoSpaceDE/>
        <w:autoSpaceDN/>
        <w:spacing w:after="120" w:afterLines="50" w:line="300" w:lineRule="auto"/>
        <w:ind w:firstLine="422"/>
        <w:jc w:val="center"/>
        <w:rPr>
          <w:rFonts w:cs="Times New Roman"/>
          <w:color w:val="auto"/>
          <w:sz w:val="21"/>
          <w:lang w:eastAsia="zh-CN"/>
        </w:rPr>
      </w:pPr>
      <w:r>
        <w:rPr>
          <w:rFonts w:cs="Times New Roman"/>
          <w:b/>
          <w:bCs/>
          <w:color w:val="auto"/>
          <w:sz w:val="21"/>
          <w:lang w:eastAsia="zh-CN"/>
        </w:rPr>
        <w:t>图2.2-4 基础工程施工流程图</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3）余方摊平施工工艺：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平缓地形塔基开挖回填后，尚余一定量的余方，考虑到塔基余土具有点多、分散的特点，为合理利用水土资源，先将余土就近堆放在塔基施工场地，余土摊平时采取人工夯实方式对塔基开挖产生的土石方在塔基周边分层碾压，塔基永久占地形成龟背以使塔基不形成凹坑，周边形成排水坡度以利排水，以避免塔基区域形成积水。</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4）组塔</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组塔杆塔设计充分考虑地形、地质条件，施工机械系列配置，优化铁塔结构、节点连接、单件重量、基础形式等。保证杆塔的强度、刚度和稳定，杆塔结构型式简洁，受力清晰。</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当塔基础混凝土强度达到设计值的70%以上后，便可在塔位上组装铁塔组件成塔。本阶段在塔基占地范围仅存在从加工厂运来的铁塔组件的堆放、组装，在搬运过程对地面略有扰动，造成的水土流失轻微。</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5）放紧线和附件安装</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放紧线和附件安装架线施工的主要流程：施工准备（包括通道清理）——放线——紧线——附件及金具安装。架线主要采取张力放线的方式，首先将导线穿过铁塔挂线处，然后用牵张机进行张力牵放方法牵张。牵张场区使用时间较短，应选择场地平整工作量小、费用低的地方，相应对水土流失的影响也较小。跨越林区时，本工程铁塔采用架线“高跨”“长档”可减少树木的砍伐。</w:t>
      </w:r>
    </w:p>
    <w:p>
      <w:pPr>
        <w:widowControl w:val="0"/>
        <w:kinsoku/>
        <w:topLinePunct/>
        <w:autoSpaceDE/>
        <w:autoSpaceDN/>
        <w:spacing w:line="360" w:lineRule="auto"/>
        <w:ind w:firstLine="480"/>
        <w:jc w:val="both"/>
        <w:rPr>
          <w:rFonts w:cs="Times New Roman"/>
          <w:color w:val="auto"/>
          <w:szCs w:val="24"/>
          <w:lang w:eastAsia="zh-CN"/>
        </w:rPr>
      </w:pPr>
      <w:bookmarkStart w:id="29" w:name="_Hlk162618055"/>
      <w:r>
        <w:rPr>
          <w:rFonts w:cs="Times New Roman"/>
          <w:color w:val="auto"/>
          <w:szCs w:val="24"/>
          <w:lang w:eastAsia="zh-CN"/>
        </w:rPr>
        <w:t>6）</w:t>
      </w:r>
      <w:bookmarkEnd w:id="29"/>
      <w:r>
        <w:rPr>
          <w:rFonts w:cs="Times New Roman"/>
          <w:color w:val="auto"/>
          <w:szCs w:val="24"/>
          <w:lang w:eastAsia="zh-CN"/>
        </w:rPr>
        <w:t>施工道路施工工艺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大部分骡马运输，骡马运输施工便道区仅局部修整地面不平处。本项目机械运输段需开挖施工道路，道路路基土石方开挖时，施工队伍应采取机械化施工为主、人工为辅方法施工。施工道路沿线地形起伏减小，路基的施工以推土机或挖掘机等大型机械并配合人工挖填并碾压密实后形成路面，新建施工道路施工时应控制施工范围，减小对周围植物的影响和破坏，控制土石方量。对原有道路的拓宽施工工艺与新建施工道路大致相同，仅因拓宽道路施工工程量较小，采用小型简单机械配合人工挖填即可完成路面挖填。</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7）牵张场区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牵张场区使用时间多在10～15天，习惯上场地选择都注意场地平整工作量小、费用低的地方，相应对水土流失的影响也较小。本工程铁塔采用架线高跨，可减少树木的砍伐。</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8）跨越施工工艺</w:t>
      </w:r>
    </w:p>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color w:val="auto"/>
          <w:szCs w:val="24"/>
          <w:lang w:eastAsia="zh-CN"/>
        </w:rPr>
        <w:t>①</w:t>
      </w:r>
      <w:r>
        <w:rPr>
          <w:rFonts w:cs="Times New Roman"/>
          <w:color w:val="auto"/>
          <w:szCs w:val="24"/>
          <w:lang w:eastAsia="zh-CN"/>
        </w:rPr>
        <w:t>线路跨越公路(省道及以上)需采取措施，跨越点采用门型构架或竹制构架置于跨越点两侧，架线后拆除脚手架；跨越-般车流量较小的公路时，道路两边暂停通车迅速架线后再放行。</w:t>
      </w:r>
    </w:p>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color w:val="auto"/>
          <w:szCs w:val="24"/>
          <w:lang w:eastAsia="zh-CN"/>
        </w:rPr>
        <w:t>②</w:t>
      </w:r>
      <w:r>
        <w:rPr>
          <w:rFonts w:cs="Times New Roman"/>
          <w:color w:val="auto"/>
          <w:szCs w:val="24"/>
          <w:lang w:eastAsia="zh-CN"/>
        </w:rPr>
        <w:t>线路跨越35kV及以上线路时，根据与当地电力部门或交通部门协议情况，部分线路需设立脚手架进行跨越，跨越点采用门型构架或竹制构架置于跨越点两侧，架线后拆除脚手架；当线路跨越10kV及以下等级输电线时，被跨线路短暂停电，无需设立脚手架跨越。</w:t>
      </w:r>
    </w:p>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color w:val="auto"/>
          <w:szCs w:val="24"/>
          <w:lang w:eastAsia="zh-CN"/>
        </w:rPr>
        <w:t>③</w:t>
      </w:r>
      <w:r>
        <w:rPr>
          <w:rFonts w:cs="Times New Roman"/>
          <w:color w:val="auto"/>
          <w:szCs w:val="24"/>
          <w:lang w:eastAsia="zh-CN"/>
        </w:rPr>
        <w:t>跨越通航河流时，可利用船只架线，选择晴好天气用特定的船只将牵引绳从河的一岸牵引至河的对岸，然后再回到原地将用连接器连接好的导线、地线牵引至河的对岸，对导线进行牵张架线。也可以利用飞艇放线，采用飞艇架线方式时，由飞艇从河面上空牵放一根绝缘的一级引绳子，由一级引绳带张力牵通二级引绳，二级引绳再牵三级引绳，依次类推，直到牵引钢丝绳的牵通，进行架线。飞艇架线适用于所有障碍物跨越施工，尤其适用于大跨越及林区跨越，有利于降低跨越施工难度，减少地表和植被扰动。</w:t>
      </w:r>
    </w:p>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color w:val="auto"/>
          <w:szCs w:val="24"/>
          <w:lang w:eastAsia="zh-CN"/>
        </w:rPr>
        <w:t>④</w:t>
      </w:r>
      <w:r>
        <w:rPr>
          <w:rFonts w:cs="Times New Roman"/>
          <w:color w:val="auto"/>
          <w:szCs w:val="24"/>
          <w:lang w:eastAsia="zh-CN"/>
        </w:rPr>
        <w:t>对于跨越集中林区及其它重要跨越地段采用遥控飞艇等方法。飞艇架线是利用飞艇从线路上空飞过，张力牵放(或展放)一根轻质柔性绳索，飞艇展放一级引绳后逐步顺序牵引较高破断力的引绳，直到牵通导引绳；对于人可通行的稀疏林区，跨越时可少量砍伐，人工牵线。</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30" w:name="_Toc171533282"/>
      <w:r>
        <w:rPr>
          <w:rFonts w:ascii="Times New Roman" w:hAnsi="Times New Roman" w:eastAsia="仿宋_GB2312" w:cs="Times New Roman"/>
          <w:color w:val="auto"/>
          <w:sz w:val="30"/>
          <w:szCs w:val="30"/>
          <w:lang w:eastAsia="zh-CN"/>
        </w:rPr>
        <w:t>2.</w:t>
      </w:r>
      <w:r>
        <w:rPr>
          <w:rFonts w:hint="eastAsia" w:ascii="Times New Roman" w:hAnsi="Times New Roman" w:eastAsia="仿宋_GB2312" w:cs="Times New Roman"/>
          <w:color w:val="auto"/>
          <w:sz w:val="30"/>
          <w:szCs w:val="30"/>
          <w:lang w:eastAsia="zh-CN"/>
        </w:rPr>
        <w:t>3</w:t>
      </w:r>
      <w:r>
        <w:rPr>
          <w:rFonts w:ascii="Times New Roman" w:hAnsi="Times New Roman" w:eastAsia="仿宋_GB2312" w:cs="Times New Roman"/>
          <w:color w:val="auto"/>
          <w:sz w:val="30"/>
          <w:szCs w:val="30"/>
          <w:lang w:eastAsia="zh-CN"/>
        </w:rPr>
        <w:t xml:space="preserve"> 工程占地</w:t>
      </w:r>
      <w:bookmarkEnd w:id="30"/>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本项目占地包括变电站间隔扩建工程、线路工程，本方案根据《施工图设计》提供的数据基础上，对本项目占地进行分类统计。本项目属于线型工程，根据现场踏勘，经统计本项目</w:t>
      </w:r>
      <w:bookmarkStart w:id="31" w:name="_Hlk152342199"/>
      <w:r>
        <w:rPr>
          <w:rFonts w:cs="Times New Roman"/>
          <w:color w:val="auto"/>
          <w:szCs w:val="24"/>
          <w:lang w:eastAsia="zh-CN"/>
        </w:rPr>
        <w:t>占地主要分为变电站工程和线路工程占地，变电站工程分为变电站站区，线路工程分为塔基及临时施工区、施工便道区、牵张场区和电缆工程区。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（1）变电站工程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1）玛瑙变电站站区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本期需在玛瑙500kV变电站预留场地扩建220kV出线间隔1个，</w:t>
      </w:r>
      <w:bookmarkStart w:id="32" w:name="_Hlk171409537"/>
      <w:r>
        <w:rPr>
          <w:rFonts w:cs="Times New Roman"/>
          <w:color w:val="auto"/>
          <w:szCs w:val="24"/>
          <w:lang w:eastAsia="zh-CN"/>
        </w:rPr>
        <w:t>间隔扩建部分</w:t>
      </w:r>
      <w:r>
        <w:rPr>
          <w:rFonts w:hint="eastAsia" w:cs="Times New Roman"/>
          <w:color w:val="auto"/>
          <w:szCs w:val="24"/>
          <w:lang w:eastAsia="zh-CN"/>
        </w:rPr>
        <w:t>永久</w:t>
      </w:r>
      <w:r>
        <w:rPr>
          <w:rFonts w:cs="Times New Roman"/>
          <w:color w:val="auto"/>
          <w:szCs w:val="24"/>
          <w:lang w:eastAsia="zh-CN"/>
        </w:rPr>
        <w:t>占地面积为25m</w:t>
      </w:r>
      <w:r>
        <w:rPr>
          <w:rFonts w:cs="Times New Roman"/>
          <w:color w:val="auto"/>
          <w:szCs w:val="24"/>
          <w:vertAlign w:val="superscript"/>
          <w:lang w:eastAsia="zh-CN"/>
        </w:rPr>
        <w:t>2</w:t>
      </w:r>
      <w:r>
        <w:rPr>
          <w:rFonts w:cs="Times New Roman"/>
          <w:color w:val="auto"/>
          <w:szCs w:val="24"/>
          <w:lang w:eastAsia="zh-CN"/>
        </w:rPr>
        <w:t>（宽2.5m</w:t>
      </w:r>
      <w:r>
        <w:rPr>
          <w:rFonts w:hint="eastAsia" w:cs="Times New Roman"/>
          <w:color w:val="auto"/>
          <w:szCs w:val="24"/>
          <w:lang w:eastAsia="zh-CN"/>
        </w:rPr>
        <w:t>×</w:t>
      </w:r>
      <w:r>
        <w:rPr>
          <w:rFonts w:cs="Times New Roman"/>
          <w:color w:val="auto"/>
          <w:szCs w:val="24"/>
          <w:lang w:eastAsia="zh-CN"/>
        </w:rPr>
        <w:t>长10m）</w:t>
      </w:r>
      <w:bookmarkEnd w:id="32"/>
      <w:r>
        <w:rPr>
          <w:rFonts w:hint="eastAsia" w:cs="Times New Roman"/>
          <w:color w:val="auto"/>
          <w:szCs w:val="24"/>
          <w:lang w:eastAsia="zh-CN"/>
        </w:rPr>
        <w:t>，占地为绿化用地</w:t>
      </w:r>
      <w:r>
        <w:rPr>
          <w:rFonts w:cs="Times New Roman"/>
          <w:color w:val="auto"/>
          <w:szCs w:val="24"/>
          <w:lang w:eastAsia="zh-CN"/>
        </w:rPr>
        <w:t>，施工临时占地50m</w:t>
      </w:r>
      <w:r>
        <w:rPr>
          <w:rFonts w:cs="Times New Roman"/>
          <w:color w:val="auto"/>
          <w:szCs w:val="24"/>
          <w:vertAlign w:val="superscript"/>
          <w:lang w:eastAsia="zh-CN"/>
        </w:rPr>
        <w:t>2</w:t>
      </w:r>
      <w:r>
        <w:rPr>
          <w:rFonts w:hint="eastAsia" w:cs="Times New Roman"/>
          <w:color w:val="auto"/>
          <w:szCs w:val="24"/>
          <w:lang w:eastAsia="zh-CN"/>
        </w:rPr>
        <w:t>，占地为道路</w:t>
      </w:r>
      <w:r>
        <w:rPr>
          <w:rFonts w:cs="Times New Roman"/>
          <w:color w:val="auto"/>
          <w:szCs w:val="24"/>
          <w:lang w:eastAsia="zh-CN"/>
        </w:rPr>
        <w:t>，总占地面积为75m</w:t>
      </w:r>
      <w:r>
        <w:rPr>
          <w:rFonts w:cs="Times New Roman"/>
          <w:color w:val="auto"/>
          <w:szCs w:val="24"/>
          <w:vertAlign w:val="superscript"/>
          <w:lang w:eastAsia="zh-CN"/>
        </w:rPr>
        <w:t>2</w:t>
      </w:r>
      <w:r>
        <w:rPr>
          <w:rFonts w:cs="Times New Roman"/>
          <w:color w:val="auto"/>
          <w:szCs w:val="24"/>
          <w:lang w:eastAsia="zh-CN"/>
        </w:rPr>
        <w:t>，占地均在玛瑙变电站内。</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2）芭蕉变电站站区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本期需在芭蕉220kV变电站预留场地扩建220kV出线间隔1个，</w:t>
      </w:r>
      <w:r>
        <w:rPr>
          <w:rFonts w:hint="eastAsia" w:cs="Times New Roman"/>
          <w:color w:val="auto"/>
          <w:szCs w:val="24"/>
          <w:lang w:eastAsia="zh-CN"/>
        </w:rPr>
        <w:t>永久</w:t>
      </w:r>
      <w:r>
        <w:rPr>
          <w:rFonts w:cs="Times New Roman"/>
          <w:color w:val="auto"/>
          <w:szCs w:val="24"/>
          <w:lang w:eastAsia="zh-CN"/>
        </w:rPr>
        <w:t>占地面积为25m</w:t>
      </w:r>
      <w:r>
        <w:rPr>
          <w:rFonts w:cs="Times New Roman"/>
          <w:color w:val="auto"/>
          <w:szCs w:val="24"/>
          <w:vertAlign w:val="superscript"/>
          <w:lang w:eastAsia="zh-CN"/>
        </w:rPr>
        <w:t>2</w:t>
      </w:r>
      <w:r>
        <w:rPr>
          <w:rFonts w:cs="Times New Roman"/>
          <w:color w:val="auto"/>
          <w:szCs w:val="24"/>
          <w:lang w:eastAsia="zh-CN"/>
        </w:rPr>
        <w:t>（宽2.5m</w:t>
      </w:r>
      <w:r>
        <w:rPr>
          <w:rFonts w:hint="eastAsia" w:cs="Times New Roman"/>
          <w:color w:val="auto"/>
          <w:szCs w:val="24"/>
          <w:lang w:eastAsia="zh-CN"/>
        </w:rPr>
        <w:t>×</w:t>
      </w:r>
      <w:r>
        <w:rPr>
          <w:rFonts w:cs="Times New Roman"/>
          <w:color w:val="auto"/>
          <w:szCs w:val="24"/>
          <w:lang w:eastAsia="zh-CN"/>
        </w:rPr>
        <w:t>长10m）</w:t>
      </w:r>
      <w:r>
        <w:rPr>
          <w:rFonts w:hint="eastAsia" w:cs="Times New Roman"/>
          <w:color w:val="auto"/>
          <w:szCs w:val="24"/>
          <w:lang w:eastAsia="zh-CN"/>
        </w:rPr>
        <w:t>，为绿化用地</w:t>
      </w:r>
      <w:r>
        <w:rPr>
          <w:rFonts w:cs="Times New Roman"/>
          <w:color w:val="auto"/>
          <w:szCs w:val="24"/>
          <w:lang w:eastAsia="zh-CN"/>
        </w:rPr>
        <w:t>，临时占地65m</w:t>
      </w:r>
      <w:r>
        <w:rPr>
          <w:rFonts w:cs="Times New Roman"/>
          <w:color w:val="auto"/>
          <w:szCs w:val="24"/>
          <w:vertAlign w:val="superscript"/>
          <w:lang w:eastAsia="zh-CN"/>
        </w:rPr>
        <w:t>2</w:t>
      </w:r>
      <w:r>
        <w:rPr>
          <w:rFonts w:cs="Times New Roman"/>
          <w:color w:val="auto"/>
          <w:szCs w:val="24"/>
          <w:lang w:eastAsia="zh-CN"/>
        </w:rPr>
        <w:t>；排水管90m，占地90m</w:t>
      </w:r>
      <w:r>
        <w:rPr>
          <w:rFonts w:cs="Times New Roman"/>
          <w:color w:val="auto"/>
          <w:szCs w:val="24"/>
          <w:vertAlign w:val="superscript"/>
          <w:lang w:eastAsia="zh-CN"/>
        </w:rPr>
        <w:t>2</w:t>
      </w:r>
      <w:r>
        <w:rPr>
          <w:rFonts w:cs="Times New Roman"/>
          <w:color w:val="auto"/>
          <w:szCs w:val="24"/>
          <w:lang w:eastAsia="zh-CN"/>
        </w:rPr>
        <w:t>（开挖宽度1m）</w:t>
      </w:r>
      <w:r>
        <w:rPr>
          <w:rFonts w:hint="eastAsia" w:cs="Times New Roman"/>
          <w:color w:val="auto"/>
          <w:szCs w:val="24"/>
          <w:lang w:eastAsia="zh-CN"/>
        </w:rPr>
        <w:t>，占地为绿化用地</w:t>
      </w:r>
      <w:r>
        <w:rPr>
          <w:rFonts w:cs="Times New Roman"/>
          <w:color w:val="auto"/>
          <w:szCs w:val="24"/>
          <w:lang w:eastAsia="zh-CN"/>
        </w:rPr>
        <w:t>，临时占地面积135m</w:t>
      </w:r>
      <w:r>
        <w:rPr>
          <w:rFonts w:cs="Times New Roman"/>
          <w:color w:val="auto"/>
          <w:szCs w:val="24"/>
          <w:vertAlign w:val="superscript"/>
          <w:lang w:eastAsia="zh-CN"/>
        </w:rPr>
        <w:t>2</w:t>
      </w:r>
      <w:r>
        <w:rPr>
          <w:rFonts w:cs="Times New Roman"/>
          <w:color w:val="auto"/>
          <w:szCs w:val="24"/>
          <w:lang w:eastAsia="zh-CN"/>
        </w:rPr>
        <w:t>（临时施工占地宽1.5m）</w:t>
      </w:r>
      <w:r>
        <w:rPr>
          <w:rFonts w:hint="eastAsia" w:cs="Times New Roman"/>
          <w:color w:val="auto"/>
          <w:szCs w:val="24"/>
          <w:lang w:eastAsia="zh-CN"/>
        </w:rPr>
        <w:t>，占地为道路</w:t>
      </w:r>
      <w:r>
        <w:rPr>
          <w:rFonts w:cs="Times New Roman"/>
          <w:color w:val="auto"/>
          <w:szCs w:val="24"/>
          <w:lang w:eastAsia="zh-CN"/>
        </w:rPr>
        <w:t>；雨水</w:t>
      </w:r>
      <w:r>
        <w:rPr>
          <w:rFonts w:hint="eastAsia" w:cs="Times New Roman"/>
          <w:color w:val="auto"/>
          <w:szCs w:val="24"/>
          <w:lang w:eastAsia="zh-CN"/>
        </w:rPr>
        <w:t>口10</w:t>
      </w:r>
      <w:r>
        <w:rPr>
          <w:rFonts w:cs="Times New Roman"/>
          <w:color w:val="auto"/>
          <w:szCs w:val="24"/>
          <w:lang w:eastAsia="zh-CN"/>
        </w:rPr>
        <w:t>座</w:t>
      </w:r>
      <w:r>
        <w:rPr>
          <w:rFonts w:hint="eastAsia" w:cs="Times New Roman"/>
          <w:color w:val="auto"/>
          <w:szCs w:val="24"/>
          <w:lang w:eastAsia="zh-CN"/>
        </w:rPr>
        <w:t>、</w:t>
      </w:r>
      <w:r>
        <w:rPr>
          <w:rFonts w:cs="Times New Roman"/>
          <w:color w:val="auto"/>
          <w:szCs w:val="24"/>
          <w:lang w:eastAsia="zh-CN"/>
        </w:rPr>
        <w:t>检查井2座，</w:t>
      </w:r>
      <w:r>
        <w:rPr>
          <w:rFonts w:hint="eastAsia" w:cs="Times New Roman"/>
          <w:color w:val="auto"/>
          <w:szCs w:val="24"/>
          <w:lang w:eastAsia="zh-CN"/>
        </w:rPr>
        <w:t>永久</w:t>
      </w:r>
      <w:r>
        <w:rPr>
          <w:rFonts w:cs="Times New Roman"/>
          <w:color w:val="auto"/>
          <w:szCs w:val="24"/>
          <w:lang w:eastAsia="zh-CN"/>
        </w:rPr>
        <w:t>占地2m</w:t>
      </w:r>
      <w:r>
        <w:rPr>
          <w:rFonts w:cs="Times New Roman"/>
          <w:color w:val="auto"/>
          <w:szCs w:val="24"/>
          <w:vertAlign w:val="superscript"/>
          <w:lang w:eastAsia="zh-CN"/>
        </w:rPr>
        <w:t>2</w:t>
      </w:r>
      <w:r>
        <w:rPr>
          <w:rFonts w:cs="Times New Roman"/>
          <w:color w:val="auto"/>
          <w:szCs w:val="24"/>
          <w:lang w:eastAsia="zh-CN"/>
        </w:rPr>
        <w:t>，临时占地8m</w:t>
      </w:r>
      <w:r>
        <w:rPr>
          <w:rFonts w:cs="Times New Roman"/>
          <w:color w:val="auto"/>
          <w:szCs w:val="24"/>
          <w:vertAlign w:val="superscript"/>
          <w:lang w:eastAsia="zh-CN"/>
        </w:rPr>
        <w:t>2</w:t>
      </w:r>
      <w:r>
        <w:rPr>
          <w:rFonts w:hint="eastAsia" w:cs="Times New Roman"/>
          <w:color w:val="auto"/>
          <w:szCs w:val="24"/>
          <w:lang w:eastAsia="zh-CN"/>
        </w:rPr>
        <w:t>，占地为道路</w:t>
      </w:r>
      <w:r>
        <w:rPr>
          <w:rFonts w:cs="Times New Roman"/>
          <w:color w:val="auto"/>
          <w:szCs w:val="24"/>
          <w:lang w:eastAsia="zh-CN"/>
        </w:rPr>
        <w:t>；总占地面积325m</w:t>
      </w:r>
      <w:r>
        <w:rPr>
          <w:rFonts w:cs="Times New Roman"/>
          <w:color w:val="auto"/>
          <w:szCs w:val="24"/>
          <w:vertAlign w:val="superscript"/>
          <w:lang w:eastAsia="zh-CN"/>
        </w:rPr>
        <w:t>2</w:t>
      </w:r>
      <w:r>
        <w:rPr>
          <w:rFonts w:cs="Times New Roman"/>
          <w:color w:val="auto"/>
          <w:szCs w:val="24"/>
          <w:lang w:eastAsia="zh-CN"/>
        </w:rPr>
        <w:t>，占地均在芭蕉变电站内。</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变电站为原变电站永久征地，本次</w:t>
      </w:r>
      <w:r>
        <w:rPr>
          <w:rFonts w:hint="eastAsia" w:cs="Times New Roman"/>
          <w:color w:val="auto"/>
          <w:szCs w:val="24"/>
          <w:lang w:eastAsia="zh-CN"/>
        </w:rPr>
        <w:t>除扩建220kV出线间隔为永久占地，其余</w:t>
      </w:r>
      <w:r>
        <w:rPr>
          <w:rFonts w:cs="Times New Roman"/>
          <w:color w:val="auto"/>
          <w:szCs w:val="24"/>
          <w:lang w:eastAsia="zh-CN"/>
        </w:rPr>
        <w:t>占地为临时占地，施工结束后恢复原有地貌，占地类型为公共管理与公共服务用地</w:t>
      </w:r>
      <w:bookmarkEnd w:id="31"/>
      <w:r>
        <w:rPr>
          <w:rFonts w:cs="Times New Roman"/>
          <w:color w:val="auto"/>
          <w:szCs w:val="24"/>
          <w:lang w:eastAsia="zh-CN"/>
        </w:rPr>
        <w:t>，面积400m²。</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（2）线路工程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1）玛瑙-正达凯220kV线路工程</w:t>
      </w:r>
    </w:p>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color w:val="auto"/>
          <w:szCs w:val="24"/>
          <w:lang w:eastAsia="zh-CN"/>
        </w:rPr>
        <w:t>①</w:t>
      </w:r>
      <w:r>
        <w:rPr>
          <w:rFonts w:cs="Times New Roman"/>
          <w:color w:val="auto"/>
          <w:szCs w:val="24"/>
          <w:lang w:eastAsia="zh-CN"/>
        </w:rPr>
        <w:t>玛瑙塔基及临时施工区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塔基及临时施工区占地包括塔基范围永久占地和配套塔基施工场地临时占地，每个塔位铁塔基础根开、基础立柱宽见表2.1-3，塔基、护坡墙和排水沟永久占地面积为2588m</w:t>
      </w:r>
      <w:r>
        <w:rPr>
          <w:rFonts w:cs="Times New Roman"/>
          <w:color w:val="auto"/>
          <w:szCs w:val="24"/>
          <w:vertAlign w:val="superscript"/>
          <w:lang w:eastAsia="zh-CN"/>
        </w:rPr>
        <w:t>2</w:t>
      </w:r>
      <w:r>
        <w:rPr>
          <w:rFonts w:cs="Times New Roman"/>
          <w:color w:val="auto"/>
          <w:szCs w:val="24"/>
          <w:lang w:eastAsia="zh-CN"/>
        </w:rPr>
        <w:t>；塔位NA1、NA2、NA15、NA16为机械施工，塔基临时施工区按塔基占地外约6m计算；其余塔位为人工施工，塔基临时施工区按塔基占地外约4m计算，临时施工区总面积3466m</w:t>
      </w:r>
      <w:r>
        <w:rPr>
          <w:rFonts w:cs="Times New Roman"/>
          <w:color w:val="auto"/>
          <w:szCs w:val="24"/>
          <w:vertAlign w:val="superscript"/>
          <w:lang w:eastAsia="zh-CN"/>
        </w:rPr>
        <w:t>2</w:t>
      </w:r>
      <w:r>
        <w:rPr>
          <w:rFonts w:cs="Times New Roman"/>
          <w:color w:val="auto"/>
          <w:szCs w:val="24"/>
          <w:lang w:eastAsia="zh-CN"/>
        </w:rPr>
        <w:t>，护坡墙、排水沟临时占地261m</w:t>
      </w:r>
      <w:r>
        <w:rPr>
          <w:rFonts w:cs="Times New Roman"/>
          <w:color w:val="auto"/>
          <w:szCs w:val="24"/>
          <w:vertAlign w:val="superscript"/>
          <w:lang w:eastAsia="zh-CN"/>
        </w:rPr>
        <w:t>2</w:t>
      </w:r>
      <w:r>
        <w:rPr>
          <w:rFonts w:cs="Times New Roman"/>
          <w:color w:val="auto"/>
          <w:szCs w:val="24"/>
          <w:lang w:eastAsia="zh-CN"/>
        </w:rPr>
        <w:t>，临时占地总面积3727 m</w:t>
      </w:r>
      <w:r>
        <w:rPr>
          <w:rFonts w:cs="Times New Roman"/>
          <w:color w:val="auto"/>
          <w:szCs w:val="24"/>
          <w:vertAlign w:val="superscript"/>
          <w:lang w:eastAsia="zh-CN"/>
        </w:rPr>
        <w:t>2</w:t>
      </w:r>
      <w:r>
        <w:rPr>
          <w:rFonts w:cs="Times New Roman"/>
          <w:color w:val="auto"/>
          <w:szCs w:val="24"/>
          <w:lang w:eastAsia="zh-CN"/>
        </w:rPr>
        <w:t>，见表2.3-1。NA1和NA15占地</w:t>
      </w:r>
      <w:r>
        <w:rPr>
          <w:rFonts w:hint="eastAsia" w:cs="Times New Roman"/>
          <w:color w:val="auto"/>
          <w:szCs w:val="24"/>
          <w:lang w:eastAsia="zh-CN"/>
        </w:rPr>
        <w:t>面积</w:t>
      </w:r>
      <w:r>
        <w:rPr>
          <w:rFonts w:cs="Times New Roman"/>
          <w:color w:val="auto"/>
          <w:szCs w:val="24"/>
          <w:lang w:eastAsia="zh-CN"/>
        </w:rPr>
        <w:t>281m</w:t>
      </w:r>
      <w:r>
        <w:rPr>
          <w:rFonts w:cs="Times New Roman"/>
          <w:color w:val="auto"/>
          <w:szCs w:val="24"/>
          <w:vertAlign w:val="superscript"/>
          <w:lang w:eastAsia="zh-CN"/>
        </w:rPr>
        <w:t>2</w:t>
      </w:r>
      <w:r>
        <w:rPr>
          <w:rFonts w:cs="Times New Roman"/>
          <w:color w:val="auto"/>
          <w:szCs w:val="24"/>
          <w:lang w:eastAsia="zh-CN"/>
        </w:rPr>
        <w:t>为耕地，其余塔位</w:t>
      </w:r>
      <w:r>
        <w:rPr>
          <w:rFonts w:hint="eastAsia" w:cs="Times New Roman"/>
          <w:color w:val="auto"/>
          <w:szCs w:val="24"/>
          <w:lang w:eastAsia="zh-CN"/>
        </w:rPr>
        <w:t>占地面积</w:t>
      </w:r>
      <w:r>
        <w:rPr>
          <w:rFonts w:cs="Times New Roman"/>
          <w:color w:val="auto"/>
          <w:szCs w:val="24"/>
          <w:lang w:eastAsia="zh-CN"/>
        </w:rPr>
        <w:t>为林地。</w:t>
      </w:r>
    </w:p>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color w:val="auto"/>
          <w:szCs w:val="24"/>
          <w:lang w:eastAsia="zh-CN"/>
        </w:rPr>
        <w:t>②</w:t>
      </w:r>
      <w:r>
        <w:rPr>
          <w:rFonts w:hint="eastAsia" w:ascii="仿宋_GB2312" w:hAnsi="宋体" w:cs="宋体"/>
          <w:color w:val="auto"/>
          <w:szCs w:val="24"/>
          <w:lang w:eastAsia="zh-CN"/>
        </w:rPr>
        <w:t>玛瑙</w:t>
      </w:r>
      <w:r>
        <w:rPr>
          <w:rFonts w:cs="Times New Roman"/>
          <w:color w:val="auto"/>
          <w:szCs w:val="24"/>
          <w:lang w:eastAsia="zh-CN"/>
        </w:rPr>
        <w:t>施工便道区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塔位NA1、NA2、NA15、NA16为机械施工，NA15、NA16紧邻公路，利用原有道路，NA1、NA2需修建施工便道，新建施工便道160m，宽度3m，临时占地480m</w:t>
      </w:r>
      <w:r>
        <w:rPr>
          <w:rFonts w:cs="Times New Roman"/>
          <w:color w:val="auto"/>
          <w:szCs w:val="24"/>
          <w:vertAlign w:val="superscript"/>
          <w:lang w:eastAsia="zh-CN"/>
        </w:rPr>
        <w:t>2</w:t>
      </w:r>
      <w:r>
        <w:rPr>
          <w:rFonts w:cs="Times New Roman"/>
          <w:color w:val="auto"/>
          <w:szCs w:val="24"/>
          <w:lang w:eastAsia="zh-CN"/>
        </w:rPr>
        <w:t>，其余塔位（骡马搬运）新建施工便道为长2900m，宽度1.2m，临时占地3480m</w:t>
      </w:r>
      <w:r>
        <w:rPr>
          <w:rFonts w:cs="Times New Roman"/>
          <w:color w:val="auto"/>
          <w:szCs w:val="24"/>
          <w:vertAlign w:val="superscript"/>
          <w:lang w:eastAsia="zh-CN"/>
        </w:rPr>
        <w:t>2</w:t>
      </w:r>
      <w:r>
        <w:rPr>
          <w:rFonts w:cs="Times New Roman"/>
          <w:color w:val="auto"/>
          <w:szCs w:val="24"/>
          <w:lang w:eastAsia="zh-CN"/>
        </w:rPr>
        <w:t>。</w:t>
      </w:r>
      <w:r>
        <w:rPr>
          <w:rFonts w:hint="eastAsia" w:cs="Times New Roman"/>
          <w:color w:val="auto"/>
          <w:szCs w:val="24"/>
          <w:lang w:eastAsia="zh-CN"/>
        </w:rPr>
        <w:t>总占地面积3</w:t>
      </w:r>
      <w:r>
        <w:rPr>
          <w:rFonts w:cs="Times New Roman"/>
          <w:color w:val="auto"/>
          <w:szCs w:val="24"/>
          <w:lang w:eastAsia="zh-CN"/>
        </w:rPr>
        <w:t>960m</w:t>
      </w:r>
      <w:r>
        <w:rPr>
          <w:rFonts w:cs="Times New Roman"/>
          <w:color w:val="auto"/>
          <w:szCs w:val="24"/>
          <w:vertAlign w:val="superscript"/>
          <w:lang w:eastAsia="zh-CN"/>
        </w:rPr>
        <w:t>2</w:t>
      </w:r>
      <w:r>
        <w:rPr>
          <w:rFonts w:hint="eastAsia" w:cs="Times New Roman"/>
          <w:color w:val="auto"/>
          <w:szCs w:val="24"/>
          <w:lang w:eastAsia="zh-CN"/>
        </w:rPr>
        <w:t>，</w:t>
      </w:r>
      <w:r>
        <w:rPr>
          <w:rFonts w:cs="Times New Roman"/>
          <w:color w:val="auto"/>
          <w:szCs w:val="24"/>
          <w:lang w:eastAsia="zh-CN"/>
        </w:rPr>
        <w:t>占地类型为林地。</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③玛瑙</w:t>
      </w:r>
      <w:r>
        <w:rPr>
          <w:rFonts w:cs="Times New Roman"/>
          <w:color w:val="auto"/>
          <w:szCs w:val="24"/>
          <w:lang w:eastAsia="zh-CN"/>
        </w:rPr>
        <w:t>牵张场区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玛瑙-正达凯220kV线路工程施工期间共布设3个牵张场，牵张场单个</w:t>
      </w:r>
      <w:r>
        <w:rPr>
          <w:rFonts w:hint="eastAsia" w:cs="Times New Roman"/>
          <w:color w:val="auto"/>
          <w:szCs w:val="24"/>
          <w:lang w:eastAsia="zh-CN"/>
        </w:rPr>
        <w:t>临时</w:t>
      </w:r>
      <w:r>
        <w:rPr>
          <w:rFonts w:cs="Times New Roman"/>
          <w:color w:val="auto"/>
          <w:szCs w:val="24"/>
          <w:lang w:eastAsia="zh-CN"/>
        </w:rPr>
        <w:t>占地400m</w:t>
      </w:r>
      <w:r>
        <w:rPr>
          <w:rFonts w:cs="Times New Roman"/>
          <w:color w:val="auto"/>
          <w:szCs w:val="24"/>
          <w:vertAlign w:val="superscript"/>
          <w:lang w:eastAsia="zh-CN"/>
        </w:rPr>
        <w:t>2</w:t>
      </w:r>
      <w:r>
        <w:rPr>
          <w:rFonts w:cs="Times New Roman"/>
          <w:color w:val="auto"/>
          <w:szCs w:val="24"/>
          <w:lang w:eastAsia="zh-CN"/>
        </w:rPr>
        <w:t>，共计占地1200m</w:t>
      </w:r>
      <w:r>
        <w:rPr>
          <w:rFonts w:cs="Times New Roman"/>
          <w:color w:val="auto"/>
          <w:szCs w:val="24"/>
          <w:vertAlign w:val="superscript"/>
          <w:lang w:eastAsia="zh-CN"/>
        </w:rPr>
        <w:t>2</w:t>
      </w:r>
      <w:r>
        <w:rPr>
          <w:rFonts w:hint="eastAsia" w:cs="Times New Roman"/>
          <w:color w:val="auto"/>
          <w:szCs w:val="24"/>
          <w:lang w:eastAsia="zh-CN"/>
        </w:rPr>
        <w:t>，</w:t>
      </w:r>
      <w:r>
        <w:rPr>
          <w:rFonts w:cs="Times New Roman"/>
          <w:color w:val="auto"/>
          <w:szCs w:val="24"/>
          <w:lang w:eastAsia="zh-CN"/>
        </w:rPr>
        <w:t>占地类型为耕地。</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④玛瑙</w:t>
      </w:r>
      <w:r>
        <w:rPr>
          <w:rFonts w:cs="Times New Roman"/>
          <w:color w:val="auto"/>
          <w:szCs w:val="24"/>
          <w:lang w:eastAsia="zh-CN"/>
        </w:rPr>
        <w:t>跨越场区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玛瑙-正达凯220kV线路工程共设置4处跨越场区，每处临时占地面积120m</w:t>
      </w:r>
      <w:r>
        <w:rPr>
          <w:rFonts w:cs="Times New Roman"/>
          <w:color w:val="auto"/>
          <w:szCs w:val="24"/>
          <w:vertAlign w:val="superscript"/>
          <w:lang w:eastAsia="zh-CN"/>
        </w:rPr>
        <w:t>2</w:t>
      </w:r>
      <w:r>
        <w:rPr>
          <w:rFonts w:cs="Times New Roman"/>
          <w:color w:val="auto"/>
          <w:szCs w:val="24"/>
          <w:lang w:eastAsia="zh-CN"/>
        </w:rPr>
        <w:t>，共计占地480m</w:t>
      </w:r>
      <w:r>
        <w:rPr>
          <w:rFonts w:cs="Times New Roman"/>
          <w:color w:val="auto"/>
          <w:szCs w:val="24"/>
          <w:vertAlign w:val="superscript"/>
          <w:lang w:eastAsia="zh-CN"/>
        </w:rPr>
        <w:t>2</w:t>
      </w:r>
      <w:r>
        <w:rPr>
          <w:rFonts w:cs="Times New Roman"/>
          <w:color w:val="auto"/>
          <w:szCs w:val="24"/>
          <w:lang w:eastAsia="zh-CN"/>
        </w:rPr>
        <w:t>。其中240m</w:t>
      </w:r>
      <w:r>
        <w:rPr>
          <w:rFonts w:cs="Times New Roman"/>
          <w:color w:val="auto"/>
          <w:szCs w:val="24"/>
          <w:vertAlign w:val="superscript"/>
          <w:lang w:eastAsia="zh-CN"/>
        </w:rPr>
        <w:t>2</w:t>
      </w:r>
      <w:r>
        <w:rPr>
          <w:rFonts w:cs="Times New Roman"/>
          <w:color w:val="auto"/>
          <w:szCs w:val="24"/>
          <w:lang w:eastAsia="zh-CN"/>
        </w:rPr>
        <w:t>占地类型为耕地，其余240m</w:t>
      </w:r>
      <w:r>
        <w:rPr>
          <w:rFonts w:cs="Times New Roman"/>
          <w:color w:val="auto"/>
          <w:szCs w:val="24"/>
          <w:vertAlign w:val="superscript"/>
          <w:lang w:eastAsia="zh-CN"/>
        </w:rPr>
        <w:t>2</w:t>
      </w:r>
      <w:r>
        <w:rPr>
          <w:rFonts w:cs="Times New Roman"/>
          <w:color w:val="auto"/>
          <w:szCs w:val="24"/>
          <w:lang w:eastAsia="zh-CN"/>
        </w:rPr>
        <w:t>为林地。</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2</w:t>
      </w:r>
      <w:r>
        <w:rPr>
          <w:rFonts w:cs="Times New Roman"/>
          <w:color w:val="auto"/>
          <w:szCs w:val="24"/>
          <w:lang w:eastAsia="zh-CN"/>
        </w:rPr>
        <w:t>）芭蕉-正达凯220kV线路工程</w:t>
      </w:r>
    </w:p>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color w:val="auto"/>
          <w:szCs w:val="24"/>
          <w:lang w:eastAsia="zh-CN"/>
        </w:rPr>
        <w:t>①</w:t>
      </w:r>
      <w:r>
        <w:rPr>
          <w:rFonts w:hint="eastAsia" w:ascii="仿宋_GB2312" w:hAnsi="宋体" w:cs="宋体"/>
          <w:color w:val="auto"/>
          <w:szCs w:val="24"/>
          <w:lang w:eastAsia="zh-CN"/>
        </w:rPr>
        <w:t>芭蕉</w:t>
      </w:r>
      <w:r>
        <w:rPr>
          <w:rFonts w:hint="eastAsia" w:ascii="仿宋_GB2312" w:cs="Times New Roman"/>
          <w:color w:val="auto"/>
          <w:szCs w:val="24"/>
          <w:lang w:eastAsia="zh-CN"/>
        </w:rPr>
        <w:t>塔基</w:t>
      </w:r>
      <w:r>
        <w:rPr>
          <w:rFonts w:cs="Times New Roman"/>
          <w:color w:val="auto"/>
          <w:szCs w:val="24"/>
          <w:lang w:eastAsia="zh-CN"/>
        </w:rPr>
        <w:t>及临时施工区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塔基及临时施工区占地包括塔基范围永久占地和配套塔基施工场地临时占地，每个塔位铁塔基础根开、基础立柱宽见表2.1-3，塔基、护坡墙和排水沟永久占地面积为6932m</w:t>
      </w:r>
      <w:r>
        <w:rPr>
          <w:rFonts w:cs="Times New Roman"/>
          <w:color w:val="auto"/>
          <w:szCs w:val="24"/>
          <w:vertAlign w:val="superscript"/>
          <w:lang w:eastAsia="zh-CN"/>
        </w:rPr>
        <w:t>2</w:t>
      </w:r>
      <w:r>
        <w:rPr>
          <w:rFonts w:cs="Times New Roman"/>
          <w:color w:val="auto"/>
          <w:szCs w:val="24"/>
          <w:lang w:eastAsia="zh-CN"/>
        </w:rPr>
        <w:t>；塔位NB1、NB2、NB31和NB3</w:t>
      </w:r>
      <w:r>
        <w:rPr>
          <w:rFonts w:eastAsia="微软雅黑" w:cs="Times New Roman"/>
          <w:color w:val="auto"/>
          <w:szCs w:val="24"/>
          <w:lang w:eastAsia="zh-CN"/>
        </w:rPr>
        <w:t>2</w:t>
      </w:r>
      <w:r>
        <w:rPr>
          <w:rFonts w:cs="Times New Roman"/>
          <w:color w:val="auto"/>
          <w:szCs w:val="24"/>
          <w:lang w:eastAsia="zh-CN"/>
        </w:rPr>
        <w:t>为机械施工，塔基临时施工区按塔基占地外约6m计算，其余塔位为人工施工，塔基临时施工区按塔基占地外约4m计算，临时施工区总面积7065m</w:t>
      </w:r>
      <w:r>
        <w:rPr>
          <w:rFonts w:cs="Times New Roman"/>
          <w:color w:val="auto"/>
          <w:szCs w:val="24"/>
          <w:vertAlign w:val="superscript"/>
          <w:lang w:eastAsia="zh-CN"/>
        </w:rPr>
        <w:t>2</w:t>
      </w:r>
      <w:r>
        <w:rPr>
          <w:rFonts w:cs="Times New Roman"/>
          <w:color w:val="auto"/>
          <w:szCs w:val="24"/>
          <w:lang w:eastAsia="zh-CN"/>
        </w:rPr>
        <w:t>，护坡墙、排水沟临时占地504 m</w:t>
      </w:r>
      <w:r>
        <w:rPr>
          <w:rFonts w:cs="Times New Roman"/>
          <w:color w:val="auto"/>
          <w:szCs w:val="24"/>
          <w:vertAlign w:val="superscript"/>
          <w:lang w:eastAsia="zh-CN"/>
        </w:rPr>
        <w:t>2</w:t>
      </w:r>
      <w:r>
        <w:rPr>
          <w:rFonts w:cs="Times New Roman"/>
          <w:color w:val="auto"/>
          <w:szCs w:val="24"/>
          <w:lang w:eastAsia="zh-CN"/>
        </w:rPr>
        <w:t>，临时占地总面积</w:t>
      </w:r>
      <w:r>
        <w:rPr>
          <w:rFonts w:hint="eastAsia" w:cs="Times New Roman"/>
          <w:color w:val="auto"/>
          <w:szCs w:val="24"/>
          <w:lang w:eastAsia="zh-CN"/>
        </w:rPr>
        <w:t>7</w:t>
      </w:r>
      <w:r>
        <w:rPr>
          <w:rFonts w:cs="Times New Roman"/>
          <w:color w:val="auto"/>
          <w:szCs w:val="24"/>
          <w:lang w:eastAsia="zh-CN"/>
        </w:rPr>
        <w:t>308 m</w:t>
      </w:r>
      <w:r>
        <w:rPr>
          <w:rFonts w:cs="Times New Roman"/>
          <w:color w:val="auto"/>
          <w:szCs w:val="24"/>
          <w:vertAlign w:val="superscript"/>
          <w:lang w:eastAsia="zh-CN"/>
        </w:rPr>
        <w:t>2</w:t>
      </w:r>
      <w:r>
        <w:rPr>
          <w:rFonts w:cs="Times New Roman"/>
          <w:color w:val="auto"/>
          <w:szCs w:val="24"/>
          <w:lang w:eastAsia="zh-CN"/>
        </w:rPr>
        <w:t>，见表2.3-1。NB5、NB6和NB31占地</w:t>
      </w:r>
      <w:r>
        <w:rPr>
          <w:rFonts w:hint="eastAsia" w:cs="Times New Roman"/>
          <w:color w:val="auto"/>
          <w:szCs w:val="24"/>
          <w:lang w:eastAsia="zh-CN"/>
        </w:rPr>
        <w:t>面积5</w:t>
      </w:r>
      <w:r>
        <w:rPr>
          <w:rFonts w:cs="Times New Roman"/>
          <w:color w:val="auto"/>
          <w:szCs w:val="24"/>
          <w:lang w:eastAsia="zh-CN"/>
        </w:rPr>
        <w:t>88.3m</w:t>
      </w:r>
      <w:r>
        <w:rPr>
          <w:rFonts w:cs="Times New Roman"/>
          <w:color w:val="auto"/>
          <w:szCs w:val="24"/>
          <w:vertAlign w:val="superscript"/>
          <w:lang w:eastAsia="zh-CN"/>
        </w:rPr>
        <w:t>2</w:t>
      </w:r>
      <w:r>
        <w:rPr>
          <w:rFonts w:cs="Times New Roman"/>
          <w:color w:val="auto"/>
          <w:szCs w:val="24"/>
          <w:lang w:eastAsia="zh-CN"/>
        </w:rPr>
        <w:t>为耕地，其余塔位为林地。</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②芭蕉</w:t>
      </w:r>
      <w:r>
        <w:rPr>
          <w:rFonts w:cs="Times New Roman"/>
          <w:color w:val="auto"/>
          <w:szCs w:val="24"/>
          <w:lang w:eastAsia="zh-CN"/>
        </w:rPr>
        <w:t>施工便道区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塔位NB1、NB2、NB31和NB3</w:t>
      </w:r>
      <w:r>
        <w:rPr>
          <w:rFonts w:eastAsia="微软雅黑" w:cs="Times New Roman"/>
          <w:color w:val="auto"/>
          <w:szCs w:val="24"/>
          <w:lang w:eastAsia="zh-CN"/>
        </w:rPr>
        <w:t>2</w:t>
      </w:r>
      <w:r>
        <w:rPr>
          <w:rFonts w:cs="Times New Roman"/>
          <w:color w:val="auto"/>
          <w:szCs w:val="24"/>
          <w:lang w:eastAsia="zh-CN"/>
        </w:rPr>
        <w:t>为机械施工，紧邻公路，利用原有道路，其余塔位骡马搬运便道</w:t>
      </w:r>
      <w:r>
        <w:rPr>
          <w:rFonts w:hint="eastAsia" w:cs="Times New Roman"/>
          <w:color w:val="auto"/>
          <w:szCs w:val="24"/>
          <w:lang w:eastAsia="zh-CN"/>
        </w:rPr>
        <w:t>（不开挖）</w:t>
      </w:r>
      <w:r>
        <w:rPr>
          <w:rFonts w:cs="Times New Roman"/>
          <w:color w:val="auto"/>
          <w:szCs w:val="24"/>
          <w:lang w:eastAsia="zh-CN"/>
        </w:rPr>
        <w:t>为长6370m，宽度1.2m，临时占地7644m</w:t>
      </w:r>
      <w:r>
        <w:rPr>
          <w:rFonts w:cs="Times New Roman"/>
          <w:color w:val="auto"/>
          <w:szCs w:val="24"/>
          <w:vertAlign w:val="superscript"/>
          <w:lang w:eastAsia="zh-CN"/>
        </w:rPr>
        <w:t>2</w:t>
      </w:r>
      <w:r>
        <w:rPr>
          <w:rFonts w:cs="Times New Roman"/>
          <w:color w:val="auto"/>
          <w:szCs w:val="24"/>
          <w:lang w:eastAsia="zh-CN"/>
        </w:rPr>
        <w:t>。占地类型为林地。</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③芭蕉</w:t>
      </w:r>
      <w:r>
        <w:rPr>
          <w:rFonts w:cs="Times New Roman"/>
          <w:color w:val="auto"/>
          <w:szCs w:val="24"/>
          <w:lang w:eastAsia="zh-CN"/>
        </w:rPr>
        <w:t>牵张场区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芭蕉-正达凯220kV线路工程施工期间共布设7个牵张场，牵张场单个占地400m</w:t>
      </w:r>
      <w:r>
        <w:rPr>
          <w:rFonts w:cs="Times New Roman"/>
          <w:color w:val="auto"/>
          <w:szCs w:val="24"/>
          <w:vertAlign w:val="superscript"/>
          <w:lang w:eastAsia="zh-CN"/>
        </w:rPr>
        <w:t>2</w:t>
      </w:r>
      <w:r>
        <w:rPr>
          <w:rFonts w:cs="Times New Roman"/>
          <w:color w:val="auto"/>
          <w:szCs w:val="24"/>
          <w:lang w:eastAsia="zh-CN"/>
        </w:rPr>
        <w:t>，共计占地2800m</w:t>
      </w:r>
      <w:r>
        <w:rPr>
          <w:rFonts w:cs="Times New Roman"/>
          <w:color w:val="auto"/>
          <w:szCs w:val="24"/>
          <w:vertAlign w:val="superscript"/>
          <w:lang w:eastAsia="zh-CN"/>
        </w:rPr>
        <w:t>2</w:t>
      </w:r>
      <w:r>
        <w:rPr>
          <w:rFonts w:cs="Times New Roman"/>
          <w:color w:val="auto"/>
          <w:szCs w:val="24"/>
          <w:lang w:eastAsia="zh-CN"/>
        </w:rPr>
        <w:t>。占地类型为耕地。</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④芭蕉</w:t>
      </w:r>
      <w:r>
        <w:rPr>
          <w:rFonts w:cs="Times New Roman"/>
          <w:color w:val="auto"/>
          <w:szCs w:val="24"/>
          <w:lang w:eastAsia="zh-CN"/>
        </w:rPr>
        <w:t>跨越场区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芭蕉-正达凯220kV线路工程共涉及6处跨越场，每处临时占地面积120m</w:t>
      </w:r>
      <w:r>
        <w:rPr>
          <w:rFonts w:cs="Times New Roman"/>
          <w:color w:val="auto"/>
          <w:szCs w:val="24"/>
          <w:vertAlign w:val="superscript"/>
          <w:lang w:eastAsia="zh-CN"/>
        </w:rPr>
        <w:t>2</w:t>
      </w:r>
      <w:r>
        <w:rPr>
          <w:rFonts w:cs="Times New Roman"/>
          <w:color w:val="auto"/>
          <w:szCs w:val="24"/>
          <w:lang w:eastAsia="zh-CN"/>
        </w:rPr>
        <w:t>，共计占地720m</w:t>
      </w:r>
      <w:r>
        <w:rPr>
          <w:rFonts w:cs="Times New Roman"/>
          <w:color w:val="auto"/>
          <w:szCs w:val="24"/>
          <w:vertAlign w:val="superscript"/>
          <w:lang w:eastAsia="zh-CN"/>
        </w:rPr>
        <w:t>2</w:t>
      </w:r>
      <w:r>
        <w:rPr>
          <w:rFonts w:cs="Times New Roman"/>
          <w:color w:val="auto"/>
          <w:szCs w:val="24"/>
          <w:lang w:eastAsia="zh-CN"/>
        </w:rPr>
        <w:t>。占地类型为林地。</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⑤芭蕉</w:t>
      </w:r>
      <w:r>
        <w:rPr>
          <w:rFonts w:cs="Times New Roman"/>
          <w:color w:val="auto"/>
          <w:szCs w:val="24"/>
          <w:lang w:eastAsia="zh-CN"/>
        </w:rPr>
        <w:t>电缆工程区</w:t>
      </w:r>
    </w:p>
    <w:p>
      <w:pPr>
        <w:widowControl w:val="0"/>
        <w:kinsoku/>
        <w:topLinePunct/>
        <w:autoSpaceDE/>
        <w:autoSpaceDN/>
        <w:spacing w:line="360" w:lineRule="auto"/>
        <w:ind w:firstLine="480"/>
        <w:jc w:val="both"/>
        <w:rPr>
          <w:rFonts w:cs="Times New Roman"/>
          <w:color w:val="auto"/>
          <w:szCs w:val="24"/>
          <w:lang w:eastAsia="zh-CN"/>
        </w:rPr>
      </w:pPr>
      <w:bookmarkStart w:id="33" w:name="_Hlk171410651"/>
      <w:r>
        <w:rPr>
          <w:rFonts w:cs="Times New Roman"/>
          <w:color w:val="auto"/>
          <w:szCs w:val="24"/>
          <w:lang w:eastAsia="zh-CN"/>
        </w:rPr>
        <w:t>芭蕉-正达凯220kV线路工程电缆工程全长60m，电缆沟1.4m</w:t>
      </w:r>
      <w:r>
        <w:rPr>
          <w:rFonts w:hint="eastAsia" w:cs="Times New Roman"/>
          <w:color w:val="auto"/>
          <w:szCs w:val="24"/>
          <w:lang w:eastAsia="zh-CN"/>
        </w:rPr>
        <w:t>×</w:t>
      </w:r>
      <w:r>
        <w:rPr>
          <w:rFonts w:cs="Times New Roman"/>
          <w:color w:val="auto"/>
          <w:szCs w:val="24"/>
          <w:lang w:eastAsia="zh-CN"/>
        </w:rPr>
        <w:t>1.4m，埋深0.8m，宽度3.6m，施工作业宽度6m，临时占地360m</w:t>
      </w:r>
      <w:r>
        <w:rPr>
          <w:rFonts w:cs="Times New Roman"/>
          <w:color w:val="auto"/>
          <w:szCs w:val="24"/>
          <w:vertAlign w:val="superscript"/>
          <w:lang w:eastAsia="zh-CN"/>
        </w:rPr>
        <w:t>2</w:t>
      </w:r>
      <w:r>
        <w:rPr>
          <w:rFonts w:cs="Times New Roman"/>
          <w:color w:val="auto"/>
          <w:szCs w:val="24"/>
          <w:lang w:eastAsia="zh-CN"/>
        </w:rPr>
        <w:t>。其中120m</w:t>
      </w:r>
      <w:r>
        <w:rPr>
          <w:rFonts w:cs="Times New Roman"/>
          <w:color w:val="auto"/>
          <w:szCs w:val="24"/>
          <w:vertAlign w:val="superscript"/>
          <w:lang w:eastAsia="zh-CN"/>
        </w:rPr>
        <w:t>2</w:t>
      </w:r>
      <w:r>
        <w:rPr>
          <w:rFonts w:cs="Times New Roman"/>
          <w:color w:val="auto"/>
          <w:szCs w:val="24"/>
          <w:lang w:eastAsia="zh-CN"/>
        </w:rPr>
        <w:t>占地类型为</w:t>
      </w:r>
      <w:r>
        <w:rPr>
          <w:rFonts w:hint="eastAsia" w:cs="Times New Roman"/>
          <w:color w:val="auto"/>
          <w:szCs w:val="24"/>
          <w:lang w:eastAsia="zh-CN"/>
        </w:rPr>
        <w:t>已建变电站的</w:t>
      </w:r>
      <w:r>
        <w:rPr>
          <w:rFonts w:cs="Times New Roman"/>
          <w:color w:val="auto"/>
          <w:szCs w:val="24"/>
          <w:lang w:eastAsia="zh-CN"/>
        </w:rPr>
        <w:t>公共管理与公共服务用地，240m</w:t>
      </w:r>
      <w:r>
        <w:rPr>
          <w:rFonts w:cs="Times New Roman"/>
          <w:color w:val="auto"/>
          <w:szCs w:val="24"/>
          <w:vertAlign w:val="superscript"/>
          <w:lang w:eastAsia="zh-CN"/>
        </w:rPr>
        <w:t>2</w:t>
      </w:r>
      <w:r>
        <w:rPr>
          <w:rFonts w:cs="Times New Roman"/>
          <w:color w:val="auto"/>
          <w:szCs w:val="24"/>
          <w:lang w:eastAsia="zh-CN"/>
        </w:rPr>
        <w:t>为耕地。</w:t>
      </w:r>
    </w:p>
    <w:bookmarkEnd w:id="33"/>
    <w:p>
      <w:pPr>
        <w:widowControl w:val="0"/>
        <w:kinsoku/>
        <w:topLinePunct/>
        <w:autoSpaceDE/>
        <w:autoSpaceDN/>
        <w:spacing w:line="300" w:lineRule="auto"/>
        <w:ind w:firstLine="422"/>
        <w:jc w:val="center"/>
        <w:rPr>
          <w:rFonts w:cs="Times New Roman"/>
          <w:b/>
          <w:bCs/>
          <w:color w:val="auto"/>
          <w:sz w:val="21"/>
          <w:lang w:eastAsia="zh-CN"/>
        </w:rPr>
      </w:pPr>
      <w:r>
        <w:rPr>
          <w:rFonts w:cs="Times New Roman"/>
          <w:b/>
          <w:bCs/>
          <w:color w:val="auto"/>
          <w:sz w:val="21"/>
          <w:lang w:eastAsia="zh-CN"/>
        </w:rPr>
        <w:t>表2.3.1 线路工程塔基及临时施工区占地面积</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137"/>
        <w:gridCol w:w="1138"/>
        <w:gridCol w:w="1281"/>
        <w:gridCol w:w="1191"/>
        <w:gridCol w:w="1397"/>
        <w:gridCol w:w="1105"/>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blHeader/>
          <w:jc w:val="center"/>
        </w:trPr>
        <w:tc>
          <w:tcPr>
            <w:tcW w:w="667" w:type="pct"/>
            <w:shd w:val="clear" w:color="auto" w:fill="FFFFFF" w:themeFill="background1"/>
            <w:vAlign w:val="center"/>
          </w:tcPr>
          <w:p>
            <w:pPr>
              <w:pStyle w:val="13"/>
              <w:spacing w:line="300" w:lineRule="exact"/>
              <w:rPr>
                <w:rFonts w:cs="Times New Roman"/>
                <w:sz w:val="20"/>
                <w:szCs w:val="20"/>
              </w:rPr>
            </w:pPr>
            <w:r>
              <w:rPr>
                <w:rFonts w:cs="Times New Roman"/>
                <w:sz w:val="20"/>
                <w:szCs w:val="20"/>
              </w:rPr>
              <w:t>塔位编号</w:t>
            </w:r>
          </w:p>
        </w:tc>
        <w:tc>
          <w:tcPr>
            <w:tcW w:w="667" w:type="pct"/>
            <w:shd w:val="clear" w:color="auto" w:fill="FFFFFF" w:themeFill="background1"/>
            <w:vAlign w:val="center"/>
          </w:tcPr>
          <w:p>
            <w:pPr>
              <w:pStyle w:val="13"/>
              <w:spacing w:line="300" w:lineRule="exact"/>
              <w:rPr>
                <w:rFonts w:cs="Times New Roman"/>
                <w:sz w:val="20"/>
                <w:szCs w:val="20"/>
              </w:rPr>
            </w:pPr>
            <w:r>
              <w:rPr>
                <w:rFonts w:cs="Times New Roman"/>
                <w:sz w:val="20"/>
                <w:szCs w:val="20"/>
              </w:rPr>
              <w:t>永久占地面积(m</w:t>
            </w:r>
            <w:r>
              <w:rPr>
                <w:rFonts w:cs="Times New Roman"/>
                <w:sz w:val="20"/>
                <w:szCs w:val="20"/>
                <w:vertAlign w:val="superscript"/>
              </w:rPr>
              <w:t>2</w:t>
            </w:r>
            <w:r>
              <w:rPr>
                <w:rFonts w:cs="Times New Roman"/>
                <w:sz w:val="20"/>
                <w:szCs w:val="20"/>
              </w:rPr>
              <w:t>)</w:t>
            </w:r>
          </w:p>
        </w:tc>
        <w:tc>
          <w:tcPr>
            <w:tcW w:w="751" w:type="pct"/>
            <w:shd w:val="clear" w:color="auto" w:fill="FFFFFF" w:themeFill="background1"/>
            <w:vAlign w:val="center"/>
          </w:tcPr>
          <w:p>
            <w:pPr>
              <w:pStyle w:val="13"/>
              <w:spacing w:line="300" w:lineRule="exact"/>
              <w:rPr>
                <w:rFonts w:cs="Times New Roman"/>
                <w:sz w:val="20"/>
                <w:szCs w:val="20"/>
              </w:rPr>
            </w:pPr>
            <w:r>
              <w:rPr>
                <w:rFonts w:cs="Times New Roman"/>
                <w:sz w:val="20"/>
                <w:szCs w:val="20"/>
              </w:rPr>
              <w:t>临时占地(m</w:t>
            </w:r>
            <w:r>
              <w:rPr>
                <w:rFonts w:cs="Times New Roman"/>
                <w:sz w:val="20"/>
                <w:szCs w:val="20"/>
                <w:vertAlign w:val="superscript"/>
              </w:rPr>
              <w:t>2</w:t>
            </w:r>
            <w:r>
              <w:rPr>
                <w:rFonts w:cs="Times New Roman"/>
                <w:sz w:val="20"/>
                <w:szCs w:val="20"/>
              </w:rPr>
              <w:t>)</w:t>
            </w:r>
          </w:p>
        </w:tc>
        <w:tc>
          <w:tcPr>
            <w:tcW w:w="698" w:type="pct"/>
            <w:shd w:val="clear" w:color="auto" w:fill="FFFFFF" w:themeFill="background1"/>
            <w:vAlign w:val="center"/>
          </w:tcPr>
          <w:p>
            <w:pPr>
              <w:pStyle w:val="13"/>
              <w:spacing w:line="300" w:lineRule="exact"/>
              <w:rPr>
                <w:rFonts w:cs="Times New Roman"/>
                <w:sz w:val="20"/>
                <w:szCs w:val="20"/>
              </w:rPr>
            </w:pPr>
            <w:r>
              <w:rPr>
                <w:rFonts w:cs="Times New Roman"/>
                <w:sz w:val="20"/>
                <w:szCs w:val="20"/>
              </w:rPr>
              <w:t>塔位编号</w:t>
            </w:r>
          </w:p>
        </w:tc>
        <w:tc>
          <w:tcPr>
            <w:tcW w:w="819" w:type="pct"/>
            <w:shd w:val="clear" w:color="auto" w:fill="FFFFFF" w:themeFill="background1"/>
            <w:vAlign w:val="center"/>
          </w:tcPr>
          <w:p>
            <w:pPr>
              <w:pStyle w:val="13"/>
              <w:spacing w:line="300" w:lineRule="exact"/>
              <w:rPr>
                <w:rFonts w:cs="Times New Roman"/>
                <w:sz w:val="20"/>
                <w:szCs w:val="20"/>
              </w:rPr>
            </w:pPr>
            <w:r>
              <w:rPr>
                <w:rFonts w:cs="Times New Roman"/>
                <w:sz w:val="20"/>
                <w:szCs w:val="20"/>
              </w:rPr>
              <w:t>永久占地面积(m</w:t>
            </w:r>
            <w:r>
              <w:rPr>
                <w:rFonts w:cs="Times New Roman"/>
                <w:sz w:val="20"/>
                <w:szCs w:val="20"/>
                <w:vertAlign w:val="superscript"/>
              </w:rPr>
              <w:t>2</w:t>
            </w:r>
            <w:r>
              <w:rPr>
                <w:rFonts w:cs="Times New Roman"/>
                <w:sz w:val="20"/>
                <w:szCs w:val="20"/>
              </w:rPr>
              <w:t>)</w:t>
            </w:r>
          </w:p>
        </w:tc>
        <w:tc>
          <w:tcPr>
            <w:tcW w:w="648" w:type="pct"/>
            <w:shd w:val="clear" w:color="auto" w:fill="FFFFFF" w:themeFill="background1"/>
            <w:vAlign w:val="center"/>
          </w:tcPr>
          <w:p>
            <w:pPr>
              <w:pStyle w:val="13"/>
              <w:spacing w:line="300" w:lineRule="exact"/>
              <w:rPr>
                <w:rFonts w:cs="Times New Roman"/>
                <w:sz w:val="20"/>
                <w:szCs w:val="20"/>
              </w:rPr>
            </w:pPr>
            <w:r>
              <w:rPr>
                <w:rFonts w:cs="Times New Roman"/>
                <w:sz w:val="20"/>
                <w:szCs w:val="20"/>
              </w:rPr>
              <w:t>临时占地(m</w:t>
            </w:r>
            <w:r>
              <w:rPr>
                <w:rFonts w:cs="Times New Roman"/>
                <w:sz w:val="20"/>
                <w:szCs w:val="20"/>
                <w:vertAlign w:val="superscript"/>
              </w:rPr>
              <w:t>2</w:t>
            </w:r>
            <w:r>
              <w:rPr>
                <w:rFonts w:cs="Times New Roman"/>
                <w:sz w:val="20"/>
                <w:szCs w:val="20"/>
              </w:rPr>
              <w:t>)</w:t>
            </w:r>
          </w:p>
        </w:tc>
        <w:tc>
          <w:tcPr>
            <w:tcW w:w="750" w:type="pct"/>
            <w:shd w:val="clear" w:color="auto" w:fill="FFFFFF" w:themeFill="background1"/>
            <w:vAlign w:val="center"/>
          </w:tcPr>
          <w:p>
            <w:pPr>
              <w:pStyle w:val="13"/>
              <w:spacing w:line="300" w:lineRule="exact"/>
              <w:rPr>
                <w:rFonts w:cs="Times New Roman"/>
                <w:sz w:val="20"/>
                <w:szCs w:val="20"/>
              </w:rPr>
            </w:pPr>
            <w:r>
              <w:rPr>
                <w:rFonts w:hint="eastAsia" w:cs="Times New Roman"/>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NA1</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259.8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422.36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NB9</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249.6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225.60 </w:t>
            </w:r>
          </w:p>
        </w:tc>
        <w:tc>
          <w:tcPr>
            <w:tcW w:w="750" w:type="pct"/>
            <w:vMerge w:val="restart"/>
            <w:shd w:val="clear" w:color="auto" w:fill="FFFFFF" w:themeFill="background1"/>
            <w:vAlign w:val="center"/>
          </w:tcPr>
          <w:p>
            <w:pPr>
              <w:pStyle w:val="13"/>
              <w:rPr>
                <w:rFonts w:cs="Times New Roman"/>
                <w:sz w:val="20"/>
                <w:szCs w:val="20"/>
              </w:rPr>
            </w:pPr>
            <w:r>
              <w:rPr>
                <w:rFonts w:hint="eastAsia" w:cs="Times New Roman"/>
                <w:sz w:val="20"/>
                <w:szCs w:val="20"/>
              </w:rPr>
              <w:t>NA为玛瑙-正达凯220kV线路工程塔位，NB芭蕉-正达凯220kV线路工程塔位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NA2</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298.9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445.76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NB10</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257.0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228.36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NA3</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298.9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243.46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NB11</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189.3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201.12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NA4</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81.0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144.00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NB12</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165.9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190.56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NA5</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204.5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207.60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NB13</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171.6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193.20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NA6</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249.6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225.60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NB14</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276.9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235.68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NA7</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94.1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152.40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NB15</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209.7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209.76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NA8</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94.1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152.40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NB16</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220.2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214.08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NA9</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127.7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171.60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NB17</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209.7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209.76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NA10</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190.2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201.48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NB18</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238.1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221.16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NA11</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130.4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173.04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NB19</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219.9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213.96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NA12</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130.4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173.04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NB20</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396.0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274.80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NA13</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130.4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173.04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NB21</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219.9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213.96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NA14</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186.6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199.92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NB22</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209.7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209.76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NA15</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21.2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192.00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NB23</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238.1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221.16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NA16</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19.4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188.00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NB24</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281.6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237.36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NB1</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21.2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192.00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NB25</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336.4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256.08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NB2</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199.4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382.40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NB26</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219.9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213.96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NB3</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338.6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256.80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NB27</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214.3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211.68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NB4</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190.2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201.48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NB28</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174.2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194.40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NB5</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214.3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211.68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NB29</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174.2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194.40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NB6</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186.0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199.68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NB30</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165.4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190.32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NB7</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404.0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277.20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NB31</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19.4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188.00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rPr>
              <w:t>NB8</w:t>
            </w:r>
          </w:p>
        </w:tc>
        <w:tc>
          <w:tcPr>
            <w:tcW w:w="667" w:type="pct"/>
            <w:shd w:val="clear" w:color="auto" w:fill="FFFFFF" w:themeFill="background1"/>
            <w:vAlign w:val="center"/>
          </w:tcPr>
          <w:p>
            <w:pPr>
              <w:pStyle w:val="13"/>
              <w:rPr>
                <w:rFonts w:cs="Times New Roman"/>
                <w:sz w:val="20"/>
                <w:szCs w:val="20"/>
              </w:rPr>
            </w:pPr>
            <w:r>
              <w:rPr>
                <w:rFonts w:cs="Times New Roman"/>
                <w:sz w:val="20"/>
                <w:szCs w:val="20"/>
              </w:rPr>
              <w:t xml:space="preserve">202.8 </w:t>
            </w:r>
          </w:p>
        </w:tc>
        <w:tc>
          <w:tcPr>
            <w:tcW w:w="751" w:type="pct"/>
            <w:shd w:val="clear" w:color="auto" w:fill="FFFFFF" w:themeFill="background1"/>
            <w:vAlign w:val="center"/>
          </w:tcPr>
          <w:p>
            <w:pPr>
              <w:pStyle w:val="13"/>
              <w:rPr>
                <w:rFonts w:cs="Times New Roman"/>
                <w:sz w:val="20"/>
                <w:szCs w:val="20"/>
              </w:rPr>
            </w:pPr>
            <w:r>
              <w:rPr>
                <w:rFonts w:cs="Times New Roman"/>
                <w:sz w:val="20"/>
                <w:szCs w:val="20"/>
              </w:rPr>
              <w:t xml:space="preserve">206.88 </w:t>
            </w:r>
          </w:p>
        </w:tc>
        <w:tc>
          <w:tcPr>
            <w:tcW w:w="698" w:type="pct"/>
            <w:shd w:val="clear" w:color="auto" w:fill="FFFFFF" w:themeFill="background1"/>
            <w:vAlign w:val="center"/>
          </w:tcPr>
          <w:p>
            <w:pPr>
              <w:pStyle w:val="13"/>
              <w:rPr>
                <w:rFonts w:cs="Times New Roman"/>
                <w:sz w:val="20"/>
                <w:szCs w:val="20"/>
              </w:rPr>
            </w:pPr>
            <w:r>
              <w:rPr>
                <w:rFonts w:cs="Times New Roman"/>
                <w:sz w:val="20"/>
                <w:szCs w:val="20"/>
              </w:rPr>
              <w:t>NB32</w:t>
            </w:r>
          </w:p>
        </w:tc>
        <w:tc>
          <w:tcPr>
            <w:tcW w:w="819" w:type="pct"/>
            <w:shd w:val="clear" w:color="auto" w:fill="FFFFFF" w:themeFill="background1"/>
            <w:vAlign w:val="center"/>
          </w:tcPr>
          <w:p>
            <w:pPr>
              <w:pStyle w:val="13"/>
              <w:rPr>
                <w:rFonts w:cs="Times New Roman"/>
                <w:sz w:val="20"/>
                <w:szCs w:val="20"/>
              </w:rPr>
            </w:pPr>
            <w:r>
              <w:rPr>
                <w:rFonts w:cs="Times New Roman"/>
                <w:sz w:val="20"/>
                <w:szCs w:val="20"/>
              </w:rPr>
              <w:t xml:space="preserve">19.4 </w:t>
            </w:r>
          </w:p>
        </w:tc>
        <w:tc>
          <w:tcPr>
            <w:tcW w:w="648" w:type="pct"/>
            <w:shd w:val="clear" w:color="auto" w:fill="FFFFFF" w:themeFill="background1"/>
            <w:vAlign w:val="center"/>
          </w:tcPr>
          <w:p>
            <w:pPr>
              <w:pStyle w:val="13"/>
              <w:rPr>
                <w:rFonts w:cs="Times New Roman"/>
                <w:sz w:val="20"/>
                <w:szCs w:val="20"/>
              </w:rPr>
            </w:pPr>
            <w:r>
              <w:rPr>
                <w:rFonts w:cs="Times New Roman"/>
                <w:sz w:val="20"/>
                <w:szCs w:val="20"/>
              </w:rPr>
              <w:t xml:space="preserve">188.00 </w:t>
            </w:r>
          </w:p>
        </w:tc>
        <w:tc>
          <w:tcPr>
            <w:tcW w:w="750" w:type="pct"/>
            <w:vMerge w:val="continue"/>
            <w:shd w:val="clear" w:color="auto" w:fill="FFFFFF" w:themeFill="background1"/>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7" w:type="pct"/>
            <w:shd w:val="clear" w:color="auto" w:fill="FFFFFF" w:themeFill="background1"/>
            <w:vAlign w:val="center"/>
          </w:tcPr>
          <w:p>
            <w:pPr>
              <w:pStyle w:val="13"/>
              <w:rPr>
                <w:rFonts w:cs="Times New Roman"/>
                <w:sz w:val="20"/>
                <w:szCs w:val="20"/>
              </w:rPr>
            </w:pPr>
            <w:r>
              <w:rPr>
                <w:rFonts w:cs="Times New Roman"/>
                <w:sz w:val="20"/>
                <w:szCs w:val="20"/>
                <w:lang w:eastAsia="en-US"/>
              </w:rPr>
              <w:t>护坡墙</w:t>
            </w:r>
          </w:p>
        </w:tc>
        <w:tc>
          <w:tcPr>
            <w:tcW w:w="667" w:type="pct"/>
            <w:shd w:val="clear" w:color="auto" w:fill="FFFFFF" w:themeFill="background1"/>
            <w:vAlign w:val="center"/>
          </w:tcPr>
          <w:p>
            <w:pPr>
              <w:pStyle w:val="13"/>
              <w:rPr>
                <w:rFonts w:cs="Times New Roman"/>
                <w:sz w:val="20"/>
                <w:szCs w:val="20"/>
                <w:lang w:eastAsia="en-US"/>
              </w:rPr>
            </w:pPr>
            <w:r>
              <w:rPr>
                <w:rFonts w:cs="Times New Roman"/>
                <w:sz w:val="20"/>
                <w:szCs w:val="20"/>
                <w:lang w:eastAsia="en-US"/>
              </w:rPr>
              <w:t>87.00</w:t>
            </w:r>
          </w:p>
        </w:tc>
        <w:tc>
          <w:tcPr>
            <w:tcW w:w="751" w:type="pct"/>
            <w:shd w:val="clear" w:color="auto" w:fill="FFFFFF" w:themeFill="background1"/>
            <w:vAlign w:val="center"/>
          </w:tcPr>
          <w:p>
            <w:pPr>
              <w:pStyle w:val="13"/>
              <w:rPr>
                <w:rFonts w:cs="Times New Roman"/>
                <w:sz w:val="20"/>
                <w:szCs w:val="20"/>
                <w:lang w:eastAsia="en-US"/>
              </w:rPr>
            </w:pPr>
            <w:r>
              <w:rPr>
                <w:rFonts w:cs="Times New Roman"/>
                <w:sz w:val="20"/>
                <w:szCs w:val="20"/>
                <w:lang w:eastAsia="en-US"/>
              </w:rPr>
              <w:t>174.00</w:t>
            </w:r>
          </w:p>
        </w:tc>
        <w:tc>
          <w:tcPr>
            <w:tcW w:w="698" w:type="pct"/>
            <w:shd w:val="clear" w:color="auto" w:fill="FFFFFF" w:themeFill="background1"/>
            <w:vAlign w:val="center"/>
          </w:tcPr>
          <w:p>
            <w:pPr>
              <w:pStyle w:val="13"/>
              <w:rPr>
                <w:rFonts w:cs="Times New Roman"/>
                <w:sz w:val="20"/>
                <w:szCs w:val="20"/>
              </w:rPr>
            </w:pPr>
            <w:r>
              <w:rPr>
                <w:rFonts w:cs="Times New Roman"/>
                <w:sz w:val="20"/>
                <w:szCs w:val="20"/>
                <w:lang w:eastAsia="en-US"/>
              </w:rPr>
              <w:t>排水沟</w:t>
            </w:r>
          </w:p>
        </w:tc>
        <w:tc>
          <w:tcPr>
            <w:tcW w:w="819" w:type="pct"/>
            <w:shd w:val="clear" w:color="auto" w:fill="FFFFFF" w:themeFill="background1"/>
            <w:vAlign w:val="center"/>
          </w:tcPr>
          <w:p>
            <w:pPr>
              <w:pStyle w:val="13"/>
              <w:rPr>
                <w:rFonts w:cs="Times New Roman"/>
                <w:sz w:val="20"/>
                <w:szCs w:val="20"/>
                <w:lang w:eastAsia="en-US"/>
              </w:rPr>
            </w:pPr>
            <w:r>
              <w:rPr>
                <w:rFonts w:cs="Times New Roman"/>
                <w:sz w:val="20"/>
                <w:szCs w:val="20"/>
                <w:lang w:eastAsia="en-US"/>
              </w:rPr>
              <w:t>82.50</w:t>
            </w:r>
          </w:p>
        </w:tc>
        <w:tc>
          <w:tcPr>
            <w:tcW w:w="648" w:type="pct"/>
            <w:shd w:val="clear" w:color="auto" w:fill="FFFFFF" w:themeFill="background1"/>
            <w:vAlign w:val="center"/>
          </w:tcPr>
          <w:p>
            <w:pPr>
              <w:pStyle w:val="13"/>
              <w:rPr>
                <w:rFonts w:cs="Times New Roman"/>
                <w:sz w:val="20"/>
                <w:szCs w:val="20"/>
                <w:lang w:eastAsia="en-US"/>
              </w:rPr>
            </w:pPr>
            <w:r>
              <w:rPr>
                <w:rFonts w:cs="Times New Roman"/>
                <w:sz w:val="20"/>
                <w:szCs w:val="20"/>
                <w:lang w:eastAsia="en-US"/>
              </w:rPr>
              <w:t>330.00</w:t>
            </w:r>
          </w:p>
        </w:tc>
        <w:tc>
          <w:tcPr>
            <w:tcW w:w="750" w:type="pct"/>
            <w:vMerge w:val="continue"/>
            <w:shd w:val="clear" w:color="auto" w:fill="FFFFFF" w:themeFill="background1"/>
          </w:tcPr>
          <w:p>
            <w:pPr>
              <w:pStyle w:val="13"/>
              <w:rPr>
                <w:rFonts w:cs="Times New Roman"/>
                <w:sz w:val="20"/>
                <w:szCs w:val="20"/>
                <w:lang w:eastAsia="en-US"/>
              </w:rPr>
            </w:pPr>
          </w:p>
        </w:tc>
      </w:tr>
    </w:tbl>
    <w:p>
      <w:pPr>
        <w:widowControl w:val="0"/>
        <w:kinsoku/>
        <w:topLinePunct/>
        <w:autoSpaceDE/>
        <w:autoSpaceDN/>
        <w:spacing w:before="204" w:beforeLines="85" w:line="300" w:lineRule="auto"/>
        <w:ind w:firstLine="422"/>
        <w:jc w:val="center"/>
        <w:rPr>
          <w:rFonts w:cs="Times New Roman"/>
          <w:b/>
          <w:bCs/>
          <w:color w:val="auto"/>
          <w:sz w:val="21"/>
          <w:lang w:eastAsia="zh-CN"/>
        </w:rPr>
      </w:pPr>
      <w:r>
        <w:rPr>
          <w:rFonts w:cs="Times New Roman"/>
          <w:b/>
          <w:bCs/>
          <w:color w:val="auto"/>
          <w:sz w:val="21"/>
          <w:lang w:eastAsia="zh-CN"/>
        </w:rPr>
        <w:t>表2.3-2 线路工程施工便道区占地情况表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421"/>
        <w:gridCol w:w="1421"/>
        <w:gridCol w:w="1421"/>
        <w:gridCol w:w="1421"/>
        <w:gridCol w:w="1421"/>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33" w:type="pct"/>
            <w:shd w:val="clear" w:color="auto" w:fill="FFFFFF" w:themeFill="background1"/>
            <w:vAlign w:val="center"/>
          </w:tcPr>
          <w:p>
            <w:pPr>
              <w:pStyle w:val="13"/>
              <w:spacing w:line="300" w:lineRule="exact"/>
              <w:rPr>
                <w:rFonts w:cs="Times New Roman"/>
                <w:sz w:val="20"/>
                <w:szCs w:val="20"/>
              </w:rPr>
            </w:pPr>
            <w:r>
              <w:rPr>
                <w:rFonts w:cs="Times New Roman"/>
                <w:sz w:val="20"/>
                <w:szCs w:val="20"/>
              </w:rPr>
              <w:t>塔位编号</w:t>
            </w:r>
          </w:p>
        </w:tc>
        <w:tc>
          <w:tcPr>
            <w:tcW w:w="833" w:type="pct"/>
            <w:shd w:val="clear" w:color="auto" w:fill="FFFFFF" w:themeFill="background1"/>
            <w:vAlign w:val="center"/>
          </w:tcPr>
          <w:p>
            <w:pPr>
              <w:pStyle w:val="13"/>
              <w:spacing w:line="300" w:lineRule="exact"/>
              <w:rPr>
                <w:rFonts w:cs="Times New Roman"/>
                <w:sz w:val="20"/>
                <w:szCs w:val="20"/>
              </w:rPr>
            </w:pPr>
            <w:r>
              <w:rPr>
                <w:rFonts w:cs="Times New Roman"/>
                <w:sz w:val="20"/>
                <w:szCs w:val="20"/>
              </w:rPr>
              <w:t>施工便道长度(m)</w:t>
            </w:r>
          </w:p>
        </w:tc>
        <w:tc>
          <w:tcPr>
            <w:tcW w:w="833" w:type="pct"/>
            <w:shd w:val="clear" w:color="auto" w:fill="FFFFFF" w:themeFill="background1"/>
            <w:vAlign w:val="center"/>
          </w:tcPr>
          <w:p>
            <w:pPr>
              <w:pStyle w:val="13"/>
              <w:spacing w:line="300" w:lineRule="exact"/>
              <w:rPr>
                <w:rFonts w:cs="Times New Roman"/>
                <w:sz w:val="20"/>
                <w:szCs w:val="20"/>
              </w:rPr>
            </w:pPr>
            <w:r>
              <w:rPr>
                <w:rFonts w:cs="Times New Roman"/>
                <w:sz w:val="20"/>
                <w:szCs w:val="20"/>
              </w:rPr>
              <w:t>临时占地</w:t>
            </w:r>
          </w:p>
          <w:p>
            <w:pPr>
              <w:pStyle w:val="13"/>
              <w:spacing w:line="300" w:lineRule="exact"/>
              <w:rPr>
                <w:rFonts w:cs="Times New Roman"/>
                <w:sz w:val="20"/>
                <w:szCs w:val="20"/>
              </w:rPr>
            </w:pPr>
            <w:r>
              <w:rPr>
                <w:rFonts w:cs="Times New Roman"/>
                <w:sz w:val="20"/>
                <w:szCs w:val="20"/>
              </w:rPr>
              <w:t>(m</w:t>
            </w:r>
            <w:r>
              <w:rPr>
                <w:rFonts w:cs="Times New Roman"/>
                <w:sz w:val="20"/>
                <w:szCs w:val="20"/>
                <w:vertAlign w:val="superscript"/>
              </w:rPr>
              <w:t>2</w:t>
            </w:r>
            <w:r>
              <w:rPr>
                <w:rFonts w:cs="Times New Roman"/>
                <w:sz w:val="20"/>
                <w:szCs w:val="20"/>
              </w:rPr>
              <w:t>)</w:t>
            </w:r>
          </w:p>
        </w:tc>
        <w:tc>
          <w:tcPr>
            <w:tcW w:w="833" w:type="pct"/>
            <w:shd w:val="clear" w:color="auto" w:fill="FFFFFF" w:themeFill="background1"/>
            <w:vAlign w:val="center"/>
          </w:tcPr>
          <w:p>
            <w:pPr>
              <w:pStyle w:val="13"/>
              <w:spacing w:line="300" w:lineRule="exact"/>
              <w:rPr>
                <w:rFonts w:cs="Times New Roman"/>
                <w:sz w:val="20"/>
                <w:szCs w:val="20"/>
              </w:rPr>
            </w:pPr>
            <w:r>
              <w:rPr>
                <w:rFonts w:cs="Times New Roman"/>
                <w:sz w:val="20"/>
                <w:szCs w:val="20"/>
              </w:rPr>
              <w:t>塔位编号</w:t>
            </w:r>
          </w:p>
        </w:tc>
        <w:tc>
          <w:tcPr>
            <w:tcW w:w="833" w:type="pct"/>
            <w:shd w:val="clear" w:color="auto" w:fill="FFFFFF" w:themeFill="background1"/>
            <w:vAlign w:val="center"/>
          </w:tcPr>
          <w:p>
            <w:pPr>
              <w:pStyle w:val="13"/>
              <w:spacing w:line="300" w:lineRule="exact"/>
              <w:rPr>
                <w:rFonts w:cs="Times New Roman"/>
                <w:sz w:val="20"/>
                <w:szCs w:val="20"/>
              </w:rPr>
            </w:pPr>
            <w:r>
              <w:rPr>
                <w:rFonts w:cs="Times New Roman"/>
                <w:sz w:val="20"/>
                <w:szCs w:val="20"/>
              </w:rPr>
              <w:t>施工便道长度(m)</w:t>
            </w:r>
          </w:p>
        </w:tc>
        <w:tc>
          <w:tcPr>
            <w:tcW w:w="834" w:type="pct"/>
            <w:shd w:val="clear" w:color="auto" w:fill="FFFFFF" w:themeFill="background1"/>
            <w:vAlign w:val="center"/>
          </w:tcPr>
          <w:p>
            <w:pPr>
              <w:pStyle w:val="13"/>
              <w:spacing w:line="300" w:lineRule="exact"/>
              <w:rPr>
                <w:rFonts w:cs="Times New Roman"/>
                <w:sz w:val="20"/>
                <w:szCs w:val="20"/>
              </w:rPr>
            </w:pPr>
            <w:r>
              <w:rPr>
                <w:rFonts w:cs="Times New Roman"/>
                <w:sz w:val="20"/>
                <w:szCs w:val="20"/>
              </w:rPr>
              <w:t>临时占地</w:t>
            </w:r>
          </w:p>
          <w:p>
            <w:pPr>
              <w:pStyle w:val="13"/>
              <w:spacing w:line="300" w:lineRule="exact"/>
              <w:rPr>
                <w:rFonts w:cs="Times New Roman"/>
                <w:sz w:val="20"/>
                <w:szCs w:val="20"/>
              </w:rPr>
            </w:pPr>
            <w:r>
              <w:rPr>
                <w:rFonts w:cs="Times New Roman"/>
                <w:sz w:val="20"/>
                <w:szCs w:val="20"/>
              </w:rPr>
              <w:t>(m</w:t>
            </w:r>
            <w:r>
              <w:rPr>
                <w:rFonts w:cs="Times New Roman"/>
                <w:sz w:val="20"/>
                <w:szCs w:val="20"/>
                <w:vertAlign w:val="superscript"/>
              </w:rPr>
              <w:t>2</w:t>
            </w:r>
            <w:r>
              <w:rPr>
                <w:rFonts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833" w:type="pct"/>
            <w:shd w:val="clear" w:color="auto" w:fill="FFFFFF" w:themeFill="background1"/>
            <w:vAlign w:val="center"/>
          </w:tcPr>
          <w:p>
            <w:pPr>
              <w:pStyle w:val="13"/>
              <w:rPr>
                <w:rFonts w:cs="Times New Roman"/>
                <w:sz w:val="20"/>
                <w:szCs w:val="20"/>
              </w:rPr>
            </w:pPr>
            <w:r>
              <w:rPr>
                <w:rFonts w:cs="Times New Roman"/>
                <w:sz w:val="20"/>
                <w:szCs w:val="20"/>
              </w:rPr>
              <w:t>NA1</w:t>
            </w:r>
          </w:p>
        </w:tc>
        <w:tc>
          <w:tcPr>
            <w:tcW w:w="833" w:type="pct"/>
            <w:shd w:val="clear" w:color="auto" w:fill="auto"/>
            <w:vAlign w:val="center"/>
          </w:tcPr>
          <w:p>
            <w:pPr>
              <w:pStyle w:val="13"/>
              <w:rPr>
                <w:rFonts w:cs="Times New Roman"/>
                <w:sz w:val="20"/>
                <w:szCs w:val="20"/>
              </w:rPr>
            </w:pPr>
            <w:r>
              <w:rPr>
                <w:rFonts w:cs="Times New Roman"/>
                <w:sz w:val="20"/>
                <w:szCs w:val="20"/>
              </w:rPr>
              <w:t>70</w:t>
            </w:r>
          </w:p>
        </w:tc>
        <w:tc>
          <w:tcPr>
            <w:tcW w:w="833" w:type="pct"/>
            <w:shd w:val="clear" w:color="auto" w:fill="auto"/>
            <w:vAlign w:val="center"/>
          </w:tcPr>
          <w:p>
            <w:pPr>
              <w:pStyle w:val="13"/>
              <w:rPr>
                <w:rFonts w:cs="Times New Roman"/>
                <w:sz w:val="20"/>
                <w:szCs w:val="20"/>
              </w:rPr>
            </w:pPr>
            <w:r>
              <w:rPr>
                <w:rFonts w:cs="Times New Roman"/>
                <w:sz w:val="20"/>
                <w:szCs w:val="20"/>
              </w:rPr>
              <w:t>210</w:t>
            </w:r>
          </w:p>
        </w:tc>
        <w:tc>
          <w:tcPr>
            <w:tcW w:w="833" w:type="pct"/>
            <w:shd w:val="clear" w:color="auto" w:fill="auto"/>
            <w:vAlign w:val="center"/>
          </w:tcPr>
          <w:p>
            <w:pPr>
              <w:pStyle w:val="13"/>
              <w:rPr>
                <w:rFonts w:cs="Times New Roman"/>
                <w:sz w:val="20"/>
                <w:szCs w:val="20"/>
              </w:rPr>
            </w:pPr>
            <w:r>
              <w:rPr>
                <w:rFonts w:cs="Times New Roman"/>
                <w:sz w:val="20"/>
                <w:szCs w:val="20"/>
              </w:rPr>
              <w:t>NB9</w:t>
            </w:r>
          </w:p>
        </w:tc>
        <w:tc>
          <w:tcPr>
            <w:tcW w:w="833" w:type="pct"/>
            <w:shd w:val="clear" w:color="auto" w:fill="auto"/>
            <w:vAlign w:val="center"/>
          </w:tcPr>
          <w:p>
            <w:pPr>
              <w:pStyle w:val="13"/>
              <w:rPr>
                <w:rFonts w:cs="Times New Roman"/>
                <w:sz w:val="20"/>
                <w:szCs w:val="20"/>
              </w:rPr>
            </w:pPr>
            <w:r>
              <w:rPr>
                <w:rFonts w:cs="Times New Roman"/>
                <w:sz w:val="20"/>
                <w:szCs w:val="20"/>
              </w:rPr>
              <w:t>50</w:t>
            </w:r>
          </w:p>
        </w:tc>
        <w:tc>
          <w:tcPr>
            <w:tcW w:w="834" w:type="pct"/>
            <w:shd w:val="clear" w:color="auto" w:fill="auto"/>
            <w:vAlign w:val="center"/>
          </w:tcPr>
          <w:p>
            <w:pPr>
              <w:pStyle w:val="13"/>
              <w:rPr>
                <w:rFonts w:cs="Times New Roman"/>
                <w:sz w:val="20"/>
                <w:szCs w:val="20"/>
              </w:rPr>
            </w:pPr>
            <w:r>
              <w:rPr>
                <w:rFonts w:cs="Times New Roman"/>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FFFFFF" w:themeFill="background1"/>
            <w:vAlign w:val="center"/>
          </w:tcPr>
          <w:p>
            <w:pPr>
              <w:pStyle w:val="13"/>
              <w:rPr>
                <w:rFonts w:cs="Times New Roman"/>
                <w:sz w:val="20"/>
                <w:szCs w:val="20"/>
              </w:rPr>
            </w:pPr>
            <w:r>
              <w:rPr>
                <w:rFonts w:cs="Times New Roman"/>
                <w:sz w:val="20"/>
                <w:szCs w:val="20"/>
              </w:rPr>
              <w:t>NA2</w:t>
            </w:r>
          </w:p>
        </w:tc>
        <w:tc>
          <w:tcPr>
            <w:tcW w:w="833" w:type="pct"/>
            <w:shd w:val="clear" w:color="auto" w:fill="auto"/>
            <w:vAlign w:val="center"/>
          </w:tcPr>
          <w:p>
            <w:pPr>
              <w:pStyle w:val="13"/>
              <w:rPr>
                <w:rFonts w:cs="Times New Roman"/>
                <w:sz w:val="20"/>
                <w:szCs w:val="20"/>
              </w:rPr>
            </w:pPr>
            <w:r>
              <w:rPr>
                <w:rFonts w:cs="Times New Roman"/>
                <w:sz w:val="20"/>
                <w:szCs w:val="20"/>
              </w:rPr>
              <w:t>90</w:t>
            </w:r>
          </w:p>
        </w:tc>
        <w:tc>
          <w:tcPr>
            <w:tcW w:w="833" w:type="pct"/>
            <w:shd w:val="clear" w:color="auto" w:fill="auto"/>
            <w:vAlign w:val="center"/>
          </w:tcPr>
          <w:p>
            <w:pPr>
              <w:pStyle w:val="13"/>
              <w:rPr>
                <w:rFonts w:cs="Times New Roman"/>
                <w:sz w:val="20"/>
                <w:szCs w:val="20"/>
              </w:rPr>
            </w:pPr>
            <w:r>
              <w:rPr>
                <w:rFonts w:cs="Times New Roman"/>
                <w:sz w:val="20"/>
                <w:szCs w:val="20"/>
              </w:rPr>
              <w:t>270</w:t>
            </w:r>
          </w:p>
        </w:tc>
        <w:tc>
          <w:tcPr>
            <w:tcW w:w="833" w:type="pct"/>
            <w:shd w:val="clear" w:color="auto" w:fill="auto"/>
            <w:vAlign w:val="center"/>
          </w:tcPr>
          <w:p>
            <w:pPr>
              <w:pStyle w:val="13"/>
              <w:rPr>
                <w:rFonts w:cs="Times New Roman"/>
                <w:sz w:val="20"/>
                <w:szCs w:val="20"/>
              </w:rPr>
            </w:pPr>
            <w:r>
              <w:rPr>
                <w:rFonts w:cs="Times New Roman"/>
                <w:sz w:val="20"/>
                <w:szCs w:val="20"/>
              </w:rPr>
              <w:t>NB10</w:t>
            </w:r>
          </w:p>
        </w:tc>
        <w:tc>
          <w:tcPr>
            <w:tcW w:w="833" w:type="pct"/>
            <w:shd w:val="clear" w:color="auto" w:fill="auto"/>
            <w:vAlign w:val="center"/>
          </w:tcPr>
          <w:p>
            <w:pPr>
              <w:pStyle w:val="13"/>
              <w:rPr>
                <w:rFonts w:cs="Times New Roman"/>
                <w:sz w:val="20"/>
                <w:szCs w:val="20"/>
              </w:rPr>
            </w:pPr>
            <w:r>
              <w:rPr>
                <w:rFonts w:cs="Times New Roman"/>
                <w:sz w:val="20"/>
                <w:szCs w:val="20"/>
              </w:rPr>
              <w:t>200</w:t>
            </w:r>
          </w:p>
        </w:tc>
        <w:tc>
          <w:tcPr>
            <w:tcW w:w="834" w:type="pct"/>
            <w:shd w:val="clear" w:color="auto" w:fill="auto"/>
            <w:vAlign w:val="center"/>
          </w:tcPr>
          <w:p>
            <w:pPr>
              <w:pStyle w:val="13"/>
              <w:rPr>
                <w:rFonts w:cs="Times New Roman"/>
                <w:sz w:val="20"/>
                <w:szCs w:val="20"/>
              </w:rPr>
            </w:pPr>
            <w:r>
              <w:rPr>
                <w:rFonts w:cs="Times New Roman"/>
                <w:sz w:val="20"/>
                <w:szCs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pct"/>
            <w:shd w:val="clear" w:color="auto" w:fill="FFFFFF" w:themeFill="background1"/>
            <w:vAlign w:val="center"/>
          </w:tcPr>
          <w:p>
            <w:pPr>
              <w:pStyle w:val="13"/>
              <w:rPr>
                <w:rFonts w:cs="Times New Roman"/>
                <w:sz w:val="20"/>
                <w:szCs w:val="20"/>
              </w:rPr>
            </w:pPr>
            <w:r>
              <w:rPr>
                <w:rFonts w:cs="Times New Roman"/>
                <w:sz w:val="20"/>
                <w:szCs w:val="20"/>
              </w:rPr>
              <w:t>NA3</w:t>
            </w:r>
          </w:p>
        </w:tc>
        <w:tc>
          <w:tcPr>
            <w:tcW w:w="833" w:type="pct"/>
            <w:shd w:val="clear" w:color="auto" w:fill="auto"/>
            <w:vAlign w:val="center"/>
          </w:tcPr>
          <w:p>
            <w:pPr>
              <w:pStyle w:val="13"/>
              <w:rPr>
                <w:rFonts w:cs="Times New Roman"/>
                <w:sz w:val="20"/>
                <w:szCs w:val="20"/>
              </w:rPr>
            </w:pPr>
            <w:r>
              <w:rPr>
                <w:rFonts w:cs="Times New Roman"/>
                <w:sz w:val="20"/>
                <w:szCs w:val="20"/>
              </w:rPr>
              <w:t>30</w:t>
            </w:r>
          </w:p>
        </w:tc>
        <w:tc>
          <w:tcPr>
            <w:tcW w:w="833" w:type="pct"/>
            <w:shd w:val="clear" w:color="auto" w:fill="auto"/>
            <w:vAlign w:val="center"/>
          </w:tcPr>
          <w:p>
            <w:pPr>
              <w:pStyle w:val="13"/>
              <w:rPr>
                <w:rFonts w:cs="Times New Roman"/>
                <w:sz w:val="20"/>
                <w:szCs w:val="20"/>
              </w:rPr>
            </w:pPr>
            <w:r>
              <w:rPr>
                <w:rFonts w:cs="Times New Roman"/>
                <w:sz w:val="20"/>
                <w:szCs w:val="20"/>
              </w:rPr>
              <w:t>36</w:t>
            </w:r>
          </w:p>
        </w:tc>
        <w:tc>
          <w:tcPr>
            <w:tcW w:w="833" w:type="pct"/>
            <w:shd w:val="clear" w:color="auto" w:fill="auto"/>
            <w:vAlign w:val="center"/>
          </w:tcPr>
          <w:p>
            <w:pPr>
              <w:pStyle w:val="13"/>
              <w:rPr>
                <w:rFonts w:cs="Times New Roman"/>
                <w:sz w:val="20"/>
                <w:szCs w:val="20"/>
              </w:rPr>
            </w:pPr>
            <w:r>
              <w:rPr>
                <w:rFonts w:cs="Times New Roman"/>
                <w:sz w:val="20"/>
                <w:szCs w:val="20"/>
              </w:rPr>
              <w:t>NB11</w:t>
            </w:r>
          </w:p>
        </w:tc>
        <w:tc>
          <w:tcPr>
            <w:tcW w:w="833" w:type="pct"/>
            <w:shd w:val="clear" w:color="auto" w:fill="auto"/>
            <w:vAlign w:val="center"/>
          </w:tcPr>
          <w:p>
            <w:pPr>
              <w:pStyle w:val="13"/>
              <w:rPr>
                <w:rFonts w:cs="Times New Roman"/>
                <w:sz w:val="20"/>
                <w:szCs w:val="20"/>
              </w:rPr>
            </w:pPr>
            <w:r>
              <w:rPr>
                <w:rFonts w:cs="Times New Roman"/>
                <w:sz w:val="20"/>
                <w:szCs w:val="20"/>
              </w:rPr>
              <w:t>350</w:t>
            </w:r>
          </w:p>
        </w:tc>
        <w:tc>
          <w:tcPr>
            <w:tcW w:w="834" w:type="pct"/>
            <w:shd w:val="clear" w:color="auto" w:fill="auto"/>
            <w:vAlign w:val="center"/>
          </w:tcPr>
          <w:p>
            <w:pPr>
              <w:pStyle w:val="13"/>
              <w:rPr>
                <w:rFonts w:cs="Times New Roman"/>
                <w:sz w:val="20"/>
                <w:szCs w:val="20"/>
              </w:rPr>
            </w:pPr>
            <w:r>
              <w:rPr>
                <w:rFonts w:cs="Times New Roman"/>
                <w:sz w:val="20"/>
                <w:szCs w:val="20"/>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FFFFFF" w:themeFill="background1"/>
            <w:vAlign w:val="center"/>
          </w:tcPr>
          <w:p>
            <w:pPr>
              <w:pStyle w:val="13"/>
              <w:rPr>
                <w:rFonts w:cs="Times New Roman"/>
                <w:sz w:val="20"/>
                <w:szCs w:val="20"/>
              </w:rPr>
            </w:pPr>
            <w:r>
              <w:rPr>
                <w:rFonts w:cs="Times New Roman"/>
                <w:sz w:val="20"/>
                <w:szCs w:val="20"/>
              </w:rPr>
              <w:t>NA4</w:t>
            </w:r>
          </w:p>
        </w:tc>
        <w:tc>
          <w:tcPr>
            <w:tcW w:w="833" w:type="pct"/>
            <w:shd w:val="clear" w:color="auto" w:fill="auto"/>
            <w:vAlign w:val="center"/>
          </w:tcPr>
          <w:p>
            <w:pPr>
              <w:pStyle w:val="13"/>
              <w:rPr>
                <w:rFonts w:cs="Times New Roman"/>
                <w:sz w:val="20"/>
                <w:szCs w:val="20"/>
              </w:rPr>
            </w:pPr>
            <w:r>
              <w:rPr>
                <w:rFonts w:cs="Times New Roman"/>
                <w:sz w:val="20"/>
                <w:szCs w:val="20"/>
              </w:rPr>
              <w:t>350</w:t>
            </w:r>
          </w:p>
        </w:tc>
        <w:tc>
          <w:tcPr>
            <w:tcW w:w="833" w:type="pct"/>
            <w:shd w:val="clear" w:color="auto" w:fill="auto"/>
            <w:vAlign w:val="center"/>
          </w:tcPr>
          <w:p>
            <w:pPr>
              <w:pStyle w:val="13"/>
              <w:rPr>
                <w:rFonts w:cs="Times New Roman"/>
                <w:sz w:val="20"/>
                <w:szCs w:val="20"/>
              </w:rPr>
            </w:pPr>
            <w:r>
              <w:rPr>
                <w:rFonts w:cs="Times New Roman"/>
                <w:sz w:val="20"/>
                <w:szCs w:val="20"/>
              </w:rPr>
              <w:t>420</w:t>
            </w:r>
          </w:p>
        </w:tc>
        <w:tc>
          <w:tcPr>
            <w:tcW w:w="833" w:type="pct"/>
            <w:shd w:val="clear" w:color="auto" w:fill="auto"/>
            <w:vAlign w:val="center"/>
          </w:tcPr>
          <w:p>
            <w:pPr>
              <w:pStyle w:val="13"/>
              <w:rPr>
                <w:rFonts w:cs="Times New Roman"/>
                <w:sz w:val="20"/>
                <w:szCs w:val="20"/>
              </w:rPr>
            </w:pPr>
            <w:r>
              <w:rPr>
                <w:rFonts w:cs="Times New Roman"/>
                <w:sz w:val="20"/>
                <w:szCs w:val="20"/>
              </w:rPr>
              <w:t>NB12</w:t>
            </w:r>
          </w:p>
        </w:tc>
        <w:tc>
          <w:tcPr>
            <w:tcW w:w="833" w:type="pct"/>
            <w:shd w:val="clear" w:color="auto" w:fill="auto"/>
            <w:vAlign w:val="center"/>
          </w:tcPr>
          <w:p>
            <w:pPr>
              <w:pStyle w:val="13"/>
              <w:rPr>
                <w:rFonts w:cs="Times New Roman"/>
                <w:sz w:val="20"/>
                <w:szCs w:val="20"/>
              </w:rPr>
            </w:pPr>
            <w:r>
              <w:rPr>
                <w:rFonts w:cs="Times New Roman"/>
                <w:sz w:val="20"/>
                <w:szCs w:val="20"/>
              </w:rPr>
              <w:t>150</w:t>
            </w:r>
          </w:p>
        </w:tc>
        <w:tc>
          <w:tcPr>
            <w:tcW w:w="834" w:type="pct"/>
            <w:shd w:val="clear" w:color="auto" w:fill="auto"/>
            <w:vAlign w:val="center"/>
          </w:tcPr>
          <w:p>
            <w:pPr>
              <w:pStyle w:val="13"/>
              <w:rPr>
                <w:rFonts w:cs="Times New Roman"/>
                <w:sz w:val="20"/>
                <w:szCs w:val="20"/>
              </w:rPr>
            </w:pPr>
            <w:r>
              <w:rPr>
                <w:rFonts w:cs="Times New Roman"/>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FFFFFF" w:themeFill="background1"/>
            <w:vAlign w:val="center"/>
          </w:tcPr>
          <w:p>
            <w:pPr>
              <w:pStyle w:val="13"/>
              <w:rPr>
                <w:rFonts w:cs="Times New Roman"/>
                <w:sz w:val="20"/>
                <w:szCs w:val="20"/>
              </w:rPr>
            </w:pPr>
            <w:r>
              <w:rPr>
                <w:rFonts w:cs="Times New Roman"/>
                <w:sz w:val="20"/>
                <w:szCs w:val="20"/>
              </w:rPr>
              <w:t>NA5</w:t>
            </w:r>
          </w:p>
        </w:tc>
        <w:tc>
          <w:tcPr>
            <w:tcW w:w="833" w:type="pct"/>
            <w:shd w:val="clear" w:color="auto" w:fill="auto"/>
            <w:vAlign w:val="center"/>
          </w:tcPr>
          <w:p>
            <w:pPr>
              <w:pStyle w:val="13"/>
              <w:rPr>
                <w:rFonts w:cs="Times New Roman"/>
                <w:sz w:val="20"/>
                <w:szCs w:val="20"/>
              </w:rPr>
            </w:pPr>
            <w:r>
              <w:rPr>
                <w:rFonts w:cs="Times New Roman"/>
                <w:sz w:val="20"/>
                <w:szCs w:val="20"/>
              </w:rPr>
              <w:t>350</w:t>
            </w:r>
          </w:p>
        </w:tc>
        <w:tc>
          <w:tcPr>
            <w:tcW w:w="833" w:type="pct"/>
            <w:shd w:val="clear" w:color="auto" w:fill="auto"/>
            <w:vAlign w:val="center"/>
          </w:tcPr>
          <w:p>
            <w:pPr>
              <w:pStyle w:val="13"/>
              <w:rPr>
                <w:rFonts w:cs="Times New Roman"/>
                <w:sz w:val="20"/>
                <w:szCs w:val="20"/>
              </w:rPr>
            </w:pPr>
            <w:r>
              <w:rPr>
                <w:rFonts w:cs="Times New Roman"/>
                <w:sz w:val="20"/>
                <w:szCs w:val="20"/>
              </w:rPr>
              <w:t>420</w:t>
            </w:r>
          </w:p>
        </w:tc>
        <w:tc>
          <w:tcPr>
            <w:tcW w:w="833" w:type="pct"/>
            <w:shd w:val="clear" w:color="auto" w:fill="auto"/>
            <w:vAlign w:val="center"/>
          </w:tcPr>
          <w:p>
            <w:pPr>
              <w:pStyle w:val="13"/>
              <w:rPr>
                <w:rFonts w:cs="Times New Roman"/>
                <w:sz w:val="20"/>
                <w:szCs w:val="20"/>
              </w:rPr>
            </w:pPr>
            <w:r>
              <w:rPr>
                <w:rFonts w:cs="Times New Roman"/>
                <w:sz w:val="20"/>
                <w:szCs w:val="20"/>
              </w:rPr>
              <w:t>NB13</w:t>
            </w:r>
          </w:p>
        </w:tc>
        <w:tc>
          <w:tcPr>
            <w:tcW w:w="833" w:type="pct"/>
            <w:shd w:val="clear" w:color="auto" w:fill="auto"/>
            <w:vAlign w:val="center"/>
          </w:tcPr>
          <w:p>
            <w:pPr>
              <w:pStyle w:val="13"/>
              <w:rPr>
                <w:rFonts w:cs="Times New Roman"/>
                <w:sz w:val="20"/>
                <w:szCs w:val="20"/>
              </w:rPr>
            </w:pPr>
            <w:r>
              <w:rPr>
                <w:rFonts w:cs="Times New Roman"/>
                <w:sz w:val="20"/>
                <w:szCs w:val="20"/>
              </w:rPr>
              <w:t>50</w:t>
            </w:r>
          </w:p>
        </w:tc>
        <w:tc>
          <w:tcPr>
            <w:tcW w:w="834" w:type="pct"/>
            <w:shd w:val="clear" w:color="auto" w:fill="auto"/>
            <w:vAlign w:val="center"/>
          </w:tcPr>
          <w:p>
            <w:pPr>
              <w:pStyle w:val="13"/>
              <w:rPr>
                <w:rFonts w:cs="Times New Roman"/>
                <w:sz w:val="20"/>
                <w:szCs w:val="20"/>
              </w:rPr>
            </w:pPr>
            <w:r>
              <w:rPr>
                <w:rFonts w:cs="Times New Roman"/>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FFFFFF" w:themeFill="background1"/>
            <w:vAlign w:val="center"/>
          </w:tcPr>
          <w:p>
            <w:pPr>
              <w:pStyle w:val="13"/>
              <w:rPr>
                <w:rFonts w:cs="Times New Roman"/>
                <w:sz w:val="20"/>
                <w:szCs w:val="20"/>
              </w:rPr>
            </w:pPr>
            <w:r>
              <w:rPr>
                <w:rFonts w:cs="Times New Roman"/>
                <w:sz w:val="20"/>
                <w:szCs w:val="20"/>
              </w:rPr>
              <w:t>NA6</w:t>
            </w:r>
          </w:p>
        </w:tc>
        <w:tc>
          <w:tcPr>
            <w:tcW w:w="833" w:type="pct"/>
            <w:shd w:val="clear" w:color="auto" w:fill="auto"/>
            <w:vAlign w:val="center"/>
          </w:tcPr>
          <w:p>
            <w:pPr>
              <w:pStyle w:val="13"/>
              <w:rPr>
                <w:rFonts w:cs="Times New Roman"/>
                <w:sz w:val="20"/>
                <w:szCs w:val="20"/>
              </w:rPr>
            </w:pPr>
            <w:r>
              <w:rPr>
                <w:rFonts w:cs="Times New Roman"/>
                <w:sz w:val="20"/>
                <w:szCs w:val="20"/>
              </w:rPr>
              <w:t>290</w:t>
            </w:r>
          </w:p>
        </w:tc>
        <w:tc>
          <w:tcPr>
            <w:tcW w:w="833" w:type="pct"/>
            <w:shd w:val="clear" w:color="auto" w:fill="auto"/>
            <w:vAlign w:val="center"/>
          </w:tcPr>
          <w:p>
            <w:pPr>
              <w:pStyle w:val="13"/>
              <w:rPr>
                <w:rFonts w:cs="Times New Roman"/>
                <w:sz w:val="20"/>
                <w:szCs w:val="20"/>
              </w:rPr>
            </w:pPr>
            <w:r>
              <w:rPr>
                <w:rFonts w:cs="Times New Roman"/>
                <w:sz w:val="20"/>
                <w:szCs w:val="20"/>
              </w:rPr>
              <w:t>348</w:t>
            </w:r>
          </w:p>
        </w:tc>
        <w:tc>
          <w:tcPr>
            <w:tcW w:w="833" w:type="pct"/>
            <w:shd w:val="clear" w:color="auto" w:fill="auto"/>
            <w:vAlign w:val="center"/>
          </w:tcPr>
          <w:p>
            <w:pPr>
              <w:pStyle w:val="13"/>
              <w:rPr>
                <w:rFonts w:cs="Times New Roman"/>
                <w:sz w:val="20"/>
                <w:szCs w:val="20"/>
              </w:rPr>
            </w:pPr>
            <w:r>
              <w:rPr>
                <w:rFonts w:cs="Times New Roman"/>
                <w:sz w:val="20"/>
                <w:szCs w:val="20"/>
              </w:rPr>
              <w:t>NB14</w:t>
            </w:r>
          </w:p>
        </w:tc>
        <w:tc>
          <w:tcPr>
            <w:tcW w:w="833" w:type="pct"/>
            <w:shd w:val="clear" w:color="auto" w:fill="auto"/>
            <w:vAlign w:val="center"/>
          </w:tcPr>
          <w:p>
            <w:pPr>
              <w:pStyle w:val="13"/>
              <w:rPr>
                <w:rFonts w:cs="Times New Roman"/>
                <w:sz w:val="20"/>
                <w:szCs w:val="20"/>
              </w:rPr>
            </w:pPr>
            <w:r>
              <w:rPr>
                <w:rFonts w:cs="Times New Roman"/>
                <w:sz w:val="20"/>
                <w:szCs w:val="20"/>
              </w:rPr>
              <w:t>300</w:t>
            </w:r>
          </w:p>
        </w:tc>
        <w:tc>
          <w:tcPr>
            <w:tcW w:w="834" w:type="pct"/>
            <w:shd w:val="clear" w:color="auto" w:fill="auto"/>
            <w:vAlign w:val="center"/>
          </w:tcPr>
          <w:p>
            <w:pPr>
              <w:pStyle w:val="13"/>
              <w:rPr>
                <w:rFonts w:cs="Times New Roman"/>
                <w:sz w:val="20"/>
                <w:szCs w:val="20"/>
              </w:rPr>
            </w:pPr>
            <w:r>
              <w:rPr>
                <w:rFonts w:cs="Times New Roman"/>
                <w:sz w:val="20"/>
                <w:szCs w:val="20"/>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pct"/>
            <w:shd w:val="clear" w:color="auto" w:fill="FFFFFF" w:themeFill="background1"/>
            <w:vAlign w:val="center"/>
          </w:tcPr>
          <w:p>
            <w:pPr>
              <w:pStyle w:val="13"/>
              <w:rPr>
                <w:rFonts w:cs="Times New Roman"/>
                <w:sz w:val="20"/>
                <w:szCs w:val="20"/>
              </w:rPr>
            </w:pPr>
            <w:r>
              <w:rPr>
                <w:rFonts w:cs="Times New Roman"/>
                <w:sz w:val="20"/>
                <w:szCs w:val="20"/>
              </w:rPr>
              <w:t>NA7</w:t>
            </w:r>
          </w:p>
        </w:tc>
        <w:tc>
          <w:tcPr>
            <w:tcW w:w="833" w:type="pct"/>
            <w:shd w:val="clear" w:color="auto" w:fill="auto"/>
            <w:vAlign w:val="center"/>
          </w:tcPr>
          <w:p>
            <w:pPr>
              <w:pStyle w:val="13"/>
              <w:rPr>
                <w:rFonts w:cs="Times New Roman"/>
                <w:sz w:val="20"/>
                <w:szCs w:val="20"/>
              </w:rPr>
            </w:pPr>
            <w:r>
              <w:rPr>
                <w:rFonts w:cs="Times New Roman"/>
                <w:sz w:val="20"/>
                <w:szCs w:val="20"/>
              </w:rPr>
              <w:t>270</w:t>
            </w:r>
          </w:p>
        </w:tc>
        <w:tc>
          <w:tcPr>
            <w:tcW w:w="833" w:type="pct"/>
            <w:shd w:val="clear" w:color="auto" w:fill="auto"/>
            <w:vAlign w:val="center"/>
          </w:tcPr>
          <w:p>
            <w:pPr>
              <w:pStyle w:val="13"/>
              <w:rPr>
                <w:rFonts w:cs="Times New Roman"/>
                <w:sz w:val="20"/>
                <w:szCs w:val="20"/>
              </w:rPr>
            </w:pPr>
            <w:r>
              <w:rPr>
                <w:rFonts w:cs="Times New Roman"/>
                <w:sz w:val="20"/>
                <w:szCs w:val="20"/>
              </w:rPr>
              <w:t>324</w:t>
            </w:r>
          </w:p>
        </w:tc>
        <w:tc>
          <w:tcPr>
            <w:tcW w:w="833" w:type="pct"/>
            <w:shd w:val="clear" w:color="auto" w:fill="auto"/>
            <w:vAlign w:val="center"/>
          </w:tcPr>
          <w:p>
            <w:pPr>
              <w:pStyle w:val="13"/>
              <w:rPr>
                <w:rFonts w:cs="Times New Roman"/>
                <w:sz w:val="20"/>
                <w:szCs w:val="20"/>
              </w:rPr>
            </w:pPr>
            <w:r>
              <w:rPr>
                <w:rFonts w:cs="Times New Roman"/>
                <w:sz w:val="20"/>
                <w:szCs w:val="20"/>
              </w:rPr>
              <w:t>NB15</w:t>
            </w:r>
          </w:p>
        </w:tc>
        <w:tc>
          <w:tcPr>
            <w:tcW w:w="833" w:type="pct"/>
            <w:shd w:val="clear" w:color="auto" w:fill="auto"/>
            <w:vAlign w:val="center"/>
          </w:tcPr>
          <w:p>
            <w:pPr>
              <w:pStyle w:val="13"/>
              <w:rPr>
                <w:rFonts w:cs="Times New Roman"/>
                <w:sz w:val="20"/>
                <w:szCs w:val="20"/>
              </w:rPr>
            </w:pPr>
            <w:r>
              <w:rPr>
                <w:rFonts w:cs="Times New Roman"/>
                <w:sz w:val="20"/>
                <w:szCs w:val="20"/>
              </w:rPr>
              <w:t>270</w:t>
            </w:r>
          </w:p>
        </w:tc>
        <w:tc>
          <w:tcPr>
            <w:tcW w:w="834" w:type="pct"/>
            <w:shd w:val="clear" w:color="auto" w:fill="auto"/>
            <w:vAlign w:val="center"/>
          </w:tcPr>
          <w:p>
            <w:pPr>
              <w:pStyle w:val="13"/>
              <w:rPr>
                <w:rFonts w:cs="Times New Roman"/>
                <w:sz w:val="20"/>
                <w:szCs w:val="20"/>
              </w:rPr>
            </w:pPr>
            <w:r>
              <w:rPr>
                <w:rFonts w:cs="Times New Roman"/>
                <w:sz w:val="20"/>
                <w:szCs w:val="20"/>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FFFFFF" w:themeFill="background1"/>
            <w:vAlign w:val="center"/>
          </w:tcPr>
          <w:p>
            <w:pPr>
              <w:pStyle w:val="13"/>
              <w:rPr>
                <w:rFonts w:cs="Times New Roman"/>
                <w:sz w:val="20"/>
                <w:szCs w:val="20"/>
              </w:rPr>
            </w:pPr>
            <w:r>
              <w:rPr>
                <w:rFonts w:cs="Times New Roman"/>
                <w:sz w:val="20"/>
                <w:szCs w:val="20"/>
              </w:rPr>
              <w:t>NA8</w:t>
            </w:r>
          </w:p>
        </w:tc>
        <w:tc>
          <w:tcPr>
            <w:tcW w:w="833" w:type="pct"/>
            <w:shd w:val="clear" w:color="auto" w:fill="auto"/>
            <w:vAlign w:val="center"/>
          </w:tcPr>
          <w:p>
            <w:pPr>
              <w:pStyle w:val="13"/>
              <w:rPr>
                <w:rFonts w:cs="Times New Roman"/>
                <w:sz w:val="20"/>
                <w:szCs w:val="20"/>
              </w:rPr>
            </w:pPr>
            <w:r>
              <w:rPr>
                <w:rFonts w:cs="Times New Roman"/>
                <w:sz w:val="20"/>
                <w:szCs w:val="20"/>
              </w:rPr>
              <w:t>370</w:t>
            </w:r>
          </w:p>
        </w:tc>
        <w:tc>
          <w:tcPr>
            <w:tcW w:w="833" w:type="pct"/>
            <w:shd w:val="clear" w:color="auto" w:fill="auto"/>
            <w:vAlign w:val="center"/>
          </w:tcPr>
          <w:p>
            <w:pPr>
              <w:pStyle w:val="13"/>
              <w:rPr>
                <w:rFonts w:cs="Times New Roman"/>
                <w:sz w:val="20"/>
                <w:szCs w:val="20"/>
              </w:rPr>
            </w:pPr>
            <w:r>
              <w:rPr>
                <w:rFonts w:cs="Times New Roman"/>
                <w:sz w:val="20"/>
                <w:szCs w:val="20"/>
              </w:rPr>
              <w:t>444</w:t>
            </w:r>
          </w:p>
        </w:tc>
        <w:tc>
          <w:tcPr>
            <w:tcW w:w="833" w:type="pct"/>
            <w:shd w:val="clear" w:color="auto" w:fill="auto"/>
            <w:vAlign w:val="center"/>
          </w:tcPr>
          <w:p>
            <w:pPr>
              <w:pStyle w:val="13"/>
              <w:rPr>
                <w:rFonts w:cs="Times New Roman"/>
                <w:sz w:val="20"/>
                <w:szCs w:val="20"/>
              </w:rPr>
            </w:pPr>
            <w:r>
              <w:rPr>
                <w:rFonts w:cs="Times New Roman"/>
                <w:sz w:val="20"/>
                <w:szCs w:val="20"/>
              </w:rPr>
              <w:t>NB16</w:t>
            </w:r>
          </w:p>
        </w:tc>
        <w:tc>
          <w:tcPr>
            <w:tcW w:w="833" w:type="pct"/>
            <w:shd w:val="clear" w:color="auto" w:fill="auto"/>
            <w:vAlign w:val="center"/>
          </w:tcPr>
          <w:p>
            <w:pPr>
              <w:pStyle w:val="13"/>
              <w:rPr>
                <w:rFonts w:cs="Times New Roman"/>
                <w:sz w:val="20"/>
                <w:szCs w:val="20"/>
              </w:rPr>
            </w:pPr>
            <w:r>
              <w:rPr>
                <w:rFonts w:cs="Times New Roman"/>
                <w:sz w:val="20"/>
                <w:szCs w:val="20"/>
              </w:rPr>
              <w:t>190</w:t>
            </w:r>
          </w:p>
        </w:tc>
        <w:tc>
          <w:tcPr>
            <w:tcW w:w="834" w:type="pct"/>
            <w:shd w:val="clear" w:color="auto" w:fill="auto"/>
            <w:vAlign w:val="center"/>
          </w:tcPr>
          <w:p>
            <w:pPr>
              <w:pStyle w:val="13"/>
              <w:rPr>
                <w:rFonts w:cs="Times New Roman"/>
                <w:sz w:val="20"/>
                <w:szCs w:val="20"/>
              </w:rPr>
            </w:pPr>
            <w:r>
              <w:rPr>
                <w:rFonts w:cs="Times New Roman"/>
                <w:sz w:val="20"/>
                <w:szCs w:val="20"/>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FFFFFF" w:themeFill="background1"/>
            <w:vAlign w:val="center"/>
          </w:tcPr>
          <w:p>
            <w:pPr>
              <w:pStyle w:val="13"/>
              <w:rPr>
                <w:rFonts w:cs="Times New Roman"/>
                <w:sz w:val="20"/>
                <w:szCs w:val="20"/>
              </w:rPr>
            </w:pPr>
            <w:r>
              <w:rPr>
                <w:rFonts w:cs="Times New Roman"/>
                <w:sz w:val="20"/>
                <w:szCs w:val="20"/>
              </w:rPr>
              <w:t>NA9</w:t>
            </w:r>
          </w:p>
        </w:tc>
        <w:tc>
          <w:tcPr>
            <w:tcW w:w="833" w:type="pct"/>
            <w:shd w:val="clear" w:color="auto" w:fill="auto"/>
            <w:vAlign w:val="center"/>
          </w:tcPr>
          <w:p>
            <w:pPr>
              <w:pStyle w:val="13"/>
              <w:rPr>
                <w:rFonts w:cs="Times New Roman"/>
                <w:sz w:val="20"/>
                <w:szCs w:val="20"/>
              </w:rPr>
            </w:pPr>
            <w:r>
              <w:rPr>
                <w:rFonts w:cs="Times New Roman"/>
                <w:sz w:val="20"/>
                <w:szCs w:val="20"/>
              </w:rPr>
              <w:t>150</w:t>
            </w:r>
          </w:p>
        </w:tc>
        <w:tc>
          <w:tcPr>
            <w:tcW w:w="833" w:type="pct"/>
            <w:shd w:val="clear" w:color="auto" w:fill="auto"/>
            <w:vAlign w:val="center"/>
          </w:tcPr>
          <w:p>
            <w:pPr>
              <w:pStyle w:val="13"/>
              <w:rPr>
                <w:rFonts w:cs="Times New Roman"/>
                <w:sz w:val="20"/>
                <w:szCs w:val="20"/>
              </w:rPr>
            </w:pPr>
            <w:r>
              <w:rPr>
                <w:rFonts w:cs="Times New Roman"/>
                <w:sz w:val="20"/>
                <w:szCs w:val="20"/>
              </w:rPr>
              <w:t>180</w:t>
            </w:r>
          </w:p>
        </w:tc>
        <w:tc>
          <w:tcPr>
            <w:tcW w:w="833" w:type="pct"/>
            <w:shd w:val="clear" w:color="auto" w:fill="auto"/>
            <w:vAlign w:val="center"/>
          </w:tcPr>
          <w:p>
            <w:pPr>
              <w:pStyle w:val="13"/>
              <w:rPr>
                <w:rFonts w:cs="Times New Roman"/>
                <w:sz w:val="20"/>
                <w:szCs w:val="20"/>
              </w:rPr>
            </w:pPr>
            <w:r>
              <w:rPr>
                <w:rFonts w:cs="Times New Roman"/>
                <w:sz w:val="20"/>
                <w:szCs w:val="20"/>
              </w:rPr>
              <w:t>NB17</w:t>
            </w:r>
          </w:p>
        </w:tc>
        <w:tc>
          <w:tcPr>
            <w:tcW w:w="833" w:type="pct"/>
            <w:shd w:val="clear" w:color="auto" w:fill="auto"/>
            <w:vAlign w:val="center"/>
          </w:tcPr>
          <w:p>
            <w:pPr>
              <w:pStyle w:val="13"/>
              <w:rPr>
                <w:rFonts w:cs="Times New Roman"/>
                <w:sz w:val="20"/>
                <w:szCs w:val="20"/>
              </w:rPr>
            </w:pPr>
            <w:r>
              <w:rPr>
                <w:rFonts w:cs="Times New Roman"/>
                <w:sz w:val="20"/>
                <w:szCs w:val="20"/>
              </w:rPr>
              <w:t>200</w:t>
            </w:r>
          </w:p>
        </w:tc>
        <w:tc>
          <w:tcPr>
            <w:tcW w:w="834" w:type="pct"/>
            <w:shd w:val="clear" w:color="auto" w:fill="auto"/>
            <w:vAlign w:val="center"/>
          </w:tcPr>
          <w:p>
            <w:pPr>
              <w:pStyle w:val="13"/>
              <w:rPr>
                <w:rFonts w:cs="Times New Roman"/>
                <w:sz w:val="20"/>
                <w:szCs w:val="20"/>
              </w:rPr>
            </w:pPr>
            <w:r>
              <w:rPr>
                <w:rFonts w:cs="Times New Roman"/>
                <w:sz w:val="20"/>
                <w:szCs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FFFFFF" w:themeFill="background1"/>
            <w:vAlign w:val="center"/>
          </w:tcPr>
          <w:p>
            <w:pPr>
              <w:pStyle w:val="13"/>
              <w:rPr>
                <w:rFonts w:cs="Times New Roman"/>
                <w:sz w:val="20"/>
                <w:szCs w:val="20"/>
              </w:rPr>
            </w:pPr>
            <w:r>
              <w:rPr>
                <w:rFonts w:cs="Times New Roman"/>
                <w:sz w:val="20"/>
                <w:szCs w:val="20"/>
              </w:rPr>
              <w:t>NA10</w:t>
            </w:r>
          </w:p>
        </w:tc>
        <w:tc>
          <w:tcPr>
            <w:tcW w:w="833" w:type="pct"/>
            <w:shd w:val="clear" w:color="auto" w:fill="auto"/>
            <w:vAlign w:val="center"/>
          </w:tcPr>
          <w:p>
            <w:pPr>
              <w:pStyle w:val="13"/>
              <w:rPr>
                <w:rFonts w:cs="Times New Roman"/>
                <w:sz w:val="20"/>
                <w:szCs w:val="20"/>
              </w:rPr>
            </w:pPr>
            <w:r>
              <w:rPr>
                <w:rFonts w:cs="Times New Roman"/>
                <w:sz w:val="20"/>
                <w:szCs w:val="20"/>
              </w:rPr>
              <w:t>320</w:t>
            </w:r>
          </w:p>
        </w:tc>
        <w:tc>
          <w:tcPr>
            <w:tcW w:w="833" w:type="pct"/>
            <w:shd w:val="clear" w:color="auto" w:fill="auto"/>
            <w:vAlign w:val="center"/>
          </w:tcPr>
          <w:p>
            <w:pPr>
              <w:pStyle w:val="13"/>
              <w:rPr>
                <w:rFonts w:cs="Times New Roman"/>
                <w:sz w:val="20"/>
                <w:szCs w:val="20"/>
              </w:rPr>
            </w:pPr>
            <w:r>
              <w:rPr>
                <w:rFonts w:cs="Times New Roman"/>
                <w:sz w:val="20"/>
                <w:szCs w:val="20"/>
              </w:rPr>
              <w:t>384</w:t>
            </w:r>
          </w:p>
        </w:tc>
        <w:tc>
          <w:tcPr>
            <w:tcW w:w="833" w:type="pct"/>
            <w:shd w:val="clear" w:color="auto" w:fill="auto"/>
            <w:vAlign w:val="center"/>
          </w:tcPr>
          <w:p>
            <w:pPr>
              <w:pStyle w:val="13"/>
              <w:rPr>
                <w:rFonts w:cs="Times New Roman"/>
                <w:sz w:val="20"/>
                <w:szCs w:val="20"/>
              </w:rPr>
            </w:pPr>
            <w:r>
              <w:rPr>
                <w:rFonts w:cs="Times New Roman"/>
                <w:sz w:val="20"/>
                <w:szCs w:val="20"/>
              </w:rPr>
              <w:t>NB18</w:t>
            </w:r>
          </w:p>
        </w:tc>
        <w:tc>
          <w:tcPr>
            <w:tcW w:w="833" w:type="pct"/>
            <w:shd w:val="clear" w:color="auto" w:fill="auto"/>
            <w:vAlign w:val="center"/>
          </w:tcPr>
          <w:p>
            <w:pPr>
              <w:pStyle w:val="13"/>
              <w:rPr>
                <w:rFonts w:cs="Times New Roman"/>
                <w:sz w:val="20"/>
                <w:szCs w:val="20"/>
              </w:rPr>
            </w:pPr>
            <w:r>
              <w:rPr>
                <w:rFonts w:cs="Times New Roman"/>
                <w:sz w:val="20"/>
                <w:szCs w:val="20"/>
              </w:rPr>
              <w:t>550</w:t>
            </w:r>
          </w:p>
        </w:tc>
        <w:tc>
          <w:tcPr>
            <w:tcW w:w="834" w:type="pct"/>
            <w:shd w:val="clear" w:color="auto" w:fill="auto"/>
            <w:vAlign w:val="center"/>
          </w:tcPr>
          <w:p>
            <w:pPr>
              <w:pStyle w:val="13"/>
              <w:rPr>
                <w:rFonts w:cs="Times New Roman"/>
                <w:sz w:val="20"/>
                <w:szCs w:val="20"/>
              </w:rPr>
            </w:pPr>
            <w:r>
              <w:rPr>
                <w:rFonts w:cs="Times New Roman"/>
                <w:sz w:val="20"/>
                <w:szCs w:val="20"/>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pct"/>
            <w:shd w:val="clear" w:color="auto" w:fill="FFFFFF" w:themeFill="background1"/>
            <w:vAlign w:val="center"/>
          </w:tcPr>
          <w:p>
            <w:pPr>
              <w:pStyle w:val="13"/>
              <w:rPr>
                <w:rFonts w:cs="Times New Roman"/>
                <w:sz w:val="20"/>
                <w:szCs w:val="20"/>
              </w:rPr>
            </w:pPr>
            <w:r>
              <w:rPr>
                <w:rFonts w:cs="Times New Roman"/>
                <w:sz w:val="20"/>
                <w:szCs w:val="20"/>
              </w:rPr>
              <w:t>NA11</w:t>
            </w:r>
          </w:p>
        </w:tc>
        <w:tc>
          <w:tcPr>
            <w:tcW w:w="833" w:type="pct"/>
            <w:shd w:val="clear" w:color="auto" w:fill="auto"/>
            <w:vAlign w:val="center"/>
          </w:tcPr>
          <w:p>
            <w:pPr>
              <w:pStyle w:val="13"/>
              <w:rPr>
                <w:rFonts w:cs="Times New Roman"/>
                <w:sz w:val="20"/>
                <w:szCs w:val="20"/>
              </w:rPr>
            </w:pPr>
            <w:r>
              <w:rPr>
                <w:rFonts w:cs="Times New Roman"/>
                <w:sz w:val="20"/>
                <w:szCs w:val="20"/>
              </w:rPr>
              <w:t>300</w:t>
            </w:r>
          </w:p>
        </w:tc>
        <w:tc>
          <w:tcPr>
            <w:tcW w:w="833" w:type="pct"/>
            <w:shd w:val="clear" w:color="auto" w:fill="auto"/>
            <w:vAlign w:val="center"/>
          </w:tcPr>
          <w:p>
            <w:pPr>
              <w:pStyle w:val="13"/>
              <w:rPr>
                <w:rFonts w:cs="Times New Roman"/>
                <w:sz w:val="20"/>
                <w:szCs w:val="20"/>
              </w:rPr>
            </w:pPr>
            <w:r>
              <w:rPr>
                <w:rFonts w:cs="Times New Roman"/>
                <w:sz w:val="20"/>
                <w:szCs w:val="20"/>
              </w:rPr>
              <w:t>360</w:t>
            </w:r>
          </w:p>
        </w:tc>
        <w:tc>
          <w:tcPr>
            <w:tcW w:w="833" w:type="pct"/>
            <w:shd w:val="clear" w:color="auto" w:fill="auto"/>
            <w:vAlign w:val="center"/>
          </w:tcPr>
          <w:p>
            <w:pPr>
              <w:pStyle w:val="13"/>
              <w:rPr>
                <w:rFonts w:cs="Times New Roman"/>
                <w:sz w:val="20"/>
                <w:szCs w:val="20"/>
              </w:rPr>
            </w:pPr>
            <w:r>
              <w:rPr>
                <w:rFonts w:cs="Times New Roman"/>
                <w:sz w:val="20"/>
                <w:szCs w:val="20"/>
              </w:rPr>
              <w:t>NB19</w:t>
            </w:r>
          </w:p>
        </w:tc>
        <w:tc>
          <w:tcPr>
            <w:tcW w:w="833" w:type="pct"/>
            <w:shd w:val="clear" w:color="auto" w:fill="auto"/>
            <w:vAlign w:val="center"/>
          </w:tcPr>
          <w:p>
            <w:pPr>
              <w:pStyle w:val="13"/>
              <w:rPr>
                <w:rFonts w:cs="Times New Roman"/>
                <w:sz w:val="20"/>
                <w:szCs w:val="20"/>
              </w:rPr>
            </w:pPr>
            <w:r>
              <w:rPr>
                <w:rFonts w:cs="Times New Roman"/>
                <w:sz w:val="20"/>
                <w:szCs w:val="20"/>
              </w:rPr>
              <w:t>150</w:t>
            </w:r>
          </w:p>
        </w:tc>
        <w:tc>
          <w:tcPr>
            <w:tcW w:w="834" w:type="pct"/>
            <w:shd w:val="clear" w:color="auto" w:fill="auto"/>
            <w:vAlign w:val="center"/>
          </w:tcPr>
          <w:p>
            <w:pPr>
              <w:pStyle w:val="13"/>
              <w:rPr>
                <w:rFonts w:cs="Times New Roman"/>
                <w:sz w:val="20"/>
                <w:szCs w:val="20"/>
              </w:rPr>
            </w:pPr>
            <w:r>
              <w:rPr>
                <w:rFonts w:cs="Times New Roman"/>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FFFFFF" w:themeFill="background1"/>
            <w:vAlign w:val="center"/>
          </w:tcPr>
          <w:p>
            <w:pPr>
              <w:pStyle w:val="13"/>
              <w:rPr>
                <w:rFonts w:cs="Times New Roman"/>
                <w:sz w:val="20"/>
                <w:szCs w:val="20"/>
              </w:rPr>
            </w:pPr>
            <w:r>
              <w:rPr>
                <w:rFonts w:cs="Times New Roman"/>
                <w:sz w:val="20"/>
                <w:szCs w:val="20"/>
              </w:rPr>
              <w:t>NA12</w:t>
            </w:r>
          </w:p>
        </w:tc>
        <w:tc>
          <w:tcPr>
            <w:tcW w:w="833" w:type="pct"/>
            <w:shd w:val="clear" w:color="auto" w:fill="auto"/>
            <w:vAlign w:val="center"/>
          </w:tcPr>
          <w:p>
            <w:pPr>
              <w:pStyle w:val="13"/>
              <w:rPr>
                <w:rFonts w:cs="Times New Roman"/>
                <w:sz w:val="20"/>
                <w:szCs w:val="20"/>
              </w:rPr>
            </w:pPr>
            <w:r>
              <w:rPr>
                <w:rFonts w:cs="Times New Roman"/>
                <w:sz w:val="20"/>
                <w:szCs w:val="20"/>
              </w:rPr>
              <w:t>180</w:t>
            </w:r>
          </w:p>
        </w:tc>
        <w:tc>
          <w:tcPr>
            <w:tcW w:w="833" w:type="pct"/>
            <w:shd w:val="clear" w:color="auto" w:fill="auto"/>
            <w:vAlign w:val="center"/>
          </w:tcPr>
          <w:p>
            <w:pPr>
              <w:pStyle w:val="13"/>
              <w:rPr>
                <w:rFonts w:cs="Times New Roman"/>
                <w:sz w:val="20"/>
                <w:szCs w:val="20"/>
              </w:rPr>
            </w:pPr>
            <w:r>
              <w:rPr>
                <w:rFonts w:cs="Times New Roman"/>
                <w:sz w:val="20"/>
                <w:szCs w:val="20"/>
              </w:rPr>
              <w:t>216</w:t>
            </w:r>
          </w:p>
        </w:tc>
        <w:tc>
          <w:tcPr>
            <w:tcW w:w="833" w:type="pct"/>
            <w:shd w:val="clear" w:color="auto" w:fill="auto"/>
            <w:vAlign w:val="center"/>
          </w:tcPr>
          <w:p>
            <w:pPr>
              <w:pStyle w:val="13"/>
              <w:rPr>
                <w:rFonts w:cs="Times New Roman"/>
                <w:sz w:val="20"/>
                <w:szCs w:val="20"/>
              </w:rPr>
            </w:pPr>
            <w:r>
              <w:rPr>
                <w:rFonts w:cs="Times New Roman"/>
                <w:sz w:val="20"/>
                <w:szCs w:val="20"/>
              </w:rPr>
              <w:t>NB20</w:t>
            </w:r>
          </w:p>
        </w:tc>
        <w:tc>
          <w:tcPr>
            <w:tcW w:w="833" w:type="pct"/>
            <w:shd w:val="clear" w:color="auto" w:fill="auto"/>
            <w:vAlign w:val="center"/>
          </w:tcPr>
          <w:p>
            <w:pPr>
              <w:pStyle w:val="13"/>
              <w:rPr>
                <w:rFonts w:cs="Times New Roman"/>
                <w:sz w:val="20"/>
                <w:szCs w:val="20"/>
              </w:rPr>
            </w:pPr>
            <w:r>
              <w:rPr>
                <w:rFonts w:cs="Times New Roman"/>
                <w:sz w:val="20"/>
                <w:szCs w:val="20"/>
              </w:rPr>
              <w:t>550</w:t>
            </w:r>
          </w:p>
        </w:tc>
        <w:tc>
          <w:tcPr>
            <w:tcW w:w="834" w:type="pct"/>
            <w:shd w:val="clear" w:color="auto" w:fill="auto"/>
            <w:vAlign w:val="center"/>
          </w:tcPr>
          <w:p>
            <w:pPr>
              <w:pStyle w:val="13"/>
              <w:rPr>
                <w:rFonts w:cs="Times New Roman"/>
                <w:sz w:val="20"/>
                <w:szCs w:val="20"/>
              </w:rPr>
            </w:pPr>
            <w:r>
              <w:rPr>
                <w:rFonts w:cs="Times New Roman"/>
                <w:sz w:val="20"/>
                <w:szCs w:val="20"/>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FFFFFF" w:themeFill="background1"/>
            <w:vAlign w:val="center"/>
          </w:tcPr>
          <w:p>
            <w:pPr>
              <w:pStyle w:val="13"/>
              <w:rPr>
                <w:rFonts w:cs="Times New Roman"/>
                <w:sz w:val="20"/>
                <w:szCs w:val="20"/>
              </w:rPr>
            </w:pPr>
            <w:r>
              <w:rPr>
                <w:rFonts w:cs="Times New Roman"/>
                <w:sz w:val="20"/>
                <w:szCs w:val="20"/>
              </w:rPr>
              <w:t>NA13</w:t>
            </w:r>
          </w:p>
        </w:tc>
        <w:tc>
          <w:tcPr>
            <w:tcW w:w="833" w:type="pct"/>
            <w:shd w:val="clear" w:color="auto" w:fill="auto"/>
            <w:vAlign w:val="center"/>
          </w:tcPr>
          <w:p>
            <w:pPr>
              <w:pStyle w:val="13"/>
              <w:rPr>
                <w:rFonts w:cs="Times New Roman"/>
                <w:sz w:val="20"/>
                <w:szCs w:val="20"/>
              </w:rPr>
            </w:pPr>
            <w:r>
              <w:rPr>
                <w:rFonts w:cs="Times New Roman"/>
                <w:sz w:val="20"/>
                <w:szCs w:val="20"/>
              </w:rPr>
              <w:t>140</w:t>
            </w:r>
          </w:p>
        </w:tc>
        <w:tc>
          <w:tcPr>
            <w:tcW w:w="833" w:type="pct"/>
            <w:shd w:val="clear" w:color="auto" w:fill="auto"/>
            <w:vAlign w:val="center"/>
          </w:tcPr>
          <w:p>
            <w:pPr>
              <w:pStyle w:val="13"/>
              <w:rPr>
                <w:rFonts w:cs="Times New Roman"/>
                <w:sz w:val="20"/>
                <w:szCs w:val="20"/>
              </w:rPr>
            </w:pPr>
            <w:r>
              <w:rPr>
                <w:rFonts w:cs="Times New Roman"/>
                <w:sz w:val="20"/>
                <w:szCs w:val="20"/>
              </w:rPr>
              <w:t>168</w:t>
            </w:r>
          </w:p>
        </w:tc>
        <w:tc>
          <w:tcPr>
            <w:tcW w:w="833" w:type="pct"/>
            <w:shd w:val="clear" w:color="auto" w:fill="auto"/>
            <w:vAlign w:val="center"/>
          </w:tcPr>
          <w:p>
            <w:pPr>
              <w:pStyle w:val="13"/>
              <w:rPr>
                <w:rFonts w:cs="Times New Roman"/>
                <w:sz w:val="20"/>
                <w:szCs w:val="20"/>
              </w:rPr>
            </w:pPr>
            <w:r>
              <w:rPr>
                <w:rFonts w:cs="Times New Roman"/>
                <w:sz w:val="20"/>
                <w:szCs w:val="20"/>
              </w:rPr>
              <w:t>NB21</w:t>
            </w:r>
          </w:p>
        </w:tc>
        <w:tc>
          <w:tcPr>
            <w:tcW w:w="833" w:type="pct"/>
            <w:shd w:val="clear" w:color="auto" w:fill="auto"/>
            <w:vAlign w:val="center"/>
          </w:tcPr>
          <w:p>
            <w:pPr>
              <w:pStyle w:val="13"/>
              <w:rPr>
                <w:rFonts w:cs="Times New Roman"/>
                <w:sz w:val="20"/>
                <w:szCs w:val="20"/>
              </w:rPr>
            </w:pPr>
            <w:r>
              <w:rPr>
                <w:rFonts w:cs="Times New Roman"/>
                <w:sz w:val="20"/>
                <w:szCs w:val="20"/>
              </w:rPr>
              <w:t>480</w:t>
            </w:r>
          </w:p>
        </w:tc>
        <w:tc>
          <w:tcPr>
            <w:tcW w:w="834" w:type="pct"/>
            <w:shd w:val="clear" w:color="auto" w:fill="auto"/>
            <w:vAlign w:val="center"/>
          </w:tcPr>
          <w:p>
            <w:pPr>
              <w:pStyle w:val="13"/>
              <w:rPr>
                <w:rFonts w:cs="Times New Roman"/>
                <w:sz w:val="20"/>
                <w:szCs w:val="20"/>
              </w:rPr>
            </w:pPr>
            <w:r>
              <w:rPr>
                <w:rFonts w:cs="Times New Roman"/>
                <w:sz w:val="20"/>
                <w:szCs w:val="20"/>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FFFFFF" w:themeFill="background1"/>
            <w:vAlign w:val="center"/>
          </w:tcPr>
          <w:p>
            <w:pPr>
              <w:pStyle w:val="13"/>
              <w:rPr>
                <w:rFonts w:cs="Times New Roman"/>
                <w:sz w:val="20"/>
                <w:szCs w:val="20"/>
              </w:rPr>
            </w:pPr>
            <w:r>
              <w:rPr>
                <w:rFonts w:cs="Times New Roman"/>
                <w:sz w:val="20"/>
                <w:szCs w:val="20"/>
              </w:rPr>
              <w:t>NA14</w:t>
            </w:r>
          </w:p>
        </w:tc>
        <w:tc>
          <w:tcPr>
            <w:tcW w:w="833" w:type="pct"/>
            <w:shd w:val="clear" w:color="auto" w:fill="auto"/>
            <w:vAlign w:val="center"/>
          </w:tcPr>
          <w:p>
            <w:pPr>
              <w:pStyle w:val="13"/>
              <w:rPr>
                <w:rFonts w:cs="Times New Roman"/>
                <w:sz w:val="20"/>
                <w:szCs w:val="20"/>
              </w:rPr>
            </w:pPr>
            <w:r>
              <w:rPr>
                <w:rFonts w:cs="Times New Roman"/>
                <w:sz w:val="20"/>
                <w:szCs w:val="20"/>
              </w:rPr>
              <w:t>150</w:t>
            </w:r>
          </w:p>
        </w:tc>
        <w:tc>
          <w:tcPr>
            <w:tcW w:w="833" w:type="pct"/>
            <w:shd w:val="clear" w:color="auto" w:fill="auto"/>
            <w:vAlign w:val="center"/>
          </w:tcPr>
          <w:p>
            <w:pPr>
              <w:pStyle w:val="13"/>
              <w:rPr>
                <w:rFonts w:cs="Times New Roman"/>
                <w:sz w:val="20"/>
                <w:szCs w:val="20"/>
              </w:rPr>
            </w:pPr>
            <w:r>
              <w:rPr>
                <w:rFonts w:cs="Times New Roman"/>
                <w:sz w:val="20"/>
                <w:szCs w:val="20"/>
              </w:rPr>
              <w:t>180</w:t>
            </w:r>
          </w:p>
        </w:tc>
        <w:tc>
          <w:tcPr>
            <w:tcW w:w="833" w:type="pct"/>
            <w:shd w:val="clear" w:color="auto" w:fill="auto"/>
            <w:vAlign w:val="center"/>
          </w:tcPr>
          <w:p>
            <w:pPr>
              <w:pStyle w:val="13"/>
              <w:rPr>
                <w:rFonts w:cs="Times New Roman"/>
                <w:sz w:val="20"/>
                <w:szCs w:val="20"/>
              </w:rPr>
            </w:pPr>
            <w:r>
              <w:rPr>
                <w:rFonts w:cs="Times New Roman"/>
                <w:sz w:val="20"/>
                <w:szCs w:val="20"/>
              </w:rPr>
              <w:t>NB22</w:t>
            </w:r>
          </w:p>
        </w:tc>
        <w:tc>
          <w:tcPr>
            <w:tcW w:w="833" w:type="pct"/>
            <w:shd w:val="clear" w:color="auto" w:fill="auto"/>
            <w:vAlign w:val="center"/>
          </w:tcPr>
          <w:p>
            <w:pPr>
              <w:pStyle w:val="13"/>
              <w:rPr>
                <w:rFonts w:cs="Times New Roman"/>
                <w:sz w:val="20"/>
                <w:szCs w:val="20"/>
              </w:rPr>
            </w:pPr>
            <w:r>
              <w:rPr>
                <w:rFonts w:cs="Times New Roman"/>
                <w:sz w:val="20"/>
                <w:szCs w:val="20"/>
              </w:rPr>
              <w:t>450</w:t>
            </w:r>
          </w:p>
        </w:tc>
        <w:tc>
          <w:tcPr>
            <w:tcW w:w="834" w:type="pct"/>
            <w:shd w:val="clear" w:color="auto" w:fill="auto"/>
            <w:vAlign w:val="center"/>
          </w:tcPr>
          <w:p>
            <w:pPr>
              <w:pStyle w:val="13"/>
              <w:rPr>
                <w:rFonts w:cs="Times New Roman"/>
                <w:sz w:val="20"/>
                <w:szCs w:val="20"/>
              </w:rPr>
            </w:pPr>
            <w:r>
              <w:rPr>
                <w:rFonts w:cs="Times New Roman"/>
                <w:sz w:val="20"/>
                <w:szCs w:val="20"/>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pct"/>
            <w:shd w:val="clear" w:color="auto" w:fill="FFFFFF" w:themeFill="background1"/>
            <w:vAlign w:val="center"/>
          </w:tcPr>
          <w:p>
            <w:pPr>
              <w:pStyle w:val="13"/>
              <w:rPr>
                <w:rFonts w:cs="Times New Roman"/>
                <w:sz w:val="20"/>
                <w:szCs w:val="20"/>
              </w:rPr>
            </w:pPr>
            <w:r>
              <w:rPr>
                <w:rFonts w:cs="Times New Roman"/>
                <w:sz w:val="20"/>
                <w:szCs w:val="20"/>
              </w:rPr>
              <w:t>NA15</w:t>
            </w:r>
          </w:p>
        </w:tc>
        <w:tc>
          <w:tcPr>
            <w:tcW w:w="833" w:type="pct"/>
            <w:shd w:val="clear" w:color="auto" w:fill="auto"/>
            <w:vAlign w:val="center"/>
          </w:tcPr>
          <w:p>
            <w:pPr>
              <w:pStyle w:val="13"/>
              <w:rPr>
                <w:rFonts w:cs="Times New Roman"/>
                <w:sz w:val="20"/>
                <w:szCs w:val="20"/>
              </w:rPr>
            </w:pPr>
            <w:r>
              <w:rPr>
                <w:rFonts w:cs="Times New Roman"/>
                <w:sz w:val="20"/>
                <w:szCs w:val="20"/>
              </w:rPr>
              <w:t>0</w:t>
            </w:r>
          </w:p>
        </w:tc>
        <w:tc>
          <w:tcPr>
            <w:tcW w:w="833" w:type="pct"/>
            <w:shd w:val="clear" w:color="auto" w:fill="auto"/>
            <w:vAlign w:val="center"/>
          </w:tcPr>
          <w:p>
            <w:pPr>
              <w:pStyle w:val="13"/>
              <w:rPr>
                <w:rFonts w:cs="Times New Roman"/>
                <w:sz w:val="20"/>
                <w:szCs w:val="20"/>
              </w:rPr>
            </w:pPr>
            <w:r>
              <w:rPr>
                <w:rFonts w:cs="Times New Roman"/>
                <w:sz w:val="20"/>
                <w:szCs w:val="20"/>
              </w:rPr>
              <w:t>0</w:t>
            </w:r>
          </w:p>
        </w:tc>
        <w:tc>
          <w:tcPr>
            <w:tcW w:w="833" w:type="pct"/>
            <w:shd w:val="clear" w:color="auto" w:fill="auto"/>
            <w:vAlign w:val="center"/>
          </w:tcPr>
          <w:p>
            <w:pPr>
              <w:pStyle w:val="13"/>
              <w:rPr>
                <w:rFonts w:cs="Times New Roman"/>
                <w:sz w:val="20"/>
                <w:szCs w:val="20"/>
              </w:rPr>
            </w:pPr>
            <w:r>
              <w:rPr>
                <w:rFonts w:cs="Times New Roman"/>
                <w:sz w:val="20"/>
                <w:szCs w:val="20"/>
              </w:rPr>
              <w:t>NB23</w:t>
            </w:r>
          </w:p>
        </w:tc>
        <w:tc>
          <w:tcPr>
            <w:tcW w:w="833" w:type="pct"/>
            <w:shd w:val="clear" w:color="auto" w:fill="auto"/>
            <w:vAlign w:val="center"/>
          </w:tcPr>
          <w:p>
            <w:pPr>
              <w:pStyle w:val="13"/>
              <w:rPr>
                <w:rFonts w:cs="Times New Roman"/>
                <w:sz w:val="20"/>
                <w:szCs w:val="20"/>
              </w:rPr>
            </w:pPr>
            <w:r>
              <w:rPr>
                <w:rFonts w:cs="Times New Roman"/>
                <w:sz w:val="20"/>
                <w:szCs w:val="20"/>
              </w:rPr>
              <w:t>250</w:t>
            </w:r>
          </w:p>
        </w:tc>
        <w:tc>
          <w:tcPr>
            <w:tcW w:w="834" w:type="pct"/>
            <w:shd w:val="clear" w:color="auto" w:fill="auto"/>
            <w:vAlign w:val="center"/>
          </w:tcPr>
          <w:p>
            <w:pPr>
              <w:pStyle w:val="13"/>
              <w:rPr>
                <w:rFonts w:cs="Times New Roman"/>
                <w:sz w:val="20"/>
                <w:szCs w:val="20"/>
              </w:rPr>
            </w:pPr>
            <w:r>
              <w:rPr>
                <w:rFonts w:cs="Times New Roman"/>
                <w:sz w:val="20"/>
                <w:szCs w:val="2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FFFFFF" w:themeFill="background1"/>
            <w:vAlign w:val="center"/>
          </w:tcPr>
          <w:p>
            <w:pPr>
              <w:pStyle w:val="13"/>
              <w:rPr>
                <w:rFonts w:cs="Times New Roman"/>
                <w:sz w:val="20"/>
                <w:szCs w:val="20"/>
              </w:rPr>
            </w:pPr>
            <w:r>
              <w:rPr>
                <w:rFonts w:cs="Times New Roman"/>
                <w:sz w:val="20"/>
                <w:szCs w:val="20"/>
              </w:rPr>
              <w:t>NA16</w:t>
            </w:r>
          </w:p>
        </w:tc>
        <w:tc>
          <w:tcPr>
            <w:tcW w:w="833" w:type="pct"/>
            <w:shd w:val="clear" w:color="auto" w:fill="auto"/>
            <w:vAlign w:val="center"/>
          </w:tcPr>
          <w:p>
            <w:pPr>
              <w:pStyle w:val="13"/>
              <w:rPr>
                <w:rFonts w:cs="Times New Roman"/>
                <w:sz w:val="20"/>
                <w:szCs w:val="20"/>
              </w:rPr>
            </w:pPr>
            <w:r>
              <w:rPr>
                <w:rFonts w:cs="Times New Roman"/>
                <w:sz w:val="20"/>
                <w:szCs w:val="20"/>
              </w:rPr>
              <w:t>0</w:t>
            </w:r>
          </w:p>
        </w:tc>
        <w:tc>
          <w:tcPr>
            <w:tcW w:w="833" w:type="pct"/>
            <w:shd w:val="clear" w:color="auto" w:fill="auto"/>
            <w:vAlign w:val="center"/>
          </w:tcPr>
          <w:p>
            <w:pPr>
              <w:pStyle w:val="13"/>
              <w:rPr>
                <w:rFonts w:cs="Times New Roman"/>
                <w:sz w:val="20"/>
                <w:szCs w:val="20"/>
              </w:rPr>
            </w:pPr>
            <w:r>
              <w:rPr>
                <w:rFonts w:cs="Times New Roman"/>
                <w:sz w:val="20"/>
                <w:szCs w:val="20"/>
              </w:rPr>
              <w:t>0</w:t>
            </w:r>
          </w:p>
        </w:tc>
        <w:tc>
          <w:tcPr>
            <w:tcW w:w="833" w:type="pct"/>
            <w:shd w:val="clear" w:color="auto" w:fill="auto"/>
            <w:vAlign w:val="center"/>
          </w:tcPr>
          <w:p>
            <w:pPr>
              <w:pStyle w:val="13"/>
              <w:rPr>
                <w:rFonts w:cs="Times New Roman"/>
                <w:sz w:val="20"/>
                <w:szCs w:val="20"/>
              </w:rPr>
            </w:pPr>
            <w:r>
              <w:rPr>
                <w:rFonts w:cs="Times New Roman"/>
                <w:sz w:val="20"/>
                <w:szCs w:val="20"/>
              </w:rPr>
              <w:t>NB24</w:t>
            </w:r>
          </w:p>
        </w:tc>
        <w:tc>
          <w:tcPr>
            <w:tcW w:w="833" w:type="pct"/>
            <w:shd w:val="clear" w:color="auto" w:fill="auto"/>
            <w:vAlign w:val="center"/>
          </w:tcPr>
          <w:p>
            <w:pPr>
              <w:pStyle w:val="13"/>
              <w:rPr>
                <w:rFonts w:cs="Times New Roman"/>
                <w:sz w:val="20"/>
                <w:szCs w:val="20"/>
              </w:rPr>
            </w:pPr>
            <w:r>
              <w:rPr>
                <w:rFonts w:cs="Times New Roman"/>
                <w:sz w:val="20"/>
                <w:szCs w:val="20"/>
              </w:rPr>
              <w:t>70</w:t>
            </w:r>
          </w:p>
        </w:tc>
        <w:tc>
          <w:tcPr>
            <w:tcW w:w="834" w:type="pct"/>
            <w:shd w:val="clear" w:color="auto" w:fill="auto"/>
            <w:vAlign w:val="center"/>
          </w:tcPr>
          <w:p>
            <w:pPr>
              <w:pStyle w:val="13"/>
              <w:rPr>
                <w:rFonts w:cs="Times New Roman"/>
                <w:sz w:val="20"/>
                <w:szCs w:val="20"/>
              </w:rPr>
            </w:pPr>
            <w:r>
              <w:rPr>
                <w:rFonts w:cs="Times New Roman"/>
                <w:sz w:val="20"/>
                <w:szCs w:val="20"/>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auto"/>
            <w:vAlign w:val="center"/>
          </w:tcPr>
          <w:p>
            <w:pPr>
              <w:pStyle w:val="13"/>
              <w:rPr>
                <w:rFonts w:cs="Times New Roman"/>
                <w:sz w:val="20"/>
                <w:szCs w:val="20"/>
              </w:rPr>
            </w:pPr>
            <w:r>
              <w:rPr>
                <w:rFonts w:cs="Times New Roman"/>
                <w:sz w:val="20"/>
                <w:szCs w:val="20"/>
              </w:rPr>
              <w:t>NB1</w:t>
            </w:r>
          </w:p>
        </w:tc>
        <w:tc>
          <w:tcPr>
            <w:tcW w:w="833" w:type="pct"/>
            <w:shd w:val="clear" w:color="auto" w:fill="auto"/>
            <w:vAlign w:val="center"/>
          </w:tcPr>
          <w:p>
            <w:pPr>
              <w:pStyle w:val="13"/>
              <w:rPr>
                <w:rFonts w:cs="Times New Roman"/>
                <w:sz w:val="20"/>
                <w:szCs w:val="20"/>
              </w:rPr>
            </w:pPr>
            <w:r>
              <w:rPr>
                <w:rFonts w:cs="Times New Roman"/>
                <w:sz w:val="20"/>
                <w:szCs w:val="20"/>
              </w:rPr>
              <w:t>0</w:t>
            </w:r>
          </w:p>
        </w:tc>
        <w:tc>
          <w:tcPr>
            <w:tcW w:w="833" w:type="pct"/>
            <w:shd w:val="clear" w:color="auto" w:fill="auto"/>
            <w:vAlign w:val="center"/>
          </w:tcPr>
          <w:p>
            <w:pPr>
              <w:pStyle w:val="13"/>
              <w:rPr>
                <w:rFonts w:cs="Times New Roman"/>
                <w:sz w:val="20"/>
                <w:szCs w:val="20"/>
              </w:rPr>
            </w:pPr>
            <w:r>
              <w:rPr>
                <w:rFonts w:cs="Times New Roman"/>
                <w:sz w:val="20"/>
                <w:szCs w:val="20"/>
              </w:rPr>
              <w:t>0</w:t>
            </w:r>
          </w:p>
        </w:tc>
        <w:tc>
          <w:tcPr>
            <w:tcW w:w="833" w:type="pct"/>
            <w:shd w:val="clear" w:color="auto" w:fill="auto"/>
            <w:vAlign w:val="center"/>
          </w:tcPr>
          <w:p>
            <w:pPr>
              <w:pStyle w:val="13"/>
              <w:rPr>
                <w:rFonts w:cs="Times New Roman"/>
                <w:sz w:val="20"/>
                <w:szCs w:val="20"/>
              </w:rPr>
            </w:pPr>
            <w:r>
              <w:rPr>
                <w:rFonts w:cs="Times New Roman"/>
                <w:sz w:val="20"/>
                <w:szCs w:val="20"/>
              </w:rPr>
              <w:t>NB25</w:t>
            </w:r>
          </w:p>
        </w:tc>
        <w:tc>
          <w:tcPr>
            <w:tcW w:w="833" w:type="pct"/>
            <w:shd w:val="clear" w:color="auto" w:fill="auto"/>
            <w:vAlign w:val="center"/>
          </w:tcPr>
          <w:p>
            <w:pPr>
              <w:pStyle w:val="13"/>
              <w:rPr>
                <w:rFonts w:cs="Times New Roman"/>
                <w:sz w:val="20"/>
                <w:szCs w:val="20"/>
              </w:rPr>
            </w:pPr>
            <w:r>
              <w:rPr>
                <w:rFonts w:cs="Times New Roman"/>
                <w:sz w:val="20"/>
                <w:szCs w:val="20"/>
              </w:rPr>
              <w:t>40</w:t>
            </w:r>
          </w:p>
        </w:tc>
        <w:tc>
          <w:tcPr>
            <w:tcW w:w="834" w:type="pct"/>
            <w:shd w:val="clear" w:color="auto" w:fill="auto"/>
            <w:vAlign w:val="center"/>
          </w:tcPr>
          <w:p>
            <w:pPr>
              <w:pStyle w:val="13"/>
              <w:rPr>
                <w:rFonts w:cs="Times New Roman"/>
                <w:sz w:val="20"/>
                <w:szCs w:val="20"/>
              </w:rPr>
            </w:pPr>
            <w:r>
              <w:rPr>
                <w:rFonts w:cs="Times New Roman"/>
                <w:sz w:val="20"/>
                <w:szCs w:val="20"/>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auto"/>
            <w:vAlign w:val="center"/>
          </w:tcPr>
          <w:p>
            <w:pPr>
              <w:pStyle w:val="13"/>
              <w:rPr>
                <w:rFonts w:cs="Times New Roman"/>
                <w:sz w:val="20"/>
                <w:szCs w:val="20"/>
              </w:rPr>
            </w:pPr>
            <w:r>
              <w:rPr>
                <w:rFonts w:cs="Times New Roman"/>
                <w:sz w:val="20"/>
                <w:szCs w:val="20"/>
              </w:rPr>
              <w:t>NB2</w:t>
            </w:r>
          </w:p>
        </w:tc>
        <w:tc>
          <w:tcPr>
            <w:tcW w:w="833" w:type="pct"/>
            <w:shd w:val="clear" w:color="auto" w:fill="auto"/>
            <w:vAlign w:val="center"/>
          </w:tcPr>
          <w:p>
            <w:pPr>
              <w:pStyle w:val="13"/>
              <w:rPr>
                <w:rFonts w:cs="Times New Roman"/>
                <w:sz w:val="20"/>
                <w:szCs w:val="20"/>
              </w:rPr>
            </w:pPr>
            <w:r>
              <w:rPr>
                <w:rFonts w:cs="Times New Roman"/>
                <w:sz w:val="20"/>
                <w:szCs w:val="20"/>
              </w:rPr>
              <w:t>0</w:t>
            </w:r>
          </w:p>
        </w:tc>
        <w:tc>
          <w:tcPr>
            <w:tcW w:w="833" w:type="pct"/>
            <w:shd w:val="clear" w:color="auto" w:fill="auto"/>
            <w:vAlign w:val="center"/>
          </w:tcPr>
          <w:p>
            <w:pPr>
              <w:pStyle w:val="13"/>
              <w:rPr>
                <w:rFonts w:cs="Times New Roman"/>
                <w:sz w:val="20"/>
                <w:szCs w:val="20"/>
              </w:rPr>
            </w:pPr>
            <w:r>
              <w:rPr>
                <w:rFonts w:cs="Times New Roman"/>
                <w:sz w:val="20"/>
                <w:szCs w:val="20"/>
              </w:rPr>
              <w:t>0</w:t>
            </w:r>
          </w:p>
        </w:tc>
        <w:tc>
          <w:tcPr>
            <w:tcW w:w="833" w:type="pct"/>
            <w:shd w:val="clear" w:color="auto" w:fill="auto"/>
            <w:vAlign w:val="center"/>
          </w:tcPr>
          <w:p>
            <w:pPr>
              <w:pStyle w:val="13"/>
              <w:rPr>
                <w:rFonts w:cs="Times New Roman"/>
                <w:sz w:val="20"/>
                <w:szCs w:val="20"/>
              </w:rPr>
            </w:pPr>
            <w:r>
              <w:rPr>
                <w:rFonts w:cs="Times New Roman"/>
                <w:sz w:val="20"/>
                <w:szCs w:val="20"/>
              </w:rPr>
              <w:t>NB26</w:t>
            </w:r>
          </w:p>
        </w:tc>
        <w:tc>
          <w:tcPr>
            <w:tcW w:w="833" w:type="pct"/>
            <w:shd w:val="clear" w:color="auto" w:fill="auto"/>
            <w:vAlign w:val="center"/>
          </w:tcPr>
          <w:p>
            <w:pPr>
              <w:pStyle w:val="13"/>
              <w:rPr>
                <w:rFonts w:cs="Times New Roman"/>
                <w:sz w:val="20"/>
                <w:szCs w:val="20"/>
              </w:rPr>
            </w:pPr>
            <w:r>
              <w:rPr>
                <w:rFonts w:cs="Times New Roman"/>
                <w:sz w:val="20"/>
                <w:szCs w:val="20"/>
              </w:rPr>
              <w:t>170</w:t>
            </w:r>
          </w:p>
        </w:tc>
        <w:tc>
          <w:tcPr>
            <w:tcW w:w="834" w:type="pct"/>
            <w:shd w:val="clear" w:color="auto" w:fill="auto"/>
            <w:vAlign w:val="center"/>
          </w:tcPr>
          <w:p>
            <w:pPr>
              <w:pStyle w:val="13"/>
              <w:rPr>
                <w:rFonts w:cs="Times New Roman"/>
                <w:sz w:val="20"/>
                <w:szCs w:val="20"/>
              </w:rPr>
            </w:pPr>
            <w:r>
              <w:rPr>
                <w:rFonts w:cs="Times New Roman"/>
                <w:sz w:val="20"/>
                <w:szCs w:val="20"/>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pct"/>
            <w:shd w:val="clear" w:color="auto" w:fill="auto"/>
            <w:vAlign w:val="center"/>
          </w:tcPr>
          <w:p>
            <w:pPr>
              <w:pStyle w:val="13"/>
              <w:rPr>
                <w:rFonts w:cs="Times New Roman"/>
                <w:sz w:val="20"/>
                <w:szCs w:val="20"/>
              </w:rPr>
            </w:pPr>
            <w:r>
              <w:rPr>
                <w:rFonts w:cs="Times New Roman"/>
                <w:sz w:val="20"/>
                <w:szCs w:val="20"/>
              </w:rPr>
              <w:t>NB3</w:t>
            </w:r>
          </w:p>
        </w:tc>
        <w:tc>
          <w:tcPr>
            <w:tcW w:w="833" w:type="pct"/>
            <w:shd w:val="clear" w:color="auto" w:fill="auto"/>
            <w:vAlign w:val="center"/>
          </w:tcPr>
          <w:p>
            <w:pPr>
              <w:pStyle w:val="13"/>
              <w:rPr>
                <w:rFonts w:cs="Times New Roman"/>
                <w:sz w:val="20"/>
                <w:szCs w:val="20"/>
              </w:rPr>
            </w:pPr>
            <w:r>
              <w:rPr>
                <w:rFonts w:cs="Times New Roman"/>
                <w:sz w:val="20"/>
                <w:szCs w:val="20"/>
              </w:rPr>
              <w:t>200</w:t>
            </w:r>
          </w:p>
        </w:tc>
        <w:tc>
          <w:tcPr>
            <w:tcW w:w="833" w:type="pct"/>
            <w:shd w:val="clear" w:color="auto" w:fill="auto"/>
            <w:vAlign w:val="center"/>
          </w:tcPr>
          <w:p>
            <w:pPr>
              <w:pStyle w:val="13"/>
              <w:rPr>
                <w:rFonts w:cs="Times New Roman"/>
                <w:sz w:val="20"/>
                <w:szCs w:val="20"/>
              </w:rPr>
            </w:pPr>
            <w:r>
              <w:rPr>
                <w:rFonts w:cs="Times New Roman"/>
                <w:sz w:val="20"/>
                <w:szCs w:val="20"/>
              </w:rPr>
              <w:t>240</w:t>
            </w:r>
          </w:p>
        </w:tc>
        <w:tc>
          <w:tcPr>
            <w:tcW w:w="833" w:type="pct"/>
            <w:shd w:val="clear" w:color="auto" w:fill="auto"/>
            <w:vAlign w:val="center"/>
          </w:tcPr>
          <w:p>
            <w:pPr>
              <w:pStyle w:val="13"/>
              <w:rPr>
                <w:rFonts w:cs="Times New Roman"/>
                <w:sz w:val="20"/>
                <w:szCs w:val="20"/>
              </w:rPr>
            </w:pPr>
            <w:r>
              <w:rPr>
                <w:rFonts w:cs="Times New Roman"/>
                <w:sz w:val="20"/>
                <w:szCs w:val="20"/>
              </w:rPr>
              <w:t>NB27</w:t>
            </w:r>
          </w:p>
        </w:tc>
        <w:tc>
          <w:tcPr>
            <w:tcW w:w="833" w:type="pct"/>
            <w:shd w:val="clear" w:color="auto" w:fill="auto"/>
            <w:vAlign w:val="center"/>
          </w:tcPr>
          <w:p>
            <w:pPr>
              <w:pStyle w:val="13"/>
              <w:rPr>
                <w:rFonts w:cs="Times New Roman"/>
                <w:sz w:val="20"/>
                <w:szCs w:val="20"/>
              </w:rPr>
            </w:pPr>
            <w:r>
              <w:rPr>
                <w:rFonts w:cs="Times New Roman"/>
                <w:sz w:val="20"/>
                <w:szCs w:val="20"/>
              </w:rPr>
              <w:t>250</w:t>
            </w:r>
          </w:p>
        </w:tc>
        <w:tc>
          <w:tcPr>
            <w:tcW w:w="834" w:type="pct"/>
            <w:shd w:val="clear" w:color="auto" w:fill="auto"/>
            <w:vAlign w:val="center"/>
          </w:tcPr>
          <w:p>
            <w:pPr>
              <w:pStyle w:val="13"/>
              <w:rPr>
                <w:rFonts w:cs="Times New Roman"/>
                <w:sz w:val="20"/>
                <w:szCs w:val="20"/>
              </w:rPr>
            </w:pPr>
            <w:r>
              <w:rPr>
                <w:rFonts w:cs="Times New Roman"/>
                <w:sz w:val="20"/>
                <w:szCs w:val="2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auto"/>
            <w:vAlign w:val="center"/>
          </w:tcPr>
          <w:p>
            <w:pPr>
              <w:pStyle w:val="13"/>
              <w:rPr>
                <w:rFonts w:cs="Times New Roman"/>
                <w:sz w:val="20"/>
                <w:szCs w:val="20"/>
              </w:rPr>
            </w:pPr>
            <w:r>
              <w:rPr>
                <w:rFonts w:cs="Times New Roman"/>
                <w:sz w:val="20"/>
                <w:szCs w:val="20"/>
              </w:rPr>
              <w:t>NB4</w:t>
            </w:r>
          </w:p>
        </w:tc>
        <w:tc>
          <w:tcPr>
            <w:tcW w:w="833" w:type="pct"/>
            <w:shd w:val="clear" w:color="auto" w:fill="auto"/>
            <w:vAlign w:val="center"/>
          </w:tcPr>
          <w:p>
            <w:pPr>
              <w:pStyle w:val="13"/>
              <w:rPr>
                <w:rFonts w:cs="Times New Roman"/>
                <w:sz w:val="20"/>
                <w:szCs w:val="20"/>
              </w:rPr>
            </w:pPr>
            <w:r>
              <w:rPr>
                <w:rFonts w:cs="Times New Roman"/>
                <w:sz w:val="20"/>
                <w:szCs w:val="20"/>
              </w:rPr>
              <w:t>160</w:t>
            </w:r>
          </w:p>
        </w:tc>
        <w:tc>
          <w:tcPr>
            <w:tcW w:w="833" w:type="pct"/>
            <w:shd w:val="clear" w:color="auto" w:fill="auto"/>
            <w:vAlign w:val="center"/>
          </w:tcPr>
          <w:p>
            <w:pPr>
              <w:pStyle w:val="13"/>
              <w:rPr>
                <w:rFonts w:cs="Times New Roman"/>
                <w:sz w:val="20"/>
                <w:szCs w:val="20"/>
              </w:rPr>
            </w:pPr>
            <w:r>
              <w:rPr>
                <w:rFonts w:cs="Times New Roman"/>
                <w:sz w:val="20"/>
                <w:szCs w:val="20"/>
              </w:rPr>
              <w:t>192</w:t>
            </w:r>
          </w:p>
        </w:tc>
        <w:tc>
          <w:tcPr>
            <w:tcW w:w="833" w:type="pct"/>
            <w:shd w:val="clear" w:color="auto" w:fill="auto"/>
            <w:vAlign w:val="center"/>
          </w:tcPr>
          <w:p>
            <w:pPr>
              <w:pStyle w:val="13"/>
              <w:rPr>
                <w:rFonts w:cs="Times New Roman"/>
                <w:sz w:val="20"/>
                <w:szCs w:val="20"/>
              </w:rPr>
            </w:pPr>
            <w:r>
              <w:rPr>
                <w:rFonts w:cs="Times New Roman"/>
                <w:sz w:val="20"/>
                <w:szCs w:val="20"/>
              </w:rPr>
              <w:t>NB28</w:t>
            </w:r>
          </w:p>
        </w:tc>
        <w:tc>
          <w:tcPr>
            <w:tcW w:w="833" w:type="pct"/>
            <w:shd w:val="clear" w:color="auto" w:fill="auto"/>
            <w:vAlign w:val="center"/>
          </w:tcPr>
          <w:p>
            <w:pPr>
              <w:pStyle w:val="13"/>
              <w:rPr>
                <w:rFonts w:cs="Times New Roman"/>
                <w:sz w:val="20"/>
                <w:szCs w:val="20"/>
              </w:rPr>
            </w:pPr>
            <w:r>
              <w:rPr>
                <w:rFonts w:cs="Times New Roman"/>
                <w:sz w:val="20"/>
                <w:szCs w:val="20"/>
              </w:rPr>
              <w:t>350</w:t>
            </w:r>
          </w:p>
        </w:tc>
        <w:tc>
          <w:tcPr>
            <w:tcW w:w="834" w:type="pct"/>
            <w:shd w:val="clear" w:color="auto" w:fill="auto"/>
            <w:vAlign w:val="center"/>
          </w:tcPr>
          <w:p>
            <w:pPr>
              <w:pStyle w:val="13"/>
              <w:rPr>
                <w:rFonts w:cs="Times New Roman"/>
                <w:sz w:val="20"/>
                <w:szCs w:val="20"/>
              </w:rPr>
            </w:pPr>
            <w:r>
              <w:rPr>
                <w:rFonts w:cs="Times New Roman"/>
                <w:sz w:val="20"/>
                <w:szCs w:val="20"/>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auto"/>
            <w:vAlign w:val="center"/>
          </w:tcPr>
          <w:p>
            <w:pPr>
              <w:pStyle w:val="13"/>
              <w:rPr>
                <w:rFonts w:cs="Times New Roman"/>
                <w:sz w:val="20"/>
                <w:szCs w:val="20"/>
              </w:rPr>
            </w:pPr>
            <w:r>
              <w:rPr>
                <w:rFonts w:cs="Times New Roman"/>
                <w:sz w:val="20"/>
                <w:szCs w:val="20"/>
              </w:rPr>
              <w:t>NB5</w:t>
            </w:r>
          </w:p>
        </w:tc>
        <w:tc>
          <w:tcPr>
            <w:tcW w:w="833" w:type="pct"/>
            <w:shd w:val="clear" w:color="auto" w:fill="auto"/>
            <w:vAlign w:val="center"/>
          </w:tcPr>
          <w:p>
            <w:pPr>
              <w:pStyle w:val="13"/>
              <w:rPr>
                <w:rFonts w:cs="Times New Roman"/>
                <w:sz w:val="20"/>
                <w:szCs w:val="20"/>
              </w:rPr>
            </w:pPr>
            <w:r>
              <w:rPr>
                <w:rFonts w:cs="Times New Roman"/>
                <w:sz w:val="20"/>
                <w:szCs w:val="20"/>
              </w:rPr>
              <w:t>210</w:t>
            </w:r>
          </w:p>
        </w:tc>
        <w:tc>
          <w:tcPr>
            <w:tcW w:w="833" w:type="pct"/>
            <w:shd w:val="clear" w:color="auto" w:fill="auto"/>
            <w:vAlign w:val="center"/>
          </w:tcPr>
          <w:p>
            <w:pPr>
              <w:pStyle w:val="13"/>
              <w:rPr>
                <w:rFonts w:cs="Times New Roman"/>
                <w:sz w:val="20"/>
                <w:szCs w:val="20"/>
              </w:rPr>
            </w:pPr>
            <w:r>
              <w:rPr>
                <w:rFonts w:cs="Times New Roman"/>
                <w:sz w:val="20"/>
                <w:szCs w:val="20"/>
              </w:rPr>
              <w:t>252</w:t>
            </w:r>
          </w:p>
        </w:tc>
        <w:tc>
          <w:tcPr>
            <w:tcW w:w="833" w:type="pct"/>
            <w:shd w:val="clear" w:color="auto" w:fill="auto"/>
            <w:vAlign w:val="center"/>
          </w:tcPr>
          <w:p>
            <w:pPr>
              <w:pStyle w:val="13"/>
              <w:rPr>
                <w:rFonts w:cs="Times New Roman"/>
                <w:sz w:val="20"/>
                <w:szCs w:val="20"/>
              </w:rPr>
            </w:pPr>
            <w:r>
              <w:rPr>
                <w:rFonts w:cs="Times New Roman"/>
                <w:sz w:val="20"/>
                <w:szCs w:val="20"/>
              </w:rPr>
              <w:t>NB29</w:t>
            </w:r>
          </w:p>
        </w:tc>
        <w:tc>
          <w:tcPr>
            <w:tcW w:w="833" w:type="pct"/>
            <w:shd w:val="clear" w:color="auto" w:fill="auto"/>
            <w:vAlign w:val="center"/>
          </w:tcPr>
          <w:p>
            <w:pPr>
              <w:pStyle w:val="13"/>
              <w:rPr>
                <w:rFonts w:cs="Times New Roman"/>
                <w:sz w:val="20"/>
                <w:szCs w:val="20"/>
              </w:rPr>
            </w:pPr>
            <w:r>
              <w:rPr>
                <w:rFonts w:cs="Times New Roman"/>
                <w:sz w:val="20"/>
                <w:szCs w:val="20"/>
              </w:rPr>
              <w:t>150</w:t>
            </w:r>
          </w:p>
        </w:tc>
        <w:tc>
          <w:tcPr>
            <w:tcW w:w="834" w:type="pct"/>
            <w:shd w:val="clear" w:color="auto" w:fill="auto"/>
            <w:vAlign w:val="center"/>
          </w:tcPr>
          <w:p>
            <w:pPr>
              <w:pStyle w:val="13"/>
              <w:rPr>
                <w:rFonts w:cs="Times New Roman"/>
                <w:sz w:val="20"/>
                <w:szCs w:val="20"/>
              </w:rPr>
            </w:pPr>
            <w:r>
              <w:rPr>
                <w:rFonts w:cs="Times New Roman"/>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auto"/>
            <w:vAlign w:val="center"/>
          </w:tcPr>
          <w:p>
            <w:pPr>
              <w:pStyle w:val="13"/>
              <w:rPr>
                <w:rFonts w:cs="Times New Roman"/>
                <w:sz w:val="20"/>
                <w:szCs w:val="20"/>
              </w:rPr>
            </w:pPr>
            <w:r>
              <w:rPr>
                <w:rFonts w:cs="Times New Roman"/>
                <w:sz w:val="20"/>
                <w:szCs w:val="20"/>
              </w:rPr>
              <w:t>NB6</w:t>
            </w:r>
          </w:p>
        </w:tc>
        <w:tc>
          <w:tcPr>
            <w:tcW w:w="833" w:type="pct"/>
            <w:shd w:val="clear" w:color="auto" w:fill="auto"/>
            <w:vAlign w:val="center"/>
          </w:tcPr>
          <w:p>
            <w:pPr>
              <w:pStyle w:val="13"/>
              <w:rPr>
                <w:rFonts w:cs="Times New Roman"/>
                <w:sz w:val="20"/>
                <w:szCs w:val="20"/>
              </w:rPr>
            </w:pPr>
            <w:r>
              <w:rPr>
                <w:rFonts w:cs="Times New Roman"/>
                <w:sz w:val="20"/>
                <w:szCs w:val="20"/>
              </w:rPr>
              <w:t>180</w:t>
            </w:r>
          </w:p>
        </w:tc>
        <w:tc>
          <w:tcPr>
            <w:tcW w:w="833" w:type="pct"/>
            <w:shd w:val="clear" w:color="auto" w:fill="auto"/>
            <w:vAlign w:val="center"/>
          </w:tcPr>
          <w:p>
            <w:pPr>
              <w:pStyle w:val="13"/>
              <w:rPr>
                <w:rFonts w:cs="Times New Roman"/>
                <w:sz w:val="20"/>
                <w:szCs w:val="20"/>
              </w:rPr>
            </w:pPr>
            <w:r>
              <w:rPr>
                <w:rFonts w:cs="Times New Roman"/>
                <w:sz w:val="20"/>
                <w:szCs w:val="20"/>
              </w:rPr>
              <w:t>216</w:t>
            </w:r>
          </w:p>
        </w:tc>
        <w:tc>
          <w:tcPr>
            <w:tcW w:w="833" w:type="pct"/>
            <w:shd w:val="clear" w:color="auto" w:fill="auto"/>
            <w:vAlign w:val="center"/>
          </w:tcPr>
          <w:p>
            <w:pPr>
              <w:pStyle w:val="13"/>
              <w:rPr>
                <w:rFonts w:cs="Times New Roman"/>
                <w:sz w:val="20"/>
                <w:szCs w:val="20"/>
              </w:rPr>
            </w:pPr>
            <w:r>
              <w:rPr>
                <w:rFonts w:cs="Times New Roman"/>
                <w:sz w:val="20"/>
                <w:szCs w:val="20"/>
              </w:rPr>
              <w:t>NB30</w:t>
            </w:r>
          </w:p>
        </w:tc>
        <w:tc>
          <w:tcPr>
            <w:tcW w:w="833" w:type="pct"/>
            <w:shd w:val="clear" w:color="auto" w:fill="auto"/>
            <w:vAlign w:val="center"/>
          </w:tcPr>
          <w:p>
            <w:pPr>
              <w:pStyle w:val="13"/>
              <w:rPr>
                <w:rFonts w:cs="Times New Roman"/>
                <w:sz w:val="20"/>
                <w:szCs w:val="20"/>
              </w:rPr>
            </w:pPr>
            <w:r>
              <w:rPr>
                <w:rFonts w:cs="Times New Roman"/>
                <w:sz w:val="20"/>
                <w:szCs w:val="20"/>
              </w:rPr>
              <w:t>140</w:t>
            </w:r>
          </w:p>
        </w:tc>
        <w:tc>
          <w:tcPr>
            <w:tcW w:w="834" w:type="pct"/>
            <w:shd w:val="clear" w:color="auto" w:fill="auto"/>
            <w:vAlign w:val="center"/>
          </w:tcPr>
          <w:p>
            <w:pPr>
              <w:pStyle w:val="13"/>
              <w:rPr>
                <w:rFonts w:cs="Times New Roman"/>
                <w:sz w:val="20"/>
                <w:szCs w:val="20"/>
              </w:rPr>
            </w:pPr>
            <w:r>
              <w:rPr>
                <w:rFonts w:cs="Times New Roman"/>
                <w:sz w:val="20"/>
                <w:szCs w:val="20"/>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pct"/>
            <w:shd w:val="clear" w:color="auto" w:fill="auto"/>
            <w:vAlign w:val="center"/>
          </w:tcPr>
          <w:p>
            <w:pPr>
              <w:pStyle w:val="13"/>
              <w:rPr>
                <w:rFonts w:cs="Times New Roman"/>
                <w:sz w:val="20"/>
                <w:szCs w:val="20"/>
              </w:rPr>
            </w:pPr>
            <w:r>
              <w:rPr>
                <w:rFonts w:cs="Times New Roman"/>
                <w:sz w:val="20"/>
                <w:szCs w:val="20"/>
              </w:rPr>
              <w:t>NB7</w:t>
            </w:r>
          </w:p>
        </w:tc>
        <w:tc>
          <w:tcPr>
            <w:tcW w:w="833" w:type="pct"/>
            <w:shd w:val="clear" w:color="auto" w:fill="auto"/>
            <w:vAlign w:val="center"/>
          </w:tcPr>
          <w:p>
            <w:pPr>
              <w:pStyle w:val="13"/>
              <w:rPr>
                <w:rFonts w:cs="Times New Roman"/>
                <w:sz w:val="20"/>
                <w:szCs w:val="20"/>
              </w:rPr>
            </w:pPr>
            <w:r>
              <w:rPr>
                <w:rFonts w:cs="Times New Roman"/>
                <w:sz w:val="20"/>
                <w:szCs w:val="20"/>
              </w:rPr>
              <w:t>60</w:t>
            </w:r>
          </w:p>
        </w:tc>
        <w:tc>
          <w:tcPr>
            <w:tcW w:w="833" w:type="pct"/>
            <w:shd w:val="clear" w:color="auto" w:fill="auto"/>
            <w:vAlign w:val="center"/>
          </w:tcPr>
          <w:p>
            <w:pPr>
              <w:pStyle w:val="13"/>
              <w:rPr>
                <w:rFonts w:cs="Times New Roman"/>
                <w:sz w:val="20"/>
                <w:szCs w:val="20"/>
              </w:rPr>
            </w:pPr>
            <w:r>
              <w:rPr>
                <w:rFonts w:cs="Times New Roman"/>
                <w:sz w:val="20"/>
                <w:szCs w:val="20"/>
              </w:rPr>
              <w:t>72</w:t>
            </w:r>
          </w:p>
        </w:tc>
        <w:tc>
          <w:tcPr>
            <w:tcW w:w="833" w:type="pct"/>
            <w:shd w:val="clear" w:color="auto" w:fill="auto"/>
            <w:vAlign w:val="center"/>
          </w:tcPr>
          <w:p>
            <w:pPr>
              <w:pStyle w:val="13"/>
              <w:rPr>
                <w:rFonts w:cs="Times New Roman"/>
                <w:sz w:val="20"/>
                <w:szCs w:val="20"/>
              </w:rPr>
            </w:pPr>
            <w:r>
              <w:rPr>
                <w:rFonts w:cs="Times New Roman"/>
                <w:sz w:val="20"/>
                <w:szCs w:val="20"/>
              </w:rPr>
              <w:t>NB31</w:t>
            </w:r>
          </w:p>
        </w:tc>
        <w:tc>
          <w:tcPr>
            <w:tcW w:w="833" w:type="pct"/>
            <w:shd w:val="clear" w:color="auto" w:fill="auto"/>
            <w:vAlign w:val="center"/>
          </w:tcPr>
          <w:p>
            <w:pPr>
              <w:pStyle w:val="13"/>
              <w:rPr>
                <w:rFonts w:cs="Times New Roman"/>
                <w:sz w:val="20"/>
                <w:szCs w:val="20"/>
              </w:rPr>
            </w:pPr>
            <w:r>
              <w:rPr>
                <w:rFonts w:cs="Times New Roman"/>
                <w:sz w:val="20"/>
                <w:szCs w:val="20"/>
              </w:rPr>
              <w:t>0</w:t>
            </w:r>
          </w:p>
        </w:tc>
        <w:tc>
          <w:tcPr>
            <w:tcW w:w="834" w:type="pct"/>
            <w:shd w:val="clear" w:color="auto" w:fill="auto"/>
            <w:vAlign w:val="center"/>
          </w:tcPr>
          <w:p>
            <w:pPr>
              <w:pStyle w:val="13"/>
              <w:rPr>
                <w:rFonts w:cs="Times New Roman"/>
                <w:sz w:val="20"/>
                <w:szCs w:val="20"/>
              </w:rPr>
            </w:pPr>
            <w:r>
              <w:rPr>
                <w:rFonts w:cs="Times New Roman"/>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shd w:val="clear" w:color="auto" w:fill="auto"/>
            <w:vAlign w:val="center"/>
          </w:tcPr>
          <w:p>
            <w:pPr>
              <w:pStyle w:val="13"/>
              <w:rPr>
                <w:rFonts w:cs="Times New Roman"/>
                <w:sz w:val="20"/>
                <w:szCs w:val="20"/>
              </w:rPr>
            </w:pPr>
            <w:r>
              <w:rPr>
                <w:rFonts w:cs="Times New Roman"/>
                <w:sz w:val="20"/>
                <w:szCs w:val="20"/>
              </w:rPr>
              <w:t>NB8</w:t>
            </w:r>
          </w:p>
        </w:tc>
        <w:tc>
          <w:tcPr>
            <w:tcW w:w="833" w:type="pct"/>
            <w:shd w:val="clear" w:color="auto" w:fill="auto"/>
            <w:vAlign w:val="center"/>
          </w:tcPr>
          <w:p>
            <w:pPr>
              <w:pStyle w:val="13"/>
              <w:rPr>
                <w:rFonts w:cs="Times New Roman"/>
                <w:sz w:val="20"/>
                <w:szCs w:val="20"/>
              </w:rPr>
            </w:pPr>
            <w:r>
              <w:rPr>
                <w:rFonts w:cs="Times New Roman"/>
                <w:sz w:val="20"/>
                <w:szCs w:val="20"/>
              </w:rPr>
              <w:t>200</w:t>
            </w:r>
          </w:p>
        </w:tc>
        <w:tc>
          <w:tcPr>
            <w:tcW w:w="833" w:type="pct"/>
            <w:shd w:val="clear" w:color="auto" w:fill="auto"/>
            <w:vAlign w:val="center"/>
          </w:tcPr>
          <w:p>
            <w:pPr>
              <w:pStyle w:val="13"/>
              <w:rPr>
                <w:rFonts w:cs="Times New Roman"/>
                <w:sz w:val="20"/>
                <w:szCs w:val="20"/>
              </w:rPr>
            </w:pPr>
            <w:r>
              <w:rPr>
                <w:rFonts w:cs="Times New Roman"/>
                <w:sz w:val="20"/>
                <w:szCs w:val="20"/>
              </w:rPr>
              <w:t>240</w:t>
            </w:r>
          </w:p>
        </w:tc>
        <w:tc>
          <w:tcPr>
            <w:tcW w:w="833" w:type="pct"/>
            <w:shd w:val="clear" w:color="auto" w:fill="auto"/>
            <w:vAlign w:val="center"/>
          </w:tcPr>
          <w:p>
            <w:pPr>
              <w:pStyle w:val="13"/>
              <w:rPr>
                <w:rFonts w:cs="Times New Roman"/>
                <w:sz w:val="20"/>
                <w:szCs w:val="20"/>
              </w:rPr>
            </w:pPr>
            <w:r>
              <w:rPr>
                <w:rFonts w:cs="Times New Roman"/>
                <w:sz w:val="20"/>
                <w:szCs w:val="20"/>
              </w:rPr>
              <w:t>NB32</w:t>
            </w:r>
          </w:p>
        </w:tc>
        <w:tc>
          <w:tcPr>
            <w:tcW w:w="833" w:type="pct"/>
            <w:shd w:val="clear" w:color="auto" w:fill="auto"/>
            <w:vAlign w:val="center"/>
          </w:tcPr>
          <w:p>
            <w:pPr>
              <w:pStyle w:val="13"/>
              <w:rPr>
                <w:rFonts w:cs="Times New Roman"/>
                <w:sz w:val="20"/>
                <w:szCs w:val="20"/>
              </w:rPr>
            </w:pPr>
            <w:r>
              <w:rPr>
                <w:rFonts w:cs="Times New Roman"/>
                <w:sz w:val="20"/>
                <w:szCs w:val="20"/>
              </w:rPr>
              <w:t>0</w:t>
            </w:r>
          </w:p>
        </w:tc>
        <w:tc>
          <w:tcPr>
            <w:tcW w:w="834" w:type="pct"/>
            <w:shd w:val="clear" w:color="auto" w:fill="auto"/>
            <w:vAlign w:val="center"/>
          </w:tcPr>
          <w:p>
            <w:pPr>
              <w:pStyle w:val="13"/>
              <w:rPr>
                <w:rFonts w:cs="Times New Roman"/>
                <w:sz w:val="20"/>
                <w:szCs w:val="20"/>
              </w:rPr>
            </w:pPr>
            <w:r>
              <w:rPr>
                <w:rFonts w:cs="Times New Roman"/>
                <w:sz w:val="20"/>
                <w:szCs w:val="20"/>
              </w:rPr>
              <w:t>0</w:t>
            </w:r>
          </w:p>
        </w:tc>
      </w:tr>
    </w:tbl>
    <w:p>
      <w:pPr>
        <w:widowControl w:val="0"/>
        <w:kinsoku/>
        <w:topLinePunct/>
        <w:autoSpaceDE/>
        <w:autoSpaceDN/>
        <w:spacing w:before="120" w:beforeLines="50" w:line="360" w:lineRule="auto"/>
        <w:ind w:firstLine="468"/>
        <w:jc w:val="both"/>
        <w:rPr>
          <w:rFonts w:cs="Times New Roman"/>
          <w:color w:val="auto"/>
          <w:spacing w:val="-3"/>
          <w:szCs w:val="24"/>
          <w:lang w:eastAsia="zh-CN"/>
        </w:rPr>
      </w:pPr>
      <w:bookmarkStart w:id="34" w:name="_Hlk162601617"/>
      <w:r>
        <w:rPr>
          <w:rFonts w:cs="Times New Roman"/>
          <w:color w:val="auto"/>
          <w:spacing w:val="-3"/>
          <w:szCs w:val="24"/>
          <w:lang w:eastAsia="zh-CN"/>
        </w:rPr>
        <w:t>综上，本项目总占地3</w:t>
      </w:r>
      <w:r>
        <w:rPr>
          <w:rFonts w:hint="eastAsia" w:cs="Times New Roman"/>
          <w:color w:val="auto"/>
          <w:spacing w:val="-3"/>
          <w:szCs w:val="24"/>
          <w:lang w:eastAsia="zh-CN"/>
        </w:rPr>
        <w:t>.</w:t>
      </w:r>
      <w:r>
        <w:rPr>
          <w:rFonts w:cs="Times New Roman"/>
          <w:color w:val="auto"/>
          <w:spacing w:val="-3"/>
          <w:szCs w:val="24"/>
          <w:lang w:eastAsia="zh-CN"/>
        </w:rPr>
        <w:t>81</w:t>
      </w:r>
      <w:r>
        <w:rPr>
          <w:rFonts w:hint="eastAsia" w:cs="Times New Roman"/>
          <w:color w:val="auto"/>
          <w:spacing w:val="-3"/>
          <w:szCs w:val="24"/>
          <w:lang w:eastAsia="zh-CN"/>
        </w:rPr>
        <w:t>h</w:t>
      </w:r>
      <w:r>
        <w:rPr>
          <w:rFonts w:cs="Times New Roman"/>
          <w:color w:val="auto"/>
          <w:spacing w:val="-3"/>
          <w:szCs w:val="24"/>
          <w:lang w:eastAsia="zh-CN"/>
        </w:rPr>
        <w:t>m</w:t>
      </w:r>
      <w:r>
        <w:rPr>
          <w:rFonts w:cs="Times New Roman"/>
          <w:color w:val="auto"/>
          <w:spacing w:val="-3"/>
          <w:szCs w:val="24"/>
          <w:vertAlign w:val="superscript"/>
          <w:lang w:eastAsia="zh-CN"/>
        </w:rPr>
        <w:t>2</w:t>
      </w:r>
      <w:r>
        <w:rPr>
          <w:rFonts w:cs="Times New Roman"/>
          <w:color w:val="auto"/>
          <w:spacing w:val="-3"/>
          <w:szCs w:val="24"/>
          <w:lang w:eastAsia="zh-CN"/>
        </w:rPr>
        <w:t>，其中永久占地</w:t>
      </w:r>
      <w:r>
        <w:rPr>
          <w:rFonts w:hint="eastAsia" w:cs="Times New Roman"/>
          <w:color w:val="auto"/>
          <w:spacing w:val="-3"/>
          <w:szCs w:val="24"/>
          <w:lang w:eastAsia="zh-CN"/>
        </w:rPr>
        <w:t>0.</w:t>
      </w:r>
      <w:r>
        <w:rPr>
          <w:rFonts w:cs="Times New Roman"/>
          <w:color w:val="auto"/>
          <w:spacing w:val="-3"/>
          <w:szCs w:val="24"/>
          <w:lang w:eastAsia="zh-CN"/>
        </w:rPr>
        <w:t>95</w:t>
      </w:r>
      <w:r>
        <w:rPr>
          <w:rFonts w:hint="eastAsia" w:cs="Times New Roman"/>
          <w:color w:val="auto"/>
          <w:spacing w:val="-3"/>
          <w:szCs w:val="24"/>
          <w:lang w:eastAsia="zh-CN"/>
        </w:rPr>
        <w:t>h</w:t>
      </w:r>
      <w:r>
        <w:rPr>
          <w:rFonts w:cs="Times New Roman"/>
          <w:color w:val="auto"/>
          <w:spacing w:val="-3"/>
          <w:szCs w:val="24"/>
          <w:lang w:eastAsia="zh-CN"/>
        </w:rPr>
        <w:t>m</w:t>
      </w:r>
      <w:r>
        <w:rPr>
          <w:rFonts w:cs="Times New Roman"/>
          <w:color w:val="auto"/>
          <w:spacing w:val="-3"/>
          <w:szCs w:val="24"/>
          <w:vertAlign w:val="superscript"/>
          <w:lang w:eastAsia="zh-CN"/>
        </w:rPr>
        <w:t>2</w:t>
      </w:r>
      <w:r>
        <w:rPr>
          <w:rFonts w:cs="Times New Roman"/>
          <w:color w:val="auto"/>
          <w:spacing w:val="-3"/>
          <w:szCs w:val="24"/>
          <w:lang w:eastAsia="zh-CN"/>
        </w:rPr>
        <w:t>，临时占地2</w:t>
      </w:r>
      <w:r>
        <w:rPr>
          <w:rFonts w:hint="eastAsia" w:cs="Times New Roman"/>
          <w:color w:val="auto"/>
          <w:spacing w:val="-3"/>
          <w:szCs w:val="24"/>
          <w:lang w:eastAsia="zh-CN"/>
        </w:rPr>
        <w:t>.</w:t>
      </w:r>
      <w:r>
        <w:rPr>
          <w:rFonts w:cs="Times New Roman"/>
          <w:color w:val="auto"/>
          <w:spacing w:val="-3"/>
          <w:szCs w:val="24"/>
          <w:lang w:eastAsia="zh-CN"/>
        </w:rPr>
        <w:t>8</w:t>
      </w:r>
      <w:r>
        <w:rPr>
          <w:rFonts w:hint="eastAsia" w:cs="Times New Roman"/>
          <w:color w:val="auto"/>
          <w:spacing w:val="-3"/>
          <w:szCs w:val="24"/>
          <w:lang w:eastAsia="zh-CN"/>
        </w:rPr>
        <w:t>6h</w:t>
      </w:r>
      <w:r>
        <w:rPr>
          <w:rFonts w:cs="Times New Roman"/>
          <w:color w:val="auto"/>
          <w:spacing w:val="-3"/>
          <w:szCs w:val="24"/>
          <w:lang w:eastAsia="zh-CN"/>
        </w:rPr>
        <w:t>m</w:t>
      </w:r>
      <w:r>
        <w:rPr>
          <w:rFonts w:cs="Times New Roman"/>
          <w:color w:val="auto"/>
          <w:spacing w:val="-3"/>
          <w:szCs w:val="24"/>
          <w:vertAlign w:val="superscript"/>
          <w:lang w:eastAsia="zh-CN"/>
        </w:rPr>
        <w:t>2</w:t>
      </w:r>
      <w:r>
        <w:rPr>
          <w:rFonts w:cs="Times New Roman"/>
          <w:color w:val="auto"/>
          <w:spacing w:val="-3"/>
          <w:szCs w:val="24"/>
          <w:lang w:eastAsia="zh-CN"/>
        </w:rPr>
        <w:t>，占地情况见表2.3-3。</w:t>
      </w:r>
    </w:p>
    <w:p>
      <w:pPr>
        <w:widowControl w:val="0"/>
        <w:kinsoku/>
        <w:topLinePunct/>
        <w:autoSpaceDE/>
        <w:autoSpaceDN/>
        <w:spacing w:before="120" w:beforeLines="50" w:line="360" w:lineRule="auto"/>
        <w:ind w:firstLine="468"/>
        <w:jc w:val="center"/>
        <w:rPr>
          <w:rFonts w:cs="Times New Roman"/>
          <w:b/>
          <w:bCs/>
          <w:color w:val="auto"/>
          <w:spacing w:val="-3"/>
          <w:sz w:val="21"/>
          <w:lang w:eastAsia="zh-CN"/>
        </w:rPr>
      </w:pPr>
      <w:r>
        <w:rPr>
          <w:rFonts w:cs="Times New Roman"/>
          <w:color w:val="auto"/>
          <w:spacing w:val="-3"/>
          <w:szCs w:val="24"/>
          <w:lang w:eastAsia="zh-CN"/>
        </w:rPr>
        <w:br w:type="column"/>
      </w:r>
      <w:bookmarkEnd w:id="34"/>
      <w:r>
        <w:rPr>
          <w:rFonts w:cs="Times New Roman"/>
          <w:b/>
          <w:bCs/>
          <w:color w:val="auto"/>
          <w:spacing w:val="-3"/>
          <w:sz w:val="21"/>
          <w:lang w:eastAsia="zh-CN"/>
        </w:rPr>
        <w:t>表2.3-3 工程占地情况一览表（</w:t>
      </w:r>
      <w:r>
        <w:rPr>
          <w:rFonts w:hint="eastAsia" w:cs="Times New Roman"/>
          <w:b/>
          <w:bCs/>
          <w:color w:val="auto"/>
          <w:spacing w:val="-3"/>
          <w:sz w:val="21"/>
          <w:lang w:eastAsia="zh-CN"/>
        </w:rPr>
        <w:t>h</w:t>
      </w:r>
      <w:r>
        <w:rPr>
          <w:rFonts w:cs="Times New Roman"/>
          <w:b/>
          <w:bCs/>
          <w:color w:val="auto"/>
          <w:spacing w:val="-3"/>
          <w:sz w:val="21"/>
          <w:lang w:eastAsia="zh-CN"/>
        </w:rPr>
        <w:t>m</w:t>
      </w:r>
      <w:r>
        <w:rPr>
          <w:rFonts w:cs="Times New Roman"/>
          <w:b/>
          <w:bCs/>
          <w:color w:val="auto"/>
          <w:spacing w:val="-3"/>
          <w:sz w:val="21"/>
          <w:vertAlign w:val="superscript"/>
          <w:lang w:eastAsia="zh-CN"/>
        </w:rPr>
        <w:t>2</w:t>
      </w:r>
      <w:r>
        <w:rPr>
          <w:rFonts w:cs="Times New Roman"/>
          <w:b/>
          <w:bCs/>
          <w:color w:val="auto"/>
          <w:spacing w:val="-3"/>
          <w:sz w:val="21"/>
          <w:lang w:eastAsia="zh-CN"/>
        </w:rPr>
        <w:t>）</w:t>
      </w:r>
    </w:p>
    <w:tbl>
      <w:tblPr>
        <w:tblStyle w:val="26"/>
        <w:tblW w:w="50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745"/>
        <w:gridCol w:w="1556"/>
        <w:gridCol w:w="706"/>
        <w:gridCol w:w="710"/>
        <w:gridCol w:w="1275"/>
        <w:gridCol w:w="584"/>
        <w:gridCol w:w="708"/>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307" w:type="pct"/>
            <w:gridSpan w:val="3"/>
            <w:vMerge w:val="restart"/>
            <w:shd w:val="clear" w:color="auto" w:fill="auto"/>
            <w:noWrap/>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项目组成</w:t>
            </w:r>
          </w:p>
        </w:tc>
        <w:tc>
          <w:tcPr>
            <w:tcW w:w="1901" w:type="pct"/>
            <w:gridSpan w:val="4"/>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占地类型及面积</w:t>
            </w:r>
          </w:p>
        </w:tc>
        <w:tc>
          <w:tcPr>
            <w:tcW w:w="792" w:type="pct"/>
            <w:gridSpan w:val="2"/>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占地性质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307" w:type="pct"/>
            <w:gridSpan w:val="3"/>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b/>
                <w:bCs/>
                <w:snapToGrid/>
                <w:color w:val="auto"/>
                <w:sz w:val="20"/>
                <w:szCs w:val="20"/>
                <w:lang w:eastAsia="zh-CN"/>
              </w:rPr>
            </w:pPr>
          </w:p>
        </w:tc>
        <w:tc>
          <w:tcPr>
            <w:tcW w:w="41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耕地</w:t>
            </w:r>
          </w:p>
        </w:tc>
        <w:tc>
          <w:tcPr>
            <w:tcW w:w="412"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林地</w:t>
            </w:r>
          </w:p>
        </w:tc>
        <w:tc>
          <w:tcPr>
            <w:tcW w:w="74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公共管理与</w:t>
            </w:r>
          </w:p>
          <w:p>
            <w:pPr>
              <w:kinsoku/>
              <w:autoSpaceDE/>
              <w:autoSpaceDN/>
              <w:adjustRightInd/>
              <w:snapToGrid/>
              <w:spacing w:line="360" w:lineRule="exact"/>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公共服务用地</w:t>
            </w:r>
          </w:p>
        </w:tc>
        <w:tc>
          <w:tcPr>
            <w:tcW w:w="339"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合计</w:t>
            </w:r>
          </w:p>
        </w:tc>
        <w:tc>
          <w:tcPr>
            <w:tcW w:w="41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永久</w:t>
            </w:r>
          </w:p>
          <w:p>
            <w:pPr>
              <w:kinsoku/>
              <w:autoSpaceDE/>
              <w:autoSpaceDN/>
              <w:adjustRightInd/>
              <w:snapToGrid/>
              <w:spacing w:line="360" w:lineRule="exact"/>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占地</w:t>
            </w:r>
          </w:p>
        </w:tc>
        <w:tc>
          <w:tcPr>
            <w:tcW w:w="38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临时</w:t>
            </w:r>
          </w:p>
          <w:p>
            <w:pPr>
              <w:kinsoku/>
              <w:autoSpaceDE/>
              <w:autoSpaceDN/>
              <w:adjustRightInd/>
              <w:snapToGrid/>
              <w:spacing w:line="360" w:lineRule="exact"/>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pct"/>
            <w:vMerge w:val="restart"/>
            <w:shd w:val="clear" w:color="auto" w:fill="auto"/>
            <w:noWrap/>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变电站</w:t>
            </w:r>
          </w:p>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工程</w:t>
            </w:r>
          </w:p>
        </w:tc>
        <w:tc>
          <w:tcPr>
            <w:tcW w:w="1013"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玛瑙500kV变电站220kV间隔扩建工程</w:t>
            </w:r>
          </w:p>
        </w:tc>
        <w:tc>
          <w:tcPr>
            <w:tcW w:w="903"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玛瑙变电站</w:t>
            </w:r>
          </w:p>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站区</w:t>
            </w:r>
          </w:p>
        </w:tc>
        <w:tc>
          <w:tcPr>
            <w:tcW w:w="41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p>
        </w:tc>
        <w:tc>
          <w:tcPr>
            <w:tcW w:w="412"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p>
        </w:tc>
        <w:tc>
          <w:tcPr>
            <w:tcW w:w="74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0.01</w:t>
            </w:r>
          </w:p>
        </w:tc>
        <w:tc>
          <w:tcPr>
            <w:tcW w:w="339"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0.01</w:t>
            </w:r>
          </w:p>
        </w:tc>
        <w:tc>
          <w:tcPr>
            <w:tcW w:w="41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0</w:t>
            </w:r>
            <w:r>
              <w:rPr>
                <w:rFonts w:cs="Times New Roman"/>
                <w:snapToGrid/>
                <w:color w:val="auto"/>
                <w:sz w:val="20"/>
                <w:szCs w:val="20"/>
                <w:lang w:eastAsia="zh-CN"/>
              </w:rPr>
              <w:t>.003</w:t>
            </w:r>
          </w:p>
        </w:tc>
        <w:tc>
          <w:tcPr>
            <w:tcW w:w="38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1013"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芭蕉220kV变电站220kV间隔扩建工程</w:t>
            </w:r>
          </w:p>
        </w:tc>
        <w:tc>
          <w:tcPr>
            <w:tcW w:w="903"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玛瑙变电站</w:t>
            </w:r>
          </w:p>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站区</w:t>
            </w:r>
          </w:p>
        </w:tc>
        <w:tc>
          <w:tcPr>
            <w:tcW w:w="41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p>
        </w:tc>
        <w:tc>
          <w:tcPr>
            <w:tcW w:w="412"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p>
        </w:tc>
        <w:tc>
          <w:tcPr>
            <w:tcW w:w="74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0.03</w:t>
            </w:r>
          </w:p>
        </w:tc>
        <w:tc>
          <w:tcPr>
            <w:tcW w:w="339"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0.03</w:t>
            </w:r>
          </w:p>
        </w:tc>
        <w:tc>
          <w:tcPr>
            <w:tcW w:w="41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0</w:t>
            </w:r>
            <w:r>
              <w:rPr>
                <w:rFonts w:cs="Times New Roman"/>
                <w:snapToGrid/>
                <w:color w:val="auto"/>
                <w:sz w:val="20"/>
                <w:szCs w:val="20"/>
                <w:lang w:eastAsia="zh-CN"/>
              </w:rPr>
              <w:t>.003</w:t>
            </w:r>
          </w:p>
        </w:tc>
        <w:tc>
          <w:tcPr>
            <w:tcW w:w="38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1916" w:type="pct"/>
            <w:gridSpan w:val="2"/>
            <w:shd w:val="clear" w:color="auto" w:fill="auto"/>
            <w:noWrap/>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　</w:t>
            </w:r>
          </w:p>
        </w:tc>
        <w:tc>
          <w:tcPr>
            <w:tcW w:w="41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74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0.04</w:t>
            </w:r>
          </w:p>
        </w:tc>
        <w:tc>
          <w:tcPr>
            <w:tcW w:w="339"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0.04</w:t>
            </w:r>
            <w:r>
              <w:rPr>
                <w:rFonts w:cs="Times New Roman"/>
                <w:snapToGrid/>
                <w:color w:val="auto"/>
                <w:sz w:val="20"/>
                <w:szCs w:val="20"/>
                <w:lang w:eastAsia="zh-CN"/>
              </w:rPr>
              <w:t>　</w:t>
            </w:r>
          </w:p>
        </w:tc>
        <w:tc>
          <w:tcPr>
            <w:tcW w:w="41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0</w:t>
            </w:r>
            <w:r>
              <w:rPr>
                <w:rFonts w:cs="Times New Roman"/>
                <w:snapToGrid/>
                <w:color w:val="auto"/>
                <w:sz w:val="20"/>
                <w:szCs w:val="20"/>
                <w:lang w:eastAsia="zh-CN"/>
              </w:rPr>
              <w:t>.006</w:t>
            </w:r>
          </w:p>
        </w:tc>
        <w:tc>
          <w:tcPr>
            <w:tcW w:w="38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0.0</w:t>
            </w:r>
            <w:r>
              <w:rPr>
                <w:rFonts w:cs="Times New Roman"/>
                <w:snapToGrid/>
                <w:color w:val="auto"/>
                <w:sz w:val="20"/>
                <w:szCs w:val="20"/>
                <w:lang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pct"/>
            <w:vMerge w:val="restar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线路</w:t>
            </w:r>
          </w:p>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工程</w:t>
            </w:r>
          </w:p>
        </w:tc>
        <w:tc>
          <w:tcPr>
            <w:tcW w:w="1013" w:type="pct"/>
            <w:vMerge w:val="restar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玛瑙-正达凯220kV</w:t>
            </w:r>
          </w:p>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线路工程</w:t>
            </w:r>
          </w:p>
        </w:tc>
        <w:tc>
          <w:tcPr>
            <w:tcW w:w="903"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玛瑙塔基及</w:t>
            </w:r>
          </w:p>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临时施工区</w:t>
            </w:r>
          </w:p>
        </w:tc>
        <w:tc>
          <w:tcPr>
            <w:tcW w:w="41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0.03</w:t>
            </w:r>
          </w:p>
        </w:tc>
        <w:tc>
          <w:tcPr>
            <w:tcW w:w="412"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0.60</w:t>
            </w:r>
          </w:p>
        </w:tc>
        <w:tc>
          <w:tcPr>
            <w:tcW w:w="74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339"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0.63</w:t>
            </w:r>
          </w:p>
        </w:tc>
        <w:tc>
          <w:tcPr>
            <w:tcW w:w="41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0.26</w:t>
            </w:r>
          </w:p>
        </w:tc>
        <w:tc>
          <w:tcPr>
            <w:tcW w:w="38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1013"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903"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玛瑙施工便</w:t>
            </w:r>
          </w:p>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道区</w:t>
            </w:r>
          </w:p>
        </w:tc>
        <w:tc>
          <w:tcPr>
            <w:tcW w:w="41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0.40 </w:t>
            </w:r>
          </w:p>
        </w:tc>
        <w:tc>
          <w:tcPr>
            <w:tcW w:w="74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339"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0.40 </w:t>
            </w:r>
          </w:p>
        </w:tc>
        <w:tc>
          <w:tcPr>
            <w:tcW w:w="41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38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1013"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903"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玛瑙牵张场区</w:t>
            </w:r>
          </w:p>
        </w:tc>
        <w:tc>
          <w:tcPr>
            <w:tcW w:w="41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0.12</w:t>
            </w:r>
          </w:p>
        </w:tc>
        <w:tc>
          <w:tcPr>
            <w:tcW w:w="412"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74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339"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0.12 </w:t>
            </w:r>
          </w:p>
        </w:tc>
        <w:tc>
          <w:tcPr>
            <w:tcW w:w="41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38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1013"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903"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玛瑙跨越场区</w:t>
            </w:r>
          </w:p>
        </w:tc>
        <w:tc>
          <w:tcPr>
            <w:tcW w:w="41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0.02</w:t>
            </w:r>
          </w:p>
        </w:tc>
        <w:tc>
          <w:tcPr>
            <w:tcW w:w="412"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0.03</w:t>
            </w:r>
          </w:p>
        </w:tc>
        <w:tc>
          <w:tcPr>
            <w:tcW w:w="74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339"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0.05 </w:t>
            </w:r>
          </w:p>
        </w:tc>
        <w:tc>
          <w:tcPr>
            <w:tcW w:w="41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38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1013" w:type="pct"/>
            <w:vMerge w:val="restar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芭蕉-正达凯220kV线路工程</w:t>
            </w:r>
          </w:p>
        </w:tc>
        <w:tc>
          <w:tcPr>
            <w:tcW w:w="903"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芭蕉塔基及临时施工区</w:t>
            </w:r>
          </w:p>
        </w:tc>
        <w:tc>
          <w:tcPr>
            <w:tcW w:w="41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0.06 </w:t>
            </w:r>
          </w:p>
        </w:tc>
        <w:tc>
          <w:tcPr>
            <w:tcW w:w="412"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1.36</w:t>
            </w:r>
          </w:p>
        </w:tc>
        <w:tc>
          <w:tcPr>
            <w:tcW w:w="74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339"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1.42 </w:t>
            </w:r>
          </w:p>
        </w:tc>
        <w:tc>
          <w:tcPr>
            <w:tcW w:w="41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0.69</w:t>
            </w:r>
          </w:p>
        </w:tc>
        <w:tc>
          <w:tcPr>
            <w:tcW w:w="38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1013"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903"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芭蕉施工便</w:t>
            </w:r>
          </w:p>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道区</w:t>
            </w:r>
          </w:p>
        </w:tc>
        <w:tc>
          <w:tcPr>
            <w:tcW w:w="41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0.76</w:t>
            </w:r>
          </w:p>
        </w:tc>
        <w:tc>
          <w:tcPr>
            <w:tcW w:w="74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339"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0.76 </w:t>
            </w:r>
          </w:p>
        </w:tc>
        <w:tc>
          <w:tcPr>
            <w:tcW w:w="41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38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1013"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903"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芭蕉牵张场区</w:t>
            </w:r>
          </w:p>
        </w:tc>
        <w:tc>
          <w:tcPr>
            <w:tcW w:w="41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0.28</w:t>
            </w:r>
          </w:p>
        </w:tc>
        <w:tc>
          <w:tcPr>
            <w:tcW w:w="412"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74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339"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0.28 </w:t>
            </w:r>
          </w:p>
        </w:tc>
        <w:tc>
          <w:tcPr>
            <w:tcW w:w="41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38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1013"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903"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芭蕉跨越场区</w:t>
            </w:r>
          </w:p>
        </w:tc>
        <w:tc>
          <w:tcPr>
            <w:tcW w:w="41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0.07</w:t>
            </w:r>
          </w:p>
        </w:tc>
        <w:tc>
          <w:tcPr>
            <w:tcW w:w="74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339"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0.07 </w:t>
            </w:r>
          </w:p>
        </w:tc>
        <w:tc>
          <w:tcPr>
            <w:tcW w:w="41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38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1013"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903"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芭蕉电缆工程区</w:t>
            </w:r>
          </w:p>
        </w:tc>
        <w:tc>
          <w:tcPr>
            <w:tcW w:w="41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0.03</w:t>
            </w:r>
          </w:p>
        </w:tc>
        <w:tc>
          <w:tcPr>
            <w:tcW w:w="412"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74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0.01</w:t>
            </w:r>
          </w:p>
        </w:tc>
        <w:tc>
          <w:tcPr>
            <w:tcW w:w="339"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0.04 </w:t>
            </w:r>
          </w:p>
        </w:tc>
        <w:tc>
          <w:tcPr>
            <w:tcW w:w="41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　</w:t>
            </w:r>
          </w:p>
        </w:tc>
        <w:tc>
          <w:tcPr>
            <w:tcW w:w="38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pct"/>
            <w:vMerge w:val="continue"/>
            <w:vAlign w:val="center"/>
          </w:tcPr>
          <w:p>
            <w:pPr>
              <w:kinsoku/>
              <w:autoSpaceDE/>
              <w:autoSpaceDN/>
              <w:adjustRightInd/>
              <w:snapToGrid/>
              <w:spacing w:line="360" w:lineRule="exact"/>
              <w:ind w:left="-120" w:leftChars="-50" w:right="-120" w:rightChars="-50" w:firstLine="0" w:firstLineChars="0"/>
              <w:textAlignment w:val="auto"/>
              <w:rPr>
                <w:rFonts w:cs="Times New Roman"/>
                <w:snapToGrid/>
                <w:color w:val="auto"/>
                <w:sz w:val="20"/>
                <w:szCs w:val="20"/>
                <w:lang w:eastAsia="zh-CN"/>
              </w:rPr>
            </w:pPr>
          </w:p>
        </w:tc>
        <w:tc>
          <w:tcPr>
            <w:tcW w:w="1916" w:type="pct"/>
            <w:gridSpan w:val="2"/>
            <w:shd w:val="clear" w:color="auto" w:fill="auto"/>
            <w:noWrap/>
            <w:vAlign w:val="bottom"/>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　</w:t>
            </w:r>
          </w:p>
        </w:tc>
        <w:tc>
          <w:tcPr>
            <w:tcW w:w="41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0.54 </w:t>
            </w:r>
          </w:p>
        </w:tc>
        <w:tc>
          <w:tcPr>
            <w:tcW w:w="412"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3.22 </w:t>
            </w:r>
          </w:p>
        </w:tc>
        <w:tc>
          <w:tcPr>
            <w:tcW w:w="74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0.01 </w:t>
            </w:r>
          </w:p>
        </w:tc>
        <w:tc>
          <w:tcPr>
            <w:tcW w:w="339"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3.77 </w:t>
            </w:r>
          </w:p>
        </w:tc>
        <w:tc>
          <w:tcPr>
            <w:tcW w:w="41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0.95 </w:t>
            </w:r>
          </w:p>
        </w:tc>
        <w:tc>
          <w:tcPr>
            <w:tcW w:w="38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07" w:type="pct"/>
            <w:gridSpan w:val="3"/>
            <w:shd w:val="clear" w:color="auto" w:fill="auto"/>
            <w:noWrap/>
            <w:vAlign w:val="bottom"/>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合计</w:t>
            </w:r>
          </w:p>
        </w:tc>
        <w:tc>
          <w:tcPr>
            <w:tcW w:w="41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0.54 </w:t>
            </w:r>
          </w:p>
        </w:tc>
        <w:tc>
          <w:tcPr>
            <w:tcW w:w="412"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3.22</w:t>
            </w:r>
          </w:p>
        </w:tc>
        <w:tc>
          <w:tcPr>
            <w:tcW w:w="740"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0.05</w:t>
            </w:r>
          </w:p>
        </w:tc>
        <w:tc>
          <w:tcPr>
            <w:tcW w:w="339"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3.81</w:t>
            </w:r>
          </w:p>
        </w:tc>
        <w:tc>
          <w:tcPr>
            <w:tcW w:w="41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0.95</w:t>
            </w:r>
          </w:p>
        </w:tc>
        <w:tc>
          <w:tcPr>
            <w:tcW w:w="381" w:type="pct"/>
            <w:shd w:val="clear" w:color="auto" w:fill="auto"/>
            <w:vAlign w:val="center"/>
          </w:tcPr>
          <w:p>
            <w:pPr>
              <w:kinsoku/>
              <w:autoSpaceDE/>
              <w:autoSpaceDN/>
              <w:adjustRightInd/>
              <w:snapToGrid/>
              <w:spacing w:line="36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2.86</w:t>
            </w:r>
          </w:p>
        </w:tc>
      </w:tr>
    </w:tbl>
    <w:p>
      <w:pPr>
        <w:pStyle w:val="3"/>
        <w:widowControl w:val="0"/>
        <w:kinsoku/>
        <w:topLinePunct/>
        <w:autoSpaceDE/>
        <w:autoSpaceDN/>
        <w:spacing w:before="240" w:after="120" w:line="300" w:lineRule="auto"/>
        <w:ind w:firstLine="0" w:firstLineChars="0"/>
        <w:rPr>
          <w:rFonts w:ascii="Times New Roman" w:hAnsi="Times New Roman" w:eastAsia="仿宋_GB2312" w:cs="Times New Roman"/>
          <w:color w:val="auto"/>
          <w:sz w:val="30"/>
          <w:szCs w:val="30"/>
          <w:lang w:eastAsia="zh-CN"/>
        </w:rPr>
      </w:pPr>
      <w:bookmarkStart w:id="35" w:name="_Toc171533283"/>
      <w:r>
        <w:rPr>
          <w:rFonts w:ascii="Times New Roman" w:hAnsi="Times New Roman" w:eastAsia="仿宋_GB2312" w:cs="Times New Roman"/>
          <w:color w:val="auto"/>
          <w:sz w:val="30"/>
          <w:szCs w:val="30"/>
          <w:lang w:eastAsia="zh-CN"/>
        </w:rPr>
        <w:t>2.</w:t>
      </w:r>
      <w:r>
        <w:rPr>
          <w:rFonts w:hint="eastAsia" w:ascii="Times New Roman" w:hAnsi="Times New Roman" w:eastAsia="仿宋_GB2312" w:cs="Times New Roman"/>
          <w:color w:val="auto"/>
          <w:sz w:val="30"/>
          <w:szCs w:val="30"/>
          <w:lang w:eastAsia="zh-CN"/>
        </w:rPr>
        <w:t>5</w:t>
      </w:r>
      <w:r>
        <w:rPr>
          <w:rFonts w:ascii="Times New Roman" w:hAnsi="Times New Roman" w:eastAsia="仿宋_GB2312" w:cs="Times New Roman"/>
          <w:color w:val="auto"/>
          <w:sz w:val="30"/>
          <w:szCs w:val="30"/>
          <w:lang w:eastAsia="zh-CN"/>
        </w:rPr>
        <w:t xml:space="preserve"> 土石方平衡</w:t>
      </w:r>
      <w:bookmarkEnd w:id="35"/>
    </w:p>
    <w:p>
      <w:pPr>
        <w:pStyle w:val="4"/>
        <w:widowControl w:val="0"/>
        <w:kinsoku/>
        <w:topLinePunct/>
        <w:autoSpaceDE/>
        <w:autoSpaceDN/>
        <w:spacing w:before="120" w:after="120" w:line="300" w:lineRule="auto"/>
        <w:ind w:firstLine="0" w:firstLineChars="0"/>
        <w:rPr>
          <w:rFonts w:cs="Times New Roman"/>
          <w:color w:val="auto"/>
          <w:szCs w:val="24"/>
          <w:lang w:eastAsia="zh-CN"/>
        </w:rPr>
      </w:pPr>
      <w:r>
        <w:rPr>
          <w:rFonts w:cs="Times New Roman"/>
          <w:color w:val="auto"/>
          <w:sz w:val="28"/>
          <w:szCs w:val="28"/>
          <w:lang w:eastAsia="zh-CN"/>
        </w:rPr>
        <w:t>2.</w:t>
      </w:r>
      <w:r>
        <w:rPr>
          <w:rFonts w:hint="eastAsia" w:cs="Times New Roman"/>
          <w:color w:val="auto"/>
          <w:sz w:val="28"/>
          <w:szCs w:val="28"/>
          <w:lang w:eastAsia="zh-CN"/>
        </w:rPr>
        <w:t>5</w:t>
      </w:r>
      <w:r>
        <w:rPr>
          <w:rFonts w:cs="Times New Roman"/>
          <w:color w:val="auto"/>
          <w:sz w:val="28"/>
          <w:szCs w:val="28"/>
          <w:lang w:eastAsia="zh-CN"/>
        </w:rPr>
        <w:t>.1 表土剥离</w:t>
      </w:r>
      <w:r>
        <w:rPr>
          <w:rFonts w:hint="eastAsia" w:cs="Times New Roman"/>
          <w:color w:val="auto"/>
          <w:sz w:val="28"/>
          <w:szCs w:val="28"/>
          <w:lang w:eastAsia="zh-CN"/>
        </w:rPr>
        <w:t>利用</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（1）剥离原则及区域</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方案拟对工程占用的耕地、草地和林地的表土进行剥离，对施工扰动较轻的区域以及不涉及土石方开挖扰动的区域表土按少扰动、少破坏的原则可不进行剥高，主要剥离区域为线路塔基区等涉及土石方开挖的区域，施工结束后用于恢复植被或恢复土地生产力，可保护土壤资源、使土地可持续利用。</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塔基施工临时占地以临时占压为主、人员扰动为主；牵张场使用期较短，以临时占压为主；跨越施工临时占地使用时间较短，主要采用搭建钢管架进行跨越架设，周边以临时占压、人员扰动为主，施工便道除机械施工NA、1NA2需要表土剥离，其他占地区的以踩踏和伐疏枝条为主，扰动程度轻微；如果进行表土剥离，会对地表造成二次扰动，使其造成水土流失，因此以上区域在施工前不建议进行表土剥离，对地表主要采取铺垫隔离措施进行防护。</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（2）表土剥离</w:t>
      </w:r>
    </w:p>
    <w:p>
      <w:pPr>
        <w:widowControl w:val="0"/>
        <w:kinsoku/>
        <w:topLinePunct/>
        <w:autoSpaceDE/>
        <w:autoSpaceDN/>
        <w:spacing w:line="360" w:lineRule="auto"/>
        <w:ind w:firstLine="480"/>
        <w:jc w:val="both"/>
        <w:rPr>
          <w:color w:val="auto"/>
          <w:lang w:eastAsia="zh-CN"/>
        </w:rPr>
      </w:pPr>
      <w:r>
        <w:rPr>
          <w:rFonts w:hint="eastAsia"/>
          <w:color w:val="auto"/>
          <w:lang w:eastAsia="zh-CN"/>
        </w:rPr>
        <w:t>1）玛瑙500kV变电站220kV间隔扩建工程</w:t>
      </w:r>
      <w:r>
        <w:rPr>
          <w:rFonts w:hint="eastAsia"/>
          <w:color w:val="auto"/>
          <w:lang w:eastAsia="zh-CN"/>
        </w:rPr>
        <w:tab/>
      </w:r>
    </w:p>
    <w:p>
      <w:pPr>
        <w:widowControl w:val="0"/>
        <w:kinsoku/>
        <w:topLinePunct/>
        <w:autoSpaceDE/>
        <w:autoSpaceDN/>
        <w:spacing w:line="360" w:lineRule="auto"/>
        <w:ind w:firstLine="480"/>
        <w:jc w:val="both"/>
        <w:rPr>
          <w:color w:val="auto"/>
          <w:lang w:eastAsia="zh-CN"/>
        </w:rPr>
      </w:pPr>
      <w:r>
        <w:rPr>
          <w:rFonts w:hint="eastAsia"/>
          <w:color w:val="auto"/>
          <w:lang w:eastAsia="zh-CN"/>
        </w:rPr>
        <w:t>玛瑙变电站站区：</w:t>
      </w:r>
      <w:r>
        <w:rPr>
          <w:rFonts w:cs="Times New Roman"/>
          <w:color w:val="auto"/>
          <w:szCs w:val="24"/>
          <w:lang w:eastAsia="zh-CN"/>
        </w:rPr>
        <w:t>本期需在玛瑙500kV变电站预留场地扩建220kV出线间隔1个</w:t>
      </w:r>
      <w:r>
        <w:rPr>
          <w:rFonts w:hint="eastAsia" w:cs="Times New Roman"/>
          <w:color w:val="auto"/>
          <w:szCs w:val="24"/>
          <w:lang w:eastAsia="zh-CN"/>
        </w:rPr>
        <w:t>，</w:t>
      </w:r>
      <w:r>
        <w:rPr>
          <w:rFonts w:hint="eastAsia"/>
          <w:color w:val="auto"/>
          <w:lang w:eastAsia="zh-CN"/>
        </w:rPr>
        <w:t>间隔扩建部分永久占地面积为25m</w:t>
      </w:r>
      <w:r>
        <w:rPr>
          <w:rFonts w:hint="eastAsia"/>
          <w:color w:val="auto"/>
          <w:vertAlign w:val="superscript"/>
          <w:lang w:eastAsia="zh-CN"/>
        </w:rPr>
        <w:t>2</w:t>
      </w:r>
      <w:r>
        <w:rPr>
          <w:rFonts w:hint="eastAsia"/>
          <w:color w:val="auto"/>
          <w:lang w:eastAsia="zh-CN"/>
        </w:rPr>
        <w:t>（宽2.5m×长10m），占地为绿化带，需进行表土剥离，剥离厚度1</w:t>
      </w:r>
      <w:r>
        <w:rPr>
          <w:color w:val="auto"/>
          <w:lang w:eastAsia="zh-CN"/>
        </w:rPr>
        <w:t>0-30cm</w:t>
      </w:r>
      <w:r>
        <w:rPr>
          <w:rFonts w:hint="eastAsia"/>
          <w:color w:val="auto"/>
          <w:lang w:eastAsia="zh-CN"/>
        </w:rPr>
        <w:t>，剥离量5</w:t>
      </w:r>
      <w:r>
        <w:rPr>
          <w:color w:val="auto"/>
          <w:lang w:eastAsia="zh-CN"/>
        </w:rPr>
        <w:t>m</w:t>
      </w:r>
      <w:r>
        <w:rPr>
          <w:color w:val="auto"/>
          <w:vertAlign w:val="superscript"/>
          <w:lang w:eastAsia="zh-CN"/>
        </w:rPr>
        <w:t>3</w:t>
      </w:r>
      <w:r>
        <w:rPr>
          <w:rFonts w:hint="eastAsia"/>
          <w:color w:val="auto"/>
          <w:lang w:eastAsia="zh-CN"/>
        </w:rPr>
        <w:t>。</w:t>
      </w:r>
    </w:p>
    <w:p>
      <w:pPr>
        <w:widowControl w:val="0"/>
        <w:kinsoku/>
        <w:topLinePunct/>
        <w:autoSpaceDE/>
        <w:autoSpaceDN/>
        <w:spacing w:line="360" w:lineRule="auto"/>
        <w:ind w:firstLine="480"/>
        <w:jc w:val="both"/>
        <w:rPr>
          <w:color w:val="auto"/>
          <w:lang w:eastAsia="zh-CN"/>
        </w:rPr>
      </w:pPr>
      <w:r>
        <w:rPr>
          <w:rFonts w:hint="eastAsia"/>
          <w:color w:val="auto"/>
          <w:lang w:eastAsia="zh-CN"/>
        </w:rPr>
        <w:t>2）芭蕉220kV变电站220kV间隔扩建工程</w:t>
      </w:r>
    </w:p>
    <w:p>
      <w:pPr>
        <w:widowControl w:val="0"/>
        <w:kinsoku/>
        <w:topLinePunct/>
        <w:autoSpaceDE/>
        <w:autoSpaceDN/>
        <w:spacing w:line="360" w:lineRule="auto"/>
        <w:ind w:firstLine="480"/>
        <w:jc w:val="both"/>
        <w:rPr>
          <w:color w:val="auto"/>
          <w:lang w:eastAsia="zh-CN"/>
        </w:rPr>
      </w:pPr>
      <w:r>
        <w:rPr>
          <w:rFonts w:hint="eastAsia"/>
          <w:color w:val="auto"/>
          <w:lang w:eastAsia="zh-CN"/>
        </w:rPr>
        <w:t>芭蕉变电站站区：本期需在芭蕉220kV变电站预留场地扩建220kV出线间隔1个，永久占地面积为25m</w:t>
      </w:r>
      <w:r>
        <w:rPr>
          <w:rFonts w:hint="eastAsia"/>
          <w:color w:val="auto"/>
          <w:vertAlign w:val="superscript"/>
          <w:lang w:eastAsia="zh-CN"/>
        </w:rPr>
        <w:t>2</w:t>
      </w:r>
      <w:r>
        <w:rPr>
          <w:rFonts w:hint="eastAsia"/>
          <w:color w:val="auto"/>
          <w:lang w:eastAsia="zh-CN"/>
        </w:rPr>
        <w:t>（宽2.5m×长10m）；排水管90m，占地90m</w:t>
      </w:r>
      <w:r>
        <w:rPr>
          <w:rFonts w:hint="eastAsia"/>
          <w:color w:val="auto"/>
          <w:vertAlign w:val="superscript"/>
          <w:lang w:eastAsia="zh-CN"/>
        </w:rPr>
        <w:t>2</w:t>
      </w:r>
      <w:r>
        <w:rPr>
          <w:rFonts w:hint="eastAsia"/>
          <w:color w:val="auto"/>
          <w:lang w:eastAsia="zh-CN"/>
        </w:rPr>
        <w:t>（开挖宽度1m），占地为绿化带，需进行表土剥离，剥离厚度1</w:t>
      </w:r>
      <w:r>
        <w:rPr>
          <w:color w:val="auto"/>
          <w:lang w:eastAsia="zh-CN"/>
        </w:rPr>
        <w:t>0-30cm</w:t>
      </w:r>
      <w:r>
        <w:rPr>
          <w:rFonts w:hint="eastAsia"/>
          <w:color w:val="auto"/>
          <w:lang w:eastAsia="zh-CN"/>
        </w:rPr>
        <w:t>，剥离量</w:t>
      </w:r>
      <w:r>
        <w:rPr>
          <w:color w:val="auto"/>
          <w:lang w:eastAsia="zh-CN"/>
        </w:rPr>
        <w:t>23m</w:t>
      </w:r>
      <w:r>
        <w:rPr>
          <w:color w:val="auto"/>
          <w:vertAlign w:val="superscript"/>
          <w:lang w:eastAsia="zh-CN"/>
        </w:rPr>
        <w:t>3</w:t>
      </w:r>
      <w:r>
        <w:rPr>
          <w:rFonts w:hint="eastAsia"/>
          <w:color w:val="auto"/>
          <w:lang w:eastAsia="zh-CN"/>
        </w:rPr>
        <w:t>。</w:t>
      </w:r>
    </w:p>
    <w:p>
      <w:pPr>
        <w:widowControl w:val="0"/>
        <w:kinsoku/>
        <w:topLinePunct/>
        <w:autoSpaceDE/>
        <w:autoSpaceDN/>
        <w:spacing w:line="360" w:lineRule="auto"/>
        <w:ind w:firstLine="480"/>
        <w:jc w:val="both"/>
        <w:rPr>
          <w:color w:val="auto"/>
          <w:lang w:eastAsia="zh-CN"/>
        </w:rPr>
      </w:pPr>
      <w:r>
        <w:rPr>
          <w:rFonts w:hint="eastAsia"/>
          <w:color w:val="auto"/>
          <w:lang w:eastAsia="zh-CN"/>
        </w:rPr>
        <w:t>3）玛瑙-正达凯220kV线路工程</w:t>
      </w:r>
      <w:r>
        <w:rPr>
          <w:rFonts w:hint="eastAsia"/>
          <w:color w:val="auto"/>
          <w:lang w:eastAsia="zh-CN"/>
        </w:rPr>
        <w:tab/>
      </w:r>
    </w:p>
    <w:p>
      <w:pPr>
        <w:widowControl w:val="0"/>
        <w:kinsoku/>
        <w:topLinePunct/>
        <w:autoSpaceDE/>
        <w:autoSpaceDN/>
        <w:spacing w:line="360" w:lineRule="auto"/>
        <w:ind w:firstLine="480"/>
        <w:jc w:val="both"/>
        <w:rPr>
          <w:color w:val="auto"/>
          <w:lang w:eastAsia="zh-CN"/>
        </w:rPr>
      </w:pPr>
      <w:r>
        <w:rPr>
          <w:rFonts w:hint="eastAsia"/>
          <w:color w:val="auto"/>
          <w:lang w:eastAsia="zh-CN"/>
        </w:rPr>
        <w:t>玛瑙塔基及临时占地区：塔基及临时施工区占地包括塔基范围永久占地和配套塔基施工场地临时占地，永久占地面积为2588m</w:t>
      </w:r>
      <w:r>
        <w:rPr>
          <w:rFonts w:hint="eastAsia"/>
          <w:color w:val="auto"/>
          <w:vertAlign w:val="superscript"/>
          <w:lang w:eastAsia="zh-CN"/>
        </w:rPr>
        <w:t>2</w:t>
      </w:r>
      <w:r>
        <w:rPr>
          <w:rFonts w:hint="eastAsia"/>
          <w:color w:val="auto"/>
          <w:lang w:eastAsia="zh-CN"/>
        </w:rPr>
        <w:t>，需进行表土剥离，剥离厚度1</w:t>
      </w:r>
      <w:r>
        <w:rPr>
          <w:color w:val="auto"/>
          <w:lang w:eastAsia="zh-CN"/>
        </w:rPr>
        <w:t>0-30cm</w:t>
      </w:r>
      <w:r>
        <w:rPr>
          <w:rFonts w:hint="eastAsia"/>
          <w:color w:val="auto"/>
          <w:lang w:eastAsia="zh-CN"/>
        </w:rPr>
        <w:t>，剥离量</w:t>
      </w:r>
      <w:r>
        <w:rPr>
          <w:color w:val="auto"/>
          <w:lang w:eastAsia="zh-CN"/>
        </w:rPr>
        <w:t>388m</w:t>
      </w:r>
      <w:r>
        <w:rPr>
          <w:color w:val="auto"/>
          <w:vertAlign w:val="superscript"/>
          <w:lang w:eastAsia="zh-CN"/>
        </w:rPr>
        <w:t>3</w:t>
      </w:r>
      <w:r>
        <w:rPr>
          <w:rFonts w:hint="eastAsia"/>
          <w:color w:val="auto"/>
          <w:lang w:eastAsia="zh-CN"/>
        </w:rPr>
        <w:t>。</w:t>
      </w:r>
    </w:p>
    <w:p>
      <w:pPr>
        <w:widowControl w:val="0"/>
        <w:kinsoku/>
        <w:topLinePunct/>
        <w:autoSpaceDE/>
        <w:autoSpaceDN/>
        <w:spacing w:line="360" w:lineRule="auto"/>
        <w:ind w:firstLine="480"/>
        <w:jc w:val="both"/>
        <w:rPr>
          <w:color w:val="auto"/>
          <w:lang w:eastAsia="zh-CN"/>
        </w:rPr>
      </w:pPr>
      <w:r>
        <w:rPr>
          <w:rFonts w:hint="eastAsia"/>
          <w:color w:val="auto"/>
          <w:lang w:eastAsia="zh-CN"/>
        </w:rPr>
        <w:t>玛瑙施工便道区：NA1、NA2机械施工需修建施工便道，新建施工便道160m，宽度3m，临时占地480m</w:t>
      </w:r>
      <w:r>
        <w:rPr>
          <w:rFonts w:hint="eastAsia"/>
          <w:color w:val="auto"/>
          <w:vertAlign w:val="superscript"/>
          <w:lang w:eastAsia="zh-CN"/>
        </w:rPr>
        <w:t>2</w:t>
      </w:r>
      <w:r>
        <w:rPr>
          <w:rFonts w:hint="eastAsia"/>
          <w:color w:val="auto"/>
          <w:lang w:eastAsia="zh-CN"/>
        </w:rPr>
        <w:t>，需进行表土剥离，剥离厚度</w:t>
      </w:r>
      <w:r>
        <w:rPr>
          <w:color w:val="auto"/>
          <w:lang w:eastAsia="zh-CN"/>
        </w:rPr>
        <w:t>30cm</w:t>
      </w:r>
      <w:r>
        <w:rPr>
          <w:rFonts w:hint="eastAsia"/>
          <w:color w:val="auto"/>
          <w:lang w:eastAsia="zh-CN"/>
        </w:rPr>
        <w:t>，剥离量</w:t>
      </w:r>
      <w:r>
        <w:rPr>
          <w:color w:val="auto"/>
          <w:lang w:eastAsia="zh-CN"/>
        </w:rPr>
        <w:t>144m</w:t>
      </w:r>
      <w:r>
        <w:rPr>
          <w:color w:val="auto"/>
          <w:vertAlign w:val="superscript"/>
          <w:lang w:eastAsia="zh-CN"/>
        </w:rPr>
        <w:t>3</w:t>
      </w:r>
      <w:r>
        <w:rPr>
          <w:rFonts w:hint="eastAsia"/>
          <w:color w:val="auto"/>
          <w:lang w:eastAsia="zh-CN"/>
        </w:rPr>
        <w:t>。</w:t>
      </w:r>
    </w:p>
    <w:p>
      <w:pPr>
        <w:widowControl w:val="0"/>
        <w:kinsoku/>
        <w:topLinePunct/>
        <w:autoSpaceDE/>
        <w:autoSpaceDN/>
        <w:spacing w:line="360" w:lineRule="auto"/>
        <w:ind w:firstLine="480"/>
        <w:jc w:val="both"/>
        <w:rPr>
          <w:color w:val="auto"/>
          <w:lang w:eastAsia="zh-CN"/>
        </w:rPr>
      </w:pPr>
      <w:r>
        <w:rPr>
          <w:rFonts w:hint="eastAsia"/>
          <w:color w:val="auto"/>
          <w:lang w:eastAsia="zh-CN"/>
        </w:rPr>
        <w:t>4）芭蕉-正达凯220kV线路工程</w:t>
      </w:r>
      <w:r>
        <w:rPr>
          <w:rFonts w:hint="eastAsia"/>
          <w:color w:val="auto"/>
          <w:lang w:eastAsia="zh-CN"/>
        </w:rPr>
        <w:tab/>
      </w:r>
    </w:p>
    <w:p>
      <w:pPr>
        <w:widowControl w:val="0"/>
        <w:kinsoku/>
        <w:topLinePunct/>
        <w:autoSpaceDE/>
        <w:autoSpaceDN/>
        <w:spacing w:line="360" w:lineRule="auto"/>
        <w:ind w:firstLine="480"/>
        <w:jc w:val="both"/>
        <w:rPr>
          <w:color w:val="auto"/>
          <w:lang w:eastAsia="zh-CN"/>
        </w:rPr>
      </w:pPr>
      <w:r>
        <w:rPr>
          <w:rFonts w:hint="eastAsia"/>
          <w:color w:val="auto"/>
          <w:lang w:eastAsia="zh-CN"/>
        </w:rPr>
        <w:t>芭蕉塔基及临时占地区：塔基及临时施工区占地包括塔基范围永久占地和配套塔基施工场地临时占地，永久占地面积为</w:t>
      </w:r>
      <w:r>
        <w:rPr>
          <w:color w:val="auto"/>
          <w:lang w:eastAsia="zh-CN"/>
        </w:rPr>
        <w:t>6932</w:t>
      </w:r>
      <w:r>
        <w:rPr>
          <w:rFonts w:hint="eastAsia"/>
          <w:color w:val="auto"/>
          <w:lang w:eastAsia="zh-CN"/>
        </w:rPr>
        <w:t>m</w:t>
      </w:r>
      <w:r>
        <w:rPr>
          <w:rFonts w:hint="eastAsia"/>
          <w:color w:val="auto"/>
          <w:vertAlign w:val="superscript"/>
          <w:lang w:eastAsia="zh-CN"/>
        </w:rPr>
        <w:t>2</w:t>
      </w:r>
      <w:r>
        <w:rPr>
          <w:rFonts w:hint="eastAsia"/>
          <w:color w:val="auto"/>
          <w:lang w:eastAsia="zh-CN"/>
        </w:rPr>
        <w:t>，需进行表土剥离，剥离厚度1</w:t>
      </w:r>
      <w:r>
        <w:rPr>
          <w:color w:val="auto"/>
          <w:lang w:eastAsia="zh-CN"/>
        </w:rPr>
        <w:t>0-30cm</w:t>
      </w:r>
      <w:r>
        <w:rPr>
          <w:rFonts w:hint="eastAsia"/>
          <w:color w:val="auto"/>
          <w:lang w:eastAsia="zh-CN"/>
        </w:rPr>
        <w:t>，剥离量</w:t>
      </w:r>
      <w:r>
        <w:rPr>
          <w:color w:val="auto"/>
          <w:lang w:eastAsia="zh-CN"/>
        </w:rPr>
        <w:t>1040m</w:t>
      </w:r>
      <w:r>
        <w:rPr>
          <w:color w:val="auto"/>
          <w:vertAlign w:val="superscript"/>
          <w:lang w:eastAsia="zh-CN"/>
        </w:rPr>
        <w:t>3</w:t>
      </w:r>
      <w:r>
        <w:rPr>
          <w:rFonts w:hint="eastAsia"/>
          <w:color w:val="auto"/>
          <w:lang w:eastAsia="zh-CN"/>
        </w:rPr>
        <w:t>。</w:t>
      </w:r>
    </w:p>
    <w:p>
      <w:pPr>
        <w:widowControl w:val="0"/>
        <w:kinsoku/>
        <w:topLinePunct/>
        <w:autoSpaceDE/>
        <w:autoSpaceDN/>
        <w:spacing w:line="360" w:lineRule="auto"/>
        <w:ind w:firstLine="480"/>
        <w:jc w:val="both"/>
        <w:rPr>
          <w:color w:val="auto"/>
          <w:lang w:eastAsia="zh-CN"/>
        </w:rPr>
      </w:pPr>
      <w:r>
        <w:rPr>
          <w:rFonts w:hint="eastAsia"/>
          <w:color w:val="auto"/>
          <w:lang w:eastAsia="zh-CN"/>
        </w:rPr>
        <w:t>芭蕉电缆工程区：</w:t>
      </w:r>
    </w:p>
    <w:p>
      <w:pPr>
        <w:widowControl w:val="0"/>
        <w:kinsoku/>
        <w:topLinePunct/>
        <w:autoSpaceDE/>
        <w:autoSpaceDN/>
        <w:spacing w:line="360" w:lineRule="auto"/>
        <w:ind w:firstLine="480"/>
        <w:jc w:val="both"/>
        <w:rPr>
          <w:color w:val="auto"/>
          <w:lang w:eastAsia="zh-CN"/>
        </w:rPr>
      </w:pPr>
      <w:r>
        <w:rPr>
          <w:rFonts w:hint="eastAsia"/>
          <w:color w:val="auto"/>
          <w:lang w:eastAsia="zh-CN"/>
        </w:rPr>
        <w:t>芭蕉-正达凯220kV线路工程电缆工程全长60m，临时占地360m</w:t>
      </w:r>
      <w:r>
        <w:rPr>
          <w:rFonts w:hint="eastAsia"/>
          <w:color w:val="auto"/>
          <w:vertAlign w:val="superscript"/>
          <w:lang w:eastAsia="zh-CN"/>
        </w:rPr>
        <w:t>2</w:t>
      </w:r>
      <w:r>
        <w:rPr>
          <w:rFonts w:hint="eastAsia"/>
          <w:color w:val="auto"/>
          <w:lang w:eastAsia="zh-CN"/>
        </w:rPr>
        <w:t>。其中120m</w:t>
      </w:r>
      <w:r>
        <w:rPr>
          <w:rFonts w:hint="eastAsia"/>
          <w:color w:val="auto"/>
          <w:vertAlign w:val="superscript"/>
          <w:lang w:eastAsia="zh-CN"/>
        </w:rPr>
        <w:t>2</w:t>
      </w:r>
      <w:r>
        <w:rPr>
          <w:rFonts w:hint="eastAsia"/>
          <w:color w:val="auto"/>
          <w:lang w:eastAsia="zh-CN"/>
        </w:rPr>
        <w:t>占地类型为已建变电站的公共管理与公共服务用地中的道路，不进行表土剥离，240m</w:t>
      </w:r>
      <w:r>
        <w:rPr>
          <w:rFonts w:hint="eastAsia"/>
          <w:color w:val="auto"/>
          <w:vertAlign w:val="superscript"/>
          <w:lang w:eastAsia="zh-CN"/>
        </w:rPr>
        <w:t>2</w:t>
      </w:r>
      <w:r>
        <w:rPr>
          <w:rFonts w:hint="eastAsia"/>
          <w:color w:val="auto"/>
          <w:lang w:eastAsia="zh-CN"/>
        </w:rPr>
        <w:t>为耕地，需进行表土剥离，剥离厚度3</w:t>
      </w:r>
      <w:r>
        <w:rPr>
          <w:color w:val="auto"/>
          <w:lang w:eastAsia="zh-CN"/>
        </w:rPr>
        <w:t>0cm</w:t>
      </w:r>
      <w:r>
        <w:rPr>
          <w:rFonts w:hint="eastAsia"/>
          <w:color w:val="auto"/>
          <w:lang w:eastAsia="zh-CN"/>
        </w:rPr>
        <w:t>，剥离量</w:t>
      </w:r>
      <w:r>
        <w:rPr>
          <w:color w:val="auto"/>
          <w:lang w:eastAsia="zh-CN"/>
        </w:rPr>
        <w:t>72m</w:t>
      </w:r>
      <w:r>
        <w:rPr>
          <w:color w:val="auto"/>
          <w:vertAlign w:val="superscript"/>
          <w:lang w:eastAsia="zh-CN"/>
        </w:rPr>
        <w:t>3</w:t>
      </w:r>
      <w:r>
        <w:rPr>
          <w:rFonts w:hint="eastAsia"/>
          <w:color w:val="auto"/>
          <w:lang w:eastAsia="zh-CN"/>
        </w:rPr>
        <w:t>。</w:t>
      </w:r>
    </w:p>
    <w:p>
      <w:pPr>
        <w:widowControl w:val="0"/>
        <w:kinsoku/>
        <w:topLinePunct/>
        <w:autoSpaceDE/>
        <w:autoSpaceDN/>
        <w:spacing w:line="360" w:lineRule="auto"/>
        <w:ind w:firstLine="480"/>
        <w:jc w:val="both"/>
        <w:rPr>
          <w:color w:val="auto"/>
          <w:lang w:eastAsia="zh-CN"/>
        </w:rPr>
      </w:pPr>
      <w:r>
        <w:rPr>
          <w:rFonts w:hint="eastAsia"/>
          <w:color w:val="auto"/>
          <w:lang w:eastAsia="zh-CN"/>
        </w:rPr>
        <w:t>经统计，本项目共剥离表土面积1</w:t>
      </w:r>
      <w:r>
        <w:rPr>
          <w:color w:val="auto"/>
          <w:lang w:eastAsia="zh-CN"/>
        </w:rPr>
        <w:t>0380m</w:t>
      </w:r>
      <w:r>
        <w:rPr>
          <w:color w:val="auto"/>
          <w:vertAlign w:val="superscript"/>
          <w:lang w:eastAsia="zh-CN"/>
        </w:rPr>
        <w:t>2</w:t>
      </w:r>
      <w:r>
        <w:rPr>
          <w:rFonts w:hint="eastAsia"/>
          <w:color w:val="auto"/>
          <w:lang w:eastAsia="zh-CN"/>
        </w:rPr>
        <w:t>，表土量1</w:t>
      </w:r>
      <w:r>
        <w:rPr>
          <w:color w:val="auto"/>
          <w:lang w:eastAsia="zh-CN"/>
        </w:rPr>
        <w:t>672m</w:t>
      </w:r>
      <w:r>
        <w:rPr>
          <w:color w:val="auto"/>
          <w:vertAlign w:val="superscript"/>
          <w:lang w:eastAsia="zh-CN"/>
        </w:rPr>
        <w:t>3</w:t>
      </w:r>
      <w:r>
        <w:rPr>
          <w:rFonts w:hint="eastAsia"/>
          <w:color w:val="auto"/>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（3）表土保存及保护</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工程剥离表土施工期结束后回覆，临时堆存即可(不超过1.0年)。本方案考虑按就近集中统一堆放原则，变电站剥离表土集中堆放在站外施工临时场地内，线路各塔基表土剥离的区域剥离表土尽量堆放于塔基临时施工区域内，减少运输和新增扰动占地。表土堆存期间，因地制宜设置临时拦挡措施、临时覆盖措施等。</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w:t>
      </w:r>
      <w:r>
        <w:rPr>
          <w:rFonts w:hint="eastAsia" w:cs="Times New Roman"/>
          <w:color w:val="auto"/>
          <w:szCs w:val="24"/>
          <w:lang w:eastAsia="zh-CN"/>
        </w:rPr>
        <w:t>4</w:t>
      </w:r>
      <w:r>
        <w:rPr>
          <w:rFonts w:cs="Times New Roman"/>
          <w:color w:val="auto"/>
          <w:szCs w:val="24"/>
          <w:lang w:eastAsia="zh-CN"/>
        </w:rPr>
        <w:t>）表土</w:t>
      </w:r>
      <w:r>
        <w:rPr>
          <w:rFonts w:hint="eastAsia" w:cs="Times New Roman"/>
          <w:color w:val="auto"/>
          <w:szCs w:val="24"/>
          <w:lang w:eastAsia="zh-CN"/>
        </w:rPr>
        <w:t>利用</w:t>
      </w:r>
    </w:p>
    <w:p>
      <w:pPr>
        <w:spacing w:line="480" w:lineRule="exact"/>
        <w:ind w:firstLine="480"/>
        <w:rPr>
          <w:color w:val="auto"/>
          <w:lang w:eastAsia="zh-CN"/>
        </w:rPr>
      </w:pPr>
      <w:r>
        <w:rPr>
          <w:color w:val="auto"/>
          <w:lang w:eastAsia="zh-CN"/>
        </w:rPr>
        <w:t>本</w:t>
      </w:r>
      <w:r>
        <w:rPr>
          <w:rFonts w:cs="Times New Roman"/>
          <w:color w:val="auto"/>
          <w:szCs w:val="24"/>
          <w:lang w:eastAsia="zh-CN"/>
        </w:rPr>
        <w:t>工程</w:t>
      </w:r>
      <w:r>
        <w:rPr>
          <w:color w:val="auto"/>
          <w:lang w:eastAsia="zh-CN"/>
        </w:rPr>
        <w:t>后期将实施</w:t>
      </w:r>
      <w:r>
        <w:rPr>
          <w:rFonts w:hint="eastAsia"/>
          <w:color w:val="auto"/>
          <w:lang w:eastAsia="zh-CN"/>
        </w:rPr>
        <w:t>迹地</w:t>
      </w:r>
      <w:r>
        <w:rPr>
          <w:color w:val="auto"/>
          <w:lang w:eastAsia="zh-CN"/>
        </w:rPr>
        <w:t>绿化工程，为创造植物生长的立地条件，绿化区域回覆表土，</w:t>
      </w:r>
      <w:r>
        <w:rPr>
          <w:rFonts w:hint="eastAsia"/>
          <w:color w:val="auto"/>
          <w:lang w:eastAsia="zh-CN"/>
        </w:rPr>
        <w:t>各区域按剥离表土原位回填，耕地也按原剥离厚度、剥离量原位回填，</w:t>
      </w:r>
      <w:r>
        <w:rPr>
          <w:color w:val="auto"/>
          <w:lang w:eastAsia="zh-CN"/>
        </w:rPr>
        <w:t>经</w:t>
      </w:r>
      <w:r>
        <w:rPr>
          <w:rFonts w:hint="eastAsia"/>
          <w:color w:val="auto"/>
          <w:lang w:eastAsia="zh-CN"/>
        </w:rPr>
        <w:t>统</w:t>
      </w:r>
      <w:r>
        <w:rPr>
          <w:color w:val="auto"/>
          <w:lang w:eastAsia="zh-CN"/>
        </w:rPr>
        <w:t>计，共须回覆表土1672m</w:t>
      </w:r>
      <w:r>
        <w:rPr>
          <w:color w:val="auto"/>
          <w:vertAlign w:val="superscript"/>
          <w:lang w:eastAsia="zh-CN"/>
        </w:rPr>
        <w:t>3</w:t>
      </w:r>
      <w:r>
        <w:rPr>
          <w:color w:val="auto"/>
          <w:lang w:eastAsia="zh-CN"/>
        </w:rPr>
        <w:t>。</w:t>
      </w:r>
    </w:p>
    <w:p>
      <w:pPr>
        <w:spacing w:line="480" w:lineRule="exact"/>
        <w:ind w:firstLine="480"/>
        <w:rPr>
          <w:rFonts w:cs="Times New Roman"/>
          <w:color w:val="auto"/>
          <w:szCs w:val="24"/>
          <w:lang w:eastAsia="zh-CN"/>
        </w:rPr>
      </w:pPr>
      <w:r>
        <w:rPr>
          <w:color w:val="auto"/>
          <w:lang w:eastAsia="zh-CN"/>
        </w:rPr>
        <w:t>本</w:t>
      </w:r>
      <w:r>
        <w:rPr>
          <w:rFonts w:cs="Times New Roman"/>
          <w:color w:val="auto"/>
          <w:szCs w:val="24"/>
          <w:lang w:eastAsia="zh-CN"/>
        </w:rPr>
        <w:t>工程</w:t>
      </w:r>
      <w:r>
        <w:rPr>
          <w:color w:val="auto"/>
          <w:lang w:eastAsia="zh-CN"/>
        </w:rPr>
        <w:t>表土平衡分析见表2</w:t>
      </w:r>
      <w:r>
        <w:rPr>
          <w:rFonts w:hint="eastAsia"/>
          <w:color w:val="auto"/>
          <w:lang w:eastAsia="zh-CN"/>
        </w:rPr>
        <w:t>.4</w:t>
      </w:r>
      <w:r>
        <w:rPr>
          <w:color w:val="auto"/>
          <w:lang w:eastAsia="zh-CN"/>
        </w:rPr>
        <w:t>-</w:t>
      </w:r>
      <w:r>
        <w:rPr>
          <w:rFonts w:hint="eastAsia"/>
          <w:color w:val="auto"/>
          <w:lang w:eastAsia="zh-CN"/>
        </w:rPr>
        <w:t>1</w:t>
      </w:r>
      <w:r>
        <w:rPr>
          <w:color w:val="auto"/>
          <w:lang w:eastAsia="zh-CN"/>
        </w:rPr>
        <w:t>。</w:t>
      </w:r>
    </w:p>
    <w:p>
      <w:pPr>
        <w:widowControl w:val="0"/>
        <w:kinsoku/>
        <w:topLinePunct/>
        <w:autoSpaceDE/>
        <w:autoSpaceDN/>
        <w:spacing w:line="360" w:lineRule="auto"/>
        <w:ind w:firstLine="480"/>
        <w:jc w:val="both"/>
        <w:rPr>
          <w:rFonts w:cs="Times New Roman"/>
          <w:color w:val="auto"/>
          <w:szCs w:val="24"/>
          <w:lang w:eastAsia="zh-CN"/>
        </w:rPr>
      </w:pPr>
    </w:p>
    <w:p>
      <w:pPr>
        <w:widowControl w:val="0"/>
        <w:kinsoku/>
        <w:topLinePunct/>
        <w:autoSpaceDE/>
        <w:autoSpaceDN/>
        <w:spacing w:line="360" w:lineRule="auto"/>
        <w:ind w:firstLine="480"/>
        <w:jc w:val="both"/>
        <w:rPr>
          <w:rFonts w:cs="Times New Roman"/>
          <w:color w:val="auto"/>
          <w:szCs w:val="24"/>
          <w:lang w:eastAsia="zh-CN"/>
        </w:rPr>
        <w:sectPr>
          <w:pgSz w:w="11906" w:h="16838"/>
          <w:pgMar w:top="1440" w:right="1797" w:bottom="1440" w:left="1797" w:header="851" w:footer="992" w:gutter="0"/>
          <w:cols w:space="425" w:num="1"/>
          <w:docGrid w:linePitch="312" w:charSpace="0"/>
        </w:sectPr>
      </w:pPr>
    </w:p>
    <w:p>
      <w:pPr>
        <w:widowControl w:val="0"/>
        <w:kinsoku/>
        <w:topLinePunct/>
        <w:autoSpaceDE/>
        <w:autoSpaceDN/>
        <w:spacing w:line="300" w:lineRule="auto"/>
        <w:ind w:firstLine="0" w:firstLineChars="0"/>
        <w:jc w:val="center"/>
        <w:rPr>
          <w:rFonts w:cs="Times New Roman"/>
          <w:b/>
          <w:bCs/>
          <w:color w:val="auto"/>
          <w:sz w:val="21"/>
          <w:lang w:eastAsia="zh-CN"/>
        </w:rPr>
      </w:pPr>
      <w:r>
        <w:rPr>
          <w:rFonts w:cs="Times New Roman"/>
          <w:b/>
          <w:bCs/>
          <w:color w:val="auto"/>
          <w:sz w:val="21"/>
          <w:lang w:eastAsia="zh-CN"/>
        </w:rPr>
        <w:t>表2.4-1 表土平衡一览表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2102"/>
        <w:gridCol w:w="1141"/>
        <w:gridCol w:w="509"/>
        <w:gridCol w:w="697"/>
        <w:gridCol w:w="660"/>
        <w:gridCol w:w="651"/>
        <w:gridCol w:w="1252"/>
        <w:gridCol w:w="762"/>
        <w:gridCol w:w="627"/>
        <w:gridCol w:w="762"/>
        <w:gridCol w:w="767"/>
        <w:gridCol w:w="762"/>
        <w:gridCol w:w="708"/>
        <w:gridCol w:w="697"/>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6" w:type="pct"/>
            <w:gridSpan w:val="3"/>
            <w:vMerge w:val="restart"/>
            <w:vAlign w:val="center"/>
          </w:tcPr>
          <w:p>
            <w:pPr>
              <w:pStyle w:val="13"/>
              <w:ind w:left="-120" w:leftChars="-50" w:right="-120" w:rightChars="-50"/>
              <w:rPr>
                <w:rFonts w:cs="Times New Roman"/>
                <w:sz w:val="20"/>
                <w:szCs w:val="20"/>
              </w:rPr>
            </w:pPr>
            <w:r>
              <w:rPr>
                <w:rFonts w:cs="Times New Roman"/>
                <w:sz w:val="20"/>
                <w:szCs w:val="20"/>
              </w:rPr>
              <w:t>项目名称</w:t>
            </w:r>
          </w:p>
        </w:tc>
        <w:tc>
          <w:tcPr>
            <w:tcW w:w="189" w:type="pct"/>
            <w:vMerge w:val="restart"/>
            <w:vAlign w:val="center"/>
          </w:tcPr>
          <w:p>
            <w:pPr>
              <w:pStyle w:val="13"/>
              <w:ind w:left="-120" w:leftChars="-50" w:right="-120" w:rightChars="-50"/>
              <w:rPr>
                <w:rFonts w:cs="Times New Roman"/>
                <w:sz w:val="20"/>
                <w:szCs w:val="20"/>
              </w:rPr>
            </w:pPr>
            <w:r>
              <w:rPr>
                <w:rFonts w:hint="eastAsia" w:cs="Times New Roman"/>
                <w:sz w:val="20"/>
                <w:szCs w:val="20"/>
              </w:rPr>
              <w:t>序号</w:t>
            </w:r>
          </w:p>
        </w:tc>
        <w:tc>
          <w:tcPr>
            <w:tcW w:w="746" w:type="pct"/>
            <w:gridSpan w:val="3"/>
            <w:vAlign w:val="center"/>
          </w:tcPr>
          <w:p>
            <w:pPr>
              <w:pStyle w:val="13"/>
              <w:ind w:left="-120" w:leftChars="-50" w:right="-120" w:rightChars="-50"/>
              <w:rPr>
                <w:rFonts w:cs="Times New Roman"/>
                <w:sz w:val="20"/>
                <w:szCs w:val="20"/>
              </w:rPr>
            </w:pPr>
            <w:r>
              <w:rPr>
                <w:rFonts w:cs="Times New Roman"/>
                <w:sz w:val="20"/>
                <w:szCs w:val="20"/>
              </w:rPr>
              <w:t>表土剥离</w:t>
            </w:r>
          </w:p>
        </w:tc>
        <w:tc>
          <w:tcPr>
            <w:tcW w:w="981" w:type="pct"/>
            <w:gridSpan w:val="3"/>
            <w:vAlign w:val="center"/>
          </w:tcPr>
          <w:p>
            <w:pPr>
              <w:pStyle w:val="13"/>
              <w:ind w:left="-120" w:leftChars="-50" w:right="-120" w:rightChars="-50"/>
              <w:rPr>
                <w:rFonts w:cs="Times New Roman"/>
                <w:sz w:val="20"/>
                <w:szCs w:val="20"/>
              </w:rPr>
            </w:pPr>
            <w:r>
              <w:rPr>
                <w:rFonts w:cs="Times New Roman"/>
                <w:sz w:val="20"/>
                <w:szCs w:val="20"/>
              </w:rPr>
              <w:t>表土回覆</w:t>
            </w:r>
          </w:p>
        </w:tc>
        <w:tc>
          <w:tcPr>
            <w:tcW w:w="568" w:type="pct"/>
            <w:gridSpan w:val="2"/>
            <w:vAlign w:val="center"/>
          </w:tcPr>
          <w:p>
            <w:pPr>
              <w:pStyle w:val="13"/>
              <w:ind w:left="-120" w:leftChars="-50" w:right="-120" w:rightChars="-50"/>
              <w:rPr>
                <w:rFonts w:cs="Times New Roman"/>
                <w:sz w:val="20"/>
                <w:szCs w:val="20"/>
              </w:rPr>
            </w:pPr>
            <w:r>
              <w:rPr>
                <w:rFonts w:cs="Times New Roman"/>
                <w:sz w:val="20"/>
                <w:szCs w:val="20"/>
              </w:rPr>
              <w:t>调出</w:t>
            </w:r>
          </w:p>
        </w:tc>
        <w:tc>
          <w:tcPr>
            <w:tcW w:w="546" w:type="pct"/>
            <w:gridSpan w:val="2"/>
            <w:vAlign w:val="center"/>
          </w:tcPr>
          <w:p>
            <w:pPr>
              <w:pStyle w:val="13"/>
              <w:ind w:left="-120" w:leftChars="-50" w:right="-120" w:rightChars="-50"/>
              <w:rPr>
                <w:rFonts w:cs="Times New Roman"/>
                <w:sz w:val="20"/>
                <w:szCs w:val="20"/>
              </w:rPr>
            </w:pPr>
            <w:r>
              <w:rPr>
                <w:rFonts w:cs="Times New Roman"/>
                <w:sz w:val="20"/>
                <w:szCs w:val="20"/>
              </w:rPr>
              <w:t>调入</w:t>
            </w:r>
          </w:p>
        </w:tc>
        <w:tc>
          <w:tcPr>
            <w:tcW w:w="504" w:type="pct"/>
            <w:gridSpan w:val="2"/>
            <w:vAlign w:val="center"/>
          </w:tcPr>
          <w:p>
            <w:pPr>
              <w:pStyle w:val="13"/>
              <w:ind w:left="-120" w:leftChars="-50" w:right="-120" w:rightChars="-50"/>
              <w:rPr>
                <w:rFonts w:cs="Times New Roman"/>
                <w:sz w:val="20"/>
                <w:szCs w:val="20"/>
              </w:rPr>
            </w:pPr>
            <w:r>
              <w:rPr>
                <w:rFonts w:cs="Times New Roman"/>
                <w:sz w:val="20"/>
                <w:szCs w:val="20"/>
              </w:rPr>
              <w:t>余</w:t>
            </w:r>
            <w:r>
              <w:rPr>
                <w:rFonts w:hint="eastAsia" w:cs="Times New Roman"/>
                <w:sz w:val="20"/>
                <w:szCs w:val="20"/>
              </w:rPr>
              <w:t>（弃）</w:t>
            </w:r>
            <w:r>
              <w:rPr>
                <w:rFonts w:cs="Times New Roman"/>
                <w:sz w:val="20"/>
                <w:szCs w:val="20"/>
              </w:rPr>
              <w:t>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6" w:type="pct"/>
            <w:gridSpan w:val="3"/>
            <w:vMerge w:val="continue"/>
            <w:vAlign w:val="center"/>
          </w:tcPr>
          <w:p>
            <w:pPr>
              <w:pStyle w:val="13"/>
              <w:ind w:left="-120" w:leftChars="-50" w:right="-120" w:rightChars="-50"/>
              <w:rPr>
                <w:rFonts w:cs="Times New Roman"/>
                <w:sz w:val="20"/>
                <w:szCs w:val="20"/>
              </w:rPr>
            </w:pPr>
          </w:p>
        </w:tc>
        <w:tc>
          <w:tcPr>
            <w:tcW w:w="189" w:type="pct"/>
            <w:vMerge w:val="continue"/>
            <w:vAlign w:val="center"/>
          </w:tcPr>
          <w:p>
            <w:pPr>
              <w:pStyle w:val="13"/>
              <w:ind w:left="-120" w:leftChars="-50" w:right="-120" w:rightChars="-50"/>
              <w:rPr>
                <w:rFonts w:cs="Times New Roman"/>
                <w:sz w:val="20"/>
                <w:szCs w:val="20"/>
              </w:rPr>
            </w:pPr>
          </w:p>
        </w:tc>
        <w:tc>
          <w:tcPr>
            <w:tcW w:w="259" w:type="pct"/>
            <w:vAlign w:val="center"/>
          </w:tcPr>
          <w:p>
            <w:pPr>
              <w:pStyle w:val="13"/>
              <w:ind w:left="-120" w:leftChars="-50" w:right="-120" w:rightChars="-50"/>
              <w:rPr>
                <w:rFonts w:cs="Times New Roman"/>
                <w:sz w:val="20"/>
                <w:szCs w:val="20"/>
              </w:rPr>
            </w:pPr>
            <w:r>
              <w:rPr>
                <w:rFonts w:cs="Times New Roman"/>
                <w:sz w:val="20"/>
                <w:szCs w:val="20"/>
              </w:rPr>
              <w:t>面积(m</w:t>
            </w:r>
            <w:r>
              <w:rPr>
                <w:rFonts w:cs="Times New Roman"/>
                <w:sz w:val="20"/>
                <w:szCs w:val="20"/>
                <w:vertAlign w:val="superscript"/>
              </w:rPr>
              <w:t>2</w:t>
            </w:r>
            <w:r>
              <w:rPr>
                <w:rFonts w:cs="Times New Roman"/>
                <w:sz w:val="20"/>
                <w:szCs w:val="20"/>
              </w:rPr>
              <w:t>)</w:t>
            </w:r>
          </w:p>
        </w:tc>
        <w:tc>
          <w:tcPr>
            <w:tcW w:w="245" w:type="pct"/>
            <w:vAlign w:val="center"/>
          </w:tcPr>
          <w:p>
            <w:pPr>
              <w:pStyle w:val="13"/>
              <w:ind w:left="-120" w:leftChars="-50" w:right="-120" w:rightChars="-50"/>
              <w:rPr>
                <w:rFonts w:cs="Times New Roman"/>
                <w:sz w:val="20"/>
                <w:szCs w:val="20"/>
              </w:rPr>
            </w:pPr>
            <w:r>
              <w:rPr>
                <w:rFonts w:cs="Times New Roman"/>
                <w:sz w:val="20"/>
                <w:szCs w:val="20"/>
              </w:rPr>
              <w:t>厚度(cm)</w:t>
            </w:r>
          </w:p>
        </w:tc>
        <w:tc>
          <w:tcPr>
            <w:tcW w:w="242" w:type="pct"/>
            <w:vAlign w:val="center"/>
          </w:tcPr>
          <w:p>
            <w:pPr>
              <w:pStyle w:val="13"/>
              <w:ind w:left="-120" w:leftChars="-50" w:right="-120" w:rightChars="-50"/>
              <w:rPr>
                <w:rFonts w:cs="Times New Roman"/>
                <w:sz w:val="20"/>
                <w:szCs w:val="20"/>
              </w:rPr>
            </w:pPr>
            <w:r>
              <w:rPr>
                <w:rFonts w:cs="Times New Roman"/>
                <w:sz w:val="20"/>
                <w:szCs w:val="20"/>
              </w:rPr>
              <w:t>数量(m</w:t>
            </w:r>
            <w:r>
              <w:rPr>
                <w:rFonts w:cs="Times New Roman"/>
                <w:sz w:val="20"/>
                <w:szCs w:val="20"/>
                <w:vertAlign w:val="superscript"/>
              </w:rPr>
              <w:t>3</w:t>
            </w:r>
            <w:r>
              <w:rPr>
                <w:rFonts w:cs="Times New Roman"/>
                <w:sz w:val="20"/>
                <w:szCs w:val="20"/>
              </w:rPr>
              <w:t>)</w:t>
            </w:r>
          </w:p>
        </w:tc>
        <w:tc>
          <w:tcPr>
            <w:tcW w:w="465" w:type="pct"/>
            <w:vAlign w:val="center"/>
          </w:tcPr>
          <w:p>
            <w:pPr>
              <w:pStyle w:val="13"/>
              <w:ind w:left="-120" w:leftChars="-50" w:right="-120" w:rightChars="-50"/>
              <w:rPr>
                <w:rFonts w:cs="Times New Roman"/>
                <w:sz w:val="20"/>
                <w:szCs w:val="20"/>
              </w:rPr>
            </w:pPr>
            <w:r>
              <w:rPr>
                <w:rFonts w:cs="Times New Roman"/>
                <w:sz w:val="20"/>
                <w:szCs w:val="20"/>
              </w:rPr>
              <w:t>面积</w:t>
            </w:r>
          </w:p>
          <w:p>
            <w:pPr>
              <w:pStyle w:val="13"/>
              <w:ind w:left="-120" w:leftChars="-50" w:right="-120" w:rightChars="-50"/>
              <w:rPr>
                <w:rFonts w:cs="Times New Roman"/>
                <w:sz w:val="20"/>
                <w:szCs w:val="20"/>
              </w:rPr>
            </w:pPr>
            <w:r>
              <w:rPr>
                <w:rFonts w:cs="Times New Roman"/>
                <w:sz w:val="20"/>
                <w:szCs w:val="20"/>
              </w:rPr>
              <w:t>(m</w:t>
            </w:r>
            <w:r>
              <w:rPr>
                <w:rFonts w:cs="Times New Roman"/>
                <w:sz w:val="20"/>
                <w:szCs w:val="20"/>
                <w:vertAlign w:val="superscript"/>
              </w:rPr>
              <w:t>2</w:t>
            </w:r>
            <w:r>
              <w:rPr>
                <w:rFonts w:cs="Times New Roman"/>
                <w:sz w:val="20"/>
                <w:szCs w:val="20"/>
              </w:rPr>
              <w:t>)</w:t>
            </w:r>
          </w:p>
        </w:tc>
        <w:tc>
          <w:tcPr>
            <w:tcW w:w="283" w:type="pct"/>
            <w:vAlign w:val="center"/>
          </w:tcPr>
          <w:p>
            <w:pPr>
              <w:pStyle w:val="13"/>
              <w:ind w:left="-120" w:leftChars="-50" w:right="-120" w:rightChars="-50"/>
              <w:rPr>
                <w:rFonts w:cs="Times New Roman"/>
                <w:sz w:val="20"/>
                <w:szCs w:val="20"/>
              </w:rPr>
            </w:pPr>
            <w:r>
              <w:rPr>
                <w:rFonts w:cs="Times New Roman"/>
                <w:sz w:val="20"/>
                <w:szCs w:val="20"/>
              </w:rPr>
              <w:t>厚度</w:t>
            </w:r>
          </w:p>
          <w:p>
            <w:pPr>
              <w:pStyle w:val="13"/>
              <w:ind w:left="-120" w:leftChars="-50" w:right="-120" w:rightChars="-50"/>
              <w:rPr>
                <w:rFonts w:cs="Times New Roman"/>
                <w:sz w:val="20"/>
                <w:szCs w:val="20"/>
              </w:rPr>
            </w:pPr>
            <w:r>
              <w:rPr>
                <w:rFonts w:cs="Times New Roman"/>
                <w:sz w:val="20"/>
                <w:szCs w:val="20"/>
              </w:rPr>
              <w:t>(cm)</w:t>
            </w:r>
          </w:p>
        </w:tc>
        <w:tc>
          <w:tcPr>
            <w:tcW w:w="233" w:type="pct"/>
            <w:vAlign w:val="center"/>
          </w:tcPr>
          <w:p>
            <w:pPr>
              <w:pStyle w:val="13"/>
              <w:ind w:left="-120" w:leftChars="-50" w:right="-120" w:rightChars="-50"/>
              <w:rPr>
                <w:rFonts w:cs="Times New Roman"/>
                <w:sz w:val="20"/>
                <w:szCs w:val="20"/>
              </w:rPr>
            </w:pPr>
            <w:r>
              <w:rPr>
                <w:rFonts w:cs="Times New Roman"/>
                <w:sz w:val="20"/>
                <w:szCs w:val="20"/>
              </w:rPr>
              <w:t>数量</w:t>
            </w:r>
          </w:p>
          <w:p>
            <w:pPr>
              <w:pStyle w:val="13"/>
              <w:ind w:left="-120" w:leftChars="-50" w:right="-120" w:rightChars="-50"/>
              <w:rPr>
                <w:rFonts w:cs="Times New Roman"/>
                <w:sz w:val="20"/>
                <w:szCs w:val="20"/>
              </w:rPr>
            </w:pPr>
            <w:r>
              <w:rPr>
                <w:rFonts w:cs="Times New Roman"/>
                <w:sz w:val="20"/>
                <w:szCs w:val="20"/>
              </w:rPr>
              <w:t>(m</w:t>
            </w:r>
            <w:r>
              <w:rPr>
                <w:rFonts w:cs="Times New Roman"/>
                <w:sz w:val="20"/>
                <w:szCs w:val="20"/>
                <w:vertAlign w:val="superscript"/>
              </w:rPr>
              <w:t>3</w:t>
            </w:r>
            <w:r>
              <w:rPr>
                <w:rFonts w:cs="Times New Roman"/>
                <w:sz w:val="20"/>
                <w:szCs w:val="20"/>
              </w:rPr>
              <w:t>)</w:t>
            </w:r>
          </w:p>
        </w:tc>
        <w:tc>
          <w:tcPr>
            <w:tcW w:w="283" w:type="pct"/>
            <w:vAlign w:val="center"/>
          </w:tcPr>
          <w:p>
            <w:pPr>
              <w:pStyle w:val="13"/>
              <w:ind w:left="-120" w:leftChars="-50" w:right="-120" w:rightChars="-50"/>
              <w:rPr>
                <w:rFonts w:cs="Times New Roman"/>
                <w:sz w:val="20"/>
                <w:szCs w:val="20"/>
              </w:rPr>
            </w:pPr>
            <w:r>
              <w:rPr>
                <w:rFonts w:cs="Times New Roman"/>
                <w:sz w:val="20"/>
                <w:szCs w:val="20"/>
              </w:rPr>
              <w:t>数量</w:t>
            </w:r>
          </w:p>
          <w:p>
            <w:pPr>
              <w:pStyle w:val="13"/>
              <w:ind w:left="-120" w:leftChars="-50" w:right="-120" w:rightChars="-50"/>
              <w:rPr>
                <w:rFonts w:cs="Times New Roman"/>
                <w:sz w:val="20"/>
                <w:szCs w:val="20"/>
              </w:rPr>
            </w:pPr>
            <w:r>
              <w:rPr>
                <w:rFonts w:cs="Times New Roman"/>
                <w:sz w:val="20"/>
                <w:szCs w:val="20"/>
              </w:rPr>
              <w:t>(m</w:t>
            </w:r>
            <w:r>
              <w:rPr>
                <w:rFonts w:cs="Times New Roman"/>
                <w:sz w:val="20"/>
                <w:szCs w:val="20"/>
                <w:vertAlign w:val="superscript"/>
              </w:rPr>
              <w:t>3</w:t>
            </w:r>
            <w:r>
              <w:rPr>
                <w:rFonts w:cs="Times New Roman"/>
                <w:sz w:val="20"/>
                <w:szCs w:val="20"/>
              </w:rPr>
              <w:t>)</w:t>
            </w:r>
          </w:p>
        </w:tc>
        <w:tc>
          <w:tcPr>
            <w:tcW w:w="285" w:type="pct"/>
            <w:vAlign w:val="center"/>
          </w:tcPr>
          <w:p>
            <w:pPr>
              <w:pStyle w:val="13"/>
              <w:ind w:left="-120" w:leftChars="-50" w:right="-120" w:rightChars="-50"/>
              <w:rPr>
                <w:rFonts w:cs="Times New Roman"/>
                <w:sz w:val="20"/>
                <w:szCs w:val="20"/>
              </w:rPr>
            </w:pPr>
            <w:r>
              <w:rPr>
                <w:rFonts w:cs="Times New Roman"/>
                <w:sz w:val="20"/>
                <w:szCs w:val="20"/>
              </w:rPr>
              <w:t>去向</w:t>
            </w:r>
          </w:p>
        </w:tc>
        <w:tc>
          <w:tcPr>
            <w:tcW w:w="283" w:type="pct"/>
            <w:vAlign w:val="center"/>
          </w:tcPr>
          <w:p>
            <w:pPr>
              <w:pStyle w:val="13"/>
              <w:ind w:left="-120" w:leftChars="-50" w:right="-120" w:rightChars="-50"/>
              <w:rPr>
                <w:rFonts w:cs="Times New Roman"/>
                <w:sz w:val="20"/>
                <w:szCs w:val="20"/>
              </w:rPr>
            </w:pPr>
            <w:r>
              <w:rPr>
                <w:rFonts w:cs="Times New Roman"/>
                <w:sz w:val="20"/>
                <w:szCs w:val="20"/>
              </w:rPr>
              <w:t>数量</w:t>
            </w:r>
          </w:p>
          <w:p>
            <w:pPr>
              <w:pStyle w:val="13"/>
              <w:ind w:left="-120" w:leftChars="-50" w:right="-120" w:rightChars="-50"/>
              <w:rPr>
                <w:rFonts w:cs="Times New Roman"/>
                <w:sz w:val="20"/>
                <w:szCs w:val="20"/>
              </w:rPr>
            </w:pPr>
            <w:r>
              <w:rPr>
                <w:rFonts w:cs="Times New Roman"/>
                <w:sz w:val="20"/>
                <w:szCs w:val="20"/>
              </w:rPr>
              <w:t>(m</w:t>
            </w:r>
            <w:r>
              <w:rPr>
                <w:rFonts w:cs="Times New Roman"/>
                <w:sz w:val="20"/>
                <w:szCs w:val="20"/>
                <w:vertAlign w:val="superscript"/>
              </w:rPr>
              <w:t>3</w:t>
            </w:r>
            <w:r>
              <w:rPr>
                <w:rFonts w:cs="Times New Roman"/>
                <w:sz w:val="20"/>
                <w:szCs w:val="20"/>
              </w:rPr>
              <w:t>)</w:t>
            </w:r>
          </w:p>
        </w:tc>
        <w:tc>
          <w:tcPr>
            <w:tcW w:w="263" w:type="pct"/>
            <w:vAlign w:val="center"/>
          </w:tcPr>
          <w:p>
            <w:pPr>
              <w:pStyle w:val="13"/>
              <w:ind w:left="-120" w:leftChars="-50" w:right="-120" w:rightChars="-50"/>
              <w:rPr>
                <w:rFonts w:cs="Times New Roman"/>
                <w:sz w:val="20"/>
                <w:szCs w:val="20"/>
              </w:rPr>
            </w:pPr>
            <w:r>
              <w:rPr>
                <w:rFonts w:cs="Times New Roman"/>
                <w:sz w:val="20"/>
                <w:szCs w:val="20"/>
              </w:rPr>
              <w:t>来源</w:t>
            </w:r>
          </w:p>
        </w:tc>
        <w:tc>
          <w:tcPr>
            <w:tcW w:w="259" w:type="pct"/>
            <w:vAlign w:val="center"/>
          </w:tcPr>
          <w:p>
            <w:pPr>
              <w:pStyle w:val="13"/>
              <w:ind w:left="-120" w:leftChars="-50" w:right="-120" w:rightChars="-50"/>
              <w:rPr>
                <w:rFonts w:cs="Times New Roman"/>
                <w:sz w:val="20"/>
                <w:szCs w:val="20"/>
              </w:rPr>
            </w:pPr>
            <w:r>
              <w:rPr>
                <w:rFonts w:cs="Times New Roman"/>
                <w:sz w:val="20"/>
                <w:szCs w:val="20"/>
              </w:rPr>
              <w:t>数量</w:t>
            </w:r>
          </w:p>
          <w:p>
            <w:pPr>
              <w:pStyle w:val="13"/>
              <w:ind w:left="-120" w:leftChars="-50" w:right="-120" w:rightChars="-50"/>
              <w:rPr>
                <w:rFonts w:cs="Times New Roman"/>
                <w:sz w:val="20"/>
                <w:szCs w:val="20"/>
              </w:rPr>
            </w:pPr>
            <w:r>
              <w:rPr>
                <w:rFonts w:cs="Times New Roman"/>
                <w:sz w:val="20"/>
                <w:szCs w:val="20"/>
              </w:rPr>
              <w:t>(m</w:t>
            </w:r>
            <w:r>
              <w:rPr>
                <w:rFonts w:cs="Times New Roman"/>
                <w:sz w:val="20"/>
                <w:szCs w:val="20"/>
                <w:vertAlign w:val="superscript"/>
              </w:rPr>
              <w:t>3</w:t>
            </w:r>
            <w:r>
              <w:rPr>
                <w:rFonts w:cs="Times New Roman"/>
                <w:sz w:val="20"/>
                <w:szCs w:val="20"/>
              </w:rPr>
              <w:t>)</w:t>
            </w:r>
          </w:p>
        </w:tc>
        <w:tc>
          <w:tcPr>
            <w:tcW w:w="245" w:type="pct"/>
            <w:vAlign w:val="center"/>
          </w:tcPr>
          <w:p>
            <w:pPr>
              <w:pStyle w:val="13"/>
              <w:ind w:left="-120" w:leftChars="-50" w:right="-120" w:rightChars="-50"/>
              <w:rPr>
                <w:rFonts w:cs="Times New Roman"/>
                <w:sz w:val="20"/>
                <w:szCs w:val="20"/>
              </w:rPr>
            </w:pPr>
            <w:r>
              <w:rPr>
                <w:rFonts w:cs="Times New Roman"/>
                <w:sz w:val="20"/>
                <w:szCs w:val="20"/>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61" w:type="pct"/>
            <w:vMerge w:val="restart"/>
            <w:vAlign w:val="center"/>
          </w:tcPr>
          <w:p>
            <w:pPr>
              <w:pStyle w:val="13"/>
              <w:ind w:left="-120" w:leftChars="-50" w:right="-120" w:rightChars="-50"/>
              <w:rPr>
                <w:rFonts w:cs="Times New Roman"/>
                <w:sz w:val="20"/>
                <w:szCs w:val="20"/>
              </w:rPr>
            </w:pPr>
            <w:r>
              <w:rPr>
                <w:rFonts w:cs="Times New Roman"/>
                <w:sz w:val="20"/>
                <w:szCs w:val="20"/>
              </w:rPr>
              <w:t>变电站</w:t>
            </w:r>
          </w:p>
          <w:p>
            <w:pPr>
              <w:pStyle w:val="13"/>
              <w:ind w:left="-120" w:leftChars="-50" w:right="-120" w:rightChars="-50"/>
              <w:rPr>
                <w:rFonts w:cs="Times New Roman"/>
                <w:sz w:val="20"/>
                <w:szCs w:val="20"/>
              </w:rPr>
            </w:pPr>
            <w:r>
              <w:rPr>
                <w:rFonts w:cs="Times New Roman"/>
                <w:sz w:val="20"/>
                <w:szCs w:val="20"/>
              </w:rPr>
              <w:t>工程</w:t>
            </w:r>
          </w:p>
        </w:tc>
        <w:tc>
          <w:tcPr>
            <w:tcW w:w="781" w:type="pct"/>
            <w:vAlign w:val="center"/>
          </w:tcPr>
          <w:p>
            <w:pPr>
              <w:pStyle w:val="13"/>
              <w:ind w:left="-120" w:leftChars="-50" w:right="-120" w:rightChars="-50"/>
              <w:rPr>
                <w:rFonts w:cs="Times New Roman"/>
                <w:sz w:val="20"/>
                <w:szCs w:val="20"/>
              </w:rPr>
            </w:pPr>
            <w:r>
              <w:rPr>
                <w:rFonts w:cs="Times New Roman"/>
                <w:sz w:val="20"/>
                <w:szCs w:val="20"/>
              </w:rPr>
              <w:t>玛瑙500kV变电站</w:t>
            </w:r>
          </w:p>
          <w:p>
            <w:pPr>
              <w:pStyle w:val="13"/>
              <w:ind w:left="-120" w:leftChars="-50" w:right="-120" w:rightChars="-50"/>
              <w:rPr>
                <w:rFonts w:cs="Times New Roman"/>
                <w:sz w:val="20"/>
                <w:szCs w:val="20"/>
              </w:rPr>
            </w:pPr>
            <w:r>
              <w:rPr>
                <w:rFonts w:cs="Times New Roman"/>
                <w:sz w:val="20"/>
                <w:szCs w:val="20"/>
              </w:rPr>
              <w:t>220kV间隔扩建工程</w:t>
            </w:r>
          </w:p>
        </w:tc>
        <w:tc>
          <w:tcPr>
            <w:tcW w:w="424" w:type="pct"/>
            <w:vAlign w:val="center"/>
          </w:tcPr>
          <w:p>
            <w:pPr>
              <w:pStyle w:val="13"/>
              <w:ind w:left="-120" w:leftChars="-50" w:right="-120" w:rightChars="-50"/>
              <w:rPr>
                <w:rFonts w:cs="Times New Roman"/>
                <w:sz w:val="20"/>
                <w:szCs w:val="20"/>
              </w:rPr>
            </w:pPr>
            <w:r>
              <w:rPr>
                <w:rFonts w:hint="eastAsia" w:cs="Times New Roman"/>
                <w:sz w:val="20"/>
                <w:szCs w:val="20"/>
              </w:rPr>
              <w:t>玛瑙</w:t>
            </w:r>
            <w:r>
              <w:rPr>
                <w:rFonts w:cs="Times New Roman"/>
                <w:sz w:val="20"/>
                <w:szCs w:val="20"/>
              </w:rPr>
              <w:t>变电站</w:t>
            </w:r>
          </w:p>
          <w:p>
            <w:pPr>
              <w:pStyle w:val="13"/>
              <w:ind w:left="-120" w:leftChars="-50" w:right="-120" w:rightChars="-50"/>
              <w:rPr>
                <w:rFonts w:cs="Times New Roman"/>
                <w:sz w:val="20"/>
                <w:szCs w:val="20"/>
              </w:rPr>
            </w:pPr>
            <w:r>
              <w:rPr>
                <w:rFonts w:cs="Times New Roman"/>
                <w:sz w:val="20"/>
                <w:szCs w:val="20"/>
              </w:rPr>
              <w:t>站区</w:t>
            </w:r>
          </w:p>
        </w:tc>
        <w:tc>
          <w:tcPr>
            <w:tcW w:w="189" w:type="pct"/>
            <w:vAlign w:val="center"/>
          </w:tcPr>
          <w:p>
            <w:pPr>
              <w:pStyle w:val="13"/>
              <w:ind w:left="-120" w:leftChars="-50" w:right="-120" w:rightChars="-50"/>
              <w:rPr>
                <w:rFonts w:cs="Times New Roman"/>
                <w:sz w:val="20"/>
                <w:szCs w:val="20"/>
              </w:rPr>
            </w:pPr>
            <w:r>
              <w:rPr>
                <w:rFonts w:cs="Times New Roman"/>
                <w:sz w:val="20"/>
                <w:szCs w:val="20"/>
              </w:rPr>
              <w:t>①</w:t>
            </w:r>
          </w:p>
        </w:tc>
        <w:tc>
          <w:tcPr>
            <w:tcW w:w="259" w:type="pct"/>
            <w:vAlign w:val="center"/>
          </w:tcPr>
          <w:p>
            <w:pPr>
              <w:pStyle w:val="13"/>
              <w:ind w:left="-120" w:leftChars="-50" w:right="-120" w:rightChars="-50"/>
              <w:rPr>
                <w:rFonts w:cs="Times New Roman"/>
                <w:sz w:val="20"/>
                <w:szCs w:val="20"/>
              </w:rPr>
            </w:pPr>
            <w:r>
              <w:rPr>
                <w:rFonts w:cs="Times New Roman"/>
                <w:sz w:val="20"/>
                <w:szCs w:val="20"/>
              </w:rPr>
              <w:t>25</w:t>
            </w:r>
          </w:p>
        </w:tc>
        <w:tc>
          <w:tcPr>
            <w:tcW w:w="245" w:type="pct"/>
            <w:vAlign w:val="center"/>
          </w:tcPr>
          <w:p>
            <w:pPr>
              <w:pStyle w:val="13"/>
              <w:ind w:left="-120" w:leftChars="-50" w:right="-120" w:rightChars="-50"/>
              <w:rPr>
                <w:rFonts w:cs="Times New Roman"/>
                <w:sz w:val="20"/>
                <w:szCs w:val="20"/>
              </w:rPr>
            </w:pPr>
            <w:r>
              <w:rPr>
                <w:rFonts w:cs="Times New Roman"/>
                <w:sz w:val="20"/>
                <w:szCs w:val="20"/>
              </w:rPr>
              <w:t>10-30</w:t>
            </w:r>
          </w:p>
        </w:tc>
        <w:tc>
          <w:tcPr>
            <w:tcW w:w="242" w:type="pct"/>
            <w:vAlign w:val="center"/>
          </w:tcPr>
          <w:p>
            <w:pPr>
              <w:pStyle w:val="13"/>
              <w:ind w:left="-120" w:leftChars="-50" w:right="-120" w:rightChars="-50"/>
              <w:rPr>
                <w:rFonts w:cs="Times New Roman"/>
                <w:sz w:val="20"/>
                <w:szCs w:val="20"/>
              </w:rPr>
            </w:pPr>
            <w:r>
              <w:rPr>
                <w:rFonts w:cs="Times New Roman"/>
                <w:sz w:val="20"/>
                <w:szCs w:val="20"/>
              </w:rPr>
              <w:t>5</w:t>
            </w:r>
          </w:p>
        </w:tc>
        <w:tc>
          <w:tcPr>
            <w:tcW w:w="465" w:type="pct"/>
            <w:vAlign w:val="center"/>
          </w:tcPr>
          <w:p>
            <w:pPr>
              <w:pStyle w:val="13"/>
              <w:ind w:left="-120" w:leftChars="-50" w:right="-120" w:rightChars="-50"/>
              <w:rPr>
                <w:rFonts w:cs="Times New Roman"/>
                <w:sz w:val="20"/>
                <w:szCs w:val="20"/>
              </w:rPr>
            </w:pPr>
            <w:r>
              <w:rPr>
                <w:rFonts w:cs="Times New Roman"/>
                <w:sz w:val="20"/>
                <w:szCs w:val="20"/>
              </w:rPr>
              <w:t>25</w:t>
            </w:r>
          </w:p>
        </w:tc>
        <w:tc>
          <w:tcPr>
            <w:tcW w:w="283" w:type="pct"/>
            <w:vAlign w:val="center"/>
          </w:tcPr>
          <w:p>
            <w:pPr>
              <w:pStyle w:val="13"/>
              <w:ind w:left="-120" w:leftChars="-50" w:right="-120" w:rightChars="-50"/>
              <w:rPr>
                <w:rFonts w:cs="Times New Roman"/>
                <w:sz w:val="20"/>
                <w:szCs w:val="20"/>
              </w:rPr>
            </w:pPr>
            <w:r>
              <w:rPr>
                <w:rFonts w:cs="Times New Roman"/>
                <w:sz w:val="20"/>
                <w:szCs w:val="20"/>
              </w:rPr>
              <w:t>10-30</w:t>
            </w:r>
          </w:p>
        </w:tc>
        <w:tc>
          <w:tcPr>
            <w:tcW w:w="233" w:type="pct"/>
            <w:vAlign w:val="center"/>
          </w:tcPr>
          <w:p>
            <w:pPr>
              <w:pStyle w:val="13"/>
              <w:ind w:left="-120" w:leftChars="-50" w:right="-120" w:rightChars="-50"/>
              <w:rPr>
                <w:rFonts w:cs="Times New Roman"/>
                <w:sz w:val="20"/>
                <w:szCs w:val="20"/>
              </w:rPr>
            </w:pPr>
            <w:r>
              <w:rPr>
                <w:rFonts w:cs="Times New Roman"/>
                <w:sz w:val="20"/>
                <w:szCs w:val="20"/>
              </w:rPr>
              <w:t>5</w:t>
            </w:r>
          </w:p>
        </w:tc>
        <w:tc>
          <w:tcPr>
            <w:tcW w:w="283" w:type="pct"/>
            <w:vAlign w:val="center"/>
          </w:tcPr>
          <w:p>
            <w:pPr>
              <w:pStyle w:val="13"/>
              <w:rPr>
                <w:rFonts w:cs="Times New Roman"/>
              </w:rPr>
            </w:pPr>
          </w:p>
        </w:tc>
        <w:tc>
          <w:tcPr>
            <w:tcW w:w="285" w:type="pct"/>
            <w:vAlign w:val="center"/>
          </w:tcPr>
          <w:p>
            <w:pPr>
              <w:pStyle w:val="13"/>
              <w:ind w:left="-120" w:leftChars="-50" w:right="-120" w:rightChars="-50"/>
              <w:rPr>
                <w:rFonts w:cs="Times New Roman"/>
                <w:sz w:val="20"/>
                <w:szCs w:val="20"/>
              </w:rPr>
            </w:pPr>
          </w:p>
        </w:tc>
        <w:tc>
          <w:tcPr>
            <w:tcW w:w="283" w:type="pct"/>
            <w:vAlign w:val="center"/>
          </w:tcPr>
          <w:p>
            <w:pPr>
              <w:pStyle w:val="13"/>
              <w:ind w:left="-120" w:leftChars="-50" w:right="-120" w:rightChars="-50"/>
              <w:rPr>
                <w:rFonts w:cs="Times New Roman"/>
                <w:sz w:val="20"/>
                <w:szCs w:val="20"/>
              </w:rPr>
            </w:pPr>
          </w:p>
        </w:tc>
        <w:tc>
          <w:tcPr>
            <w:tcW w:w="263" w:type="pct"/>
            <w:vAlign w:val="center"/>
          </w:tcPr>
          <w:p>
            <w:pPr>
              <w:pStyle w:val="13"/>
              <w:ind w:left="-120" w:leftChars="-50" w:right="-120" w:rightChars="-50"/>
              <w:rPr>
                <w:rFonts w:cs="Times New Roman"/>
                <w:sz w:val="20"/>
                <w:szCs w:val="20"/>
              </w:rPr>
            </w:pPr>
          </w:p>
        </w:tc>
        <w:tc>
          <w:tcPr>
            <w:tcW w:w="259" w:type="pct"/>
            <w:vAlign w:val="center"/>
          </w:tcPr>
          <w:p>
            <w:pPr>
              <w:pStyle w:val="13"/>
              <w:ind w:left="-120" w:leftChars="-50" w:right="-120" w:rightChars="-50"/>
              <w:rPr>
                <w:rFonts w:cs="Times New Roman"/>
                <w:sz w:val="20"/>
                <w:szCs w:val="20"/>
              </w:rPr>
            </w:pPr>
          </w:p>
        </w:tc>
        <w:tc>
          <w:tcPr>
            <w:tcW w:w="245" w:type="pct"/>
            <w:vAlign w:val="center"/>
          </w:tcPr>
          <w:p>
            <w:pPr>
              <w:pStyle w:val="13"/>
              <w:ind w:left="-120" w:leftChars="-50" w:right="-120" w:rightChars="-50"/>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Merge w:val="continue"/>
            <w:vAlign w:val="center"/>
          </w:tcPr>
          <w:p>
            <w:pPr>
              <w:pStyle w:val="13"/>
              <w:ind w:left="-120" w:leftChars="-50" w:right="-120" w:rightChars="-50"/>
              <w:rPr>
                <w:rFonts w:cs="Times New Roman"/>
                <w:sz w:val="20"/>
                <w:szCs w:val="20"/>
              </w:rPr>
            </w:pPr>
          </w:p>
        </w:tc>
        <w:tc>
          <w:tcPr>
            <w:tcW w:w="781" w:type="pct"/>
            <w:vAlign w:val="center"/>
          </w:tcPr>
          <w:p>
            <w:pPr>
              <w:pStyle w:val="13"/>
              <w:ind w:left="-120" w:leftChars="-50" w:right="-120" w:rightChars="-50"/>
              <w:rPr>
                <w:rFonts w:cs="Times New Roman"/>
                <w:sz w:val="20"/>
                <w:szCs w:val="20"/>
              </w:rPr>
            </w:pPr>
            <w:r>
              <w:rPr>
                <w:rFonts w:cs="Times New Roman"/>
                <w:sz w:val="20"/>
                <w:szCs w:val="20"/>
              </w:rPr>
              <w:t>芭蕉220kV变电站</w:t>
            </w:r>
          </w:p>
          <w:p>
            <w:pPr>
              <w:pStyle w:val="13"/>
              <w:ind w:left="-120" w:leftChars="-50" w:right="-120" w:rightChars="-50"/>
              <w:rPr>
                <w:rFonts w:cs="Times New Roman"/>
                <w:sz w:val="20"/>
                <w:szCs w:val="20"/>
              </w:rPr>
            </w:pPr>
            <w:r>
              <w:rPr>
                <w:rFonts w:cs="Times New Roman"/>
                <w:sz w:val="20"/>
                <w:szCs w:val="20"/>
              </w:rPr>
              <w:t>220kV间隔扩建工程</w:t>
            </w:r>
          </w:p>
        </w:tc>
        <w:tc>
          <w:tcPr>
            <w:tcW w:w="424" w:type="pct"/>
            <w:vAlign w:val="center"/>
          </w:tcPr>
          <w:p>
            <w:pPr>
              <w:pStyle w:val="13"/>
              <w:ind w:left="-120" w:leftChars="-50" w:right="-120" w:rightChars="-50"/>
              <w:rPr>
                <w:rFonts w:cs="Times New Roman"/>
                <w:sz w:val="20"/>
                <w:szCs w:val="20"/>
              </w:rPr>
            </w:pPr>
            <w:r>
              <w:rPr>
                <w:rFonts w:hint="eastAsia" w:cs="Times New Roman"/>
                <w:sz w:val="20"/>
                <w:szCs w:val="20"/>
              </w:rPr>
              <w:t>芭蕉</w:t>
            </w:r>
            <w:r>
              <w:rPr>
                <w:rFonts w:cs="Times New Roman"/>
                <w:sz w:val="20"/>
                <w:szCs w:val="20"/>
              </w:rPr>
              <w:t>变电站</w:t>
            </w:r>
          </w:p>
          <w:p>
            <w:pPr>
              <w:pStyle w:val="13"/>
              <w:ind w:left="-120" w:leftChars="-50" w:right="-120" w:rightChars="-50"/>
              <w:rPr>
                <w:rFonts w:cs="Times New Roman"/>
                <w:sz w:val="20"/>
                <w:szCs w:val="20"/>
              </w:rPr>
            </w:pPr>
            <w:r>
              <w:rPr>
                <w:rFonts w:cs="Times New Roman"/>
                <w:sz w:val="20"/>
                <w:szCs w:val="20"/>
              </w:rPr>
              <w:t>站区</w:t>
            </w:r>
          </w:p>
        </w:tc>
        <w:tc>
          <w:tcPr>
            <w:tcW w:w="189" w:type="pct"/>
            <w:vAlign w:val="center"/>
          </w:tcPr>
          <w:p>
            <w:pPr>
              <w:pStyle w:val="13"/>
              <w:ind w:left="-120" w:leftChars="-50" w:right="-120" w:rightChars="-50"/>
              <w:rPr>
                <w:rFonts w:cs="Times New Roman"/>
                <w:sz w:val="20"/>
                <w:szCs w:val="20"/>
              </w:rPr>
            </w:pPr>
            <w:r>
              <w:rPr>
                <w:rFonts w:cs="Times New Roman"/>
                <w:sz w:val="20"/>
                <w:szCs w:val="20"/>
              </w:rPr>
              <w:t>②</w:t>
            </w:r>
          </w:p>
        </w:tc>
        <w:tc>
          <w:tcPr>
            <w:tcW w:w="259" w:type="pct"/>
            <w:vAlign w:val="center"/>
          </w:tcPr>
          <w:p>
            <w:pPr>
              <w:pStyle w:val="13"/>
              <w:ind w:left="-120" w:leftChars="-50" w:right="-120" w:rightChars="-50"/>
              <w:rPr>
                <w:rFonts w:cs="Times New Roman"/>
                <w:sz w:val="20"/>
                <w:szCs w:val="20"/>
              </w:rPr>
            </w:pPr>
            <w:r>
              <w:rPr>
                <w:rFonts w:cs="Times New Roman"/>
                <w:sz w:val="20"/>
                <w:szCs w:val="20"/>
              </w:rPr>
              <w:t>115</w:t>
            </w:r>
          </w:p>
        </w:tc>
        <w:tc>
          <w:tcPr>
            <w:tcW w:w="245" w:type="pct"/>
            <w:vAlign w:val="center"/>
          </w:tcPr>
          <w:p>
            <w:pPr>
              <w:pStyle w:val="13"/>
              <w:ind w:left="-120" w:leftChars="-50" w:right="-120" w:rightChars="-50"/>
              <w:rPr>
                <w:rFonts w:cs="Times New Roman"/>
                <w:sz w:val="20"/>
                <w:szCs w:val="20"/>
              </w:rPr>
            </w:pPr>
            <w:r>
              <w:rPr>
                <w:rFonts w:cs="Times New Roman"/>
                <w:sz w:val="20"/>
                <w:szCs w:val="20"/>
              </w:rPr>
              <w:t>10-30</w:t>
            </w:r>
          </w:p>
        </w:tc>
        <w:tc>
          <w:tcPr>
            <w:tcW w:w="242" w:type="pct"/>
            <w:vAlign w:val="center"/>
          </w:tcPr>
          <w:p>
            <w:pPr>
              <w:pStyle w:val="13"/>
              <w:ind w:left="-120" w:leftChars="-50" w:right="-120" w:rightChars="-50"/>
              <w:rPr>
                <w:rFonts w:cs="Times New Roman"/>
                <w:sz w:val="20"/>
                <w:szCs w:val="20"/>
              </w:rPr>
            </w:pPr>
            <w:r>
              <w:rPr>
                <w:rFonts w:cs="Times New Roman"/>
                <w:sz w:val="20"/>
                <w:szCs w:val="20"/>
              </w:rPr>
              <w:t>23</w:t>
            </w:r>
          </w:p>
        </w:tc>
        <w:tc>
          <w:tcPr>
            <w:tcW w:w="465" w:type="pct"/>
            <w:vAlign w:val="center"/>
          </w:tcPr>
          <w:p>
            <w:pPr>
              <w:pStyle w:val="13"/>
              <w:ind w:left="-120" w:leftChars="-50" w:right="-120" w:rightChars="-50"/>
              <w:rPr>
                <w:rFonts w:cs="Times New Roman"/>
                <w:sz w:val="20"/>
                <w:szCs w:val="20"/>
              </w:rPr>
            </w:pPr>
            <w:r>
              <w:rPr>
                <w:rFonts w:cs="Times New Roman"/>
                <w:sz w:val="20"/>
                <w:szCs w:val="20"/>
              </w:rPr>
              <w:t>115</w:t>
            </w:r>
          </w:p>
        </w:tc>
        <w:tc>
          <w:tcPr>
            <w:tcW w:w="283" w:type="pct"/>
            <w:vAlign w:val="center"/>
          </w:tcPr>
          <w:p>
            <w:pPr>
              <w:pStyle w:val="13"/>
              <w:ind w:left="-120" w:leftChars="-50" w:right="-120" w:rightChars="-50"/>
              <w:rPr>
                <w:rFonts w:cs="Times New Roman"/>
                <w:sz w:val="20"/>
                <w:szCs w:val="20"/>
              </w:rPr>
            </w:pPr>
            <w:r>
              <w:rPr>
                <w:rFonts w:cs="Times New Roman"/>
                <w:sz w:val="20"/>
                <w:szCs w:val="20"/>
              </w:rPr>
              <w:t>10-30</w:t>
            </w:r>
          </w:p>
        </w:tc>
        <w:tc>
          <w:tcPr>
            <w:tcW w:w="233" w:type="pct"/>
            <w:vAlign w:val="center"/>
          </w:tcPr>
          <w:p>
            <w:pPr>
              <w:pStyle w:val="13"/>
              <w:ind w:left="-120" w:leftChars="-50" w:right="-120" w:rightChars="-50"/>
              <w:rPr>
                <w:rFonts w:cs="Times New Roman"/>
                <w:sz w:val="20"/>
                <w:szCs w:val="20"/>
              </w:rPr>
            </w:pPr>
            <w:r>
              <w:rPr>
                <w:rFonts w:cs="Times New Roman"/>
                <w:sz w:val="20"/>
                <w:szCs w:val="20"/>
              </w:rPr>
              <w:t>23</w:t>
            </w:r>
          </w:p>
        </w:tc>
        <w:tc>
          <w:tcPr>
            <w:tcW w:w="283" w:type="pct"/>
            <w:vAlign w:val="center"/>
          </w:tcPr>
          <w:p>
            <w:pPr>
              <w:pStyle w:val="13"/>
              <w:rPr>
                <w:rFonts w:cs="Times New Roman"/>
              </w:rPr>
            </w:pPr>
          </w:p>
        </w:tc>
        <w:tc>
          <w:tcPr>
            <w:tcW w:w="285" w:type="pct"/>
            <w:vAlign w:val="center"/>
          </w:tcPr>
          <w:p>
            <w:pPr>
              <w:pStyle w:val="13"/>
              <w:ind w:left="-120" w:leftChars="-50" w:right="-120" w:rightChars="-50"/>
              <w:rPr>
                <w:rFonts w:cs="Times New Roman"/>
                <w:sz w:val="20"/>
                <w:szCs w:val="20"/>
              </w:rPr>
            </w:pPr>
          </w:p>
        </w:tc>
        <w:tc>
          <w:tcPr>
            <w:tcW w:w="283" w:type="pct"/>
            <w:vAlign w:val="center"/>
          </w:tcPr>
          <w:p>
            <w:pPr>
              <w:pStyle w:val="13"/>
              <w:ind w:left="-120" w:leftChars="-50" w:right="-120" w:rightChars="-50"/>
              <w:rPr>
                <w:rFonts w:cs="Times New Roman"/>
                <w:sz w:val="20"/>
                <w:szCs w:val="20"/>
              </w:rPr>
            </w:pPr>
          </w:p>
        </w:tc>
        <w:tc>
          <w:tcPr>
            <w:tcW w:w="263" w:type="pct"/>
            <w:vAlign w:val="center"/>
          </w:tcPr>
          <w:p>
            <w:pPr>
              <w:pStyle w:val="13"/>
              <w:ind w:left="-120" w:leftChars="-50" w:right="-120" w:rightChars="-50"/>
              <w:rPr>
                <w:rFonts w:cs="Times New Roman"/>
                <w:sz w:val="20"/>
                <w:szCs w:val="20"/>
              </w:rPr>
            </w:pPr>
          </w:p>
        </w:tc>
        <w:tc>
          <w:tcPr>
            <w:tcW w:w="259" w:type="pct"/>
            <w:vAlign w:val="center"/>
          </w:tcPr>
          <w:p>
            <w:pPr>
              <w:pStyle w:val="13"/>
              <w:ind w:left="-120" w:leftChars="-50" w:right="-120" w:rightChars="-50"/>
              <w:rPr>
                <w:rFonts w:cs="Times New Roman"/>
                <w:sz w:val="20"/>
                <w:szCs w:val="20"/>
              </w:rPr>
            </w:pPr>
          </w:p>
        </w:tc>
        <w:tc>
          <w:tcPr>
            <w:tcW w:w="245" w:type="pct"/>
            <w:vAlign w:val="center"/>
          </w:tcPr>
          <w:p>
            <w:pPr>
              <w:pStyle w:val="13"/>
              <w:ind w:left="-120" w:leftChars="-50" w:right="-120" w:rightChars="-50"/>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Merge w:val="continue"/>
            <w:vAlign w:val="center"/>
          </w:tcPr>
          <w:p>
            <w:pPr>
              <w:pStyle w:val="13"/>
              <w:ind w:left="-120" w:leftChars="-50" w:right="-120" w:rightChars="-50"/>
              <w:rPr>
                <w:rFonts w:cs="Times New Roman"/>
                <w:sz w:val="20"/>
                <w:szCs w:val="20"/>
              </w:rPr>
            </w:pPr>
          </w:p>
        </w:tc>
        <w:tc>
          <w:tcPr>
            <w:tcW w:w="1205" w:type="pct"/>
            <w:gridSpan w:val="2"/>
            <w:vAlign w:val="center"/>
          </w:tcPr>
          <w:p>
            <w:pPr>
              <w:pStyle w:val="13"/>
              <w:ind w:left="-120" w:leftChars="-50" w:right="-120" w:rightChars="-50"/>
              <w:rPr>
                <w:rFonts w:cs="Times New Roman"/>
                <w:sz w:val="20"/>
                <w:szCs w:val="20"/>
              </w:rPr>
            </w:pPr>
            <w:r>
              <w:rPr>
                <w:rFonts w:cs="Times New Roman"/>
                <w:sz w:val="20"/>
                <w:szCs w:val="20"/>
              </w:rPr>
              <w:t>小计</w:t>
            </w:r>
          </w:p>
        </w:tc>
        <w:tc>
          <w:tcPr>
            <w:tcW w:w="189" w:type="pct"/>
            <w:vAlign w:val="center"/>
          </w:tcPr>
          <w:p>
            <w:pPr>
              <w:pStyle w:val="13"/>
              <w:ind w:left="-120" w:leftChars="-50" w:right="-120" w:rightChars="-50"/>
              <w:rPr>
                <w:rFonts w:cs="Times New Roman"/>
                <w:sz w:val="20"/>
                <w:szCs w:val="20"/>
              </w:rPr>
            </w:pPr>
          </w:p>
        </w:tc>
        <w:tc>
          <w:tcPr>
            <w:tcW w:w="259" w:type="pct"/>
            <w:vAlign w:val="center"/>
          </w:tcPr>
          <w:p>
            <w:pPr>
              <w:pStyle w:val="13"/>
              <w:ind w:left="-120" w:leftChars="-50" w:right="-120" w:rightChars="-50"/>
              <w:rPr>
                <w:rFonts w:cs="Times New Roman"/>
                <w:sz w:val="20"/>
                <w:szCs w:val="20"/>
              </w:rPr>
            </w:pPr>
            <w:r>
              <w:rPr>
                <w:rFonts w:cs="Times New Roman"/>
                <w:sz w:val="20"/>
                <w:szCs w:val="20"/>
              </w:rPr>
              <w:t>140</w:t>
            </w:r>
          </w:p>
        </w:tc>
        <w:tc>
          <w:tcPr>
            <w:tcW w:w="245" w:type="pct"/>
            <w:vAlign w:val="center"/>
          </w:tcPr>
          <w:p>
            <w:pPr>
              <w:pStyle w:val="13"/>
              <w:ind w:left="-120" w:leftChars="-50" w:right="-120" w:rightChars="-50"/>
              <w:rPr>
                <w:rFonts w:cs="Times New Roman"/>
                <w:sz w:val="20"/>
                <w:szCs w:val="20"/>
              </w:rPr>
            </w:pPr>
          </w:p>
        </w:tc>
        <w:tc>
          <w:tcPr>
            <w:tcW w:w="242" w:type="pct"/>
            <w:vAlign w:val="center"/>
          </w:tcPr>
          <w:p>
            <w:pPr>
              <w:pStyle w:val="13"/>
              <w:ind w:left="-120" w:leftChars="-50" w:right="-120" w:rightChars="-50"/>
              <w:rPr>
                <w:rFonts w:cs="Times New Roman"/>
                <w:sz w:val="20"/>
                <w:szCs w:val="20"/>
              </w:rPr>
            </w:pPr>
            <w:r>
              <w:rPr>
                <w:rFonts w:cs="Times New Roman"/>
                <w:sz w:val="20"/>
                <w:szCs w:val="20"/>
              </w:rPr>
              <w:t>28</w:t>
            </w:r>
          </w:p>
        </w:tc>
        <w:tc>
          <w:tcPr>
            <w:tcW w:w="465" w:type="pct"/>
            <w:vAlign w:val="center"/>
          </w:tcPr>
          <w:p>
            <w:pPr>
              <w:pStyle w:val="13"/>
              <w:ind w:left="-120" w:leftChars="-50" w:right="-120" w:rightChars="-50"/>
              <w:rPr>
                <w:rFonts w:cs="Times New Roman"/>
                <w:sz w:val="20"/>
                <w:szCs w:val="20"/>
              </w:rPr>
            </w:pPr>
            <w:r>
              <w:rPr>
                <w:rFonts w:cs="Times New Roman"/>
                <w:sz w:val="20"/>
                <w:szCs w:val="20"/>
              </w:rPr>
              <w:t>140</w:t>
            </w:r>
          </w:p>
        </w:tc>
        <w:tc>
          <w:tcPr>
            <w:tcW w:w="283" w:type="pct"/>
            <w:vAlign w:val="center"/>
          </w:tcPr>
          <w:p>
            <w:pPr>
              <w:pStyle w:val="13"/>
              <w:ind w:left="-120" w:leftChars="-50" w:right="-120" w:rightChars="-50"/>
              <w:rPr>
                <w:rFonts w:cs="Times New Roman"/>
                <w:sz w:val="20"/>
                <w:szCs w:val="20"/>
              </w:rPr>
            </w:pPr>
          </w:p>
        </w:tc>
        <w:tc>
          <w:tcPr>
            <w:tcW w:w="233" w:type="pct"/>
            <w:vAlign w:val="center"/>
          </w:tcPr>
          <w:p>
            <w:pPr>
              <w:pStyle w:val="13"/>
              <w:ind w:left="-120" w:leftChars="-50" w:right="-120" w:rightChars="-50"/>
              <w:rPr>
                <w:rFonts w:cs="Times New Roman"/>
                <w:sz w:val="20"/>
                <w:szCs w:val="20"/>
              </w:rPr>
            </w:pPr>
            <w:r>
              <w:rPr>
                <w:rFonts w:cs="Times New Roman"/>
                <w:sz w:val="20"/>
                <w:szCs w:val="20"/>
              </w:rPr>
              <w:t>28</w:t>
            </w:r>
          </w:p>
        </w:tc>
        <w:tc>
          <w:tcPr>
            <w:tcW w:w="283" w:type="pct"/>
            <w:vAlign w:val="center"/>
          </w:tcPr>
          <w:p>
            <w:pPr>
              <w:pStyle w:val="13"/>
              <w:ind w:left="-120" w:leftChars="-50" w:right="-120" w:rightChars="-50"/>
              <w:rPr>
                <w:rFonts w:cs="Times New Roman"/>
                <w:sz w:val="20"/>
                <w:szCs w:val="20"/>
              </w:rPr>
            </w:pPr>
          </w:p>
        </w:tc>
        <w:tc>
          <w:tcPr>
            <w:tcW w:w="285" w:type="pct"/>
            <w:vAlign w:val="center"/>
          </w:tcPr>
          <w:p>
            <w:pPr>
              <w:pStyle w:val="13"/>
              <w:ind w:left="-120" w:leftChars="-50" w:right="-120" w:rightChars="-50"/>
              <w:rPr>
                <w:rFonts w:cs="Times New Roman"/>
                <w:sz w:val="20"/>
                <w:szCs w:val="20"/>
              </w:rPr>
            </w:pPr>
          </w:p>
        </w:tc>
        <w:tc>
          <w:tcPr>
            <w:tcW w:w="283" w:type="pct"/>
            <w:vAlign w:val="center"/>
          </w:tcPr>
          <w:p>
            <w:pPr>
              <w:pStyle w:val="13"/>
              <w:ind w:left="-120" w:leftChars="-50" w:right="-120" w:rightChars="-50"/>
              <w:rPr>
                <w:rFonts w:cs="Times New Roman"/>
                <w:sz w:val="20"/>
                <w:szCs w:val="20"/>
              </w:rPr>
            </w:pPr>
          </w:p>
        </w:tc>
        <w:tc>
          <w:tcPr>
            <w:tcW w:w="263" w:type="pct"/>
            <w:vAlign w:val="center"/>
          </w:tcPr>
          <w:p>
            <w:pPr>
              <w:pStyle w:val="13"/>
              <w:ind w:left="-120" w:leftChars="-50" w:right="-120" w:rightChars="-50"/>
              <w:rPr>
                <w:rFonts w:cs="Times New Roman"/>
                <w:sz w:val="20"/>
                <w:szCs w:val="20"/>
              </w:rPr>
            </w:pPr>
          </w:p>
        </w:tc>
        <w:tc>
          <w:tcPr>
            <w:tcW w:w="259" w:type="pct"/>
            <w:vAlign w:val="center"/>
          </w:tcPr>
          <w:p>
            <w:pPr>
              <w:pStyle w:val="13"/>
              <w:ind w:left="-120" w:leftChars="-50" w:right="-120" w:rightChars="-50"/>
              <w:rPr>
                <w:rFonts w:cs="Times New Roman"/>
                <w:sz w:val="20"/>
                <w:szCs w:val="20"/>
              </w:rPr>
            </w:pPr>
          </w:p>
        </w:tc>
        <w:tc>
          <w:tcPr>
            <w:tcW w:w="245" w:type="pct"/>
            <w:vAlign w:val="center"/>
          </w:tcPr>
          <w:p>
            <w:pPr>
              <w:pStyle w:val="13"/>
              <w:ind w:left="-120" w:leftChars="-50" w:right="-120" w:rightChars="-50"/>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61" w:type="pct"/>
            <w:vMerge w:val="restart"/>
            <w:vAlign w:val="center"/>
          </w:tcPr>
          <w:p>
            <w:pPr>
              <w:pStyle w:val="13"/>
              <w:ind w:left="-120" w:leftChars="-50" w:right="-120" w:rightChars="-50"/>
              <w:rPr>
                <w:rFonts w:cs="Times New Roman"/>
                <w:sz w:val="20"/>
                <w:szCs w:val="20"/>
              </w:rPr>
            </w:pPr>
            <w:r>
              <w:rPr>
                <w:rFonts w:cs="Times New Roman"/>
                <w:sz w:val="20"/>
                <w:szCs w:val="20"/>
              </w:rPr>
              <w:t>线路工程</w:t>
            </w:r>
          </w:p>
        </w:tc>
        <w:tc>
          <w:tcPr>
            <w:tcW w:w="781" w:type="pct"/>
            <w:vMerge w:val="restart"/>
            <w:vAlign w:val="center"/>
          </w:tcPr>
          <w:p>
            <w:pPr>
              <w:pStyle w:val="13"/>
              <w:ind w:left="-120" w:leftChars="-50" w:right="-120" w:rightChars="-50"/>
              <w:rPr>
                <w:rFonts w:cs="Times New Roman"/>
                <w:sz w:val="20"/>
                <w:szCs w:val="20"/>
              </w:rPr>
            </w:pPr>
            <w:r>
              <w:rPr>
                <w:rFonts w:cs="Times New Roman"/>
                <w:sz w:val="20"/>
                <w:szCs w:val="20"/>
              </w:rPr>
              <w:t>玛瑙-正达凯220kV线</w:t>
            </w:r>
          </w:p>
          <w:p>
            <w:pPr>
              <w:pStyle w:val="13"/>
              <w:ind w:left="-120" w:leftChars="-50" w:right="-120" w:rightChars="-50"/>
              <w:rPr>
                <w:rFonts w:cs="Times New Roman"/>
                <w:sz w:val="20"/>
                <w:szCs w:val="20"/>
              </w:rPr>
            </w:pPr>
            <w:r>
              <w:rPr>
                <w:rFonts w:cs="Times New Roman"/>
                <w:sz w:val="20"/>
                <w:szCs w:val="20"/>
              </w:rPr>
              <w:t>路工程</w:t>
            </w:r>
          </w:p>
        </w:tc>
        <w:tc>
          <w:tcPr>
            <w:tcW w:w="424" w:type="pct"/>
            <w:vAlign w:val="center"/>
          </w:tcPr>
          <w:p>
            <w:pPr>
              <w:pStyle w:val="13"/>
              <w:ind w:left="-120" w:leftChars="-50" w:right="-120" w:rightChars="-50"/>
              <w:rPr>
                <w:rFonts w:cs="Times New Roman"/>
                <w:sz w:val="20"/>
                <w:szCs w:val="20"/>
              </w:rPr>
            </w:pPr>
            <w:r>
              <w:rPr>
                <w:rFonts w:hint="eastAsia" w:cs="Times New Roman"/>
                <w:sz w:val="20"/>
                <w:szCs w:val="20"/>
              </w:rPr>
              <w:t>玛瑙</w:t>
            </w:r>
            <w:r>
              <w:rPr>
                <w:rFonts w:cs="Times New Roman"/>
                <w:sz w:val="20"/>
                <w:szCs w:val="20"/>
              </w:rPr>
              <w:t>塔基</w:t>
            </w:r>
            <w:r>
              <w:rPr>
                <w:rFonts w:hint="eastAsia" w:cs="Times New Roman"/>
                <w:sz w:val="20"/>
                <w:szCs w:val="20"/>
              </w:rPr>
              <w:t>及</w:t>
            </w:r>
          </w:p>
          <w:p>
            <w:pPr>
              <w:pStyle w:val="13"/>
              <w:ind w:left="-120" w:leftChars="-50" w:right="-120" w:rightChars="-50"/>
              <w:rPr>
                <w:rFonts w:cs="Times New Roman"/>
                <w:sz w:val="20"/>
                <w:szCs w:val="20"/>
              </w:rPr>
            </w:pPr>
            <w:r>
              <w:rPr>
                <w:rFonts w:hint="eastAsia" w:cs="Times New Roman"/>
                <w:sz w:val="20"/>
                <w:szCs w:val="20"/>
              </w:rPr>
              <w:t>临时</w:t>
            </w:r>
            <w:r>
              <w:rPr>
                <w:rFonts w:cs="Times New Roman"/>
                <w:sz w:val="20"/>
                <w:szCs w:val="20"/>
              </w:rPr>
              <w:t>占地</w:t>
            </w:r>
            <w:r>
              <w:rPr>
                <w:rFonts w:hint="eastAsia" w:cs="Times New Roman"/>
                <w:sz w:val="20"/>
                <w:szCs w:val="20"/>
              </w:rPr>
              <w:t>区</w:t>
            </w:r>
          </w:p>
        </w:tc>
        <w:tc>
          <w:tcPr>
            <w:tcW w:w="189" w:type="pct"/>
            <w:vAlign w:val="center"/>
          </w:tcPr>
          <w:p>
            <w:pPr>
              <w:pStyle w:val="13"/>
              <w:ind w:left="-120" w:leftChars="-50" w:right="-120" w:rightChars="-50"/>
              <w:rPr>
                <w:rFonts w:cs="Times New Roman"/>
                <w:sz w:val="20"/>
                <w:szCs w:val="20"/>
              </w:rPr>
            </w:pPr>
            <w:r>
              <w:rPr>
                <w:rFonts w:cs="Times New Roman"/>
                <w:sz w:val="20"/>
                <w:szCs w:val="20"/>
              </w:rPr>
              <w:t>③</w:t>
            </w:r>
          </w:p>
        </w:tc>
        <w:tc>
          <w:tcPr>
            <w:tcW w:w="259" w:type="pct"/>
            <w:vAlign w:val="center"/>
          </w:tcPr>
          <w:p>
            <w:pPr>
              <w:pStyle w:val="13"/>
              <w:ind w:left="-120" w:leftChars="-50" w:right="-120" w:rightChars="-50"/>
              <w:rPr>
                <w:rFonts w:cs="Times New Roman"/>
                <w:sz w:val="20"/>
                <w:szCs w:val="20"/>
              </w:rPr>
            </w:pPr>
            <w:r>
              <w:rPr>
                <w:rFonts w:cs="Times New Roman"/>
                <w:sz w:val="20"/>
                <w:szCs w:val="20"/>
              </w:rPr>
              <w:t>2588</w:t>
            </w:r>
          </w:p>
        </w:tc>
        <w:tc>
          <w:tcPr>
            <w:tcW w:w="245" w:type="pct"/>
            <w:vAlign w:val="center"/>
          </w:tcPr>
          <w:p>
            <w:pPr>
              <w:pStyle w:val="13"/>
              <w:ind w:left="-120" w:leftChars="-50" w:right="-120" w:rightChars="-50"/>
              <w:rPr>
                <w:rFonts w:cs="Times New Roman"/>
                <w:sz w:val="20"/>
                <w:szCs w:val="20"/>
              </w:rPr>
            </w:pPr>
            <w:r>
              <w:rPr>
                <w:rFonts w:cs="Times New Roman"/>
                <w:sz w:val="20"/>
                <w:szCs w:val="20"/>
              </w:rPr>
              <w:t>10-30</w:t>
            </w:r>
          </w:p>
        </w:tc>
        <w:tc>
          <w:tcPr>
            <w:tcW w:w="242" w:type="pct"/>
            <w:vAlign w:val="center"/>
          </w:tcPr>
          <w:p>
            <w:pPr>
              <w:pStyle w:val="13"/>
              <w:ind w:left="-120" w:leftChars="-50" w:right="-120" w:rightChars="-50"/>
              <w:rPr>
                <w:rFonts w:cs="Times New Roman"/>
                <w:sz w:val="20"/>
                <w:szCs w:val="20"/>
              </w:rPr>
            </w:pPr>
            <w:r>
              <w:rPr>
                <w:rFonts w:cs="Times New Roman"/>
                <w:sz w:val="20"/>
                <w:szCs w:val="20"/>
              </w:rPr>
              <w:t>388</w:t>
            </w:r>
          </w:p>
        </w:tc>
        <w:tc>
          <w:tcPr>
            <w:tcW w:w="465" w:type="pct"/>
            <w:vAlign w:val="center"/>
          </w:tcPr>
          <w:p>
            <w:pPr>
              <w:pStyle w:val="13"/>
              <w:ind w:left="-120" w:leftChars="-50" w:right="-120" w:rightChars="-50"/>
              <w:rPr>
                <w:rFonts w:cs="Times New Roman"/>
                <w:sz w:val="20"/>
                <w:szCs w:val="20"/>
              </w:rPr>
            </w:pPr>
            <w:r>
              <w:rPr>
                <w:rFonts w:cs="Times New Roman"/>
                <w:sz w:val="20"/>
                <w:szCs w:val="20"/>
              </w:rPr>
              <w:t>2588</w:t>
            </w:r>
          </w:p>
        </w:tc>
        <w:tc>
          <w:tcPr>
            <w:tcW w:w="283" w:type="pct"/>
            <w:vAlign w:val="center"/>
          </w:tcPr>
          <w:p>
            <w:pPr>
              <w:pStyle w:val="13"/>
              <w:ind w:left="-120" w:leftChars="-50" w:right="-120" w:rightChars="-50"/>
              <w:rPr>
                <w:rFonts w:cs="Times New Roman"/>
                <w:sz w:val="20"/>
                <w:szCs w:val="20"/>
              </w:rPr>
            </w:pPr>
            <w:r>
              <w:rPr>
                <w:rFonts w:cs="Times New Roman"/>
                <w:sz w:val="20"/>
                <w:szCs w:val="20"/>
              </w:rPr>
              <w:t>10-30</w:t>
            </w:r>
          </w:p>
        </w:tc>
        <w:tc>
          <w:tcPr>
            <w:tcW w:w="233" w:type="pct"/>
            <w:vAlign w:val="center"/>
          </w:tcPr>
          <w:p>
            <w:pPr>
              <w:pStyle w:val="13"/>
              <w:ind w:left="-120" w:leftChars="-50" w:right="-120" w:rightChars="-50"/>
              <w:rPr>
                <w:rFonts w:cs="Times New Roman"/>
                <w:sz w:val="20"/>
                <w:szCs w:val="20"/>
              </w:rPr>
            </w:pPr>
            <w:r>
              <w:rPr>
                <w:rFonts w:cs="Times New Roman"/>
                <w:sz w:val="20"/>
                <w:szCs w:val="20"/>
              </w:rPr>
              <w:t>388</w:t>
            </w:r>
          </w:p>
        </w:tc>
        <w:tc>
          <w:tcPr>
            <w:tcW w:w="283" w:type="pct"/>
            <w:vAlign w:val="center"/>
          </w:tcPr>
          <w:p>
            <w:pPr>
              <w:pStyle w:val="13"/>
              <w:ind w:left="-120" w:leftChars="-50" w:right="-120" w:rightChars="-50"/>
              <w:rPr>
                <w:rFonts w:cs="Times New Roman"/>
                <w:sz w:val="20"/>
                <w:szCs w:val="20"/>
              </w:rPr>
            </w:pPr>
          </w:p>
        </w:tc>
        <w:tc>
          <w:tcPr>
            <w:tcW w:w="285" w:type="pct"/>
            <w:vAlign w:val="center"/>
          </w:tcPr>
          <w:p>
            <w:pPr>
              <w:pStyle w:val="13"/>
              <w:ind w:left="-120" w:leftChars="-50" w:right="-120" w:rightChars="-50"/>
              <w:rPr>
                <w:rFonts w:cs="Times New Roman"/>
                <w:sz w:val="20"/>
                <w:szCs w:val="20"/>
              </w:rPr>
            </w:pPr>
          </w:p>
        </w:tc>
        <w:tc>
          <w:tcPr>
            <w:tcW w:w="283" w:type="pct"/>
            <w:vAlign w:val="center"/>
          </w:tcPr>
          <w:p>
            <w:pPr>
              <w:pStyle w:val="13"/>
              <w:ind w:left="-120" w:leftChars="-50" w:right="-120" w:rightChars="-50"/>
              <w:rPr>
                <w:rFonts w:cs="Times New Roman"/>
                <w:sz w:val="20"/>
                <w:szCs w:val="20"/>
              </w:rPr>
            </w:pPr>
          </w:p>
        </w:tc>
        <w:tc>
          <w:tcPr>
            <w:tcW w:w="263" w:type="pct"/>
            <w:vAlign w:val="center"/>
          </w:tcPr>
          <w:p>
            <w:pPr>
              <w:pStyle w:val="13"/>
              <w:ind w:left="-120" w:leftChars="-50" w:right="-120" w:rightChars="-50"/>
              <w:rPr>
                <w:rFonts w:cs="Times New Roman"/>
                <w:sz w:val="20"/>
                <w:szCs w:val="20"/>
              </w:rPr>
            </w:pPr>
          </w:p>
        </w:tc>
        <w:tc>
          <w:tcPr>
            <w:tcW w:w="259" w:type="pct"/>
            <w:vAlign w:val="center"/>
          </w:tcPr>
          <w:p>
            <w:pPr>
              <w:pStyle w:val="13"/>
              <w:ind w:left="-120" w:leftChars="-50" w:right="-120" w:rightChars="-50"/>
              <w:rPr>
                <w:rFonts w:cs="Times New Roman"/>
                <w:sz w:val="20"/>
                <w:szCs w:val="20"/>
              </w:rPr>
            </w:pPr>
          </w:p>
        </w:tc>
        <w:tc>
          <w:tcPr>
            <w:tcW w:w="245" w:type="pct"/>
            <w:vAlign w:val="center"/>
          </w:tcPr>
          <w:p>
            <w:pPr>
              <w:pStyle w:val="13"/>
              <w:ind w:left="-120" w:leftChars="-50" w:right="-120" w:rightChars="-50"/>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61" w:type="pct"/>
            <w:vMerge w:val="continue"/>
            <w:vAlign w:val="center"/>
          </w:tcPr>
          <w:p>
            <w:pPr>
              <w:pStyle w:val="13"/>
              <w:ind w:left="-120" w:leftChars="-50" w:right="-120" w:rightChars="-50"/>
              <w:rPr>
                <w:rFonts w:cs="Times New Roman"/>
                <w:sz w:val="20"/>
                <w:szCs w:val="20"/>
              </w:rPr>
            </w:pPr>
          </w:p>
        </w:tc>
        <w:tc>
          <w:tcPr>
            <w:tcW w:w="781" w:type="pct"/>
            <w:vMerge w:val="continue"/>
            <w:vAlign w:val="center"/>
          </w:tcPr>
          <w:p>
            <w:pPr>
              <w:pStyle w:val="13"/>
              <w:ind w:left="-120" w:leftChars="-50" w:right="-120" w:rightChars="-50"/>
              <w:rPr>
                <w:rFonts w:cs="Times New Roman"/>
                <w:sz w:val="20"/>
                <w:szCs w:val="20"/>
              </w:rPr>
            </w:pPr>
          </w:p>
        </w:tc>
        <w:tc>
          <w:tcPr>
            <w:tcW w:w="424" w:type="pct"/>
            <w:vAlign w:val="center"/>
          </w:tcPr>
          <w:p>
            <w:pPr>
              <w:pStyle w:val="13"/>
              <w:ind w:left="-120" w:leftChars="-50" w:right="-120" w:rightChars="-50"/>
              <w:rPr>
                <w:rFonts w:cs="Times New Roman"/>
                <w:sz w:val="20"/>
                <w:szCs w:val="20"/>
              </w:rPr>
            </w:pPr>
            <w:r>
              <w:rPr>
                <w:rFonts w:hint="eastAsia" w:cs="Times New Roman"/>
                <w:sz w:val="20"/>
                <w:szCs w:val="20"/>
              </w:rPr>
              <w:t>玛瑙</w:t>
            </w:r>
            <w:r>
              <w:rPr>
                <w:rFonts w:cs="Times New Roman"/>
                <w:sz w:val="20"/>
                <w:szCs w:val="20"/>
              </w:rPr>
              <w:t>施工便</w:t>
            </w:r>
          </w:p>
          <w:p>
            <w:pPr>
              <w:pStyle w:val="13"/>
              <w:ind w:left="-120" w:leftChars="-50" w:right="-120" w:rightChars="-50"/>
              <w:rPr>
                <w:rFonts w:cs="Times New Roman"/>
                <w:sz w:val="20"/>
                <w:szCs w:val="20"/>
              </w:rPr>
            </w:pPr>
            <w:r>
              <w:rPr>
                <w:rFonts w:cs="Times New Roman"/>
                <w:sz w:val="20"/>
                <w:szCs w:val="20"/>
              </w:rPr>
              <w:t>道</w:t>
            </w:r>
            <w:r>
              <w:rPr>
                <w:rFonts w:hint="eastAsia" w:cs="Times New Roman"/>
                <w:sz w:val="20"/>
                <w:szCs w:val="20"/>
              </w:rPr>
              <w:t>区</w:t>
            </w:r>
          </w:p>
        </w:tc>
        <w:tc>
          <w:tcPr>
            <w:tcW w:w="189" w:type="pct"/>
            <w:vAlign w:val="center"/>
          </w:tcPr>
          <w:p>
            <w:pPr>
              <w:pStyle w:val="13"/>
              <w:ind w:left="-120" w:leftChars="-50" w:right="-120" w:rightChars="-50"/>
              <w:rPr>
                <w:rFonts w:cs="Times New Roman"/>
                <w:sz w:val="20"/>
                <w:szCs w:val="20"/>
              </w:rPr>
            </w:pPr>
            <w:r>
              <w:rPr>
                <w:rFonts w:cs="Times New Roman"/>
                <w:sz w:val="20"/>
                <w:szCs w:val="20"/>
              </w:rPr>
              <w:t>④</w:t>
            </w:r>
          </w:p>
        </w:tc>
        <w:tc>
          <w:tcPr>
            <w:tcW w:w="259" w:type="pct"/>
            <w:vAlign w:val="center"/>
          </w:tcPr>
          <w:p>
            <w:pPr>
              <w:pStyle w:val="13"/>
              <w:ind w:left="-120" w:leftChars="-50" w:right="-120" w:rightChars="-50"/>
              <w:rPr>
                <w:rFonts w:cs="Times New Roman"/>
                <w:sz w:val="20"/>
                <w:szCs w:val="20"/>
              </w:rPr>
            </w:pPr>
            <w:r>
              <w:rPr>
                <w:rFonts w:cs="Times New Roman"/>
                <w:sz w:val="20"/>
                <w:szCs w:val="20"/>
              </w:rPr>
              <w:t>480</w:t>
            </w:r>
          </w:p>
        </w:tc>
        <w:tc>
          <w:tcPr>
            <w:tcW w:w="245" w:type="pct"/>
            <w:vAlign w:val="center"/>
          </w:tcPr>
          <w:p>
            <w:pPr>
              <w:pStyle w:val="13"/>
              <w:ind w:left="-120" w:leftChars="-50" w:right="-120" w:rightChars="-50"/>
              <w:rPr>
                <w:rFonts w:cs="Times New Roman"/>
                <w:sz w:val="20"/>
                <w:szCs w:val="20"/>
              </w:rPr>
            </w:pPr>
            <w:r>
              <w:rPr>
                <w:rFonts w:cs="Times New Roman"/>
                <w:sz w:val="20"/>
                <w:szCs w:val="20"/>
              </w:rPr>
              <w:t>30</w:t>
            </w:r>
          </w:p>
        </w:tc>
        <w:tc>
          <w:tcPr>
            <w:tcW w:w="242" w:type="pct"/>
            <w:vAlign w:val="center"/>
          </w:tcPr>
          <w:p>
            <w:pPr>
              <w:pStyle w:val="13"/>
              <w:ind w:left="-120" w:leftChars="-50" w:right="-120" w:rightChars="-50"/>
              <w:rPr>
                <w:rFonts w:cs="Times New Roman"/>
                <w:sz w:val="20"/>
                <w:szCs w:val="20"/>
              </w:rPr>
            </w:pPr>
            <w:r>
              <w:rPr>
                <w:rFonts w:cs="Times New Roman"/>
                <w:sz w:val="20"/>
                <w:szCs w:val="20"/>
              </w:rPr>
              <w:t>144</w:t>
            </w:r>
          </w:p>
        </w:tc>
        <w:tc>
          <w:tcPr>
            <w:tcW w:w="465" w:type="pct"/>
            <w:vAlign w:val="center"/>
          </w:tcPr>
          <w:p>
            <w:pPr>
              <w:pStyle w:val="13"/>
              <w:ind w:left="-120" w:leftChars="-50" w:right="-120" w:rightChars="-50"/>
              <w:rPr>
                <w:rFonts w:cs="Times New Roman"/>
                <w:sz w:val="20"/>
                <w:szCs w:val="20"/>
              </w:rPr>
            </w:pPr>
            <w:r>
              <w:rPr>
                <w:rFonts w:cs="Times New Roman"/>
                <w:sz w:val="20"/>
                <w:szCs w:val="20"/>
              </w:rPr>
              <w:t>480</w:t>
            </w:r>
          </w:p>
        </w:tc>
        <w:tc>
          <w:tcPr>
            <w:tcW w:w="283" w:type="pct"/>
            <w:vAlign w:val="center"/>
          </w:tcPr>
          <w:p>
            <w:pPr>
              <w:pStyle w:val="13"/>
              <w:ind w:left="-120" w:leftChars="-50" w:right="-120" w:rightChars="-50"/>
              <w:rPr>
                <w:rFonts w:cs="Times New Roman"/>
                <w:sz w:val="20"/>
                <w:szCs w:val="20"/>
              </w:rPr>
            </w:pPr>
            <w:r>
              <w:rPr>
                <w:rFonts w:cs="Times New Roman"/>
                <w:sz w:val="20"/>
                <w:szCs w:val="20"/>
              </w:rPr>
              <w:t>30</w:t>
            </w:r>
          </w:p>
        </w:tc>
        <w:tc>
          <w:tcPr>
            <w:tcW w:w="233" w:type="pct"/>
            <w:vAlign w:val="center"/>
          </w:tcPr>
          <w:p>
            <w:pPr>
              <w:pStyle w:val="13"/>
              <w:ind w:left="-120" w:leftChars="-50" w:right="-120" w:rightChars="-50"/>
              <w:rPr>
                <w:rFonts w:cs="Times New Roman"/>
                <w:sz w:val="20"/>
                <w:szCs w:val="20"/>
              </w:rPr>
            </w:pPr>
            <w:r>
              <w:rPr>
                <w:rFonts w:cs="Times New Roman"/>
                <w:sz w:val="20"/>
                <w:szCs w:val="20"/>
              </w:rPr>
              <w:t>144</w:t>
            </w:r>
          </w:p>
        </w:tc>
        <w:tc>
          <w:tcPr>
            <w:tcW w:w="283" w:type="pct"/>
            <w:vAlign w:val="center"/>
          </w:tcPr>
          <w:p>
            <w:pPr>
              <w:pStyle w:val="13"/>
              <w:ind w:left="-120" w:leftChars="-50" w:right="-120" w:rightChars="-50"/>
              <w:rPr>
                <w:rFonts w:cs="Times New Roman"/>
                <w:sz w:val="20"/>
                <w:szCs w:val="20"/>
              </w:rPr>
            </w:pPr>
          </w:p>
        </w:tc>
        <w:tc>
          <w:tcPr>
            <w:tcW w:w="285" w:type="pct"/>
            <w:vAlign w:val="center"/>
          </w:tcPr>
          <w:p>
            <w:pPr>
              <w:pStyle w:val="13"/>
              <w:ind w:left="-120" w:leftChars="-50" w:right="-120" w:rightChars="-50"/>
              <w:rPr>
                <w:rFonts w:cs="Times New Roman"/>
                <w:sz w:val="20"/>
                <w:szCs w:val="20"/>
              </w:rPr>
            </w:pPr>
          </w:p>
        </w:tc>
        <w:tc>
          <w:tcPr>
            <w:tcW w:w="283" w:type="pct"/>
            <w:vAlign w:val="center"/>
          </w:tcPr>
          <w:p>
            <w:pPr>
              <w:pStyle w:val="13"/>
              <w:ind w:left="-120" w:leftChars="-50" w:right="-120" w:rightChars="-50"/>
              <w:rPr>
                <w:rFonts w:cs="Times New Roman"/>
                <w:sz w:val="20"/>
                <w:szCs w:val="20"/>
              </w:rPr>
            </w:pPr>
          </w:p>
        </w:tc>
        <w:tc>
          <w:tcPr>
            <w:tcW w:w="263" w:type="pct"/>
            <w:vAlign w:val="center"/>
          </w:tcPr>
          <w:p>
            <w:pPr>
              <w:pStyle w:val="13"/>
              <w:ind w:left="-120" w:leftChars="-50" w:right="-120" w:rightChars="-50"/>
              <w:rPr>
                <w:rFonts w:cs="Times New Roman"/>
                <w:sz w:val="20"/>
                <w:szCs w:val="20"/>
              </w:rPr>
            </w:pPr>
          </w:p>
        </w:tc>
        <w:tc>
          <w:tcPr>
            <w:tcW w:w="259" w:type="pct"/>
            <w:vAlign w:val="center"/>
          </w:tcPr>
          <w:p>
            <w:pPr>
              <w:pStyle w:val="13"/>
              <w:ind w:left="-120" w:leftChars="-50" w:right="-120" w:rightChars="-50"/>
              <w:rPr>
                <w:rFonts w:cs="Times New Roman"/>
                <w:sz w:val="20"/>
                <w:szCs w:val="20"/>
              </w:rPr>
            </w:pPr>
          </w:p>
        </w:tc>
        <w:tc>
          <w:tcPr>
            <w:tcW w:w="245" w:type="pct"/>
            <w:vAlign w:val="center"/>
          </w:tcPr>
          <w:p>
            <w:pPr>
              <w:pStyle w:val="13"/>
              <w:ind w:left="-120" w:leftChars="-50" w:right="-120" w:rightChars="-50"/>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1" w:type="pct"/>
            <w:vMerge w:val="continue"/>
            <w:vAlign w:val="center"/>
          </w:tcPr>
          <w:p>
            <w:pPr>
              <w:pStyle w:val="13"/>
              <w:ind w:left="-120" w:leftChars="-50" w:right="-120" w:rightChars="-50"/>
              <w:rPr>
                <w:rFonts w:cs="Times New Roman"/>
                <w:sz w:val="20"/>
                <w:szCs w:val="20"/>
              </w:rPr>
            </w:pPr>
          </w:p>
        </w:tc>
        <w:tc>
          <w:tcPr>
            <w:tcW w:w="781" w:type="pct"/>
            <w:vMerge w:val="restart"/>
            <w:vAlign w:val="center"/>
          </w:tcPr>
          <w:p>
            <w:pPr>
              <w:pStyle w:val="13"/>
              <w:ind w:left="-120" w:leftChars="-50" w:right="-120" w:rightChars="-50"/>
              <w:rPr>
                <w:rFonts w:cs="Times New Roman"/>
                <w:sz w:val="20"/>
                <w:szCs w:val="20"/>
              </w:rPr>
            </w:pPr>
            <w:r>
              <w:rPr>
                <w:rFonts w:cs="Times New Roman"/>
                <w:sz w:val="20"/>
                <w:szCs w:val="20"/>
              </w:rPr>
              <w:t>芭蕉-正达凯220kV线</w:t>
            </w:r>
          </w:p>
          <w:p>
            <w:pPr>
              <w:pStyle w:val="13"/>
              <w:ind w:left="-120" w:leftChars="-50" w:right="-120" w:rightChars="-50"/>
              <w:rPr>
                <w:rFonts w:cs="Times New Roman"/>
                <w:sz w:val="20"/>
                <w:szCs w:val="20"/>
              </w:rPr>
            </w:pPr>
            <w:r>
              <w:rPr>
                <w:rFonts w:cs="Times New Roman"/>
                <w:sz w:val="20"/>
                <w:szCs w:val="20"/>
              </w:rPr>
              <w:t>路工程</w:t>
            </w:r>
          </w:p>
        </w:tc>
        <w:tc>
          <w:tcPr>
            <w:tcW w:w="424" w:type="pct"/>
            <w:vAlign w:val="center"/>
          </w:tcPr>
          <w:p>
            <w:pPr>
              <w:pStyle w:val="13"/>
              <w:ind w:left="-120" w:leftChars="-50" w:right="-120" w:rightChars="-50"/>
              <w:rPr>
                <w:rFonts w:cs="Times New Roman"/>
                <w:sz w:val="20"/>
                <w:szCs w:val="20"/>
              </w:rPr>
            </w:pPr>
            <w:r>
              <w:rPr>
                <w:rFonts w:hint="eastAsia" w:cs="Times New Roman"/>
                <w:sz w:val="20"/>
                <w:szCs w:val="20"/>
              </w:rPr>
              <w:t>芭蕉</w:t>
            </w:r>
            <w:r>
              <w:rPr>
                <w:rFonts w:cs="Times New Roman"/>
                <w:sz w:val="20"/>
                <w:szCs w:val="20"/>
              </w:rPr>
              <w:t>塔基</w:t>
            </w:r>
            <w:r>
              <w:rPr>
                <w:rFonts w:hint="eastAsia" w:cs="Times New Roman"/>
                <w:sz w:val="20"/>
                <w:szCs w:val="20"/>
              </w:rPr>
              <w:t>及</w:t>
            </w:r>
          </w:p>
          <w:p>
            <w:pPr>
              <w:pStyle w:val="13"/>
              <w:ind w:left="-120" w:leftChars="-50" w:right="-120" w:rightChars="-50"/>
              <w:rPr>
                <w:rFonts w:cs="Times New Roman"/>
                <w:sz w:val="20"/>
                <w:szCs w:val="20"/>
              </w:rPr>
            </w:pPr>
            <w:r>
              <w:rPr>
                <w:rFonts w:hint="eastAsia" w:cs="Times New Roman"/>
                <w:sz w:val="20"/>
                <w:szCs w:val="20"/>
              </w:rPr>
              <w:t>临时</w:t>
            </w:r>
            <w:r>
              <w:rPr>
                <w:rFonts w:cs="Times New Roman"/>
                <w:sz w:val="20"/>
                <w:szCs w:val="20"/>
              </w:rPr>
              <w:t>占地</w:t>
            </w:r>
            <w:r>
              <w:rPr>
                <w:rFonts w:hint="eastAsia" w:cs="Times New Roman"/>
                <w:sz w:val="20"/>
                <w:szCs w:val="20"/>
              </w:rPr>
              <w:t>区</w:t>
            </w:r>
          </w:p>
        </w:tc>
        <w:tc>
          <w:tcPr>
            <w:tcW w:w="189" w:type="pct"/>
            <w:vAlign w:val="center"/>
          </w:tcPr>
          <w:p>
            <w:pPr>
              <w:pStyle w:val="13"/>
              <w:ind w:left="-120" w:leftChars="-50" w:right="-120" w:rightChars="-50"/>
              <w:rPr>
                <w:rFonts w:cs="Times New Roman"/>
                <w:sz w:val="20"/>
                <w:szCs w:val="20"/>
              </w:rPr>
            </w:pPr>
            <w:r>
              <w:rPr>
                <w:rFonts w:cs="Times New Roman"/>
                <w:sz w:val="20"/>
                <w:szCs w:val="20"/>
              </w:rPr>
              <w:t>⑤</w:t>
            </w:r>
          </w:p>
        </w:tc>
        <w:tc>
          <w:tcPr>
            <w:tcW w:w="259" w:type="pct"/>
            <w:vAlign w:val="center"/>
          </w:tcPr>
          <w:p>
            <w:pPr>
              <w:pStyle w:val="13"/>
              <w:ind w:left="-120" w:leftChars="-50" w:right="-120" w:rightChars="-50"/>
              <w:rPr>
                <w:rFonts w:cs="Times New Roman"/>
                <w:sz w:val="20"/>
                <w:szCs w:val="20"/>
              </w:rPr>
            </w:pPr>
            <w:r>
              <w:rPr>
                <w:rFonts w:cs="Times New Roman"/>
                <w:sz w:val="20"/>
                <w:szCs w:val="20"/>
              </w:rPr>
              <w:t>6932</w:t>
            </w:r>
          </w:p>
        </w:tc>
        <w:tc>
          <w:tcPr>
            <w:tcW w:w="245" w:type="pct"/>
            <w:vAlign w:val="center"/>
          </w:tcPr>
          <w:p>
            <w:pPr>
              <w:pStyle w:val="13"/>
              <w:ind w:left="-120" w:leftChars="-50" w:right="-120" w:rightChars="-50"/>
              <w:rPr>
                <w:rFonts w:cs="Times New Roman"/>
                <w:sz w:val="20"/>
                <w:szCs w:val="20"/>
              </w:rPr>
            </w:pPr>
            <w:r>
              <w:rPr>
                <w:rFonts w:cs="Times New Roman"/>
                <w:sz w:val="20"/>
                <w:szCs w:val="20"/>
              </w:rPr>
              <w:t>10-30</w:t>
            </w:r>
          </w:p>
        </w:tc>
        <w:tc>
          <w:tcPr>
            <w:tcW w:w="242" w:type="pct"/>
            <w:vAlign w:val="center"/>
          </w:tcPr>
          <w:p>
            <w:pPr>
              <w:pStyle w:val="13"/>
              <w:ind w:left="-120" w:leftChars="-50" w:right="-120" w:rightChars="-50"/>
              <w:rPr>
                <w:rFonts w:cs="Times New Roman"/>
                <w:sz w:val="20"/>
                <w:szCs w:val="20"/>
              </w:rPr>
            </w:pPr>
            <w:r>
              <w:rPr>
                <w:rFonts w:hint="eastAsia" w:cs="Times New Roman"/>
                <w:sz w:val="20"/>
                <w:szCs w:val="20"/>
              </w:rPr>
              <w:t>1</w:t>
            </w:r>
            <w:r>
              <w:rPr>
                <w:rFonts w:cs="Times New Roman"/>
                <w:sz w:val="20"/>
                <w:szCs w:val="20"/>
              </w:rPr>
              <w:t>040</w:t>
            </w:r>
          </w:p>
        </w:tc>
        <w:tc>
          <w:tcPr>
            <w:tcW w:w="465" w:type="pct"/>
            <w:vAlign w:val="center"/>
          </w:tcPr>
          <w:p>
            <w:pPr>
              <w:pStyle w:val="13"/>
              <w:ind w:left="-120" w:leftChars="-50" w:right="-120" w:rightChars="-50"/>
              <w:rPr>
                <w:rFonts w:cs="Times New Roman"/>
                <w:sz w:val="20"/>
                <w:szCs w:val="20"/>
              </w:rPr>
            </w:pPr>
            <w:r>
              <w:rPr>
                <w:rFonts w:cs="Times New Roman"/>
                <w:sz w:val="20"/>
                <w:szCs w:val="20"/>
              </w:rPr>
              <w:t>6932</w:t>
            </w:r>
          </w:p>
        </w:tc>
        <w:tc>
          <w:tcPr>
            <w:tcW w:w="283" w:type="pct"/>
            <w:vAlign w:val="center"/>
          </w:tcPr>
          <w:p>
            <w:pPr>
              <w:pStyle w:val="13"/>
              <w:ind w:left="-120" w:leftChars="-50" w:right="-120" w:rightChars="-50"/>
              <w:rPr>
                <w:rFonts w:cs="Times New Roman"/>
                <w:sz w:val="20"/>
                <w:szCs w:val="20"/>
              </w:rPr>
            </w:pPr>
            <w:r>
              <w:rPr>
                <w:rFonts w:cs="Times New Roman"/>
                <w:sz w:val="20"/>
                <w:szCs w:val="20"/>
              </w:rPr>
              <w:t>10-30</w:t>
            </w:r>
          </w:p>
        </w:tc>
        <w:tc>
          <w:tcPr>
            <w:tcW w:w="233" w:type="pct"/>
            <w:vAlign w:val="center"/>
          </w:tcPr>
          <w:p>
            <w:pPr>
              <w:pStyle w:val="13"/>
              <w:ind w:left="-120" w:leftChars="-50" w:right="-120" w:rightChars="-50"/>
              <w:rPr>
                <w:rFonts w:cs="Times New Roman"/>
                <w:sz w:val="20"/>
                <w:szCs w:val="20"/>
              </w:rPr>
            </w:pPr>
            <w:r>
              <w:rPr>
                <w:rFonts w:cs="Times New Roman"/>
                <w:sz w:val="20"/>
                <w:szCs w:val="20"/>
              </w:rPr>
              <w:t>1040</w:t>
            </w:r>
          </w:p>
        </w:tc>
        <w:tc>
          <w:tcPr>
            <w:tcW w:w="283" w:type="pct"/>
            <w:vAlign w:val="center"/>
          </w:tcPr>
          <w:p>
            <w:pPr>
              <w:pStyle w:val="13"/>
              <w:ind w:left="-120" w:leftChars="-50" w:right="-120" w:rightChars="-50"/>
              <w:rPr>
                <w:rFonts w:cs="Times New Roman"/>
                <w:sz w:val="20"/>
                <w:szCs w:val="20"/>
              </w:rPr>
            </w:pPr>
          </w:p>
        </w:tc>
        <w:tc>
          <w:tcPr>
            <w:tcW w:w="285" w:type="pct"/>
            <w:vAlign w:val="center"/>
          </w:tcPr>
          <w:p>
            <w:pPr>
              <w:pStyle w:val="13"/>
              <w:ind w:left="-120" w:leftChars="-50" w:right="-120" w:rightChars="-50"/>
              <w:rPr>
                <w:rFonts w:cs="Times New Roman"/>
                <w:sz w:val="20"/>
                <w:szCs w:val="20"/>
              </w:rPr>
            </w:pPr>
          </w:p>
        </w:tc>
        <w:tc>
          <w:tcPr>
            <w:tcW w:w="283" w:type="pct"/>
            <w:vAlign w:val="center"/>
          </w:tcPr>
          <w:p>
            <w:pPr>
              <w:pStyle w:val="13"/>
              <w:ind w:left="-120" w:leftChars="-50" w:right="-120" w:rightChars="-50"/>
              <w:rPr>
                <w:rFonts w:cs="Times New Roman"/>
                <w:sz w:val="20"/>
                <w:szCs w:val="20"/>
              </w:rPr>
            </w:pPr>
          </w:p>
        </w:tc>
        <w:tc>
          <w:tcPr>
            <w:tcW w:w="263" w:type="pct"/>
            <w:vAlign w:val="center"/>
          </w:tcPr>
          <w:p>
            <w:pPr>
              <w:pStyle w:val="13"/>
              <w:ind w:left="-120" w:leftChars="-50" w:right="-120" w:rightChars="-50"/>
              <w:rPr>
                <w:rFonts w:cs="Times New Roman"/>
                <w:sz w:val="20"/>
                <w:szCs w:val="20"/>
              </w:rPr>
            </w:pPr>
          </w:p>
        </w:tc>
        <w:tc>
          <w:tcPr>
            <w:tcW w:w="259" w:type="pct"/>
            <w:vAlign w:val="center"/>
          </w:tcPr>
          <w:p>
            <w:pPr>
              <w:pStyle w:val="13"/>
              <w:ind w:left="-120" w:leftChars="-50" w:right="-120" w:rightChars="-50"/>
              <w:rPr>
                <w:rFonts w:cs="Times New Roman"/>
                <w:sz w:val="20"/>
                <w:szCs w:val="20"/>
              </w:rPr>
            </w:pPr>
          </w:p>
        </w:tc>
        <w:tc>
          <w:tcPr>
            <w:tcW w:w="245" w:type="pct"/>
            <w:vAlign w:val="center"/>
          </w:tcPr>
          <w:p>
            <w:pPr>
              <w:pStyle w:val="13"/>
              <w:ind w:left="-120" w:leftChars="-50" w:right="-120" w:rightChars="-50"/>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Merge w:val="continue"/>
            <w:vAlign w:val="center"/>
          </w:tcPr>
          <w:p>
            <w:pPr>
              <w:pStyle w:val="13"/>
              <w:ind w:left="-120" w:leftChars="-50" w:right="-120" w:rightChars="-50"/>
              <w:rPr>
                <w:rFonts w:cs="Times New Roman"/>
                <w:sz w:val="20"/>
                <w:szCs w:val="20"/>
              </w:rPr>
            </w:pPr>
          </w:p>
        </w:tc>
        <w:tc>
          <w:tcPr>
            <w:tcW w:w="781" w:type="pct"/>
            <w:vMerge w:val="continue"/>
            <w:vAlign w:val="center"/>
          </w:tcPr>
          <w:p>
            <w:pPr>
              <w:pStyle w:val="13"/>
              <w:ind w:left="-120" w:leftChars="-50" w:right="-120" w:rightChars="-50"/>
              <w:rPr>
                <w:rFonts w:cs="Times New Roman"/>
                <w:sz w:val="20"/>
                <w:szCs w:val="20"/>
              </w:rPr>
            </w:pPr>
          </w:p>
        </w:tc>
        <w:tc>
          <w:tcPr>
            <w:tcW w:w="424" w:type="pct"/>
            <w:vAlign w:val="center"/>
          </w:tcPr>
          <w:p>
            <w:pPr>
              <w:pStyle w:val="13"/>
              <w:ind w:left="-120" w:leftChars="-50" w:right="-120" w:rightChars="-50"/>
              <w:rPr>
                <w:rFonts w:cs="Times New Roman"/>
                <w:sz w:val="20"/>
                <w:szCs w:val="20"/>
              </w:rPr>
            </w:pPr>
            <w:r>
              <w:rPr>
                <w:rFonts w:hint="eastAsia" w:cs="Times New Roman"/>
                <w:sz w:val="20"/>
                <w:szCs w:val="20"/>
              </w:rPr>
              <w:t>芭蕉</w:t>
            </w:r>
            <w:r>
              <w:rPr>
                <w:rFonts w:cs="Times New Roman"/>
                <w:sz w:val="20"/>
                <w:szCs w:val="20"/>
              </w:rPr>
              <w:t>电缆工</w:t>
            </w:r>
          </w:p>
          <w:p>
            <w:pPr>
              <w:pStyle w:val="13"/>
              <w:ind w:left="-120" w:leftChars="-50" w:right="-120" w:rightChars="-50"/>
              <w:rPr>
                <w:rFonts w:cs="Times New Roman"/>
                <w:sz w:val="20"/>
                <w:szCs w:val="20"/>
              </w:rPr>
            </w:pPr>
            <w:r>
              <w:rPr>
                <w:rFonts w:cs="Times New Roman"/>
                <w:sz w:val="20"/>
                <w:szCs w:val="20"/>
              </w:rPr>
              <w:t>程</w:t>
            </w:r>
            <w:r>
              <w:rPr>
                <w:rFonts w:hint="eastAsia" w:cs="Times New Roman"/>
                <w:sz w:val="20"/>
                <w:szCs w:val="20"/>
              </w:rPr>
              <w:t>区</w:t>
            </w:r>
          </w:p>
        </w:tc>
        <w:tc>
          <w:tcPr>
            <w:tcW w:w="189" w:type="pct"/>
            <w:vAlign w:val="center"/>
          </w:tcPr>
          <w:p>
            <w:pPr>
              <w:pStyle w:val="13"/>
              <w:ind w:left="-120" w:leftChars="-50" w:right="-120" w:rightChars="-50"/>
              <w:rPr>
                <w:rFonts w:cs="Times New Roman"/>
                <w:sz w:val="20"/>
                <w:szCs w:val="20"/>
              </w:rPr>
            </w:pPr>
            <w:r>
              <w:rPr>
                <w:rFonts w:cs="Times New Roman"/>
                <w:sz w:val="20"/>
                <w:szCs w:val="20"/>
              </w:rPr>
              <w:t>⑥</w:t>
            </w:r>
          </w:p>
        </w:tc>
        <w:tc>
          <w:tcPr>
            <w:tcW w:w="259" w:type="pct"/>
            <w:vAlign w:val="center"/>
          </w:tcPr>
          <w:p>
            <w:pPr>
              <w:pStyle w:val="13"/>
              <w:ind w:left="-120" w:leftChars="-50" w:right="-120" w:rightChars="-50"/>
              <w:rPr>
                <w:rFonts w:cs="Times New Roman"/>
                <w:sz w:val="20"/>
                <w:szCs w:val="20"/>
              </w:rPr>
            </w:pPr>
            <w:r>
              <w:rPr>
                <w:rFonts w:cs="Times New Roman"/>
                <w:sz w:val="20"/>
                <w:szCs w:val="20"/>
              </w:rPr>
              <w:t>240</w:t>
            </w:r>
          </w:p>
        </w:tc>
        <w:tc>
          <w:tcPr>
            <w:tcW w:w="245" w:type="pct"/>
            <w:vAlign w:val="center"/>
          </w:tcPr>
          <w:p>
            <w:pPr>
              <w:pStyle w:val="13"/>
              <w:ind w:left="-120" w:leftChars="-50" w:right="-120" w:rightChars="-50"/>
              <w:rPr>
                <w:rFonts w:cs="Times New Roman"/>
                <w:sz w:val="20"/>
                <w:szCs w:val="20"/>
              </w:rPr>
            </w:pPr>
            <w:r>
              <w:rPr>
                <w:rFonts w:cs="Times New Roman"/>
                <w:sz w:val="20"/>
                <w:szCs w:val="20"/>
              </w:rPr>
              <w:t>30</w:t>
            </w:r>
          </w:p>
        </w:tc>
        <w:tc>
          <w:tcPr>
            <w:tcW w:w="242" w:type="pct"/>
            <w:vAlign w:val="center"/>
          </w:tcPr>
          <w:p>
            <w:pPr>
              <w:pStyle w:val="13"/>
              <w:ind w:left="-120" w:leftChars="-50" w:right="-120" w:rightChars="-50"/>
              <w:rPr>
                <w:rFonts w:cs="Times New Roman"/>
                <w:sz w:val="20"/>
                <w:szCs w:val="20"/>
              </w:rPr>
            </w:pPr>
            <w:r>
              <w:rPr>
                <w:rFonts w:cs="Times New Roman"/>
                <w:sz w:val="20"/>
                <w:szCs w:val="20"/>
              </w:rPr>
              <w:t>72</w:t>
            </w:r>
          </w:p>
        </w:tc>
        <w:tc>
          <w:tcPr>
            <w:tcW w:w="465" w:type="pct"/>
            <w:vAlign w:val="center"/>
          </w:tcPr>
          <w:p>
            <w:pPr>
              <w:pStyle w:val="13"/>
              <w:ind w:left="-120" w:leftChars="-50" w:right="-120" w:rightChars="-50"/>
              <w:rPr>
                <w:rFonts w:cs="Times New Roman"/>
                <w:sz w:val="20"/>
                <w:szCs w:val="20"/>
              </w:rPr>
            </w:pPr>
            <w:r>
              <w:rPr>
                <w:rFonts w:cs="Times New Roman"/>
                <w:sz w:val="20"/>
                <w:szCs w:val="20"/>
              </w:rPr>
              <w:t>240</w:t>
            </w:r>
          </w:p>
        </w:tc>
        <w:tc>
          <w:tcPr>
            <w:tcW w:w="283" w:type="pct"/>
            <w:vAlign w:val="center"/>
          </w:tcPr>
          <w:p>
            <w:pPr>
              <w:pStyle w:val="13"/>
              <w:ind w:left="-120" w:leftChars="-50" w:right="-120" w:rightChars="-50"/>
              <w:rPr>
                <w:rFonts w:cs="Times New Roman"/>
                <w:sz w:val="20"/>
                <w:szCs w:val="20"/>
              </w:rPr>
            </w:pPr>
            <w:r>
              <w:rPr>
                <w:rFonts w:cs="Times New Roman"/>
                <w:sz w:val="20"/>
                <w:szCs w:val="20"/>
              </w:rPr>
              <w:t>30</w:t>
            </w:r>
          </w:p>
        </w:tc>
        <w:tc>
          <w:tcPr>
            <w:tcW w:w="233" w:type="pct"/>
            <w:vAlign w:val="center"/>
          </w:tcPr>
          <w:p>
            <w:pPr>
              <w:pStyle w:val="13"/>
              <w:ind w:left="-120" w:leftChars="-50" w:right="-120" w:rightChars="-50"/>
              <w:rPr>
                <w:rFonts w:cs="Times New Roman"/>
                <w:sz w:val="20"/>
                <w:szCs w:val="20"/>
              </w:rPr>
            </w:pPr>
            <w:r>
              <w:rPr>
                <w:rFonts w:cs="Times New Roman"/>
                <w:sz w:val="20"/>
                <w:szCs w:val="20"/>
              </w:rPr>
              <w:t>72</w:t>
            </w:r>
          </w:p>
        </w:tc>
        <w:tc>
          <w:tcPr>
            <w:tcW w:w="283" w:type="pct"/>
            <w:vAlign w:val="center"/>
          </w:tcPr>
          <w:p>
            <w:pPr>
              <w:pStyle w:val="13"/>
              <w:ind w:left="-120" w:leftChars="-50" w:right="-120" w:rightChars="-50"/>
              <w:rPr>
                <w:rFonts w:cs="Times New Roman"/>
                <w:sz w:val="20"/>
                <w:szCs w:val="20"/>
              </w:rPr>
            </w:pPr>
          </w:p>
        </w:tc>
        <w:tc>
          <w:tcPr>
            <w:tcW w:w="285" w:type="pct"/>
            <w:vAlign w:val="center"/>
          </w:tcPr>
          <w:p>
            <w:pPr>
              <w:pStyle w:val="13"/>
              <w:ind w:left="-120" w:leftChars="-50" w:right="-120" w:rightChars="-50"/>
              <w:rPr>
                <w:rFonts w:cs="Times New Roman"/>
                <w:sz w:val="20"/>
                <w:szCs w:val="20"/>
              </w:rPr>
            </w:pPr>
          </w:p>
        </w:tc>
        <w:tc>
          <w:tcPr>
            <w:tcW w:w="283" w:type="pct"/>
            <w:vAlign w:val="center"/>
          </w:tcPr>
          <w:p>
            <w:pPr>
              <w:pStyle w:val="13"/>
              <w:ind w:left="-120" w:leftChars="-50" w:right="-120" w:rightChars="-50"/>
              <w:rPr>
                <w:rFonts w:cs="Times New Roman"/>
                <w:sz w:val="20"/>
                <w:szCs w:val="20"/>
              </w:rPr>
            </w:pPr>
          </w:p>
        </w:tc>
        <w:tc>
          <w:tcPr>
            <w:tcW w:w="263" w:type="pct"/>
            <w:vAlign w:val="center"/>
          </w:tcPr>
          <w:p>
            <w:pPr>
              <w:pStyle w:val="13"/>
              <w:ind w:left="-120" w:leftChars="-50" w:right="-120" w:rightChars="-50"/>
              <w:rPr>
                <w:rFonts w:cs="Times New Roman"/>
                <w:sz w:val="20"/>
                <w:szCs w:val="20"/>
              </w:rPr>
            </w:pPr>
          </w:p>
        </w:tc>
        <w:tc>
          <w:tcPr>
            <w:tcW w:w="259" w:type="pct"/>
            <w:vAlign w:val="center"/>
          </w:tcPr>
          <w:p>
            <w:pPr>
              <w:pStyle w:val="13"/>
              <w:ind w:left="-120" w:leftChars="-50" w:right="-120" w:rightChars="-50"/>
              <w:rPr>
                <w:rFonts w:cs="Times New Roman"/>
                <w:sz w:val="20"/>
                <w:szCs w:val="20"/>
              </w:rPr>
            </w:pPr>
          </w:p>
        </w:tc>
        <w:tc>
          <w:tcPr>
            <w:tcW w:w="245" w:type="pct"/>
            <w:vAlign w:val="center"/>
          </w:tcPr>
          <w:p>
            <w:pPr>
              <w:pStyle w:val="13"/>
              <w:ind w:left="-120" w:leftChars="-50" w:right="-120" w:rightChars="-50"/>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Merge w:val="continue"/>
            <w:vAlign w:val="center"/>
          </w:tcPr>
          <w:p>
            <w:pPr>
              <w:pStyle w:val="13"/>
              <w:ind w:left="-120" w:leftChars="-50" w:right="-120" w:rightChars="-50"/>
              <w:rPr>
                <w:rFonts w:cs="Times New Roman"/>
                <w:sz w:val="20"/>
                <w:szCs w:val="20"/>
              </w:rPr>
            </w:pPr>
          </w:p>
        </w:tc>
        <w:tc>
          <w:tcPr>
            <w:tcW w:w="1205" w:type="pct"/>
            <w:gridSpan w:val="2"/>
            <w:vAlign w:val="center"/>
          </w:tcPr>
          <w:p>
            <w:pPr>
              <w:pStyle w:val="13"/>
              <w:ind w:left="-120" w:leftChars="-50" w:right="-120" w:rightChars="-50"/>
              <w:rPr>
                <w:rFonts w:cs="Times New Roman"/>
                <w:sz w:val="20"/>
                <w:szCs w:val="20"/>
              </w:rPr>
            </w:pPr>
            <w:r>
              <w:rPr>
                <w:rFonts w:cs="Times New Roman"/>
                <w:sz w:val="20"/>
                <w:szCs w:val="20"/>
              </w:rPr>
              <w:t>小计</w:t>
            </w:r>
          </w:p>
        </w:tc>
        <w:tc>
          <w:tcPr>
            <w:tcW w:w="189" w:type="pct"/>
            <w:vAlign w:val="center"/>
          </w:tcPr>
          <w:p>
            <w:pPr>
              <w:pStyle w:val="13"/>
              <w:ind w:right="-120" w:rightChars="-50"/>
              <w:rPr>
                <w:rFonts w:cs="Times New Roman"/>
                <w:sz w:val="20"/>
                <w:szCs w:val="20"/>
              </w:rPr>
            </w:pPr>
          </w:p>
        </w:tc>
        <w:tc>
          <w:tcPr>
            <w:tcW w:w="259" w:type="pct"/>
            <w:vAlign w:val="center"/>
          </w:tcPr>
          <w:p>
            <w:pPr>
              <w:pStyle w:val="13"/>
              <w:ind w:left="-120" w:leftChars="-50" w:right="-120" w:rightChars="-50"/>
              <w:rPr>
                <w:rFonts w:cs="Times New Roman"/>
                <w:sz w:val="20"/>
                <w:szCs w:val="20"/>
              </w:rPr>
            </w:pPr>
            <w:r>
              <w:rPr>
                <w:rFonts w:cs="Times New Roman"/>
                <w:sz w:val="20"/>
                <w:szCs w:val="20"/>
              </w:rPr>
              <w:t>10240</w:t>
            </w:r>
          </w:p>
        </w:tc>
        <w:tc>
          <w:tcPr>
            <w:tcW w:w="245" w:type="pct"/>
            <w:vAlign w:val="center"/>
          </w:tcPr>
          <w:p>
            <w:pPr>
              <w:pStyle w:val="13"/>
              <w:ind w:left="-120" w:leftChars="-50" w:right="-120" w:rightChars="-50"/>
              <w:rPr>
                <w:rFonts w:cs="Times New Roman"/>
                <w:sz w:val="20"/>
                <w:szCs w:val="20"/>
              </w:rPr>
            </w:pPr>
          </w:p>
        </w:tc>
        <w:tc>
          <w:tcPr>
            <w:tcW w:w="242" w:type="pct"/>
            <w:vAlign w:val="center"/>
          </w:tcPr>
          <w:p>
            <w:pPr>
              <w:pStyle w:val="13"/>
              <w:ind w:left="-120" w:leftChars="-50" w:right="-120" w:rightChars="-50"/>
              <w:rPr>
                <w:rFonts w:cs="Times New Roman"/>
                <w:sz w:val="20"/>
                <w:szCs w:val="20"/>
              </w:rPr>
            </w:pPr>
            <w:r>
              <w:rPr>
                <w:rFonts w:cs="Times New Roman"/>
                <w:sz w:val="20"/>
                <w:szCs w:val="20"/>
              </w:rPr>
              <w:t>1644</w:t>
            </w:r>
          </w:p>
        </w:tc>
        <w:tc>
          <w:tcPr>
            <w:tcW w:w="465" w:type="pct"/>
            <w:vAlign w:val="center"/>
          </w:tcPr>
          <w:p>
            <w:pPr>
              <w:pStyle w:val="13"/>
              <w:ind w:left="-120" w:leftChars="-50" w:right="-120" w:rightChars="-50"/>
              <w:rPr>
                <w:rFonts w:cs="Times New Roman"/>
                <w:sz w:val="20"/>
                <w:szCs w:val="20"/>
              </w:rPr>
            </w:pPr>
            <w:r>
              <w:rPr>
                <w:rFonts w:cs="Times New Roman"/>
                <w:sz w:val="20"/>
                <w:szCs w:val="20"/>
              </w:rPr>
              <w:t>10240</w:t>
            </w:r>
          </w:p>
        </w:tc>
        <w:tc>
          <w:tcPr>
            <w:tcW w:w="283" w:type="pct"/>
            <w:vAlign w:val="center"/>
          </w:tcPr>
          <w:p>
            <w:pPr>
              <w:pStyle w:val="13"/>
              <w:ind w:left="-120" w:leftChars="-50" w:right="-120" w:rightChars="-50"/>
              <w:rPr>
                <w:rFonts w:cs="Times New Roman"/>
                <w:sz w:val="20"/>
                <w:szCs w:val="20"/>
              </w:rPr>
            </w:pPr>
          </w:p>
        </w:tc>
        <w:tc>
          <w:tcPr>
            <w:tcW w:w="233" w:type="pct"/>
            <w:vAlign w:val="center"/>
          </w:tcPr>
          <w:p>
            <w:pPr>
              <w:pStyle w:val="13"/>
              <w:ind w:left="-120" w:leftChars="-50" w:right="-120" w:rightChars="-50"/>
              <w:rPr>
                <w:rFonts w:cs="Times New Roman"/>
                <w:sz w:val="20"/>
                <w:szCs w:val="20"/>
              </w:rPr>
            </w:pPr>
            <w:r>
              <w:rPr>
                <w:rFonts w:cs="Times New Roman"/>
                <w:sz w:val="20"/>
                <w:szCs w:val="20"/>
              </w:rPr>
              <w:t>1644</w:t>
            </w:r>
          </w:p>
        </w:tc>
        <w:tc>
          <w:tcPr>
            <w:tcW w:w="283" w:type="pct"/>
            <w:vAlign w:val="center"/>
          </w:tcPr>
          <w:p>
            <w:pPr>
              <w:pStyle w:val="13"/>
              <w:ind w:left="-120" w:leftChars="-50" w:right="-120" w:rightChars="-50"/>
              <w:rPr>
                <w:rFonts w:cs="Times New Roman"/>
                <w:sz w:val="20"/>
                <w:szCs w:val="20"/>
              </w:rPr>
            </w:pPr>
          </w:p>
        </w:tc>
        <w:tc>
          <w:tcPr>
            <w:tcW w:w="285" w:type="pct"/>
            <w:vAlign w:val="center"/>
          </w:tcPr>
          <w:p>
            <w:pPr>
              <w:pStyle w:val="13"/>
              <w:ind w:left="-120" w:leftChars="-50" w:right="-120" w:rightChars="-50"/>
              <w:rPr>
                <w:rFonts w:cs="Times New Roman"/>
                <w:sz w:val="20"/>
                <w:szCs w:val="20"/>
              </w:rPr>
            </w:pPr>
          </w:p>
        </w:tc>
        <w:tc>
          <w:tcPr>
            <w:tcW w:w="283" w:type="pct"/>
            <w:vAlign w:val="center"/>
          </w:tcPr>
          <w:p>
            <w:pPr>
              <w:pStyle w:val="13"/>
              <w:ind w:left="-120" w:leftChars="-50" w:right="-120" w:rightChars="-50"/>
              <w:rPr>
                <w:rFonts w:cs="Times New Roman"/>
                <w:sz w:val="20"/>
                <w:szCs w:val="20"/>
              </w:rPr>
            </w:pPr>
          </w:p>
        </w:tc>
        <w:tc>
          <w:tcPr>
            <w:tcW w:w="263" w:type="pct"/>
            <w:vAlign w:val="center"/>
          </w:tcPr>
          <w:p>
            <w:pPr>
              <w:pStyle w:val="13"/>
              <w:ind w:left="-120" w:leftChars="-50" w:right="-120" w:rightChars="-50"/>
              <w:rPr>
                <w:rFonts w:cs="Times New Roman"/>
                <w:sz w:val="20"/>
                <w:szCs w:val="20"/>
              </w:rPr>
            </w:pPr>
          </w:p>
        </w:tc>
        <w:tc>
          <w:tcPr>
            <w:tcW w:w="259" w:type="pct"/>
            <w:vAlign w:val="center"/>
          </w:tcPr>
          <w:p>
            <w:pPr>
              <w:pStyle w:val="13"/>
              <w:ind w:left="-120" w:leftChars="-50" w:right="-120" w:rightChars="-50"/>
              <w:rPr>
                <w:rFonts w:cs="Times New Roman"/>
                <w:sz w:val="20"/>
                <w:szCs w:val="20"/>
              </w:rPr>
            </w:pPr>
          </w:p>
        </w:tc>
        <w:tc>
          <w:tcPr>
            <w:tcW w:w="245" w:type="pct"/>
            <w:vAlign w:val="center"/>
          </w:tcPr>
          <w:p>
            <w:pPr>
              <w:pStyle w:val="13"/>
              <w:ind w:left="-120" w:leftChars="-50" w:right="-120" w:rightChars="-50"/>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6" w:type="pct"/>
            <w:gridSpan w:val="3"/>
            <w:vAlign w:val="center"/>
          </w:tcPr>
          <w:p>
            <w:pPr>
              <w:pStyle w:val="13"/>
              <w:ind w:left="-120" w:leftChars="-50" w:right="-120" w:rightChars="-50"/>
              <w:rPr>
                <w:rFonts w:cs="Times New Roman"/>
                <w:sz w:val="20"/>
                <w:szCs w:val="20"/>
              </w:rPr>
            </w:pPr>
            <w:r>
              <w:rPr>
                <w:rFonts w:cs="Times New Roman"/>
                <w:sz w:val="20"/>
                <w:szCs w:val="20"/>
              </w:rPr>
              <w:t>合计</w:t>
            </w:r>
          </w:p>
        </w:tc>
        <w:tc>
          <w:tcPr>
            <w:tcW w:w="189" w:type="pct"/>
            <w:vAlign w:val="center"/>
          </w:tcPr>
          <w:p>
            <w:pPr>
              <w:pStyle w:val="13"/>
              <w:ind w:right="-120" w:rightChars="-50"/>
              <w:rPr>
                <w:rFonts w:cs="Times New Roman"/>
                <w:sz w:val="20"/>
                <w:szCs w:val="20"/>
              </w:rPr>
            </w:pPr>
          </w:p>
        </w:tc>
        <w:tc>
          <w:tcPr>
            <w:tcW w:w="259" w:type="pct"/>
            <w:vAlign w:val="center"/>
          </w:tcPr>
          <w:p>
            <w:pPr>
              <w:pStyle w:val="13"/>
              <w:ind w:left="-120" w:leftChars="-50" w:right="-120" w:rightChars="-50"/>
              <w:rPr>
                <w:rFonts w:cs="Times New Roman"/>
                <w:sz w:val="20"/>
                <w:szCs w:val="20"/>
              </w:rPr>
            </w:pPr>
            <w:r>
              <w:rPr>
                <w:rFonts w:cs="Times New Roman"/>
                <w:sz w:val="20"/>
                <w:szCs w:val="20"/>
              </w:rPr>
              <w:t>10380</w:t>
            </w:r>
          </w:p>
        </w:tc>
        <w:tc>
          <w:tcPr>
            <w:tcW w:w="245" w:type="pct"/>
            <w:vAlign w:val="center"/>
          </w:tcPr>
          <w:p>
            <w:pPr>
              <w:pStyle w:val="13"/>
              <w:ind w:left="-120" w:leftChars="-50" w:right="-120" w:rightChars="-50"/>
              <w:rPr>
                <w:rFonts w:cs="Times New Roman"/>
                <w:sz w:val="20"/>
                <w:szCs w:val="20"/>
              </w:rPr>
            </w:pPr>
          </w:p>
        </w:tc>
        <w:tc>
          <w:tcPr>
            <w:tcW w:w="242" w:type="pct"/>
            <w:vAlign w:val="center"/>
          </w:tcPr>
          <w:p>
            <w:pPr>
              <w:pStyle w:val="13"/>
              <w:ind w:left="-120" w:leftChars="-50" w:right="-120" w:rightChars="-50"/>
              <w:rPr>
                <w:rFonts w:cs="Times New Roman"/>
                <w:sz w:val="20"/>
                <w:szCs w:val="20"/>
              </w:rPr>
            </w:pPr>
            <w:r>
              <w:rPr>
                <w:rFonts w:cs="Times New Roman"/>
                <w:sz w:val="20"/>
                <w:szCs w:val="20"/>
              </w:rPr>
              <w:t>1672</w:t>
            </w:r>
          </w:p>
        </w:tc>
        <w:tc>
          <w:tcPr>
            <w:tcW w:w="465" w:type="pct"/>
            <w:vAlign w:val="center"/>
          </w:tcPr>
          <w:p>
            <w:pPr>
              <w:pStyle w:val="13"/>
              <w:ind w:left="-120" w:leftChars="-50" w:right="-120" w:rightChars="-50"/>
              <w:rPr>
                <w:rFonts w:cs="Times New Roman"/>
                <w:sz w:val="20"/>
                <w:szCs w:val="20"/>
              </w:rPr>
            </w:pPr>
            <w:r>
              <w:rPr>
                <w:rFonts w:cs="Times New Roman"/>
                <w:sz w:val="20"/>
                <w:szCs w:val="20"/>
              </w:rPr>
              <w:t>10380</w:t>
            </w:r>
          </w:p>
        </w:tc>
        <w:tc>
          <w:tcPr>
            <w:tcW w:w="283" w:type="pct"/>
            <w:vAlign w:val="center"/>
          </w:tcPr>
          <w:p>
            <w:pPr>
              <w:pStyle w:val="13"/>
              <w:ind w:left="-120" w:leftChars="-50" w:right="-120" w:rightChars="-50"/>
              <w:rPr>
                <w:rFonts w:cs="Times New Roman"/>
                <w:sz w:val="20"/>
                <w:szCs w:val="20"/>
              </w:rPr>
            </w:pPr>
          </w:p>
        </w:tc>
        <w:tc>
          <w:tcPr>
            <w:tcW w:w="233" w:type="pct"/>
            <w:vAlign w:val="center"/>
          </w:tcPr>
          <w:p>
            <w:pPr>
              <w:pStyle w:val="13"/>
              <w:ind w:left="-120" w:leftChars="-50" w:right="-120" w:rightChars="-50"/>
              <w:rPr>
                <w:rFonts w:cs="Times New Roman"/>
                <w:sz w:val="20"/>
                <w:szCs w:val="20"/>
              </w:rPr>
            </w:pPr>
            <w:r>
              <w:rPr>
                <w:rFonts w:cs="Times New Roman"/>
                <w:sz w:val="20"/>
                <w:szCs w:val="20"/>
              </w:rPr>
              <w:t>1672</w:t>
            </w:r>
          </w:p>
        </w:tc>
        <w:tc>
          <w:tcPr>
            <w:tcW w:w="283" w:type="pct"/>
            <w:vAlign w:val="center"/>
          </w:tcPr>
          <w:p>
            <w:pPr>
              <w:pStyle w:val="13"/>
              <w:ind w:left="-120" w:leftChars="-50" w:right="-120" w:rightChars="-50"/>
              <w:rPr>
                <w:rFonts w:cs="Times New Roman"/>
                <w:sz w:val="20"/>
                <w:szCs w:val="20"/>
              </w:rPr>
            </w:pPr>
          </w:p>
        </w:tc>
        <w:tc>
          <w:tcPr>
            <w:tcW w:w="285" w:type="pct"/>
            <w:vAlign w:val="center"/>
          </w:tcPr>
          <w:p>
            <w:pPr>
              <w:pStyle w:val="13"/>
              <w:ind w:left="-120" w:leftChars="-50" w:right="-120" w:rightChars="-50"/>
              <w:rPr>
                <w:rFonts w:cs="Times New Roman"/>
                <w:sz w:val="20"/>
                <w:szCs w:val="20"/>
              </w:rPr>
            </w:pPr>
          </w:p>
        </w:tc>
        <w:tc>
          <w:tcPr>
            <w:tcW w:w="283" w:type="pct"/>
            <w:vAlign w:val="center"/>
          </w:tcPr>
          <w:p>
            <w:pPr>
              <w:pStyle w:val="13"/>
              <w:ind w:left="-120" w:leftChars="-50" w:right="-120" w:rightChars="-50"/>
              <w:rPr>
                <w:rFonts w:cs="Times New Roman"/>
                <w:sz w:val="20"/>
                <w:szCs w:val="20"/>
              </w:rPr>
            </w:pPr>
          </w:p>
        </w:tc>
        <w:tc>
          <w:tcPr>
            <w:tcW w:w="263" w:type="pct"/>
            <w:vAlign w:val="center"/>
          </w:tcPr>
          <w:p>
            <w:pPr>
              <w:pStyle w:val="13"/>
              <w:ind w:left="-120" w:leftChars="-50" w:right="-120" w:rightChars="-50"/>
              <w:rPr>
                <w:rFonts w:cs="Times New Roman"/>
                <w:sz w:val="20"/>
                <w:szCs w:val="20"/>
              </w:rPr>
            </w:pPr>
          </w:p>
        </w:tc>
        <w:tc>
          <w:tcPr>
            <w:tcW w:w="259" w:type="pct"/>
            <w:vAlign w:val="center"/>
          </w:tcPr>
          <w:p>
            <w:pPr>
              <w:pStyle w:val="13"/>
              <w:ind w:left="-120" w:leftChars="-50" w:right="-120" w:rightChars="-50"/>
              <w:rPr>
                <w:rFonts w:cs="Times New Roman"/>
                <w:sz w:val="20"/>
                <w:szCs w:val="20"/>
              </w:rPr>
            </w:pPr>
          </w:p>
        </w:tc>
        <w:tc>
          <w:tcPr>
            <w:tcW w:w="245" w:type="pct"/>
            <w:vAlign w:val="center"/>
          </w:tcPr>
          <w:p>
            <w:pPr>
              <w:pStyle w:val="13"/>
              <w:ind w:left="-120" w:leftChars="-50" w:right="-120" w:rightChars="-50"/>
              <w:rPr>
                <w:rFonts w:cs="Times New Roman"/>
                <w:sz w:val="20"/>
                <w:szCs w:val="20"/>
              </w:rPr>
            </w:pPr>
          </w:p>
        </w:tc>
      </w:tr>
    </w:tbl>
    <w:p>
      <w:pPr>
        <w:widowControl w:val="0"/>
        <w:kinsoku/>
        <w:topLinePunct/>
        <w:autoSpaceDE/>
        <w:autoSpaceDN/>
        <w:spacing w:line="300" w:lineRule="auto"/>
        <w:ind w:firstLine="0" w:firstLineChars="0"/>
        <w:jc w:val="center"/>
        <w:rPr>
          <w:rFonts w:cs="Times New Roman"/>
          <w:b/>
          <w:bCs/>
          <w:color w:val="auto"/>
          <w:sz w:val="21"/>
          <w:lang w:eastAsia="zh-CN"/>
        </w:rPr>
      </w:pPr>
    </w:p>
    <w:p>
      <w:pPr>
        <w:widowControl w:val="0"/>
        <w:kinsoku/>
        <w:topLinePunct/>
        <w:autoSpaceDE/>
        <w:autoSpaceDN/>
        <w:spacing w:line="300" w:lineRule="auto"/>
        <w:ind w:firstLine="0" w:firstLineChars="0"/>
        <w:jc w:val="center"/>
        <w:rPr>
          <w:rFonts w:cs="Times New Roman"/>
          <w:b/>
          <w:bCs/>
          <w:color w:val="auto"/>
          <w:sz w:val="21"/>
          <w:lang w:eastAsia="zh-CN"/>
        </w:rPr>
      </w:pPr>
    </w:p>
    <w:p>
      <w:pPr>
        <w:widowControl w:val="0"/>
        <w:kinsoku/>
        <w:topLinePunct/>
        <w:autoSpaceDE/>
        <w:autoSpaceDN/>
        <w:spacing w:line="300" w:lineRule="auto"/>
        <w:ind w:firstLine="0" w:firstLineChars="0"/>
        <w:jc w:val="center"/>
        <w:rPr>
          <w:rFonts w:cs="Times New Roman"/>
          <w:b/>
          <w:bCs/>
          <w:color w:val="auto"/>
          <w:sz w:val="21"/>
          <w:lang w:eastAsia="zh-CN"/>
        </w:rPr>
      </w:pPr>
    </w:p>
    <w:p>
      <w:pPr>
        <w:widowControl w:val="0"/>
        <w:kinsoku/>
        <w:topLinePunct/>
        <w:autoSpaceDE/>
        <w:autoSpaceDN/>
        <w:spacing w:line="300" w:lineRule="auto"/>
        <w:ind w:firstLine="422"/>
        <w:jc w:val="center"/>
        <w:rPr>
          <w:rFonts w:cs="Times New Roman"/>
          <w:b/>
          <w:bCs/>
          <w:color w:val="auto"/>
          <w:sz w:val="21"/>
          <w:lang w:eastAsia="zh-CN"/>
        </w:rPr>
      </w:pPr>
    </w:p>
    <w:p>
      <w:pPr>
        <w:ind w:firstLine="480"/>
        <w:rPr>
          <w:rFonts w:cs="Times New Roman"/>
          <w:color w:val="auto"/>
          <w:szCs w:val="24"/>
          <w:lang w:eastAsia="zh-CN"/>
        </w:rPr>
      </w:pPr>
    </w:p>
    <w:p>
      <w:pPr>
        <w:ind w:firstLine="480"/>
        <w:rPr>
          <w:rFonts w:cs="Times New Roman"/>
          <w:color w:val="auto"/>
          <w:szCs w:val="24"/>
          <w:lang w:eastAsia="zh-CN"/>
        </w:rPr>
      </w:pPr>
    </w:p>
    <w:p>
      <w:pPr>
        <w:tabs>
          <w:tab w:val="left" w:pos="10490"/>
        </w:tabs>
        <w:ind w:firstLine="480"/>
        <w:rPr>
          <w:rFonts w:cs="Times New Roman"/>
          <w:color w:val="auto"/>
          <w:szCs w:val="24"/>
          <w:lang w:eastAsia="zh-CN"/>
        </w:rPr>
      </w:pPr>
      <w:r>
        <w:rPr>
          <w:rFonts w:cs="Times New Roman"/>
          <w:color w:val="auto"/>
          <w:szCs w:val="24"/>
          <w:lang w:eastAsia="zh-CN"/>
        </w:rPr>
        <w:tab/>
      </w:r>
    </w:p>
    <w:p>
      <w:pPr>
        <w:tabs>
          <w:tab w:val="left" w:pos="11207"/>
        </w:tabs>
        <w:ind w:firstLine="0" w:firstLineChars="0"/>
        <w:rPr>
          <w:rFonts w:cs="Times New Roman"/>
          <w:color w:val="auto"/>
          <w:szCs w:val="24"/>
          <w:lang w:eastAsia="zh-CN"/>
        </w:rPr>
        <w:sectPr>
          <w:headerReference r:id="rId13" w:type="default"/>
          <w:footerReference r:id="rId14" w:type="default"/>
          <w:pgSz w:w="16838" w:h="11906" w:orient="landscape"/>
          <w:pgMar w:top="1440" w:right="1797" w:bottom="1440" w:left="1797" w:header="851" w:footer="992" w:gutter="0"/>
          <w:cols w:space="425" w:num="1"/>
          <w:docGrid w:linePitch="326" w:charSpace="0"/>
        </w:sectPr>
      </w:pPr>
    </w:p>
    <w:p>
      <w:pPr>
        <w:widowControl w:val="0"/>
        <w:kinsoku/>
        <w:topLinePunct/>
        <w:autoSpaceDE/>
        <w:autoSpaceDN/>
        <w:spacing w:line="300" w:lineRule="auto"/>
        <w:ind w:firstLine="0" w:firstLineChars="0"/>
        <w:jc w:val="center"/>
        <w:rPr>
          <w:snapToGrid/>
          <w:color w:val="auto"/>
          <w:lang w:eastAsia="zh-CN"/>
        </w:rPr>
      </w:pPr>
    </w:p>
    <w:p>
      <w:pPr>
        <w:widowControl w:val="0"/>
        <w:kinsoku/>
        <w:topLinePunct/>
        <w:autoSpaceDE/>
        <w:autoSpaceDN/>
        <w:spacing w:line="300" w:lineRule="auto"/>
        <w:ind w:firstLine="0" w:firstLineChars="0"/>
        <w:jc w:val="center"/>
        <w:rPr>
          <w:rFonts w:cs="Times New Roman"/>
          <w:color w:val="auto"/>
          <w:szCs w:val="24"/>
          <w:lang w:eastAsia="zh-CN"/>
        </w:rPr>
      </w:pPr>
      <w:r>
        <w:rPr>
          <w:snapToGrid/>
          <w:color w:val="auto"/>
          <w:lang w:eastAsia="zh-CN"/>
        </w:rPr>
        <w:drawing>
          <wp:inline distT="0" distB="0" distL="0" distR="0">
            <wp:extent cx="7087870" cy="4869815"/>
            <wp:effectExtent l="0" t="0" r="0" b="0"/>
            <wp:docPr id="102556262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5562621" name="图片 1"/>
                    <pic:cNvPicPr>
                      <a:picLocks noChangeAspect="true"/>
                    </pic:cNvPicPr>
                  </pic:nvPicPr>
                  <pic:blipFill>
                    <a:blip r:embed="rId53" cstate="print"/>
                    <a:stretch>
                      <a:fillRect/>
                    </a:stretch>
                  </pic:blipFill>
                  <pic:spPr>
                    <a:xfrm>
                      <a:off x="0" y="0"/>
                      <a:ext cx="7109099" cy="4884056"/>
                    </a:xfrm>
                    <a:prstGeom prst="rect">
                      <a:avLst/>
                    </a:prstGeom>
                  </pic:spPr>
                </pic:pic>
              </a:graphicData>
            </a:graphic>
          </wp:inline>
        </w:drawing>
      </w:r>
    </w:p>
    <w:p>
      <w:pPr>
        <w:widowControl w:val="0"/>
        <w:kinsoku/>
        <w:topLinePunct/>
        <w:autoSpaceDE/>
        <w:autoSpaceDN/>
        <w:spacing w:line="300" w:lineRule="auto"/>
        <w:ind w:firstLine="422"/>
        <w:jc w:val="center"/>
        <w:rPr>
          <w:rFonts w:cs="Times New Roman"/>
          <w:b/>
          <w:bCs/>
          <w:color w:val="auto"/>
          <w:sz w:val="21"/>
          <w:lang w:eastAsia="zh-CN"/>
        </w:rPr>
      </w:pPr>
      <w:r>
        <w:rPr>
          <w:rFonts w:cs="Times New Roman"/>
          <w:b/>
          <w:bCs/>
          <w:color w:val="auto"/>
          <w:sz w:val="21"/>
          <w:lang w:eastAsia="zh-CN"/>
        </w:rPr>
        <w:t>图2.4-1 工程表土流向框图</w:t>
      </w:r>
    </w:p>
    <w:p>
      <w:pPr>
        <w:widowControl w:val="0"/>
        <w:tabs>
          <w:tab w:val="left" w:pos="11397"/>
        </w:tabs>
        <w:kinsoku/>
        <w:topLinePunct/>
        <w:autoSpaceDE/>
        <w:autoSpaceDN/>
        <w:spacing w:line="300" w:lineRule="auto"/>
        <w:ind w:firstLine="0" w:firstLineChars="0"/>
        <w:rPr>
          <w:rFonts w:cs="Times New Roman"/>
          <w:color w:val="auto"/>
          <w:szCs w:val="24"/>
          <w:lang w:eastAsia="zh-CN"/>
        </w:rPr>
      </w:pPr>
      <w:r>
        <w:rPr>
          <w:rFonts w:cs="Times New Roman"/>
          <w:color w:val="auto"/>
          <w:szCs w:val="24"/>
          <w:lang w:eastAsia="zh-CN"/>
        </w:rPr>
        <w:tab/>
      </w:r>
    </w:p>
    <w:p>
      <w:pPr>
        <w:widowControl w:val="0"/>
        <w:tabs>
          <w:tab w:val="left" w:pos="11397"/>
        </w:tabs>
        <w:kinsoku/>
        <w:topLinePunct/>
        <w:autoSpaceDE/>
        <w:autoSpaceDN/>
        <w:spacing w:line="300" w:lineRule="auto"/>
        <w:ind w:firstLine="480"/>
        <w:rPr>
          <w:rFonts w:cs="Times New Roman"/>
          <w:color w:val="auto"/>
          <w:szCs w:val="24"/>
          <w:lang w:eastAsia="zh-CN"/>
        </w:rPr>
        <w:sectPr>
          <w:footerReference r:id="rId15" w:type="default"/>
          <w:pgSz w:w="16838" w:h="11906" w:orient="landscape"/>
          <w:pgMar w:top="1440" w:right="1797" w:bottom="1440" w:left="1797" w:header="851" w:footer="992" w:gutter="0"/>
          <w:cols w:space="425" w:num="1"/>
          <w:docGrid w:linePitch="326" w:charSpace="0"/>
        </w:sectPr>
      </w:pP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2.</w:t>
      </w:r>
      <w:r>
        <w:rPr>
          <w:rFonts w:hint="eastAsia" w:cs="Times New Roman"/>
          <w:color w:val="auto"/>
          <w:sz w:val="28"/>
          <w:szCs w:val="28"/>
          <w:lang w:eastAsia="zh-CN"/>
        </w:rPr>
        <w:t>5</w:t>
      </w:r>
      <w:r>
        <w:rPr>
          <w:rFonts w:cs="Times New Roman"/>
          <w:color w:val="auto"/>
          <w:sz w:val="28"/>
          <w:szCs w:val="28"/>
          <w:lang w:eastAsia="zh-CN"/>
        </w:rPr>
        <w:t>.2 土石方平衡</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（1）变电站工程</w:t>
      </w:r>
    </w:p>
    <w:p>
      <w:pPr>
        <w:widowControl w:val="0"/>
        <w:kinsoku/>
        <w:topLinePunct/>
        <w:autoSpaceDE/>
        <w:autoSpaceDN/>
        <w:spacing w:line="360" w:lineRule="auto"/>
        <w:ind w:firstLine="480"/>
        <w:jc w:val="both"/>
        <w:rPr>
          <w:rFonts w:cs="Times New Roman"/>
          <w:color w:val="auto"/>
          <w:szCs w:val="24"/>
          <w:lang w:eastAsia="zh-CN"/>
        </w:rPr>
      </w:pPr>
      <w:bookmarkStart w:id="36" w:name="_Hlk161231103"/>
      <w:r>
        <w:rPr>
          <w:rFonts w:cs="Times New Roman"/>
          <w:color w:val="auto"/>
          <w:szCs w:val="24"/>
          <w:lang w:eastAsia="zh-CN"/>
        </w:rPr>
        <w:t>1）玛瑙500kV变电站220kV间隔扩建工程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土石方挖方总量19m</w:t>
      </w:r>
      <w:r>
        <w:rPr>
          <w:rFonts w:cs="Times New Roman"/>
          <w:color w:val="auto"/>
          <w:szCs w:val="24"/>
          <w:vertAlign w:val="superscript"/>
          <w:lang w:eastAsia="zh-CN"/>
        </w:rPr>
        <w:t>3</w:t>
      </w:r>
      <w:r>
        <w:rPr>
          <w:rFonts w:cs="Times New Roman"/>
          <w:color w:val="auto"/>
          <w:szCs w:val="24"/>
          <w:lang w:eastAsia="zh-CN"/>
        </w:rPr>
        <w:t>（其中表土剥离5m</w:t>
      </w:r>
      <w:r>
        <w:rPr>
          <w:rFonts w:cs="Times New Roman"/>
          <w:color w:val="auto"/>
          <w:szCs w:val="24"/>
          <w:vertAlign w:val="superscript"/>
          <w:lang w:eastAsia="zh-CN"/>
        </w:rPr>
        <w:t>3</w:t>
      </w:r>
      <w:r>
        <w:rPr>
          <w:rFonts w:cs="Times New Roman"/>
          <w:color w:val="auto"/>
          <w:szCs w:val="24"/>
          <w:lang w:eastAsia="zh-CN"/>
        </w:rPr>
        <w:t>），填方总量9m</w:t>
      </w:r>
      <w:r>
        <w:rPr>
          <w:rFonts w:cs="Times New Roman"/>
          <w:color w:val="auto"/>
          <w:szCs w:val="24"/>
          <w:vertAlign w:val="superscript"/>
          <w:lang w:eastAsia="zh-CN"/>
        </w:rPr>
        <w:t>3</w:t>
      </w:r>
      <w:r>
        <w:rPr>
          <w:rFonts w:cs="Times New Roman"/>
          <w:color w:val="auto"/>
          <w:szCs w:val="24"/>
          <w:lang w:eastAsia="zh-CN"/>
        </w:rPr>
        <w:t>(其中表土利用5m</w:t>
      </w:r>
      <w:r>
        <w:rPr>
          <w:rFonts w:cs="Times New Roman"/>
          <w:color w:val="auto"/>
          <w:szCs w:val="24"/>
          <w:vertAlign w:val="superscript"/>
          <w:lang w:eastAsia="zh-CN"/>
        </w:rPr>
        <w:t>3</w:t>
      </w:r>
      <w:r>
        <w:rPr>
          <w:rFonts w:cs="Times New Roman"/>
          <w:color w:val="auto"/>
          <w:szCs w:val="24"/>
          <w:lang w:eastAsia="zh-CN"/>
        </w:rPr>
        <w:t>)，余方10m</w:t>
      </w:r>
      <w:r>
        <w:rPr>
          <w:rFonts w:cs="Times New Roman"/>
          <w:color w:val="auto"/>
          <w:szCs w:val="24"/>
          <w:vertAlign w:val="superscript"/>
          <w:lang w:eastAsia="zh-CN"/>
        </w:rPr>
        <w:t>3</w:t>
      </w:r>
      <w:r>
        <w:rPr>
          <w:rFonts w:cs="Times New Roman"/>
          <w:color w:val="auto"/>
          <w:szCs w:val="24"/>
          <w:lang w:eastAsia="zh-CN"/>
        </w:rPr>
        <w:t>回填至NA1摊平处理，无永久弃土产生。</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1）芭蕉220kV变电站220kV间隔扩建工程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土石方挖方总量129m</w:t>
      </w:r>
      <w:r>
        <w:rPr>
          <w:rFonts w:cs="Times New Roman"/>
          <w:color w:val="auto"/>
          <w:szCs w:val="24"/>
          <w:vertAlign w:val="superscript"/>
          <w:lang w:eastAsia="zh-CN"/>
        </w:rPr>
        <w:t>3</w:t>
      </w:r>
      <w:r>
        <w:rPr>
          <w:rFonts w:cs="Times New Roman"/>
          <w:color w:val="auto"/>
          <w:szCs w:val="24"/>
          <w:lang w:eastAsia="zh-CN"/>
        </w:rPr>
        <w:t>（其中表土剥离23m</w:t>
      </w:r>
      <w:r>
        <w:rPr>
          <w:rFonts w:cs="Times New Roman"/>
          <w:color w:val="auto"/>
          <w:szCs w:val="24"/>
          <w:vertAlign w:val="superscript"/>
          <w:lang w:eastAsia="zh-CN"/>
        </w:rPr>
        <w:t>3</w:t>
      </w:r>
      <w:r>
        <w:rPr>
          <w:rFonts w:cs="Times New Roman"/>
          <w:color w:val="auto"/>
          <w:szCs w:val="24"/>
          <w:lang w:eastAsia="zh-CN"/>
        </w:rPr>
        <w:t>），填方总量109m</w:t>
      </w:r>
      <w:r>
        <w:rPr>
          <w:rFonts w:cs="Times New Roman"/>
          <w:color w:val="auto"/>
          <w:szCs w:val="24"/>
          <w:vertAlign w:val="superscript"/>
          <w:lang w:eastAsia="zh-CN"/>
        </w:rPr>
        <w:t>3</w:t>
      </w:r>
      <w:r>
        <w:rPr>
          <w:rFonts w:cs="Times New Roman"/>
          <w:color w:val="auto"/>
          <w:szCs w:val="24"/>
          <w:lang w:eastAsia="zh-CN"/>
        </w:rPr>
        <w:t>(其中表土利用23m</w:t>
      </w:r>
      <w:r>
        <w:rPr>
          <w:rFonts w:cs="Times New Roman"/>
          <w:color w:val="auto"/>
          <w:szCs w:val="24"/>
          <w:vertAlign w:val="superscript"/>
          <w:lang w:eastAsia="zh-CN"/>
        </w:rPr>
        <w:t>3</w:t>
      </w:r>
      <w:r>
        <w:rPr>
          <w:rFonts w:cs="Times New Roman"/>
          <w:color w:val="auto"/>
          <w:szCs w:val="24"/>
          <w:lang w:eastAsia="zh-CN"/>
        </w:rPr>
        <w:t>)，用于场平，排水管道回填，余方20m</w:t>
      </w:r>
      <w:r>
        <w:rPr>
          <w:rFonts w:cs="Times New Roman"/>
          <w:color w:val="auto"/>
          <w:szCs w:val="24"/>
          <w:vertAlign w:val="superscript"/>
          <w:lang w:eastAsia="zh-CN"/>
        </w:rPr>
        <w:t>3</w:t>
      </w:r>
      <w:r>
        <w:rPr>
          <w:rFonts w:cs="Times New Roman"/>
          <w:color w:val="auto"/>
          <w:szCs w:val="24"/>
          <w:lang w:eastAsia="zh-CN"/>
        </w:rPr>
        <w:t>回填至NB1、NB2摊平处理，无永久弃土产生。</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（2）线路工程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1）玛瑙-正达凯220kV线路工程</w:t>
      </w:r>
    </w:p>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color w:val="auto"/>
          <w:szCs w:val="24"/>
          <w:lang w:eastAsia="zh-CN"/>
        </w:rPr>
        <w:t>①</w:t>
      </w:r>
      <w:r>
        <w:rPr>
          <w:rFonts w:hint="eastAsia" w:ascii="仿宋_GB2312" w:hAnsi="宋体" w:cs="宋体"/>
          <w:color w:val="auto"/>
          <w:szCs w:val="24"/>
          <w:lang w:eastAsia="zh-CN"/>
        </w:rPr>
        <w:t>玛瑙</w:t>
      </w:r>
      <w:r>
        <w:rPr>
          <w:rFonts w:cs="Times New Roman"/>
          <w:color w:val="auto"/>
          <w:szCs w:val="24"/>
          <w:lang w:eastAsia="zh-CN"/>
        </w:rPr>
        <w:t>塔基及临时施工区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塔基及临时施工区内挖方为塔基挖方、护坡墙和排水沟挖方，总挖方1284m</w:t>
      </w:r>
      <w:r>
        <w:rPr>
          <w:rFonts w:cs="Times New Roman"/>
          <w:color w:val="auto"/>
          <w:szCs w:val="24"/>
          <w:vertAlign w:val="superscript"/>
          <w:lang w:eastAsia="zh-CN"/>
        </w:rPr>
        <w:t>3</w:t>
      </w:r>
      <w:r>
        <w:rPr>
          <w:rFonts w:cs="Times New Roman"/>
          <w:color w:val="auto"/>
          <w:szCs w:val="24"/>
          <w:lang w:eastAsia="zh-CN"/>
        </w:rPr>
        <w:t>（其中表土剥离388m</w:t>
      </w:r>
      <w:r>
        <w:rPr>
          <w:rFonts w:cs="Times New Roman"/>
          <w:color w:val="auto"/>
          <w:szCs w:val="24"/>
          <w:vertAlign w:val="superscript"/>
          <w:lang w:eastAsia="zh-CN"/>
        </w:rPr>
        <w:t>3</w:t>
      </w:r>
      <w:r>
        <w:rPr>
          <w:rFonts w:cs="Times New Roman"/>
          <w:color w:val="auto"/>
          <w:szCs w:val="24"/>
          <w:lang w:eastAsia="zh-CN"/>
        </w:rPr>
        <w:t>），填方1294m</w:t>
      </w:r>
      <w:r>
        <w:rPr>
          <w:rFonts w:cs="Times New Roman"/>
          <w:color w:val="auto"/>
          <w:szCs w:val="24"/>
          <w:vertAlign w:val="superscript"/>
          <w:lang w:eastAsia="zh-CN"/>
        </w:rPr>
        <w:t>3</w:t>
      </w:r>
      <w:r>
        <w:rPr>
          <w:rFonts w:cs="Times New Roman"/>
          <w:color w:val="auto"/>
          <w:szCs w:val="24"/>
          <w:lang w:eastAsia="zh-CN"/>
        </w:rPr>
        <w:t>主要用于在塔基施工扰动范围内摊平处理及护坡挡土墙等回填，</w:t>
      </w:r>
      <w:r>
        <w:rPr>
          <w:rFonts w:hint="eastAsia" w:cs="Times New Roman"/>
          <w:color w:val="auto"/>
          <w:szCs w:val="24"/>
          <w:lang w:eastAsia="zh-CN"/>
        </w:rPr>
        <w:t>其中含有</w:t>
      </w:r>
      <w:r>
        <w:rPr>
          <w:rFonts w:cs="Times New Roman"/>
          <w:color w:val="auto"/>
          <w:szCs w:val="24"/>
          <w:lang w:eastAsia="zh-CN"/>
        </w:rPr>
        <w:t>玛瑙变电站余方10m</w:t>
      </w:r>
      <w:r>
        <w:rPr>
          <w:rFonts w:cs="Times New Roman"/>
          <w:color w:val="auto"/>
          <w:szCs w:val="24"/>
          <w:vertAlign w:val="superscript"/>
          <w:lang w:eastAsia="zh-CN"/>
        </w:rPr>
        <w:t>3</w:t>
      </w:r>
      <w:r>
        <w:rPr>
          <w:rFonts w:cs="Times New Roman"/>
          <w:color w:val="auto"/>
          <w:szCs w:val="24"/>
          <w:lang w:eastAsia="zh-CN"/>
        </w:rPr>
        <w:t>，无弃方。根据相关线路工程建设经验，塔基区余方可摊平于塔基区内处理，经压实后平均堆高≤30cm，不影响基运行安全，部分位结合主体布设的挡护措施，符合水保要求。</w:t>
      </w:r>
    </w:p>
    <w:p>
      <w:pPr>
        <w:widowControl w:val="0"/>
        <w:kinsoku/>
        <w:topLinePunct/>
        <w:autoSpaceDE/>
        <w:autoSpaceDN/>
        <w:spacing w:line="300" w:lineRule="auto"/>
        <w:ind w:firstLine="422"/>
        <w:jc w:val="center"/>
        <w:rPr>
          <w:rFonts w:cs="Times New Roman"/>
          <w:b/>
          <w:bCs/>
          <w:color w:val="auto"/>
          <w:sz w:val="21"/>
          <w:lang w:eastAsia="zh-CN"/>
        </w:rPr>
      </w:pPr>
      <w:r>
        <w:rPr>
          <w:rFonts w:cs="Times New Roman"/>
          <w:b/>
          <w:bCs/>
          <w:color w:val="auto"/>
          <w:sz w:val="21"/>
          <w:lang w:eastAsia="zh-CN"/>
        </w:rPr>
        <w:t>表2.4.2 玛瑙-正达凯220kV线路工程塔基及临时施工区土石方量</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104"/>
        <w:gridCol w:w="681"/>
        <w:gridCol w:w="872"/>
        <w:gridCol w:w="996"/>
        <w:gridCol w:w="873"/>
        <w:gridCol w:w="747"/>
        <w:gridCol w:w="870"/>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02" w:type="pct"/>
            <w:shd w:val="clear" w:color="auto" w:fill="auto"/>
            <w:vAlign w:val="center"/>
          </w:tcPr>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序号</w:t>
            </w:r>
          </w:p>
        </w:tc>
        <w:tc>
          <w:tcPr>
            <w:tcW w:w="647" w:type="pct"/>
            <w:shd w:val="clear" w:color="auto" w:fill="auto"/>
            <w:vAlign w:val="center"/>
          </w:tcPr>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基础埋</w:t>
            </w:r>
          </w:p>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深(m)</w:t>
            </w:r>
          </w:p>
        </w:tc>
        <w:tc>
          <w:tcPr>
            <w:tcW w:w="399" w:type="pct"/>
            <w:shd w:val="clear" w:color="auto" w:fill="auto"/>
            <w:vAlign w:val="center"/>
          </w:tcPr>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塔基</w:t>
            </w:r>
          </w:p>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数量</w:t>
            </w:r>
          </w:p>
        </w:tc>
        <w:tc>
          <w:tcPr>
            <w:tcW w:w="511" w:type="pct"/>
            <w:shd w:val="clear" w:color="auto" w:fill="auto"/>
            <w:vAlign w:val="center"/>
          </w:tcPr>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基础孔</w:t>
            </w:r>
          </w:p>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径（m)</w:t>
            </w:r>
          </w:p>
        </w:tc>
        <w:tc>
          <w:tcPr>
            <w:tcW w:w="584" w:type="pct"/>
            <w:shd w:val="clear" w:color="auto" w:fill="auto"/>
            <w:vAlign w:val="center"/>
          </w:tcPr>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基础平均</w:t>
            </w:r>
          </w:p>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埋深（m)</w:t>
            </w:r>
          </w:p>
        </w:tc>
        <w:tc>
          <w:tcPr>
            <w:tcW w:w="512" w:type="pct"/>
            <w:shd w:val="clear" w:color="auto" w:fill="auto"/>
            <w:vAlign w:val="center"/>
          </w:tcPr>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基础挖</w:t>
            </w:r>
          </w:p>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方（m</w:t>
            </w:r>
            <w:r>
              <w:rPr>
                <w:rFonts w:cs="Times New Roman"/>
                <w:snapToGrid/>
                <w:color w:val="auto"/>
                <w:sz w:val="20"/>
                <w:szCs w:val="20"/>
                <w:vertAlign w:val="superscript"/>
                <w:lang w:eastAsia="zh-CN"/>
              </w:rPr>
              <w:t>3</w:t>
            </w:r>
            <w:r>
              <w:rPr>
                <w:rFonts w:cs="Times New Roman"/>
                <w:snapToGrid/>
                <w:color w:val="auto"/>
                <w:sz w:val="20"/>
                <w:szCs w:val="20"/>
                <w:lang w:eastAsia="zh-CN"/>
              </w:rPr>
              <w:t>)</w:t>
            </w:r>
          </w:p>
        </w:tc>
        <w:tc>
          <w:tcPr>
            <w:tcW w:w="438" w:type="pct"/>
            <w:shd w:val="clear" w:color="auto" w:fill="auto"/>
            <w:vAlign w:val="center"/>
          </w:tcPr>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局部挖</w:t>
            </w:r>
          </w:p>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方（m</w:t>
            </w:r>
            <w:r>
              <w:rPr>
                <w:rFonts w:cs="Times New Roman"/>
                <w:snapToGrid/>
                <w:color w:val="auto"/>
                <w:sz w:val="20"/>
                <w:szCs w:val="20"/>
                <w:vertAlign w:val="superscript"/>
                <w:lang w:eastAsia="zh-CN"/>
              </w:rPr>
              <w:t>3</w:t>
            </w:r>
            <w:r>
              <w:rPr>
                <w:rFonts w:cs="Times New Roman"/>
                <w:snapToGrid/>
                <w:color w:val="auto"/>
                <w:sz w:val="20"/>
                <w:szCs w:val="20"/>
                <w:lang w:eastAsia="zh-CN"/>
              </w:rPr>
              <w:t>)</w:t>
            </w:r>
          </w:p>
        </w:tc>
        <w:tc>
          <w:tcPr>
            <w:tcW w:w="510" w:type="pct"/>
            <w:shd w:val="clear" w:color="auto" w:fill="auto"/>
            <w:vAlign w:val="center"/>
          </w:tcPr>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挖方总</w:t>
            </w:r>
          </w:p>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量（m</w:t>
            </w:r>
            <w:r>
              <w:rPr>
                <w:rFonts w:cs="Times New Roman"/>
                <w:snapToGrid/>
                <w:color w:val="auto"/>
                <w:sz w:val="20"/>
                <w:szCs w:val="20"/>
                <w:vertAlign w:val="superscript"/>
                <w:lang w:eastAsia="zh-CN"/>
              </w:rPr>
              <w:t>3</w:t>
            </w:r>
            <w:r>
              <w:rPr>
                <w:rFonts w:cs="Times New Roman"/>
                <w:snapToGrid/>
                <w:color w:val="auto"/>
                <w:sz w:val="20"/>
                <w:szCs w:val="20"/>
                <w:lang w:eastAsia="zh-CN"/>
              </w:rPr>
              <w:t>)</w:t>
            </w:r>
          </w:p>
        </w:tc>
        <w:tc>
          <w:tcPr>
            <w:tcW w:w="997" w:type="pct"/>
            <w:shd w:val="clear" w:color="auto" w:fill="auto"/>
            <w:vAlign w:val="center"/>
          </w:tcPr>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局部挖</w:t>
            </w:r>
          </w:p>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NA1</w:t>
            </w:r>
          </w:p>
        </w:tc>
        <w:tc>
          <w:tcPr>
            <w:tcW w:w="64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10.2~11.5</w:t>
            </w:r>
          </w:p>
        </w:tc>
        <w:tc>
          <w:tcPr>
            <w:tcW w:w="39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1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1.6</w:t>
            </w:r>
          </w:p>
        </w:tc>
        <w:tc>
          <w:tcPr>
            <w:tcW w:w="58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11.2</w:t>
            </w:r>
          </w:p>
        </w:tc>
        <w:tc>
          <w:tcPr>
            <w:tcW w:w="51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90 </w:t>
            </w:r>
          </w:p>
        </w:tc>
        <w:tc>
          <w:tcPr>
            <w:tcW w:w="438"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10"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90 </w:t>
            </w:r>
          </w:p>
        </w:tc>
        <w:tc>
          <w:tcPr>
            <w:tcW w:w="9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NA2</w:t>
            </w:r>
          </w:p>
        </w:tc>
        <w:tc>
          <w:tcPr>
            <w:tcW w:w="64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10.0~11.5</w:t>
            </w:r>
          </w:p>
        </w:tc>
        <w:tc>
          <w:tcPr>
            <w:tcW w:w="39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1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1.6</w:t>
            </w:r>
          </w:p>
        </w:tc>
        <w:tc>
          <w:tcPr>
            <w:tcW w:w="58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11.3</w:t>
            </w:r>
          </w:p>
        </w:tc>
        <w:tc>
          <w:tcPr>
            <w:tcW w:w="51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91 </w:t>
            </w:r>
          </w:p>
        </w:tc>
        <w:tc>
          <w:tcPr>
            <w:tcW w:w="438"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10"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91 </w:t>
            </w:r>
          </w:p>
        </w:tc>
        <w:tc>
          <w:tcPr>
            <w:tcW w:w="9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NA3</w:t>
            </w:r>
          </w:p>
        </w:tc>
        <w:tc>
          <w:tcPr>
            <w:tcW w:w="64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10.3~11.6</w:t>
            </w:r>
          </w:p>
        </w:tc>
        <w:tc>
          <w:tcPr>
            <w:tcW w:w="39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1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1.6</w:t>
            </w:r>
          </w:p>
        </w:tc>
        <w:tc>
          <w:tcPr>
            <w:tcW w:w="58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11.5</w:t>
            </w:r>
          </w:p>
        </w:tc>
        <w:tc>
          <w:tcPr>
            <w:tcW w:w="51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92 </w:t>
            </w:r>
          </w:p>
        </w:tc>
        <w:tc>
          <w:tcPr>
            <w:tcW w:w="438"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10"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92 </w:t>
            </w:r>
          </w:p>
        </w:tc>
        <w:tc>
          <w:tcPr>
            <w:tcW w:w="9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NA4</w:t>
            </w:r>
          </w:p>
        </w:tc>
        <w:tc>
          <w:tcPr>
            <w:tcW w:w="64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6.9~7.3</w:t>
            </w:r>
          </w:p>
        </w:tc>
        <w:tc>
          <w:tcPr>
            <w:tcW w:w="39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1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58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7.1</w:t>
            </w:r>
          </w:p>
        </w:tc>
        <w:tc>
          <w:tcPr>
            <w:tcW w:w="51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22 </w:t>
            </w:r>
          </w:p>
        </w:tc>
        <w:tc>
          <w:tcPr>
            <w:tcW w:w="438"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10"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22 </w:t>
            </w:r>
          </w:p>
        </w:tc>
        <w:tc>
          <w:tcPr>
            <w:tcW w:w="9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NA5</w:t>
            </w:r>
          </w:p>
        </w:tc>
        <w:tc>
          <w:tcPr>
            <w:tcW w:w="64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9.3~9.8</w:t>
            </w:r>
          </w:p>
        </w:tc>
        <w:tc>
          <w:tcPr>
            <w:tcW w:w="39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1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1.4</w:t>
            </w:r>
          </w:p>
        </w:tc>
        <w:tc>
          <w:tcPr>
            <w:tcW w:w="58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9.6</w:t>
            </w:r>
          </w:p>
        </w:tc>
        <w:tc>
          <w:tcPr>
            <w:tcW w:w="51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59 </w:t>
            </w:r>
          </w:p>
        </w:tc>
        <w:tc>
          <w:tcPr>
            <w:tcW w:w="438"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47 </w:t>
            </w:r>
          </w:p>
        </w:tc>
        <w:tc>
          <w:tcPr>
            <w:tcW w:w="510"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106 </w:t>
            </w:r>
          </w:p>
        </w:tc>
        <w:tc>
          <w:tcPr>
            <w:tcW w:w="997" w:type="pct"/>
            <w:shd w:val="clear" w:color="auto" w:fill="auto"/>
            <w:vAlign w:val="center"/>
          </w:tcPr>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降基、护坡和</w:t>
            </w:r>
          </w:p>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排水沟挖方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NA6</w:t>
            </w:r>
          </w:p>
        </w:tc>
        <w:tc>
          <w:tcPr>
            <w:tcW w:w="64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9.4~11.2</w:t>
            </w:r>
          </w:p>
        </w:tc>
        <w:tc>
          <w:tcPr>
            <w:tcW w:w="39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1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1.4</w:t>
            </w:r>
          </w:p>
        </w:tc>
        <w:tc>
          <w:tcPr>
            <w:tcW w:w="58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10.7</w:t>
            </w:r>
          </w:p>
        </w:tc>
        <w:tc>
          <w:tcPr>
            <w:tcW w:w="51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66 </w:t>
            </w:r>
          </w:p>
        </w:tc>
        <w:tc>
          <w:tcPr>
            <w:tcW w:w="438"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10"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66 </w:t>
            </w:r>
          </w:p>
        </w:tc>
        <w:tc>
          <w:tcPr>
            <w:tcW w:w="9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NA7</w:t>
            </w:r>
          </w:p>
        </w:tc>
        <w:tc>
          <w:tcPr>
            <w:tcW w:w="64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7.2~8.3</w:t>
            </w:r>
          </w:p>
        </w:tc>
        <w:tc>
          <w:tcPr>
            <w:tcW w:w="39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1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58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7.8</w:t>
            </w:r>
          </w:p>
        </w:tc>
        <w:tc>
          <w:tcPr>
            <w:tcW w:w="51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24 </w:t>
            </w:r>
          </w:p>
        </w:tc>
        <w:tc>
          <w:tcPr>
            <w:tcW w:w="438"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10"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24 </w:t>
            </w:r>
          </w:p>
        </w:tc>
        <w:tc>
          <w:tcPr>
            <w:tcW w:w="9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NA8</w:t>
            </w:r>
          </w:p>
        </w:tc>
        <w:tc>
          <w:tcPr>
            <w:tcW w:w="64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7.1~7.8</w:t>
            </w:r>
          </w:p>
        </w:tc>
        <w:tc>
          <w:tcPr>
            <w:tcW w:w="39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1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58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7.5</w:t>
            </w:r>
          </w:p>
        </w:tc>
        <w:tc>
          <w:tcPr>
            <w:tcW w:w="51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24 </w:t>
            </w:r>
          </w:p>
        </w:tc>
        <w:tc>
          <w:tcPr>
            <w:tcW w:w="438"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10"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24 </w:t>
            </w:r>
          </w:p>
        </w:tc>
        <w:tc>
          <w:tcPr>
            <w:tcW w:w="9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NA9</w:t>
            </w:r>
          </w:p>
        </w:tc>
        <w:tc>
          <w:tcPr>
            <w:tcW w:w="64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7.3~7.9</w:t>
            </w:r>
          </w:p>
        </w:tc>
        <w:tc>
          <w:tcPr>
            <w:tcW w:w="39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1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58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7.6</w:t>
            </w:r>
          </w:p>
        </w:tc>
        <w:tc>
          <w:tcPr>
            <w:tcW w:w="51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24 </w:t>
            </w:r>
          </w:p>
        </w:tc>
        <w:tc>
          <w:tcPr>
            <w:tcW w:w="438"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10"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24 </w:t>
            </w:r>
          </w:p>
        </w:tc>
        <w:tc>
          <w:tcPr>
            <w:tcW w:w="9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NA10</w:t>
            </w:r>
          </w:p>
        </w:tc>
        <w:tc>
          <w:tcPr>
            <w:tcW w:w="64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8.5~9.9</w:t>
            </w:r>
          </w:p>
        </w:tc>
        <w:tc>
          <w:tcPr>
            <w:tcW w:w="39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1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1.4</w:t>
            </w:r>
          </w:p>
        </w:tc>
        <w:tc>
          <w:tcPr>
            <w:tcW w:w="58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9.3</w:t>
            </w:r>
          </w:p>
        </w:tc>
        <w:tc>
          <w:tcPr>
            <w:tcW w:w="51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57 </w:t>
            </w:r>
          </w:p>
        </w:tc>
        <w:tc>
          <w:tcPr>
            <w:tcW w:w="438"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w:t>
            </w:r>
          </w:p>
        </w:tc>
        <w:tc>
          <w:tcPr>
            <w:tcW w:w="510"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66</w:t>
            </w:r>
          </w:p>
        </w:tc>
        <w:tc>
          <w:tcPr>
            <w:tcW w:w="997" w:type="pct"/>
            <w:shd w:val="clear" w:color="auto" w:fill="auto"/>
            <w:vAlign w:val="center"/>
          </w:tcPr>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排水沟挖方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NA11</w:t>
            </w:r>
          </w:p>
        </w:tc>
        <w:tc>
          <w:tcPr>
            <w:tcW w:w="64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7.1~7.8</w:t>
            </w:r>
          </w:p>
        </w:tc>
        <w:tc>
          <w:tcPr>
            <w:tcW w:w="39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1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58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7.5</w:t>
            </w:r>
          </w:p>
        </w:tc>
        <w:tc>
          <w:tcPr>
            <w:tcW w:w="51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24 </w:t>
            </w:r>
          </w:p>
        </w:tc>
        <w:tc>
          <w:tcPr>
            <w:tcW w:w="438"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10"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24 </w:t>
            </w:r>
          </w:p>
        </w:tc>
        <w:tc>
          <w:tcPr>
            <w:tcW w:w="997" w:type="pct"/>
            <w:shd w:val="clear" w:color="auto" w:fill="auto"/>
            <w:vAlign w:val="center"/>
          </w:tcPr>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NA12</w:t>
            </w:r>
          </w:p>
        </w:tc>
        <w:tc>
          <w:tcPr>
            <w:tcW w:w="64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7.1~8.0</w:t>
            </w:r>
          </w:p>
        </w:tc>
        <w:tc>
          <w:tcPr>
            <w:tcW w:w="39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1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58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7.6</w:t>
            </w:r>
          </w:p>
        </w:tc>
        <w:tc>
          <w:tcPr>
            <w:tcW w:w="51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24 </w:t>
            </w:r>
          </w:p>
        </w:tc>
        <w:tc>
          <w:tcPr>
            <w:tcW w:w="438"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10"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24 </w:t>
            </w:r>
          </w:p>
        </w:tc>
        <w:tc>
          <w:tcPr>
            <w:tcW w:w="997" w:type="pct"/>
            <w:shd w:val="clear" w:color="auto" w:fill="auto"/>
            <w:vAlign w:val="center"/>
          </w:tcPr>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NA13</w:t>
            </w:r>
          </w:p>
        </w:tc>
        <w:tc>
          <w:tcPr>
            <w:tcW w:w="64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7.1~7.3</w:t>
            </w:r>
          </w:p>
        </w:tc>
        <w:tc>
          <w:tcPr>
            <w:tcW w:w="39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1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58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7.2</w:t>
            </w:r>
          </w:p>
        </w:tc>
        <w:tc>
          <w:tcPr>
            <w:tcW w:w="51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23 </w:t>
            </w:r>
          </w:p>
        </w:tc>
        <w:tc>
          <w:tcPr>
            <w:tcW w:w="438"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10"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23 </w:t>
            </w:r>
          </w:p>
        </w:tc>
        <w:tc>
          <w:tcPr>
            <w:tcW w:w="997" w:type="pct"/>
            <w:shd w:val="clear" w:color="auto" w:fill="auto"/>
            <w:vAlign w:val="center"/>
          </w:tcPr>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NA14</w:t>
            </w:r>
          </w:p>
        </w:tc>
        <w:tc>
          <w:tcPr>
            <w:tcW w:w="64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9.3~9.9</w:t>
            </w:r>
          </w:p>
        </w:tc>
        <w:tc>
          <w:tcPr>
            <w:tcW w:w="39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1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1.4</w:t>
            </w:r>
          </w:p>
        </w:tc>
        <w:tc>
          <w:tcPr>
            <w:tcW w:w="58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9.6</w:t>
            </w:r>
          </w:p>
        </w:tc>
        <w:tc>
          <w:tcPr>
            <w:tcW w:w="51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59 </w:t>
            </w:r>
          </w:p>
        </w:tc>
        <w:tc>
          <w:tcPr>
            <w:tcW w:w="438"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39 </w:t>
            </w:r>
          </w:p>
        </w:tc>
        <w:tc>
          <w:tcPr>
            <w:tcW w:w="510"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98 </w:t>
            </w:r>
          </w:p>
        </w:tc>
        <w:tc>
          <w:tcPr>
            <w:tcW w:w="997" w:type="pct"/>
            <w:shd w:val="clear" w:color="auto" w:fill="auto"/>
            <w:vAlign w:val="center"/>
          </w:tcPr>
          <w:p>
            <w:pPr>
              <w:kinsoku/>
              <w:autoSpaceDE/>
              <w:autoSpaceDN/>
              <w:adjustRightInd/>
              <w:snapToGrid/>
              <w:spacing w:line="280" w:lineRule="exact"/>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降基和排水沟挖方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NA15</w:t>
            </w:r>
          </w:p>
        </w:tc>
        <w:tc>
          <w:tcPr>
            <w:tcW w:w="64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13</w:t>
            </w:r>
          </w:p>
        </w:tc>
        <w:tc>
          <w:tcPr>
            <w:tcW w:w="39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51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2.6</w:t>
            </w:r>
          </w:p>
        </w:tc>
        <w:tc>
          <w:tcPr>
            <w:tcW w:w="58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13</w:t>
            </w:r>
          </w:p>
        </w:tc>
        <w:tc>
          <w:tcPr>
            <w:tcW w:w="51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69 </w:t>
            </w:r>
          </w:p>
        </w:tc>
        <w:tc>
          <w:tcPr>
            <w:tcW w:w="438"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10"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69 </w:t>
            </w:r>
          </w:p>
        </w:tc>
        <w:tc>
          <w:tcPr>
            <w:tcW w:w="9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NA16</w:t>
            </w:r>
          </w:p>
        </w:tc>
        <w:tc>
          <w:tcPr>
            <w:tcW w:w="64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11.8</w:t>
            </w:r>
          </w:p>
        </w:tc>
        <w:tc>
          <w:tcPr>
            <w:tcW w:w="39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51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2.4</w:t>
            </w:r>
          </w:p>
        </w:tc>
        <w:tc>
          <w:tcPr>
            <w:tcW w:w="58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11.8</w:t>
            </w:r>
          </w:p>
        </w:tc>
        <w:tc>
          <w:tcPr>
            <w:tcW w:w="51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53 </w:t>
            </w:r>
          </w:p>
        </w:tc>
        <w:tc>
          <w:tcPr>
            <w:tcW w:w="438"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10"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53 </w:t>
            </w:r>
          </w:p>
        </w:tc>
        <w:tc>
          <w:tcPr>
            <w:tcW w:w="9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49" w:type="pct"/>
            <w:gridSpan w:val="2"/>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合计</w:t>
            </w:r>
          </w:p>
        </w:tc>
        <w:tc>
          <w:tcPr>
            <w:tcW w:w="399" w:type="pct"/>
            <w:shd w:val="clear" w:color="auto" w:fill="auto"/>
            <w:vAlign w:val="center"/>
          </w:tcPr>
          <w:p>
            <w:pPr>
              <w:kinsoku/>
              <w:autoSpaceDE/>
              <w:autoSpaceDN/>
              <w:adjustRightInd/>
              <w:snapToGrid/>
              <w:spacing w:line="240" w:lineRule="auto"/>
              <w:ind w:right="-120" w:rightChars="-50" w:firstLine="0" w:firstLineChars="0"/>
              <w:jc w:val="center"/>
              <w:textAlignment w:val="auto"/>
              <w:rPr>
                <w:rFonts w:cs="Times New Roman"/>
                <w:snapToGrid/>
                <w:color w:val="auto"/>
                <w:sz w:val="20"/>
                <w:szCs w:val="20"/>
                <w:lang w:eastAsia="zh-CN"/>
              </w:rPr>
            </w:pPr>
          </w:p>
        </w:tc>
        <w:tc>
          <w:tcPr>
            <w:tcW w:w="511" w:type="pct"/>
            <w:shd w:val="clear" w:color="auto" w:fill="auto"/>
            <w:vAlign w:val="center"/>
          </w:tcPr>
          <w:p>
            <w:pPr>
              <w:kinsoku/>
              <w:autoSpaceDE/>
              <w:autoSpaceDN/>
              <w:adjustRightInd/>
              <w:snapToGrid/>
              <w:spacing w:line="240" w:lineRule="auto"/>
              <w:ind w:right="-120" w:rightChars="-50" w:firstLine="0" w:firstLineChars="0"/>
              <w:jc w:val="center"/>
              <w:textAlignment w:val="auto"/>
              <w:rPr>
                <w:rFonts w:cs="Times New Roman"/>
                <w:snapToGrid/>
                <w:color w:val="auto"/>
                <w:sz w:val="20"/>
                <w:szCs w:val="20"/>
                <w:lang w:eastAsia="zh-CN"/>
              </w:rPr>
            </w:pPr>
          </w:p>
        </w:tc>
        <w:tc>
          <w:tcPr>
            <w:tcW w:w="584" w:type="pct"/>
            <w:shd w:val="clear" w:color="auto" w:fill="auto"/>
            <w:vAlign w:val="center"/>
          </w:tcPr>
          <w:p>
            <w:pPr>
              <w:kinsoku/>
              <w:autoSpaceDE/>
              <w:autoSpaceDN/>
              <w:adjustRightInd/>
              <w:snapToGrid/>
              <w:spacing w:line="240" w:lineRule="auto"/>
              <w:ind w:right="-120" w:rightChars="-50" w:firstLine="0" w:firstLineChars="0"/>
              <w:jc w:val="center"/>
              <w:textAlignment w:val="auto"/>
              <w:rPr>
                <w:rFonts w:cs="Times New Roman"/>
                <w:snapToGrid/>
                <w:color w:val="auto"/>
                <w:sz w:val="20"/>
                <w:szCs w:val="20"/>
                <w:lang w:eastAsia="zh-CN"/>
              </w:rPr>
            </w:pPr>
          </w:p>
        </w:tc>
        <w:tc>
          <w:tcPr>
            <w:tcW w:w="512" w:type="pct"/>
            <w:shd w:val="clear" w:color="auto" w:fill="auto"/>
            <w:vAlign w:val="center"/>
          </w:tcPr>
          <w:p>
            <w:pPr>
              <w:kinsoku/>
              <w:autoSpaceDE/>
              <w:autoSpaceDN/>
              <w:adjustRightInd/>
              <w:snapToGrid/>
              <w:spacing w:line="240" w:lineRule="auto"/>
              <w:ind w:right="-120" w:rightChars="-50" w:firstLine="0" w:firstLineChars="0"/>
              <w:jc w:val="center"/>
              <w:textAlignment w:val="auto"/>
              <w:rPr>
                <w:rFonts w:cs="Times New Roman"/>
                <w:snapToGrid/>
                <w:color w:val="auto"/>
                <w:sz w:val="20"/>
                <w:szCs w:val="20"/>
                <w:lang w:eastAsia="zh-CN"/>
              </w:rPr>
            </w:pPr>
          </w:p>
        </w:tc>
        <w:tc>
          <w:tcPr>
            <w:tcW w:w="438" w:type="pct"/>
            <w:shd w:val="clear" w:color="auto" w:fill="auto"/>
            <w:vAlign w:val="center"/>
          </w:tcPr>
          <w:p>
            <w:pPr>
              <w:kinsoku/>
              <w:autoSpaceDE/>
              <w:autoSpaceDN/>
              <w:adjustRightInd/>
              <w:snapToGrid/>
              <w:spacing w:line="240" w:lineRule="auto"/>
              <w:ind w:right="-120" w:rightChars="-50" w:firstLine="0" w:firstLineChars="0"/>
              <w:jc w:val="center"/>
              <w:textAlignment w:val="auto"/>
              <w:rPr>
                <w:rFonts w:cs="Times New Roman"/>
                <w:snapToGrid/>
                <w:color w:val="auto"/>
                <w:sz w:val="20"/>
                <w:szCs w:val="20"/>
                <w:lang w:eastAsia="zh-CN"/>
              </w:rPr>
            </w:pPr>
          </w:p>
        </w:tc>
        <w:tc>
          <w:tcPr>
            <w:tcW w:w="510"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896</w:t>
            </w:r>
          </w:p>
        </w:tc>
        <w:tc>
          <w:tcPr>
            <w:tcW w:w="9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r>
    </w:tbl>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color w:val="auto"/>
          <w:szCs w:val="24"/>
          <w:lang w:eastAsia="zh-CN"/>
        </w:rPr>
        <w:t>②</w:t>
      </w:r>
      <w:r>
        <w:rPr>
          <w:rFonts w:hint="eastAsia" w:ascii="仿宋_GB2312" w:hAnsi="宋体" w:cs="宋体"/>
          <w:color w:val="auto"/>
          <w:szCs w:val="24"/>
          <w:lang w:eastAsia="zh-CN"/>
        </w:rPr>
        <w:t>玛瑙</w:t>
      </w:r>
      <w:r>
        <w:rPr>
          <w:rFonts w:hint="eastAsia" w:ascii="仿宋_GB2312" w:cs="Times New Roman"/>
          <w:color w:val="auto"/>
          <w:szCs w:val="24"/>
          <w:lang w:eastAsia="zh-CN"/>
        </w:rPr>
        <w:t>施</w:t>
      </w:r>
      <w:r>
        <w:rPr>
          <w:rFonts w:cs="Times New Roman"/>
          <w:color w:val="auto"/>
          <w:szCs w:val="24"/>
          <w:lang w:eastAsia="zh-CN"/>
        </w:rPr>
        <w:t>工便道区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土石方挖方总量414m</w:t>
      </w:r>
      <w:r>
        <w:rPr>
          <w:rFonts w:cs="Times New Roman"/>
          <w:color w:val="auto"/>
          <w:szCs w:val="24"/>
          <w:vertAlign w:val="superscript"/>
          <w:lang w:eastAsia="zh-CN"/>
        </w:rPr>
        <w:t>3</w:t>
      </w:r>
      <w:r>
        <w:rPr>
          <w:rFonts w:cs="Times New Roman"/>
          <w:color w:val="auto"/>
          <w:szCs w:val="24"/>
          <w:lang w:eastAsia="zh-CN"/>
        </w:rPr>
        <w:t>（其中表土剥离144m</w:t>
      </w:r>
      <w:r>
        <w:rPr>
          <w:rFonts w:cs="Times New Roman"/>
          <w:color w:val="auto"/>
          <w:szCs w:val="24"/>
          <w:vertAlign w:val="superscript"/>
          <w:lang w:eastAsia="zh-CN"/>
        </w:rPr>
        <w:t>3</w:t>
      </w:r>
      <w:r>
        <w:rPr>
          <w:rFonts w:cs="Times New Roman"/>
          <w:color w:val="auto"/>
          <w:szCs w:val="24"/>
          <w:lang w:eastAsia="zh-CN"/>
        </w:rPr>
        <w:t>），填方总量384m</w:t>
      </w:r>
      <w:r>
        <w:rPr>
          <w:rFonts w:cs="Times New Roman"/>
          <w:color w:val="auto"/>
          <w:szCs w:val="24"/>
          <w:vertAlign w:val="superscript"/>
          <w:lang w:eastAsia="zh-CN"/>
        </w:rPr>
        <w:t>3</w:t>
      </w:r>
      <w:r>
        <w:rPr>
          <w:rFonts w:cs="Times New Roman"/>
          <w:color w:val="auto"/>
          <w:szCs w:val="24"/>
          <w:lang w:eastAsia="zh-CN"/>
        </w:rPr>
        <w:t>(其中表土利用144m</w:t>
      </w:r>
      <w:r>
        <w:rPr>
          <w:rFonts w:cs="Times New Roman"/>
          <w:color w:val="auto"/>
          <w:szCs w:val="24"/>
          <w:vertAlign w:val="superscript"/>
          <w:lang w:eastAsia="zh-CN"/>
        </w:rPr>
        <w:t>3</w:t>
      </w:r>
      <w:r>
        <w:rPr>
          <w:rFonts w:cs="Times New Roman"/>
          <w:color w:val="auto"/>
          <w:szCs w:val="24"/>
          <w:lang w:eastAsia="zh-CN"/>
        </w:rPr>
        <w:t>)，其中NA1、NA2机械施工挖方总量384m</w:t>
      </w:r>
      <w:r>
        <w:rPr>
          <w:rFonts w:cs="Times New Roman"/>
          <w:color w:val="auto"/>
          <w:szCs w:val="24"/>
          <w:vertAlign w:val="superscript"/>
          <w:lang w:eastAsia="zh-CN"/>
        </w:rPr>
        <w:t>3</w:t>
      </w:r>
      <w:r>
        <w:rPr>
          <w:rFonts w:cs="Times New Roman"/>
          <w:color w:val="auto"/>
          <w:szCs w:val="24"/>
          <w:lang w:eastAsia="zh-CN"/>
        </w:rPr>
        <w:t>（其中表土剥离144m</w:t>
      </w:r>
      <w:r>
        <w:rPr>
          <w:rFonts w:cs="Times New Roman"/>
          <w:color w:val="auto"/>
          <w:szCs w:val="24"/>
          <w:vertAlign w:val="superscript"/>
          <w:lang w:eastAsia="zh-CN"/>
        </w:rPr>
        <w:t>3</w:t>
      </w:r>
      <w:r>
        <w:rPr>
          <w:rFonts w:cs="Times New Roman"/>
          <w:color w:val="auto"/>
          <w:szCs w:val="24"/>
          <w:lang w:eastAsia="zh-CN"/>
        </w:rPr>
        <w:t>），填方总量384m</w:t>
      </w:r>
      <w:r>
        <w:rPr>
          <w:rFonts w:cs="Times New Roman"/>
          <w:color w:val="auto"/>
          <w:szCs w:val="24"/>
          <w:vertAlign w:val="superscript"/>
          <w:lang w:eastAsia="zh-CN"/>
        </w:rPr>
        <w:t>3</w:t>
      </w:r>
      <w:r>
        <w:rPr>
          <w:rFonts w:cs="Times New Roman"/>
          <w:color w:val="auto"/>
          <w:szCs w:val="24"/>
          <w:lang w:eastAsia="zh-CN"/>
        </w:rPr>
        <w:t>(其中表土利用144m</w:t>
      </w:r>
      <w:r>
        <w:rPr>
          <w:rFonts w:cs="Times New Roman"/>
          <w:color w:val="auto"/>
          <w:szCs w:val="24"/>
          <w:vertAlign w:val="superscript"/>
          <w:lang w:eastAsia="zh-CN"/>
        </w:rPr>
        <w:t>3</w:t>
      </w:r>
      <w:r>
        <w:rPr>
          <w:rFonts w:cs="Times New Roman"/>
          <w:color w:val="auto"/>
          <w:szCs w:val="24"/>
          <w:lang w:eastAsia="zh-CN"/>
        </w:rPr>
        <w:t>)，用于道路平整回填，剩余30m</w:t>
      </w:r>
      <w:r>
        <w:rPr>
          <w:rFonts w:cs="Times New Roman"/>
          <w:color w:val="auto"/>
          <w:szCs w:val="24"/>
          <w:vertAlign w:val="superscript"/>
          <w:lang w:eastAsia="zh-CN"/>
        </w:rPr>
        <w:t>3</w:t>
      </w:r>
      <w:r>
        <w:rPr>
          <w:rFonts w:cs="Times New Roman"/>
          <w:color w:val="auto"/>
          <w:szCs w:val="24"/>
          <w:lang w:eastAsia="zh-CN"/>
        </w:rPr>
        <w:t>挖填方为余下施工便道局部修整需要挖高填低，土石方平衡，无永久弃土产生。</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2）芭蕉-正达凯220kV线路工程</w:t>
      </w:r>
    </w:p>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color w:val="auto"/>
          <w:szCs w:val="24"/>
          <w:lang w:eastAsia="zh-CN"/>
        </w:rPr>
        <w:t>①</w:t>
      </w:r>
      <w:r>
        <w:rPr>
          <w:rFonts w:hint="eastAsia" w:ascii="仿宋_GB2312" w:hAnsi="宋体" w:cs="宋体"/>
          <w:color w:val="auto"/>
          <w:szCs w:val="24"/>
          <w:lang w:eastAsia="zh-CN"/>
        </w:rPr>
        <w:t>芭蕉</w:t>
      </w:r>
      <w:r>
        <w:rPr>
          <w:rFonts w:cs="Times New Roman"/>
          <w:color w:val="auto"/>
          <w:szCs w:val="24"/>
          <w:lang w:eastAsia="zh-CN"/>
        </w:rPr>
        <w:t>塔基及临时施工区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塔基及临时施工区内挖方为塔基挖方、护坡墙和排水沟挖方，总挖方3188m</w:t>
      </w:r>
      <w:r>
        <w:rPr>
          <w:rFonts w:cs="Times New Roman"/>
          <w:color w:val="auto"/>
          <w:szCs w:val="24"/>
          <w:vertAlign w:val="superscript"/>
          <w:lang w:eastAsia="zh-CN"/>
        </w:rPr>
        <w:t>3</w:t>
      </w:r>
      <w:r>
        <w:rPr>
          <w:rFonts w:cs="Times New Roman"/>
          <w:color w:val="auto"/>
          <w:szCs w:val="24"/>
          <w:lang w:eastAsia="zh-CN"/>
        </w:rPr>
        <w:t>（其中表土剥离1040m</w:t>
      </w:r>
      <w:r>
        <w:rPr>
          <w:rFonts w:cs="Times New Roman"/>
          <w:color w:val="auto"/>
          <w:szCs w:val="24"/>
          <w:vertAlign w:val="superscript"/>
          <w:lang w:eastAsia="zh-CN"/>
        </w:rPr>
        <w:t>3</w:t>
      </w:r>
      <w:r>
        <w:rPr>
          <w:rFonts w:cs="Times New Roman"/>
          <w:color w:val="auto"/>
          <w:szCs w:val="24"/>
          <w:lang w:eastAsia="zh-CN"/>
        </w:rPr>
        <w:t>），填方3208m</w:t>
      </w:r>
      <w:r>
        <w:rPr>
          <w:rFonts w:cs="Times New Roman"/>
          <w:color w:val="auto"/>
          <w:szCs w:val="24"/>
          <w:vertAlign w:val="superscript"/>
          <w:lang w:eastAsia="zh-CN"/>
        </w:rPr>
        <w:t>3</w:t>
      </w:r>
      <w:r>
        <w:rPr>
          <w:rFonts w:cs="Times New Roman"/>
          <w:color w:val="auto"/>
          <w:szCs w:val="24"/>
          <w:lang w:eastAsia="zh-CN"/>
        </w:rPr>
        <w:t>主要用于在塔基施工扰动范围内摊平处理及护坡挡土墙等回填，</w:t>
      </w:r>
      <w:r>
        <w:rPr>
          <w:rFonts w:hint="eastAsia" w:cs="Times New Roman"/>
          <w:color w:val="auto"/>
          <w:szCs w:val="24"/>
          <w:lang w:eastAsia="zh-CN"/>
        </w:rPr>
        <w:t>其中含有</w:t>
      </w:r>
      <w:r>
        <w:rPr>
          <w:rFonts w:cs="Times New Roman"/>
          <w:color w:val="auto"/>
          <w:szCs w:val="24"/>
          <w:lang w:eastAsia="zh-CN"/>
        </w:rPr>
        <w:t>玛瑙变电站余方20m</w:t>
      </w:r>
      <w:r>
        <w:rPr>
          <w:rFonts w:cs="Times New Roman"/>
          <w:color w:val="auto"/>
          <w:szCs w:val="24"/>
          <w:vertAlign w:val="superscript"/>
          <w:lang w:eastAsia="zh-CN"/>
        </w:rPr>
        <w:t>3</w:t>
      </w:r>
      <w:r>
        <w:rPr>
          <w:rFonts w:cs="Times New Roman"/>
          <w:color w:val="auto"/>
          <w:szCs w:val="24"/>
          <w:lang w:eastAsia="zh-CN"/>
        </w:rPr>
        <w:t>，无弃方。根据相关线路工程建设经验，塔基区余方可摊平于塔基区内处理，经压实后平均堆高≤30cm，不影响基运行安全，部分位结合主体布设的挡护措施，符合水保要求。</w:t>
      </w:r>
    </w:p>
    <w:p>
      <w:pPr>
        <w:widowControl w:val="0"/>
        <w:kinsoku/>
        <w:topLinePunct/>
        <w:autoSpaceDE/>
        <w:autoSpaceDN/>
        <w:spacing w:line="300" w:lineRule="auto"/>
        <w:ind w:firstLine="422"/>
        <w:jc w:val="center"/>
        <w:rPr>
          <w:rFonts w:cs="Times New Roman"/>
          <w:b/>
          <w:bCs/>
          <w:color w:val="auto"/>
          <w:sz w:val="21"/>
          <w:lang w:eastAsia="zh-CN"/>
        </w:rPr>
      </w:pPr>
      <w:r>
        <w:rPr>
          <w:rFonts w:cs="Times New Roman"/>
          <w:b/>
          <w:bCs/>
          <w:color w:val="auto"/>
          <w:sz w:val="21"/>
          <w:lang w:eastAsia="zh-CN"/>
        </w:rPr>
        <w:t>表2.4.3 芭蕉-正达凯220kV线路工程塔基及临时施工区土石方量</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108"/>
        <w:gridCol w:w="881"/>
        <w:gridCol w:w="900"/>
        <w:gridCol w:w="906"/>
        <w:gridCol w:w="902"/>
        <w:gridCol w:w="901"/>
        <w:gridCol w:w="901"/>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blHeader/>
        </w:trPr>
        <w:tc>
          <w:tcPr>
            <w:tcW w:w="477"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序号</w:t>
            </w:r>
          </w:p>
        </w:tc>
        <w:tc>
          <w:tcPr>
            <w:tcW w:w="650"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基础埋</w:t>
            </w:r>
          </w:p>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深(m)</w:t>
            </w:r>
          </w:p>
        </w:tc>
        <w:tc>
          <w:tcPr>
            <w:tcW w:w="517"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塔基</w:t>
            </w:r>
          </w:p>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数量</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基础孔径（m)</w:t>
            </w:r>
          </w:p>
        </w:tc>
        <w:tc>
          <w:tcPr>
            <w:tcW w:w="531" w:type="pct"/>
            <w:shd w:val="clear" w:color="auto" w:fill="FFFFFF" w:themeFill="background1"/>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基础平均埋深</w:t>
            </w:r>
          </w:p>
        </w:tc>
        <w:tc>
          <w:tcPr>
            <w:tcW w:w="529"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局部挖方（m</w:t>
            </w:r>
            <w:r>
              <w:rPr>
                <w:rFonts w:cs="Times New Roman"/>
                <w:snapToGrid/>
                <w:color w:val="auto"/>
                <w:sz w:val="20"/>
                <w:szCs w:val="20"/>
                <w:vertAlign w:val="superscript"/>
                <w:lang w:eastAsia="zh-CN"/>
              </w:rPr>
              <w:t>3</w:t>
            </w:r>
            <w:r>
              <w:rPr>
                <w:rFonts w:cs="Times New Roman"/>
                <w:snapToGrid/>
                <w:color w:val="auto"/>
                <w:sz w:val="20"/>
                <w:szCs w:val="20"/>
                <w:lang w:eastAsia="zh-CN"/>
              </w:rPr>
              <w:t>)</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基础挖方（m</w:t>
            </w:r>
            <w:r>
              <w:rPr>
                <w:rFonts w:cs="Times New Roman"/>
                <w:snapToGrid/>
                <w:color w:val="auto"/>
                <w:sz w:val="20"/>
                <w:szCs w:val="20"/>
                <w:vertAlign w:val="superscript"/>
                <w:lang w:eastAsia="zh-CN"/>
              </w:rPr>
              <w:t>3</w:t>
            </w:r>
            <w:r>
              <w:rPr>
                <w:rFonts w:cs="Times New Roman"/>
                <w:snapToGrid/>
                <w:color w:val="auto"/>
                <w:sz w:val="20"/>
                <w:szCs w:val="20"/>
                <w:lang w:eastAsia="zh-CN"/>
              </w:rPr>
              <w:t>)</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挖方总量（m</w:t>
            </w:r>
            <w:r>
              <w:rPr>
                <w:rFonts w:cs="Times New Roman"/>
                <w:snapToGrid/>
                <w:color w:val="auto"/>
                <w:sz w:val="20"/>
                <w:szCs w:val="20"/>
                <w:vertAlign w:val="superscript"/>
                <w:lang w:eastAsia="zh-CN"/>
              </w:rPr>
              <w:t>3</w:t>
            </w:r>
            <w:r>
              <w:rPr>
                <w:rFonts w:cs="Times New Roman"/>
                <w:snapToGrid/>
                <w:color w:val="auto"/>
                <w:sz w:val="20"/>
                <w:szCs w:val="20"/>
                <w:lang w:eastAsia="zh-CN"/>
              </w:rPr>
              <w:t>)</w:t>
            </w:r>
          </w:p>
        </w:tc>
        <w:tc>
          <w:tcPr>
            <w:tcW w:w="713"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局部挖</w:t>
            </w:r>
          </w:p>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NB1</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12.8</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2.6</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12.8</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68</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68</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NB2</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6.0~6.3</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6.2</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19</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24</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降基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NB3</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9.5~9.8</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1.6</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9.6</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77</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77</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NB4</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8.3~8.7</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8.5</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38</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38</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NB5</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11.8~12.6</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0.5</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12.2</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40</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40</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NB6</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7.0-7.6</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7.3</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33</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43</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降基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NB7</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10.2-12.4</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0.5</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11.8</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50</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39</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89</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护坡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NB8</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7.3-7.7</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7.5</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34</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44</w:t>
            </w:r>
          </w:p>
        </w:tc>
        <w:tc>
          <w:tcPr>
            <w:tcW w:w="713" w:type="pct"/>
            <w:shd w:val="clear" w:color="auto" w:fill="auto"/>
            <w:noWrap/>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降基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NB9</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11.1~11.7</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1.8</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11.5</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117</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127</w:t>
            </w:r>
          </w:p>
        </w:tc>
        <w:tc>
          <w:tcPr>
            <w:tcW w:w="713" w:type="pct"/>
            <w:shd w:val="clear" w:color="auto" w:fill="auto"/>
            <w:noWrap/>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降基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NB10</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8.3-9.3</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8.9</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25</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40</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65</w:t>
            </w:r>
          </w:p>
        </w:tc>
        <w:tc>
          <w:tcPr>
            <w:tcW w:w="713" w:type="pct"/>
            <w:shd w:val="clear" w:color="auto" w:fill="auto"/>
            <w:noWrap/>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降基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NB11</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9.8~10.2</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1.4</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10.1</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20</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62</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82</w:t>
            </w:r>
          </w:p>
        </w:tc>
        <w:tc>
          <w:tcPr>
            <w:tcW w:w="713" w:type="pct"/>
            <w:shd w:val="clear" w:color="auto" w:fill="auto"/>
            <w:noWrap/>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降基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NB12</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10.5~11.1</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1.6</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10.8</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87</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87</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NB13</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10.5</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1.8</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10.5</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107</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107</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NB14</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7.1~7.7</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7.5</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34</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34</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NB15</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9.0~9.2</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1.4</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9.1</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56</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56</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NB16</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7.0~7.2</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7.1</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32</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32</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NB17</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9.2~9.7</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1.4</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9.5</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58</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58</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NB18</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8.2~8.7</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8.5</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38</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48</w:t>
            </w:r>
          </w:p>
        </w:tc>
        <w:tc>
          <w:tcPr>
            <w:tcW w:w="713" w:type="pct"/>
            <w:shd w:val="clear" w:color="auto" w:fill="auto"/>
            <w:noWrap/>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降基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NB19</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8.3~9.2</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8.7</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15</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39</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54</w:t>
            </w:r>
          </w:p>
        </w:tc>
        <w:tc>
          <w:tcPr>
            <w:tcW w:w="713" w:type="pct"/>
            <w:shd w:val="clear" w:color="auto" w:fill="auto"/>
            <w:noWrap/>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降基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NB20</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10.3~10.4</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1.6</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10.4</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183</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84</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272</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降基、护坡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NB21</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8.3~9.1</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8.7</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39</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39</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NB22</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9.4~10.2</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1.4</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9.8</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60</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70</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NB23</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8.2~9.3</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8.7</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78</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39</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89</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降基、护坡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NB24</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10.4~11.3</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1.6</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10.9</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88</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88</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NB25</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10.2~11.1</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1.6</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10.8</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87</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87</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NB26</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7.2~7.4</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7.3</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33</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33</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NB27</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11.2~12.1</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0.5</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11.7</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39</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39</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NB28</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7.1~7.7</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7.5</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34</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34</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NB29</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7.0~7.2</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7.1</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32</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32</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NB30</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8.2~8.7</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8.5</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25</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38</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63</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降基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NB31</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11</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2.4</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11</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50</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50</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NB32</w:t>
            </w:r>
          </w:p>
        </w:tc>
        <w:tc>
          <w:tcPr>
            <w:tcW w:w="650"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11.8</w:t>
            </w:r>
          </w:p>
        </w:tc>
        <w:tc>
          <w:tcPr>
            <w:tcW w:w="517"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2.4</w:t>
            </w:r>
          </w:p>
        </w:tc>
        <w:tc>
          <w:tcPr>
            <w:tcW w:w="531" w:type="pct"/>
            <w:shd w:val="clear" w:color="auto" w:fill="FFFFFF" w:themeFill="background1"/>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11.8</w:t>
            </w:r>
          </w:p>
        </w:tc>
        <w:tc>
          <w:tcPr>
            <w:tcW w:w="529"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53</w:t>
            </w: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53</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126" w:type="pct"/>
            <w:gridSpan w:val="2"/>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合计</w:t>
            </w:r>
          </w:p>
        </w:tc>
        <w:tc>
          <w:tcPr>
            <w:tcW w:w="517"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31"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9" w:type="pct"/>
            <w:shd w:val="clear" w:color="auto" w:fill="auto"/>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1697</w:t>
            </w:r>
          </w:p>
        </w:tc>
        <w:tc>
          <w:tcPr>
            <w:tcW w:w="528"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2148</w:t>
            </w:r>
          </w:p>
        </w:tc>
        <w:tc>
          <w:tcPr>
            <w:tcW w:w="713" w:type="pct"/>
            <w:shd w:val="clear" w:color="auto" w:fill="auto"/>
            <w:noWrap/>
            <w:vAlign w:val="center"/>
          </w:tcPr>
          <w:p>
            <w:pPr>
              <w:kinsoku/>
              <w:autoSpaceDE/>
              <w:autoSpaceDN/>
              <w:adjustRightInd/>
              <w:snapToGrid/>
              <w:spacing w:line="280" w:lineRule="exact"/>
              <w:ind w:firstLine="0" w:firstLineChars="0"/>
              <w:jc w:val="center"/>
              <w:textAlignment w:val="auto"/>
              <w:rPr>
                <w:rFonts w:cs="Times New Roman"/>
                <w:snapToGrid/>
                <w:color w:val="auto"/>
                <w:sz w:val="20"/>
                <w:szCs w:val="20"/>
                <w:lang w:eastAsia="zh-CN"/>
              </w:rPr>
            </w:pPr>
          </w:p>
        </w:tc>
      </w:tr>
    </w:tbl>
    <w:p>
      <w:pPr>
        <w:widowControl w:val="0"/>
        <w:kinsoku/>
        <w:topLinePunct/>
        <w:autoSpaceDE/>
        <w:autoSpaceDN/>
        <w:spacing w:line="300" w:lineRule="auto"/>
        <w:jc w:val="both"/>
        <w:rPr>
          <w:rFonts w:ascii="宋体" w:hAnsi="宋体" w:eastAsia="宋体" w:cs="宋体"/>
          <w:color w:val="auto"/>
          <w:sz w:val="10"/>
          <w:szCs w:val="10"/>
          <w:lang w:eastAsia="zh-CN"/>
        </w:rPr>
      </w:pPr>
    </w:p>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color w:val="auto"/>
          <w:szCs w:val="24"/>
          <w:lang w:eastAsia="zh-CN"/>
        </w:rPr>
        <w:t>②</w:t>
      </w:r>
      <w:r>
        <w:rPr>
          <w:rFonts w:hint="eastAsia" w:ascii="仿宋_GB2312" w:hAnsi="宋体" w:cs="宋体"/>
          <w:color w:val="auto"/>
          <w:szCs w:val="24"/>
          <w:lang w:eastAsia="zh-CN"/>
        </w:rPr>
        <w:t>芭蕉</w:t>
      </w:r>
      <w:r>
        <w:rPr>
          <w:rFonts w:cs="Times New Roman"/>
          <w:color w:val="auto"/>
          <w:szCs w:val="24"/>
          <w:lang w:eastAsia="zh-CN"/>
        </w:rPr>
        <w:t>施工便道区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土石方挖方总量40m</w:t>
      </w:r>
      <w:r>
        <w:rPr>
          <w:rFonts w:cs="Times New Roman"/>
          <w:color w:val="auto"/>
          <w:szCs w:val="24"/>
          <w:vertAlign w:val="superscript"/>
          <w:lang w:eastAsia="zh-CN"/>
        </w:rPr>
        <w:t>3</w:t>
      </w:r>
      <w:r>
        <w:rPr>
          <w:rFonts w:cs="Times New Roman"/>
          <w:color w:val="auto"/>
          <w:szCs w:val="24"/>
          <w:lang w:eastAsia="zh-CN"/>
        </w:rPr>
        <w:t>，填方总量40m</w:t>
      </w:r>
      <w:r>
        <w:rPr>
          <w:rFonts w:cs="Times New Roman"/>
          <w:color w:val="auto"/>
          <w:szCs w:val="24"/>
          <w:vertAlign w:val="superscript"/>
          <w:lang w:eastAsia="zh-CN"/>
        </w:rPr>
        <w:t>3</w:t>
      </w:r>
      <w:r>
        <w:rPr>
          <w:rFonts w:cs="Times New Roman"/>
          <w:color w:val="auto"/>
          <w:szCs w:val="24"/>
          <w:lang w:eastAsia="zh-CN"/>
        </w:rPr>
        <w:t>，主要是施工便道区局部修整需要挖高填低，土石方平衡，无永久弃土产生。</w:t>
      </w:r>
    </w:p>
    <w:p>
      <w:pPr>
        <w:widowControl w:val="0"/>
        <w:kinsoku/>
        <w:topLinePunct/>
        <w:autoSpaceDE/>
        <w:autoSpaceDN/>
        <w:spacing w:line="360" w:lineRule="auto"/>
        <w:ind w:firstLine="480"/>
        <w:jc w:val="both"/>
        <w:rPr>
          <w:rFonts w:cs="Times New Roman"/>
          <w:color w:val="auto"/>
          <w:szCs w:val="24"/>
          <w:lang w:eastAsia="zh-CN"/>
        </w:rPr>
      </w:pPr>
      <w:r>
        <w:rPr>
          <w:rFonts w:hint="eastAsia" w:ascii="宋体" w:hAnsi="宋体" w:eastAsia="宋体" w:cs="宋体"/>
          <w:color w:val="auto"/>
          <w:szCs w:val="24"/>
          <w:lang w:eastAsia="zh-CN"/>
        </w:rPr>
        <w:t>③</w:t>
      </w:r>
      <w:r>
        <w:rPr>
          <w:rFonts w:hint="eastAsia" w:ascii="仿宋_GB2312" w:hAnsi="宋体" w:cs="宋体"/>
          <w:color w:val="auto"/>
          <w:szCs w:val="24"/>
          <w:lang w:eastAsia="zh-CN"/>
        </w:rPr>
        <w:t>芭蕉</w:t>
      </w:r>
      <w:r>
        <w:rPr>
          <w:rFonts w:hint="eastAsia" w:ascii="仿宋_GB2312" w:cs="Times New Roman"/>
          <w:color w:val="auto"/>
          <w:szCs w:val="24"/>
          <w:lang w:eastAsia="zh-CN"/>
        </w:rPr>
        <w:t>电</w:t>
      </w:r>
      <w:r>
        <w:rPr>
          <w:rFonts w:cs="Times New Roman"/>
          <w:color w:val="auto"/>
          <w:szCs w:val="24"/>
          <w:lang w:eastAsia="zh-CN"/>
        </w:rPr>
        <w:t>缆工程区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土石方挖方总量360m</w:t>
      </w:r>
      <w:r>
        <w:rPr>
          <w:rFonts w:cs="Times New Roman"/>
          <w:color w:val="auto"/>
          <w:szCs w:val="24"/>
          <w:vertAlign w:val="superscript"/>
          <w:lang w:eastAsia="zh-CN"/>
        </w:rPr>
        <w:t>3</w:t>
      </w:r>
      <w:r>
        <w:rPr>
          <w:rFonts w:cs="Times New Roman"/>
          <w:color w:val="auto"/>
          <w:szCs w:val="24"/>
          <w:lang w:eastAsia="zh-CN"/>
        </w:rPr>
        <w:t>（其中表土剥离72m</w:t>
      </w:r>
      <w:r>
        <w:rPr>
          <w:rFonts w:cs="Times New Roman"/>
          <w:color w:val="auto"/>
          <w:szCs w:val="24"/>
          <w:vertAlign w:val="superscript"/>
          <w:lang w:eastAsia="zh-CN"/>
        </w:rPr>
        <w:t>3</w:t>
      </w:r>
      <w:r>
        <w:rPr>
          <w:rFonts w:cs="Times New Roman"/>
          <w:color w:val="auto"/>
          <w:szCs w:val="24"/>
          <w:lang w:eastAsia="zh-CN"/>
        </w:rPr>
        <w:t>），填方总量360m</w:t>
      </w:r>
      <w:r>
        <w:rPr>
          <w:rFonts w:cs="Times New Roman"/>
          <w:color w:val="auto"/>
          <w:szCs w:val="24"/>
          <w:vertAlign w:val="superscript"/>
          <w:lang w:eastAsia="zh-CN"/>
        </w:rPr>
        <w:t>3</w:t>
      </w:r>
      <w:r>
        <w:rPr>
          <w:rFonts w:cs="Times New Roman"/>
          <w:color w:val="auto"/>
          <w:szCs w:val="24"/>
          <w:lang w:eastAsia="zh-CN"/>
        </w:rPr>
        <w:t>(其中表土利用72m</w:t>
      </w:r>
      <w:r>
        <w:rPr>
          <w:rFonts w:cs="Times New Roman"/>
          <w:color w:val="auto"/>
          <w:szCs w:val="24"/>
          <w:vertAlign w:val="superscript"/>
          <w:lang w:eastAsia="zh-CN"/>
        </w:rPr>
        <w:t>3</w:t>
      </w:r>
      <w:r>
        <w:rPr>
          <w:rFonts w:cs="Times New Roman"/>
          <w:color w:val="auto"/>
          <w:szCs w:val="24"/>
          <w:lang w:eastAsia="zh-CN"/>
        </w:rPr>
        <w:t>)，</w:t>
      </w:r>
      <w:bookmarkStart w:id="37" w:name="_Hlk162540244"/>
      <w:r>
        <w:rPr>
          <w:rFonts w:cs="Times New Roman"/>
          <w:color w:val="auto"/>
          <w:szCs w:val="24"/>
          <w:lang w:eastAsia="zh-CN"/>
        </w:rPr>
        <w:t>242m</w:t>
      </w:r>
      <w:r>
        <w:rPr>
          <w:rFonts w:cs="Times New Roman"/>
          <w:color w:val="auto"/>
          <w:szCs w:val="24"/>
          <w:vertAlign w:val="superscript"/>
          <w:lang w:eastAsia="zh-CN"/>
        </w:rPr>
        <w:t>3</w:t>
      </w:r>
      <w:bookmarkEnd w:id="37"/>
      <w:r>
        <w:rPr>
          <w:rFonts w:cs="Times New Roman"/>
          <w:color w:val="auto"/>
          <w:szCs w:val="24"/>
          <w:lang w:eastAsia="zh-CN"/>
        </w:rPr>
        <w:t>用于电缆沟回填，余方118m</w:t>
      </w:r>
      <w:r>
        <w:rPr>
          <w:rFonts w:cs="Times New Roman"/>
          <w:color w:val="auto"/>
          <w:szCs w:val="24"/>
          <w:vertAlign w:val="superscript"/>
          <w:lang w:eastAsia="zh-CN"/>
        </w:rPr>
        <w:t>3</w:t>
      </w:r>
      <w:r>
        <w:rPr>
          <w:rFonts w:cs="Times New Roman"/>
          <w:color w:val="auto"/>
          <w:szCs w:val="24"/>
          <w:lang w:eastAsia="zh-CN"/>
        </w:rPr>
        <w:t>变电站外40m电缆沟上方龟背状摊平，土石方平衡，无永久弃土产生。</w:t>
      </w:r>
    </w:p>
    <w:bookmarkEnd w:id="36"/>
    <w:p>
      <w:pPr>
        <w:widowControl w:val="0"/>
        <w:kinsoku/>
        <w:topLinePunct/>
        <w:autoSpaceDE/>
        <w:autoSpaceDN/>
        <w:spacing w:line="360" w:lineRule="auto"/>
        <w:ind w:firstLine="480"/>
        <w:jc w:val="both"/>
        <w:rPr>
          <w:rFonts w:cs="Times New Roman"/>
          <w:color w:val="auto"/>
          <w:szCs w:val="24"/>
          <w:lang w:eastAsia="zh-CN"/>
        </w:rPr>
        <w:sectPr>
          <w:headerReference r:id="rId16" w:type="default"/>
          <w:footerReference r:id="rId17" w:type="default"/>
          <w:pgSz w:w="11906" w:h="16838"/>
          <w:pgMar w:top="1440" w:right="1797" w:bottom="1440" w:left="1797" w:header="851" w:footer="992" w:gutter="0"/>
          <w:cols w:space="425" w:num="1"/>
          <w:docGrid w:linePitch="312" w:charSpace="0"/>
        </w:sectPr>
      </w:pPr>
      <w:r>
        <w:rPr>
          <w:rFonts w:cs="Times New Roman"/>
          <w:color w:val="auto"/>
          <w:szCs w:val="24"/>
          <w:lang w:eastAsia="zh-CN"/>
        </w:rPr>
        <w:t>综上，本工程总开挖方5434m³，回填方5434m³，无借方，无弃方，挖方主要为变电站间隔扩建工程设备基础、排水管道等开挖，塔基及临时施工区基础、护坡墙及排水沟、电缆沟道挖方，运输过程做好遮盖、封闭、抑尘等防护措施，及时清理洒落的土料，尽可能减少水土流失及其对周边环境的影响。不设置弃渣场，尽量减少水土的流失。工程合理调配了工程的土方，减少弃渣量，因此，土石方平衡基本满足水土保持要求。见表2.4-4。</w:t>
      </w:r>
    </w:p>
    <w:p>
      <w:pPr>
        <w:widowControl w:val="0"/>
        <w:kinsoku/>
        <w:topLinePunct/>
        <w:autoSpaceDE/>
        <w:autoSpaceDN/>
        <w:spacing w:line="300" w:lineRule="auto"/>
        <w:ind w:firstLine="482"/>
        <w:jc w:val="center"/>
        <w:rPr>
          <w:rFonts w:cs="Times New Roman"/>
          <w:b/>
          <w:bCs/>
          <w:color w:val="auto"/>
          <w:lang w:eastAsia="zh-CN"/>
        </w:rPr>
      </w:pPr>
      <w:bookmarkStart w:id="38" w:name="_Hlk161215255"/>
      <w:r>
        <w:rPr>
          <w:rFonts w:cs="Times New Roman"/>
          <w:b/>
          <w:bCs/>
          <w:color w:val="auto"/>
          <w:lang w:eastAsia="zh-CN"/>
        </w:rPr>
        <w:t>表2.4-4 工程土石方情况一览表</w:t>
      </w:r>
      <w:r>
        <w:rPr>
          <w:rFonts w:hint="eastAsia" w:cs="Times New Roman"/>
          <w:b/>
          <w:bCs/>
          <w:color w:val="auto"/>
          <w:lang w:eastAsia="zh-CN"/>
        </w:rPr>
        <w:t>（</w:t>
      </w:r>
      <w:r>
        <w:rPr>
          <w:rFonts w:cs="Times New Roman"/>
          <w:b/>
          <w:bCs/>
          <w:color w:val="auto"/>
          <w:lang w:eastAsia="zh-CN"/>
        </w:rPr>
        <w:t>单位：m</w:t>
      </w:r>
      <w:r>
        <w:rPr>
          <w:rFonts w:cs="Times New Roman"/>
          <w:b/>
          <w:bCs/>
          <w:color w:val="auto"/>
          <w:vertAlign w:val="superscript"/>
          <w:lang w:eastAsia="zh-CN"/>
        </w:rPr>
        <w:t>3</w:t>
      </w:r>
      <w:r>
        <w:rPr>
          <w:rFonts w:hint="eastAsia" w:cs="Times New Roman"/>
          <w:b/>
          <w:bCs/>
          <w:color w:val="auto"/>
          <w:lang w:eastAsia="zh-CN"/>
        </w:rPr>
        <w:t>）</w:t>
      </w:r>
    </w:p>
    <w:tbl>
      <w:tblPr>
        <w:tblStyle w:val="26"/>
        <w:tblW w:w="5000" w:type="pct"/>
        <w:jc w:val="center"/>
        <w:tblLayout w:type="autofit"/>
        <w:tblCellMar>
          <w:top w:w="0" w:type="dxa"/>
          <w:left w:w="108" w:type="dxa"/>
          <w:bottom w:w="0" w:type="dxa"/>
          <w:right w:w="108" w:type="dxa"/>
        </w:tblCellMar>
      </w:tblPr>
      <w:tblGrid>
        <w:gridCol w:w="732"/>
        <w:gridCol w:w="1604"/>
        <w:gridCol w:w="1160"/>
        <w:gridCol w:w="433"/>
        <w:gridCol w:w="657"/>
        <w:gridCol w:w="568"/>
        <w:gridCol w:w="573"/>
        <w:gridCol w:w="568"/>
        <w:gridCol w:w="697"/>
        <w:gridCol w:w="673"/>
        <w:gridCol w:w="565"/>
        <w:gridCol w:w="509"/>
        <w:gridCol w:w="673"/>
        <w:gridCol w:w="673"/>
        <w:gridCol w:w="619"/>
        <w:gridCol w:w="455"/>
        <w:gridCol w:w="533"/>
        <w:gridCol w:w="643"/>
        <w:gridCol w:w="599"/>
        <w:gridCol w:w="526"/>
      </w:tblGrid>
      <w:tr>
        <w:tblPrEx>
          <w:tblCellMar>
            <w:top w:w="0" w:type="dxa"/>
            <w:left w:w="108" w:type="dxa"/>
            <w:bottom w:w="0" w:type="dxa"/>
            <w:right w:w="108" w:type="dxa"/>
          </w:tblCellMar>
        </w:tblPrEx>
        <w:trPr>
          <w:trHeight w:val="329" w:hRule="atLeast"/>
          <w:jc w:val="center"/>
        </w:trPr>
        <w:tc>
          <w:tcPr>
            <w:tcW w:w="1298"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项目</w:t>
            </w:r>
          </w:p>
        </w:tc>
        <w:tc>
          <w:tcPr>
            <w:tcW w:w="16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序号</w:t>
            </w:r>
          </w:p>
        </w:tc>
        <w:tc>
          <w:tcPr>
            <w:tcW w:w="668" w:type="pct"/>
            <w:gridSpan w:val="3"/>
            <w:tcBorders>
              <w:top w:val="single" w:color="auto" w:sz="4" w:space="0"/>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开挖</w:t>
            </w:r>
          </w:p>
        </w:tc>
        <w:tc>
          <w:tcPr>
            <w:tcW w:w="720" w:type="pct"/>
            <w:gridSpan w:val="3"/>
            <w:tcBorders>
              <w:top w:val="single" w:color="auto" w:sz="4" w:space="0"/>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回填</w:t>
            </w:r>
          </w:p>
        </w:tc>
        <w:tc>
          <w:tcPr>
            <w:tcW w:w="899" w:type="pct"/>
            <w:gridSpan w:val="4"/>
            <w:tcBorders>
              <w:top w:val="single" w:color="auto" w:sz="4" w:space="0"/>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调入</w:t>
            </w:r>
          </w:p>
        </w:tc>
        <w:tc>
          <w:tcPr>
            <w:tcW w:w="836" w:type="pct"/>
            <w:gridSpan w:val="4"/>
            <w:tcBorders>
              <w:top w:val="single" w:color="auto" w:sz="4" w:space="0"/>
              <w:left w:val="nil"/>
              <w:bottom w:val="single" w:color="auto" w:sz="4" w:space="0"/>
              <w:right w:val="single" w:color="auto" w:sz="4" w:space="0"/>
            </w:tcBorders>
            <w:shd w:val="clear" w:color="auto" w:fill="auto"/>
            <w:vAlign w:val="center"/>
          </w:tcPr>
          <w:p>
            <w:pPr>
              <w:spacing w:line="240" w:lineRule="auto"/>
              <w:ind w:right="-120" w:rightChars="-50" w:firstLine="0" w:firstLineChars="0"/>
              <w:jc w:val="center"/>
              <w:rPr>
                <w:rFonts w:cs="Times New Roman"/>
                <w:color w:val="auto"/>
                <w:sz w:val="20"/>
                <w:szCs w:val="20"/>
              </w:rPr>
            </w:pPr>
            <w:r>
              <w:rPr>
                <w:rFonts w:cs="Times New Roman"/>
                <w:color w:val="auto"/>
                <w:sz w:val="20"/>
                <w:szCs w:val="20"/>
              </w:rPr>
              <w:t>调出</w:t>
            </w:r>
          </w:p>
        </w:tc>
        <w:tc>
          <w:tcPr>
            <w:tcW w:w="418" w:type="pct"/>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余方</w:t>
            </w:r>
          </w:p>
        </w:tc>
      </w:tr>
      <w:tr>
        <w:tblPrEx>
          <w:tblCellMar>
            <w:top w:w="0" w:type="dxa"/>
            <w:left w:w="108" w:type="dxa"/>
            <w:bottom w:w="0" w:type="dxa"/>
            <w:right w:w="108" w:type="dxa"/>
          </w:tblCellMar>
        </w:tblPrEx>
        <w:trPr>
          <w:trHeight w:val="329" w:hRule="atLeast"/>
          <w:jc w:val="center"/>
        </w:trPr>
        <w:tc>
          <w:tcPr>
            <w:tcW w:w="1298" w:type="pct"/>
            <w:gridSpan w:val="3"/>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left="-120" w:leftChars="-50" w:right="-120" w:rightChars="-50" w:firstLine="0" w:firstLineChars="0"/>
              <w:rPr>
                <w:rFonts w:cs="Times New Roman"/>
                <w:color w:val="auto"/>
                <w:sz w:val="20"/>
                <w:szCs w:val="20"/>
              </w:rPr>
            </w:pPr>
          </w:p>
        </w:tc>
        <w:tc>
          <w:tcPr>
            <w:tcW w:w="161"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left="-120" w:leftChars="-50" w:right="-120" w:rightChars="-50" w:firstLine="0" w:firstLineChars="0"/>
              <w:rPr>
                <w:rFonts w:cs="Times New Roman"/>
                <w:color w:val="auto"/>
                <w:sz w:val="20"/>
                <w:szCs w:val="20"/>
              </w:rPr>
            </w:pPr>
          </w:p>
        </w:tc>
        <w:tc>
          <w:tcPr>
            <w:tcW w:w="244"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表土</w:t>
            </w:r>
          </w:p>
        </w:tc>
        <w:tc>
          <w:tcPr>
            <w:tcW w:w="211"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lang w:eastAsia="zh-CN"/>
              </w:rPr>
            </w:pPr>
            <w:r>
              <w:rPr>
                <w:rFonts w:cs="Times New Roman"/>
                <w:color w:val="auto"/>
                <w:sz w:val="20"/>
                <w:szCs w:val="20"/>
              </w:rPr>
              <w:t>一般</w:t>
            </w:r>
          </w:p>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土石</w:t>
            </w:r>
          </w:p>
        </w:tc>
        <w:tc>
          <w:tcPr>
            <w:tcW w:w="213"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小计</w:t>
            </w:r>
          </w:p>
        </w:tc>
        <w:tc>
          <w:tcPr>
            <w:tcW w:w="211"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表土</w:t>
            </w:r>
          </w:p>
        </w:tc>
        <w:tc>
          <w:tcPr>
            <w:tcW w:w="259"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lang w:eastAsia="zh-CN"/>
              </w:rPr>
            </w:pPr>
            <w:r>
              <w:rPr>
                <w:rFonts w:cs="Times New Roman"/>
                <w:color w:val="auto"/>
                <w:sz w:val="20"/>
                <w:szCs w:val="20"/>
              </w:rPr>
              <w:t>一般</w:t>
            </w:r>
          </w:p>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土石</w:t>
            </w:r>
          </w:p>
        </w:tc>
        <w:tc>
          <w:tcPr>
            <w:tcW w:w="250"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小计</w:t>
            </w:r>
          </w:p>
        </w:tc>
        <w:tc>
          <w:tcPr>
            <w:tcW w:w="210"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表土</w:t>
            </w:r>
          </w:p>
        </w:tc>
        <w:tc>
          <w:tcPr>
            <w:tcW w:w="189"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lang w:eastAsia="zh-CN"/>
              </w:rPr>
            </w:pPr>
            <w:r>
              <w:rPr>
                <w:rFonts w:cs="Times New Roman"/>
                <w:color w:val="auto"/>
                <w:sz w:val="20"/>
                <w:szCs w:val="20"/>
              </w:rPr>
              <w:t>一般</w:t>
            </w:r>
          </w:p>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土石</w:t>
            </w:r>
          </w:p>
        </w:tc>
        <w:tc>
          <w:tcPr>
            <w:tcW w:w="250"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来源</w:t>
            </w:r>
          </w:p>
        </w:tc>
        <w:tc>
          <w:tcPr>
            <w:tcW w:w="250"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小计</w:t>
            </w:r>
          </w:p>
        </w:tc>
        <w:tc>
          <w:tcPr>
            <w:tcW w:w="230"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表土</w:t>
            </w:r>
          </w:p>
        </w:tc>
        <w:tc>
          <w:tcPr>
            <w:tcW w:w="169"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lang w:eastAsia="zh-CN"/>
              </w:rPr>
            </w:pPr>
            <w:r>
              <w:rPr>
                <w:rFonts w:cs="Times New Roman"/>
                <w:color w:val="auto"/>
                <w:sz w:val="20"/>
                <w:szCs w:val="20"/>
              </w:rPr>
              <w:t>一般</w:t>
            </w:r>
          </w:p>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土石</w:t>
            </w:r>
          </w:p>
        </w:tc>
        <w:tc>
          <w:tcPr>
            <w:tcW w:w="198"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去向</w:t>
            </w:r>
          </w:p>
        </w:tc>
        <w:tc>
          <w:tcPr>
            <w:tcW w:w="239"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小计</w:t>
            </w:r>
          </w:p>
        </w:tc>
        <w:tc>
          <w:tcPr>
            <w:tcW w:w="222"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hint="eastAsia" w:cs="Times New Roman"/>
                <w:color w:val="auto"/>
                <w:sz w:val="20"/>
                <w:szCs w:val="20"/>
                <w:lang w:eastAsia="zh-CN"/>
              </w:rPr>
              <w:t>数量</w:t>
            </w:r>
          </w:p>
        </w:tc>
        <w:tc>
          <w:tcPr>
            <w:tcW w:w="196"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去向</w:t>
            </w:r>
          </w:p>
        </w:tc>
      </w:tr>
      <w:tr>
        <w:tblPrEx>
          <w:tblCellMar>
            <w:top w:w="0" w:type="dxa"/>
            <w:left w:w="108" w:type="dxa"/>
            <w:bottom w:w="0" w:type="dxa"/>
            <w:right w:w="108" w:type="dxa"/>
          </w:tblCellMar>
        </w:tblPrEx>
        <w:trPr>
          <w:trHeight w:val="329" w:hRule="atLeast"/>
          <w:jc w:val="center"/>
        </w:trPr>
        <w:tc>
          <w:tcPr>
            <w:tcW w:w="272" w:type="pct"/>
            <w:vMerge w:val="restart"/>
            <w:tcBorders>
              <w:top w:val="nil"/>
              <w:left w:val="single" w:color="auto" w:sz="4" w:space="0"/>
              <w:right w:val="single" w:color="auto" w:sz="4" w:space="0"/>
            </w:tcBorders>
            <w:shd w:val="clear" w:color="auto" w:fill="auto"/>
            <w:vAlign w:val="center"/>
          </w:tcPr>
          <w:p>
            <w:pPr>
              <w:spacing w:line="240" w:lineRule="auto"/>
              <w:ind w:left="-50" w:right="-50" w:firstLine="0" w:firstLineChars="0"/>
              <w:jc w:val="center"/>
              <w:rPr>
                <w:rFonts w:cs="Times New Roman"/>
                <w:color w:val="auto"/>
                <w:sz w:val="20"/>
                <w:szCs w:val="20"/>
                <w:lang w:eastAsia="zh-CN"/>
              </w:rPr>
            </w:pPr>
            <w:r>
              <w:rPr>
                <w:rFonts w:cs="Times New Roman"/>
                <w:color w:val="auto"/>
                <w:sz w:val="20"/>
                <w:szCs w:val="20"/>
              </w:rPr>
              <w:t>变电站</w:t>
            </w:r>
          </w:p>
          <w:p>
            <w:pPr>
              <w:spacing w:line="240" w:lineRule="auto"/>
              <w:ind w:left="-50" w:right="-50" w:firstLine="0" w:firstLineChars="0"/>
              <w:jc w:val="center"/>
              <w:rPr>
                <w:rFonts w:cs="Times New Roman"/>
                <w:color w:val="auto"/>
                <w:sz w:val="20"/>
                <w:szCs w:val="20"/>
              </w:rPr>
            </w:pPr>
            <w:r>
              <w:rPr>
                <w:rFonts w:cs="Times New Roman"/>
                <w:color w:val="auto"/>
                <w:sz w:val="20"/>
                <w:szCs w:val="20"/>
              </w:rPr>
              <w:t>工程</w:t>
            </w:r>
          </w:p>
        </w:tc>
        <w:tc>
          <w:tcPr>
            <w:tcW w:w="596" w:type="pct"/>
            <w:tcBorders>
              <w:top w:val="nil"/>
              <w:left w:val="single" w:color="auto" w:sz="4" w:space="0"/>
              <w:bottom w:val="single" w:color="auto" w:sz="4" w:space="0"/>
              <w:right w:val="single" w:color="auto" w:sz="4" w:space="0"/>
            </w:tcBorders>
            <w:shd w:val="clear" w:color="auto" w:fill="auto"/>
            <w:vAlign w:val="center"/>
          </w:tcPr>
          <w:p>
            <w:pPr>
              <w:pStyle w:val="13"/>
              <w:ind w:left="-50" w:right="-50"/>
              <w:rPr>
                <w:rFonts w:cs="Times New Roman"/>
                <w:sz w:val="20"/>
                <w:szCs w:val="20"/>
              </w:rPr>
            </w:pPr>
            <w:r>
              <w:rPr>
                <w:rFonts w:cs="Times New Roman"/>
                <w:sz w:val="20"/>
                <w:szCs w:val="20"/>
              </w:rPr>
              <w:t>500kV玛瑙站间隔扩建工程</w:t>
            </w:r>
          </w:p>
        </w:tc>
        <w:tc>
          <w:tcPr>
            <w:tcW w:w="431" w:type="pct"/>
            <w:tcBorders>
              <w:top w:val="nil"/>
              <w:left w:val="single" w:color="auto" w:sz="4" w:space="0"/>
              <w:bottom w:val="single" w:color="auto" w:sz="4" w:space="0"/>
              <w:right w:val="single" w:color="auto" w:sz="4" w:space="0"/>
            </w:tcBorders>
            <w:shd w:val="clear" w:color="auto" w:fill="auto"/>
          </w:tcPr>
          <w:p>
            <w:pPr>
              <w:pStyle w:val="13"/>
              <w:ind w:left="-50" w:right="-50"/>
              <w:rPr>
                <w:rFonts w:cs="Times New Roman"/>
                <w:sz w:val="20"/>
                <w:szCs w:val="20"/>
              </w:rPr>
            </w:pPr>
            <w:r>
              <w:rPr>
                <w:rFonts w:hint="eastAsia" w:cs="Times New Roman"/>
                <w:sz w:val="20"/>
                <w:szCs w:val="20"/>
              </w:rPr>
              <w:t>玛瑙</w:t>
            </w:r>
            <w:r>
              <w:rPr>
                <w:rFonts w:cs="Times New Roman"/>
                <w:sz w:val="20"/>
                <w:szCs w:val="20"/>
              </w:rPr>
              <w:t>变电站站区</w:t>
            </w:r>
          </w:p>
        </w:tc>
        <w:tc>
          <w:tcPr>
            <w:tcW w:w="161"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r>
              <w:rPr>
                <w:rFonts w:hint="eastAsia" w:ascii="宋体" w:hAnsi="宋体" w:eastAsia="宋体" w:cs="宋体"/>
                <w:color w:val="auto"/>
                <w:sz w:val="20"/>
                <w:szCs w:val="20"/>
              </w:rPr>
              <w:t>①</w:t>
            </w:r>
          </w:p>
        </w:tc>
        <w:tc>
          <w:tcPr>
            <w:tcW w:w="244"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5</w:t>
            </w:r>
          </w:p>
        </w:tc>
        <w:tc>
          <w:tcPr>
            <w:tcW w:w="211"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hint="eastAsia" w:cs="Times New Roman"/>
                <w:sz w:val="20"/>
                <w:szCs w:val="20"/>
              </w:rPr>
              <w:t>14</w:t>
            </w:r>
          </w:p>
        </w:tc>
        <w:tc>
          <w:tcPr>
            <w:tcW w:w="213"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19</w:t>
            </w:r>
          </w:p>
        </w:tc>
        <w:tc>
          <w:tcPr>
            <w:tcW w:w="211"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5</w:t>
            </w:r>
          </w:p>
        </w:tc>
        <w:tc>
          <w:tcPr>
            <w:tcW w:w="259"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hint="eastAsia" w:cs="Times New Roman"/>
                <w:sz w:val="20"/>
                <w:szCs w:val="20"/>
              </w:rPr>
              <w:t>4</w:t>
            </w:r>
          </w:p>
        </w:tc>
        <w:tc>
          <w:tcPr>
            <w:tcW w:w="25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9</w:t>
            </w:r>
          </w:p>
        </w:tc>
        <w:tc>
          <w:tcPr>
            <w:tcW w:w="21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189"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50"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5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23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169"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lang w:eastAsia="zh-CN"/>
              </w:rPr>
            </w:pPr>
            <w:r>
              <w:rPr>
                <w:rFonts w:hint="eastAsia" w:cs="Times New Roman"/>
                <w:color w:val="auto"/>
                <w:sz w:val="20"/>
                <w:szCs w:val="20"/>
                <w:lang w:eastAsia="zh-CN"/>
              </w:rPr>
              <w:t>1</w:t>
            </w:r>
            <w:r>
              <w:rPr>
                <w:rFonts w:cs="Times New Roman"/>
                <w:color w:val="auto"/>
                <w:sz w:val="20"/>
                <w:szCs w:val="20"/>
                <w:lang w:eastAsia="zh-CN"/>
              </w:rPr>
              <w:t>0</w:t>
            </w:r>
          </w:p>
        </w:tc>
        <w:tc>
          <w:tcPr>
            <w:tcW w:w="198"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r>
              <w:rPr>
                <w:rFonts w:hint="eastAsia" w:ascii="宋体" w:hAnsi="宋体" w:eastAsia="宋体" w:cs="宋体"/>
                <w:color w:val="auto"/>
                <w:sz w:val="20"/>
                <w:szCs w:val="20"/>
              </w:rPr>
              <w:t>③</w:t>
            </w:r>
          </w:p>
        </w:tc>
        <w:tc>
          <w:tcPr>
            <w:tcW w:w="239"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10</w:t>
            </w:r>
          </w:p>
        </w:tc>
        <w:tc>
          <w:tcPr>
            <w:tcW w:w="222"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lang w:eastAsia="zh-CN"/>
              </w:rPr>
            </w:pPr>
          </w:p>
        </w:tc>
        <w:tc>
          <w:tcPr>
            <w:tcW w:w="196"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r>
      <w:tr>
        <w:tblPrEx>
          <w:tblCellMar>
            <w:top w:w="0" w:type="dxa"/>
            <w:left w:w="108" w:type="dxa"/>
            <w:bottom w:w="0" w:type="dxa"/>
            <w:right w:w="108" w:type="dxa"/>
          </w:tblCellMar>
        </w:tblPrEx>
        <w:trPr>
          <w:trHeight w:val="329" w:hRule="atLeast"/>
          <w:jc w:val="center"/>
        </w:trPr>
        <w:tc>
          <w:tcPr>
            <w:tcW w:w="272" w:type="pct"/>
            <w:vMerge w:val="continue"/>
            <w:tcBorders>
              <w:left w:val="single" w:color="auto" w:sz="4" w:space="0"/>
              <w:bottom w:val="single" w:color="auto" w:sz="4" w:space="0"/>
              <w:right w:val="single" w:color="auto" w:sz="4" w:space="0"/>
            </w:tcBorders>
            <w:shd w:val="clear" w:color="auto" w:fill="auto"/>
            <w:vAlign w:val="center"/>
          </w:tcPr>
          <w:p>
            <w:pPr>
              <w:spacing w:line="240" w:lineRule="auto"/>
              <w:ind w:left="-50" w:right="-50" w:firstLine="0" w:firstLineChars="0"/>
              <w:jc w:val="center"/>
              <w:rPr>
                <w:rFonts w:cs="Times New Roman"/>
                <w:color w:val="auto"/>
                <w:sz w:val="20"/>
                <w:szCs w:val="20"/>
              </w:rPr>
            </w:pPr>
          </w:p>
        </w:tc>
        <w:tc>
          <w:tcPr>
            <w:tcW w:w="596" w:type="pct"/>
            <w:tcBorders>
              <w:top w:val="nil"/>
              <w:left w:val="single" w:color="auto" w:sz="4" w:space="0"/>
              <w:bottom w:val="single" w:color="auto" w:sz="4" w:space="0"/>
              <w:right w:val="single" w:color="auto" w:sz="4" w:space="0"/>
            </w:tcBorders>
            <w:shd w:val="clear" w:color="auto" w:fill="auto"/>
            <w:vAlign w:val="center"/>
          </w:tcPr>
          <w:p>
            <w:pPr>
              <w:pStyle w:val="13"/>
              <w:ind w:left="-50" w:right="-50"/>
              <w:rPr>
                <w:rFonts w:cs="Times New Roman"/>
                <w:sz w:val="20"/>
                <w:szCs w:val="20"/>
              </w:rPr>
            </w:pPr>
            <w:r>
              <w:rPr>
                <w:rFonts w:cs="Times New Roman"/>
                <w:sz w:val="20"/>
                <w:szCs w:val="20"/>
              </w:rPr>
              <w:t>220kV芭蕉站间隔扩建工程</w:t>
            </w:r>
          </w:p>
        </w:tc>
        <w:tc>
          <w:tcPr>
            <w:tcW w:w="431" w:type="pct"/>
            <w:tcBorders>
              <w:top w:val="nil"/>
              <w:left w:val="single" w:color="auto" w:sz="4" w:space="0"/>
              <w:bottom w:val="single" w:color="auto" w:sz="4" w:space="0"/>
              <w:right w:val="single" w:color="auto" w:sz="4" w:space="0"/>
            </w:tcBorders>
            <w:shd w:val="clear" w:color="auto" w:fill="auto"/>
          </w:tcPr>
          <w:p>
            <w:pPr>
              <w:pStyle w:val="13"/>
              <w:ind w:left="-50" w:right="-50"/>
              <w:rPr>
                <w:rFonts w:cs="Times New Roman"/>
                <w:sz w:val="20"/>
                <w:szCs w:val="20"/>
              </w:rPr>
            </w:pPr>
            <w:r>
              <w:rPr>
                <w:rFonts w:hint="eastAsia" w:cs="Times New Roman"/>
                <w:sz w:val="20"/>
                <w:szCs w:val="20"/>
              </w:rPr>
              <w:t>芭蕉</w:t>
            </w:r>
            <w:r>
              <w:rPr>
                <w:rFonts w:cs="Times New Roman"/>
                <w:sz w:val="20"/>
                <w:szCs w:val="20"/>
              </w:rPr>
              <w:t>变电站站区</w:t>
            </w:r>
          </w:p>
        </w:tc>
        <w:tc>
          <w:tcPr>
            <w:tcW w:w="161"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r>
              <w:rPr>
                <w:rFonts w:hint="eastAsia" w:ascii="宋体" w:hAnsi="宋体" w:eastAsia="宋体" w:cs="宋体"/>
                <w:color w:val="auto"/>
                <w:sz w:val="20"/>
                <w:szCs w:val="20"/>
              </w:rPr>
              <w:t>②</w:t>
            </w:r>
          </w:p>
        </w:tc>
        <w:tc>
          <w:tcPr>
            <w:tcW w:w="244"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23</w:t>
            </w:r>
          </w:p>
        </w:tc>
        <w:tc>
          <w:tcPr>
            <w:tcW w:w="211"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hint="eastAsia" w:cs="Times New Roman"/>
                <w:sz w:val="20"/>
                <w:szCs w:val="20"/>
              </w:rPr>
              <w:t>106</w:t>
            </w:r>
          </w:p>
        </w:tc>
        <w:tc>
          <w:tcPr>
            <w:tcW w:w="213"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129</w:t>
            </w:r>
          </w:p>
        </w:tc>
        <w:tc>
          <w:tcPr>
            <w:tcW w:w="211"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23</w:t>
            </w:r>
          </w:p>
        </w:tc>
        <w:tc>
          <w:tcPr>
            <w:tcW w:w="259"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hint="eastAsia" w:cs="Times New Roman"/>
                <w:sz w:val="20"/>
                <w:szCs w:val="20"/>
              </w:rPr>
              <w:t>86</w:t>
            </w:r>
          </w:p>
        </w:tc>
        <w:tc>
          <w:tcPr>
            <w:tcW w:w="25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109</w:t>
            </w:r>
          </w:p>
        </w:tc>
        <w:tc>
          <w:tcPr>
            <w:tcW w:w="21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189"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50"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5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23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169"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lang w:eastAsia="zh-CN"/>
              </w:rPr>
            </w:pPr>
            <w:r>
              <w:rPr>
                <w:rFonts w:hint="eastAsia" w:cs="Times New Roman"/>
                <w:color w:val="auto"/>
                <w:sz w:val="20"/>
                <w:szCs w:val="20"/>
                <w:lang w:eastAsia="zh-CN"/>
              </w:rPr>
              <w:t>2</w:t>
            </w:r>
            <w:r>
              <w:rPr>
                <w:rFonts w:cs="Times New Roman"/>
                <w:color w:val="auto"/>
                <w:sz w:val="20"/>
                <w:szCs w:val="20"/>
                <w:lang w:eastAsia="zh-CN"/>
              </w:rPr>
              <w:t>0</w:t>
            </w:r>
          </w:p>
        </w:tc>
        <w:tc>
          <w:tcPr>
            <w:tcW w:w="198"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r>
              <w:rPr>
                <w:rFonts w:hint="eastAsia" w:ascii="宋体" w:hAnsi="宋体" w:eastAsia="宋体" w:cs="宋体"/>
                <w:color w:val="auto"/>
                <w:sz w:val="20"/>
                <w:szCs w:val="20"/>
              </w:rPr>
              <w:t>⑤</w:t>
            </w:r>
          </w:p>
        </w:tc>
        <w:tc>
          <w:tcPr>
            <w:tcW w:w="239"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20</w:t>
            </w:r>
          </w:p>
        </w:tc>
        <w:tc>
          <w:tcPr>
            <w:tcW w:w="222"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lang w:eastAsia="zh-CN"/>
              </w:rPr>
            </w:pPr>
          </w:p>
        </w:tc>
        <w:tc>
          <w:tcPr>
            <w:tcW w:w="196"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r>
      <w:tr>
        <w:tblPrEx>
          <w:tblCellMar>
            <w:top w:w="0" w:type="dxa"/>
            <w:left w:w="108" w:type="dxa"/>
            <w:bottom w:w="0" w:type="dxa"/>
            <w:right w:w="108" w:type="dxa"/>
          </w:tblCellMar>
        </w:tblPrEx>
        <w:trPr>
          <w:trHeight w:val="329" w:hRule="atLeast"/>
          <w:jc w:val="center"/>
        </w:trPr>
        <w:tc>
          <w:tcPr>
            <w:tcW w:w="272" w:type="pct"/>
            <w:vMerge w:val="restart"/>
            <w:tcBorders>
              <w:top w:val="nil"/>
              <w:left w:val="single" w:color="auto" w:sz="4" w:space="0"/>
              <w:right w:val="single" w:color="auto" w:sz="4" w:space="0"/>
            </w:tcBorders>
            <w:shd w:val="clear" w:color="auto" w:fill="auto"/>
            <w:vAlign w:val="center"/>
          </w:tcPr>
          <w:p>
            <w:pPr>
              <w:spacing w:line="240" w:lineRule="auto"/>
              <w:ind w:left="-50" w:right="-50" w:firstLine="0" w:firstLineChars="0"/>
              <w:jc w:val="center"/>
              <w:rPr>
                <w:rFonts w:cs="Times New Roman"/>
                <w:color w:val="auto"/>
                <w:sz w:val="20"/>
                <w:szCs w:val="20"/>
                <w:lang w:eastAsia="zh-CN"/>
              </w:rPr>
            </w:pPr>
            <w:r>
              <w:rPr>
                <w:rFonts w:cs="Times New Roman"/>
                <w:color w:val="auto"/>
                <w:sz w:val="20"/>
                <w:szCs w:val="20"/>
              </w:rPr>
              <w:t>线路</w:t>
            </w:r>
          </w:p>
          <w:p>
            <w:pPr>
              <w:spacing w:line="240" w:lineRule="auto"/>
              <w:ind w:left="-50" w:right="-50" w:firstLine="0" w:firstLineChars="0"/>
              <w:jc w:val="center"/>
              <w:rPr>
                <w:rFonts w:cs="Times New Roman"/>
                <w:color w:val="auto"/>
                <w:sz w:val="20"/>
                <w:szCs w:val="20"/>
              </w:rPr>
            </w:pPr>
            <w:r>
              <w:rPr>
                <w:rFonts w:cs="Times New Roman"/>
                <w:color w:val="auto"/>
                <w:sz w:val="20"/>
                <w:szCs w:val="20"/>
              </w:rPr>
              <w:t>工程</w:t>
            </w:r>
          </w:p>
        </w:tc>
        <w:tc>
          <w:tcPr>
            <w:tcW w:w="596" w:type="pct"/>
            <w:vMerge w:val="restart"/>
            <w:tcBorders>
              <w:top w:val="nil"/>
              <w:left w:val="single" w:color="auto" w:sz="4" w:space="0"/>
              <w:right w:val="single" w:color="auto" w:sz="4" w:space="0"/>
            </w:tcBorders>
            <w:shd w:val="clear" w:color="auto" w:fill="auto"/>
            <w:vAlign w:val="center"/>
          </w:tcPr>
          <w:p>
            <w:pPr>
              <w:pStyle w:val="13"/>
              <w:ind w:left="-50" w:right="-50"/>
              <w:rPr>
                <w:rFonts w:cs="Times New Roman"/>
                <w:sz w:val="20"/>
                <w:szCs w:val="20"/>
              </w:rPr>
            </w:pPr>
            <w:r>
              <w:rPr>
                <w:rFonts w:cs="Times New Roman"/>
                <w:sz w:val="20"/>
                <w:szCs w:val="20"/>
              </w:rPr>
              <w:t>玛瑙-正达凯220kV线路工程</w:t>
            </w:r>
          </w:p>
        </w:tc>
        <w:tc>
          <w:tcPr>
            <w:tcW w:w="431" w:type="pct"/>
            <w:tcBorders>
              <w:top w:val="nil"/>
              <w:left w:val="single" w:color="auto" w:sz="4" w:space="0"/>
              <w:bottom w:val="single" w:color="auto" w:sz="4" w:space="0"/>
              <w:right w:val="single" w:color="auto" w:sz="4" w:space="0"/>
            </w:tcBorders>
            <w:shd w:val="clear" w:color="auto" w:fill="auto"/>
            <w:vAlign w:val="center"/>
          </w:tcPr>
          <w:p>
            <w:pPr>
              <w:pStyle w:val="13"/>
              <w:ind w:left="-50" w:right="-50"/>
              <w:rPr>
                <w:rFonts w:cs="Times New Roman"/>
                <w:sz w:val="20"/>
                <w:szCs w:val="20"/>
              </w:rPr>
            </w:pPr>
            <w:r>
              <w:rPr>
                <w:rFonts w:hint="eastAsia" w:cs="Times New Roman"/>
                <w:sz w:val="20"/>
                <w:szCs w:val="20"/>
              </w:rPr>
              <w:t>玛瑙</w:t>
            </w:r>
            <w:r>
              <w:rPr>
                <w:rFonts w:cs="Times New Roman"/>
                <w:sz w:val="20"/>
                <w:szCs w:val="20"/>
              </w:rPr>
              <w:t>塔基及临时施工区</w:t>
            </w:r>
          </w:p>
        </w:tc>
        <w:tc>
          <w:tcPr>
            <w:tcW w:w="161"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r>
              <w:rPr>
                <w:rFonts w:hint="eastAsia" w:ascii="宋体" w:hAnsi="宋体" w:eastAsia="宋体" w:cs="宋体"/>
                <w:color w:val="auto"/>
                <w:sz w:val="20"/>
                <w:szCs w:val="20"/>
              </w:rPr>
              <w:t>③</w:t>
            </w:r>
          </w:p>
        </w:tc>
        <w:tc>
          <w:tcPr>
            <w:tcW w:w="244"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388</w:t>
            </w:r>
          </w:p>
        </w:tc>
        <w:tc>
          <w:tcPr>
            <w:tcW w:w="211"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hint="eastAsia" w:cs="Times New Roman"/>
                <w:sz w:val="20"/>
                <w:szCs w:val="20"/>
              </w:rPr>
              <w:t>896</w:t>
            </w:r>
          </w:p>
        </w:tc>
        <w:tc>
          <w:tcPr>
            <w:tcW w:w="213"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1284</w:t>
            </w:r>
          </w:p>
        </w:tc>
        <w:tc>
          <w:tcPr>
            <w:tcW w:w="211"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388</w:t>
            </w:r>
          </w:p>
        </w:tc>
        <w:tc>
          <w:tcPr>
            <w:tcW w:w="259"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hint="eastAsia" w:cs="Times New Roman"/>
                <w:sz w:val="20"/>
                <w:szCs w:val="20"/>
              </w:rPr>
              <w:t>906</w:t>
            </w:r>
          </w:p>
        </w:tc>
        <w:tc>
          <w:tcPr>
            <w:tcW w:w="25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1294</w:t>
            </w:r>
          </w:p>
        </w:tc>
        <w:tc>
          <w:tcPr>
            <w:tcW w:w="21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189"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lang w:eastAsia="zh-CN"/>
              </w:rPr>
            </w:pPr>
            <w:r>
              <w:rPr>
                <w:rFonts w:hint="eastAsia" w:cs="Times New Roman"/>
                <w:color w:val="auto"/>
                <w:sz w:val="20"/>
                <w:szCs w:val="20"/>
                <w:lang w:eastAsia="zh-CN"/>
              </w:rPr>
              <w:t>1</w:t>
            </w:r>
            <w:r>
              <w:rPr>
                <w:rFonts w:cs="Times New Roman"/>
                <w:color w:val="auto"/>
                <w:sz w:val="20"/>
                <w:szCs w:val="20"/>
                <w:lang w:eastAsia="zh-CN"/>
              </w:rPr>
              <w:t>0</w:t>
            </w:r>
          </w:p>
        </w:tc>
        <w:tc>
          <w:tcPr>
            <w:tcW w:w="250"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r>
              <w:rPr>
                <w:rFonts w:hint="eastAsia" w:ascii="宋体" w:hAnsi="宋体" w:eastAsia="宋体" w:cs="宋体"/>
                <w:color w:val="auto"/>
                <w:sz w:val="20"/>
                <w:szCs w:val="20"/>
              </w:rPr>
              <w:t>①</w:t>
            </w:r>
          </w:p>
        </w:tc>
        <w:tc>
          <w:tcPr>
            <w:tcW w:w="25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10</w:t>
            </w:r>
          </w:p>
        </w:tc>
        <w:tc>
          <w:tcPr>
            <w:tcW w:w="23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169"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198"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39"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222"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lang w:eastAsia="zh-CN"/>
              </w:rPr>
            </w:pPr>
          </w:p>
        </w:tc>
        <w:tc>
          <w:tcPr>
            <w:tcW w:w="196"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r>
      <w:tr>
        <w:tblPrEx>
          <w:tblCellMar>
            <w:top w:w="0" w:type="dxa"/>
            <w:left w:w="108" w:type="dxa"/>
            <w:bottom w:w="0" w:type="dxa"/>
            <w:right w:w="108" w:type="dxa"/>
          </w:tblCellMar>
        </w:tblPrEx>
        <w:trPr>
          <w:trHeight w:val="329" w:hRule="atLeast"/>
          <w:jc w:val="center"/>
        </w:trPr>
        <w:tc>
          <w:tcPr>
            <w:tcW w:w="272" w:type="pct"/>
            <w:vMerge w:val="continue"/>
            <w:tcBorders>
              <w:left w:val="single" w:color="auto" w:sz="4" w:space="0"/>
              <w:right w:val="single" w:color="auto" w:sz="4" w:space="0"/>
            </w:tcBorders>
            <w:shd w:val="clear" w:color="auto" w:fill="auto"/>
            <w:vAlign w:val="center"/>
          </w:tcPr>
          <w:p>
            <w:pPr>
              <w:spacing w:line="240" w:lineRule="auto"/>
              <w:ind w:left="-50" w:right="-50" w:firstLine="0" w:firstLineChars="0"/>
              <w:jc w:val="center"/>
              <w:rPr>
                <w:rFonts w:cs="Times New Roman"/>
                <w:color w:val="auto"/>
                <w:sz w:val="20"/>
                <w:szCs w:val="20"/>
              </w:rPr>
            </w:pPr>
          </w:p>
        </w:tc>
        <w:tc>
          <w:tcPr>
            <w:tcW w:w="596" w:type="pct"/>
            <w:vMerge w:val="continue"/>
            <w:tcBorders>
              <w:left w:val="single" w:color="auto" w:sz="4" w:space="0"/>
              <w:bottom w:val="single" w:color="auto" w:sz="4" w:space="0"/>
              <w:right w:val="single" w:color="auto" w:sz="4" w:space="0"/>
            </w:tcBorders>
            <w:shd w:val="clear" w:color="auto" w:fill="auto"/>
            <w:vAlign w:val="center"/>
          </w:tcPr>
          <w:p>
            <w:pPr>
              <w:spacing w:line="240" w:lineRule="auto"/>
              <w:ind w:left="-50" w:right="-50" w:firstLine="0" w:firstLineChars="0"/>
              <w:jc w:val="center"/>
              <w:rPr>
                <w:rFonts w:cs="Times New Roman"/>
                <w:color w:val="auto"/>
                <w:sz w:val="20"/>
                <w:szCs w:val="20"/>
              </w:rPr>
            </w:pPr>
          </w:p>
        </w:tc>
        <w:tc>
          <w:tcPr>
            <w:tcW w:w="431" w:type="pct"/>
            <w:tcBorders>
              <w:top w:val="nil"/>
              <w:left w:val="single" w:color="auto" w:sz="4" w:space="0"/>
              <w:bottom w:val="single" w:color="auto" w:sz="4" w:space="0"/>
              <w:right w:val="single" w:color="auto" w:sz="4" w:space="0"/>
            </w:tcBorders>
            <w:shd w:val="clear" w:color="auto" w:fill="auto"/>
            <w:vAlign w:val="center"/>
          </w:tcPr>
          <w:p>
            <w:pPr>
              <w:pStyle w:val="13"/>
              <w:ind w:left="-50" w:right="-50"/>
              <w:rPr>
                <w:rFonts w:cs="Times New Roman"/>
                <w:sz w:val="20"/>
                <w:szCs w:val="20"/>
              </w:rPr>
            </w:pPr>
            <w:r>
              <w:rPr>
                <w:rFonts w:hint="eastAsia" w:cs="Times New Roman"/>
                <w:sz w:val="20"/>
                <w:szCs w:val="20"/>
              </w:rPr>
              <w:t>玛瑙</w:t>
            </w:r>
            <w:r>
              <w:rPr>
                <w:rFonts w:cs="Times New Roman"/>
                <w:sz w:val="20"/>
                <w:szCs w:val="20"/>
              </w:rPr>
              <w:t>施工便道区</w:t>
            </w:r>
          </w:p>
        </w:tc>
        <w:tc>
          <w:tcPr>
            <w:tcW w:w="161"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r>
              <w:rPr>
                <w:rFonts w:hint="eastAsia" w:ascii="宋体" w:hAnsi="宋体" w:eastAsia="宋体" w:cs="宋体"/>
                <w:color w:val="auto"/>
                <w:sz w:val="20"/>
                <w:szCs w:val="20"/>
              </w:rPr>
              <w:t>④</w:t>
            </w:r>
          </w:p>
        </w:tc>
        <w:tc>
          <w:tcPr>
            <w:tcW w:w="244"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144</w:t>
            </w:r>
          </w:p>
        </w:tc>
        <w:tc>
          <w:tcPr>
            <w:tcW w:w="211"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hint="eastAsia" w:cs="Times New Roman"/>
                <w:sz w:val="20"/>
                <w:szCs w:val="20"/>
              </w:rPr>
              <w:t>270</w:t>
            </w:r>
          </w:p>
        </w:tc>
        <w:tc>
          <w:tcPr>
            <w:tcW w:w="213"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414</w:t>
            </w:r>
          </w:p>
        </w:tc>
        <w:tc>
          <w:tcPr>
            <w:tcW w:w="211"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144</w:t>
            </w:r>
          </w:p>
        </w:tc>
        <w:tc>
          <w:tcPr>
            <w:tcW w:w="259"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hint="eastAsia" w:cs="Times New Roman"/>
                <w:sz w:val="20"/>
                <w:szCs w:val="20"/>
              </w:rPr>
              <w:t>270</w:t>
            </w:r>
          </w:p>
        </w:tc>
        <w:tc>
          <w:tcPr>
            <w:tcW w:w="25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414</w:t>
            </w:r>
          </w:p>
        </w:tc>
        <w:tc>
          <w:tcPr>
            <w:tcW w:w="21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189"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50"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5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23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169"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198"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39"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222"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lang w:eastAsia="zh-CN"/>
              </w:rPr>
            </w:pPr>
          </w:p>
        </w:tc>
        <w:tc>
          <w:tcPr>
            <w:tcW w:w="196"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r>
      <w:tr>
        <w:tblPrEx>
          <w:tblCellMar>
            <w:top w:w="0" w:type="dxa"/>
            <w:left w:w="108" w:type="dxa"/>
            <w:bottom w:w="0" w:type="dxa"/>
            <w:right w:w="108" w:type="dxa"/>
          </w:tblCellMar>
        </w:tblPrEx>
        <w:trPr>
          <w:trHeight w:val="329" w:hRule="atLeast"/>
          <w:jc w:val="center"/>
        </w:trPr>
        <w:tc>
          <w:tcPr>
            <w:tcW w:w="272" w:type="pct"/>
            <w:vMerge w:val="continue"/>
            <w:tcBorders>
              <w:left w:val="single" w:color="auto" w:sz="4" w:space="0"/>
              <w:right w:val="single" w:color="auto" w:sz="4" w:space="0"/>
            </w:tcBorders>
            <w:shd w:val="clear" w:color="auto" w:fill="auto"/>
            <w:vAlign w:val="center"/>
          </w:tcPr>
          <w:p>
            <w:pPr>
              <w:spacing w:line="240" w:lineRule="auto"/>
              <w:ind w:left="-50" w:right="-50" w:firstLine="0" w:firstLineChars="0"/>
              <w:jc w:val="center"/>
              <w:rPr>
                <w:rFonts w:cs="Times New Roman"/>
                <w:color w:val="auto"/>
                <w:sz w:val="20"/>
                <w:szCs w:val="20"/>
              </w:rPr>
            </w:pPr>
          </w:p>
        </w:tc>
        <w:tc>
          <w:tcPr>
            <w:tcW w:w="596" w:type="pct"/>
            <w:vMerge w:val="restart"/>
            <w:tcBorders>
              <w:top w:val="nil"/>
              <w:left w:val="single" w:color="auto" w:sz="4" w:space="0"/>
              <w:right w:val="single" w:color="auto" w:sz="4" w:space="0"/>
            </w:tcBorders>
            <w:shd w:val="clear" w:color="auto" w:fill="auto"/>
            <w:vAlign w:val="center"/>
          </w:tcPr>
          <w:p>
            <w:pPr>
              <w:pStyle w:val="13"/>
              <w:ind w:left="-50" w:right="-50"/>
              <w:rPr>
                <w:rFonts w:cs="Times New Roman"/>
                <w:sz w:val="20"/>
                <w:szCs w:val="20"/>
              </w:rPr>
            </w:pPr>
            <w:r>
              <w:rPr>
                <w:rFonts w:cs="Times New Roman"/>
                <w:sz w:val="20"/>
                <w:szCs w:val="20"/>
              </w:rPr>
              <w:t>芭蕉-正达凯220kV线路工程</w:t>
            </w:r>
          </w:p>
        </w:tc>
        <w:tc>
          <w:tcPr>
            <w:tcW w:w="431" w:type="pct"/>
            <w:tcBorders>
              <w:top w:val="nil"/>
              <w:left w:val="single" w:color="auto" w:sz="4" w:space="0"/>
              <w:bottom w:val="single" w:color="auto" w:sz="4" w:space="0"/>
              <w:right w:val="single" w:color="auto" w:sz="4" w:space="0"/>
            </w:tcBorders>
            <w:shd w:val="clear" w:color="auto" w:fill="auto"/>
            <w:vAlign w:val="center"/>
          </w:tcPr>
          <w:p>
            <w:pPr>
              <w:pStyle w:val="13"/>
              <w:ind w:left="-50" w:right="-50"/>
              <w:rPr>
                <w:rFonts w:cs="Times New Roman"/>
                <w:sz w:val="20"/>
                <w:szCs w:val="20"/>
              </w:rPr>
            </w:pPr>
            <w:r>
              <w:rPr>
                <w:rFonts w:hint="eastAsia" w:cs="Times New Roman"/>
                <w:sz w:val="20"/>
                <w:szCs w:val="20"/>
              </w:rPr>
              <w:t>芭蕉</w:t>
            </w:r>
            <w:r>
              <w:rPr>
                <w:rFonts w:cs="Times New Roman"/>
                <w:sz w:val="20"/>
                <w:szCs w:val="20"/>
              </w:rPr>
              <w:t>塔基及临时施工区</w:t>
            </w:r>
          </w:p>
        </w:tc>
        <w:tc>
          <w:tcPr>
            <w:tcW w:w="161"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r>
              <w:rPr>
                <w:rFonts w:hint="eastAsia" w:ascii="宋体" w:hAnsi="宋体" w:eastAsia="宋体" w:cs="宋体"/>
                <w:color w:val="auto"/>
                <w:sz w:val="20"/>
                <w:szCs w:val="20"/>
              </w:rPr>
              <w:t>⑤</w:t>
            </w:r>
          </w:p>
        </w:tc>
        <w:tc>
          <w:tcPr>
            <w:tcW w:w="244"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1040</w:t>
            </w:r>
          </w:p>
        </w:tc>
        <w:tc>
          <w:tcPr>
            <w:tcW w:w="211"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hint="eastAsia" w:cs="Times New Roman"/>
                <w:sz w:val="20"/>
                <w:szCs w:val="20"/>
              </w:rPr>
              <w:t>2148</w:t>
            </w:r>
          </w:p>
        </w:tc>
        <w:tc>
          <w:tcPr>
            <w:tcW w:w="213"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3188</w:t>
            </w:r>
          </w:p>
        </w:tc>
        <w:tc>
          <w:tcPr>
            <w:tcW w:w="211"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1040</w:t>
            </w:r>
          </w:p>
        </w:tc>
        <w:tc>
          <w:tcPr>
            <w:tcW w:w="259"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hint="eastAsia" w:cs="Times New Roman"/>
                <w:sz w:val="20"/>
                <w:szCs w:val="20"/>
              </w:rPr>
              <w:t>2168</w:t>
            </w:r>
          </w:p>
        </w:tc>
        <w:tc>
          <w:tcPr>
            <w:tcW w:w="25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3208</w:t>
            </w:r>
          </w:p>
        </w:tc>
        <w:tc>
          <w:tcPr>
            <w:tcW w:w="21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189"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lang w:eastAsia="zh-CN"/>
              </w:rPr>
            </w:pPr>
            <w:r>
              <w:rPr>
                <w:rFonts w:hint="eastAsia" w:cs="Times New Roman"/>
                <w:color w:val="auto"/>
                <w:sz w:val="20"/>
                <w:szCs w:val="20"/>
                <w:lang w:eastAsia="zh-CN"/>
              </w:rPr>
              <w:t>2</w:t>
            </w:r>
            <w:r>
              <w:rPr>
                <w:rFonts w:cs="Times New Roman"/>
                <w:color w:val="auto"/>
                <w:sz w:val="20"/>
                <w:szCs w:val="20"/>
                <w:lang w:eastAsia="zh-CN"/>
              </w:rPr>
              <w:t>0</w:t>
            </w:r>
          </w:p>
        </w:tc>
        <w:tc>
          <w:tcPr>
            <w:tcW w:w="250"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r>
              <w:rPr>
                <w:rFonts w:hint="eastAsia" w:ascii="宋体" w:hAnsi="宋体" w:eastAsia="宋体" w:cs="宋体"/>
                <w:color w:val="auto"/>
                <w:sz w:val="20"/>
                <w:szCs w:val="20"/>
              </w:rPr>
              <w:t>②</w:t>
            </w:r>
          </w:p>
        </w:tc>
        <w:tc>
          <w:tcPr>
            <w:tcW w:w="25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20</w:t>
            </w:r>
          </w:p>
        </w:tc>
        <w:tc>
          <w:tcPr>
            <w:tcW w:w="23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169"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198"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39"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222"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196"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r>
      <w:tr>
        <w:tblPrEx>
          <w:tblCellMar>
            <w:top w:w="0" w:type="dxa"/>
            <w:left w:w="108" w:type="dxa"/>
            <w:bottom w:w="0" w:type="dxa"/>
            <w:right w:w="108" w:type="dxa"/>
          </w:tblCellMar>
        </w:tblPrEx>
        <w:trPr>
          <w:trHeight w:val="329" w:hRule="atLeast"/>
          <w:jc w:val="center"/>
        </w:trPr>
        <w:tc>
          <w:tcPr>
            <w:tcW w:w="272" w:type="pct"/>
            <w:vMerge w:val="continue"/>
            <w:tcBorders>
              <w:left w:val="single" w:color="auto" w:sz="4" w:space="0"/>
              <w:right w:val="single" w:color="auto" w:sz="4" w:space="0"/>
            </w:tcBorders>
            <w:shd w:val="clear" w:color="auto" w:fill="auto"/>
            <w:vAlign w:val="center"/>
          </w:tcPr>
          <w:p>
            <w:pPr>
              <w:spacing w:line="240" w:lineRule="auto"/>
              <w:ind w:left="-50" w:right="-50" w:firstLine="0" w:firstLineChars="0"/>
              <w:jc w:val="center"/>
              <w:rPr>
                <w:rFonts w:cs="Times New Roman"/>
                <w:color w:val="auto"/>
                <w:sz w:val="20"/>
                <w:szCs w:val="20"/>
              </w:rPr>
            </w:pPr>
          </w:p>
        </w:tc>
        <w:tc>
          <w:tcPr>
            <w:tcW w:w="596" w:type="pct"/>
            <w:vMerge w:val="continue"/>
            <w:tcBorders>
              <w:left w:val="single" w:color="auto" w:sz="4" w:space="0"/>
              <w:right w:val="single" w:color="auto" w:sz="4" w:space="0"/>
            </w:tcBorders>
            <w:shd w:val="clear" w:color="auto" w:fill="auto"/>
            <w:vAlign w:val="center"/>
          </w:tcPr>
          <w:p>
            <w:pPr>
              <w:spacing w:line="240" w:lineRule="auto"/>
              <w:ind w:left="-50" w:right="-50" w:firstLine="0" w:firstLineChars="0"/>
              <w:jc w:val="center"/>
              <w:rPr>
                <w:rFonts w:cs="Times New Roman"/>
                <w:color w:val="auto"/>
                <w:sz w:val="20"/>
                <w:szCs w:val="20"/>
              </w:rPr>
            </w:pPr>
          </w:p>
        </w:tc>
        <w:tc>
          <w:tcPr>
            <w:tcW w:w="431" w:type="pct"/>
            <w:tcBorders>
              <w:top w:val="nil"/>
              <w:left w:val="single" w:color="auto" w:sz="4" w:space="0"/>
              <w:bottom w:val="single" w:color="auto" w:sz="4" w:space="0"/>
              <w:right w:val="single" w:color="auto" w:sz="4" w:space="0"/>
            </w:tcBorders>
            <w:shd w:val="clear" w:color="auto" w:fill="auto"/>
            <w:vAlign w:val="center"/>
          </w:tcPr>
          <w:p>
            <w:pPr>
              <w:pStyle w:val="13"/>
              <w:ind w:left="-50" w:right="-50"/>
              <w:rPr>
                <w:rFonts w:cs="Times New Roman"/>
                <w:sz w:val="20"/>
                <w:szCs w:val="20"/>
              </w:rPr>
            </w:pPr>
            <w:r>
              <w:rPr>
                <w:rFonts w:hint="eastAsia" w:cs="Times New Roman"/>
                <w:sz w:val="20"/>
                <w:szCs w:val="20"/>
              </w:rPr>
              <w:t>芭蕉</w:t>
            </w:r>
            <w:r>
              <w:rPr>
                <w:rFonts w:cs="Times New Roman"/>
                <w:sz w:val="20"/>
                <w:szCs w:val="20"/>
              </w:rPr>
              <w:t>施工便道区</w:t>
            </w:r>
          </w:p>
        </w:tc>
        <w:tc>
          <w:tcPr>
            <w:tcW w:w="161"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r>
              <w:rPr>
                <w:rFonts w:hint="eastAsia" w:ascii="宋体" w:hAnsi="宋体" w:eastAsia="宋体" w:cs="宋体"/>
                <w:color w:val="auto"/>
                <w:sz w:val="20"/>
                <w:szCs w:val="20"/>
              </w:rPr>
              <w:t>⑥</w:t>
            </w:r>
          </w:p>
        </w:tc>
        <w:tc>
          <w:tcPr>
            <w:tcW w:w="244"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0</w:t>
            </w:r>
          </w:p>
        </w:tc>
        <w:tc>
          <w:tcPr>
            <w:tcW w:w="211"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hint="eastAsia" w:cs="Times New Roman"/>
                <w:sz w:val="20"/>
                <w:szCs w:val="20"/>
              </w:rPr>
              <w:t>40</w:t>
            </w:r>
          </w:p>
        </w:tc>
        <w:tc>
          <w:tcPr>
            <w:tcW w:w="213"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40</w:t>
            </w:r>
          </w:p>
        </w:tc>
        <w:tc>
          <w:tcPr>
            <w:tcW w:w="211"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0</w:t>
            </w:r>
          </w:p>
        </w:tc>
        <w:tc>
          <w:tcPr>
            <w:tcW w:w="259"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hint="eastAsia" w:cs="Times New Roman"/>
                <w:sz w:val="20"/>
                <w:szCs w:val="20"/>
              </w:rPr>
              <w:t>40</w:t>
            </w:r>
          </w:p>
        </w:tc>
        <w:tc>
          <w:tcPr>
            <w:tcW w:w="25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40</w:t>
            </w:r>
          </w:p>
        </w:tc>
        <w:tc>
          <w:tcPr>
            <w:tcW w:w="21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189"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50"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5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23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169"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198"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39"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222"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lang w:eastAsia="zh-CN"/>
              </w:rPr>
            </w:pPr>
          </w:p>
        </w:tc>
        <w:tc>
          <w:tcPr>
            <w:tcW w:w="196"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r>
      <w:tr>
        <w:tblPrEx>
          <w:tblCellMar>
            <w:top w:w="0" w:type="dxa"/>
            <w:left w:w="108" w:type="dxa"/>
            <w:bottom w:w="0" w:type="dxa"/>
            <w:right w:w="108" w:type="dxa"/>
          </w:tblCellMar>
        </w:tblPrEx>
        <w:trPr>
          <w:trHeight w:val="329" w:hRule="atLeast"/>
          <w:jc w:val="center"/>
        </w:trPr>
        <w:tc>
          <w:tcPr>
            <w:tcW w:w="272" w:type="pct"/>
            <w:vMerge w:val="continue"/>
            <w:tcBorders>
              <w:left w:val="single" w:color="auto" w:sz="4" w:space="0"/>
              <w:bottom w:val="single" w:color="auto" w:sz="4" w:space="0"/>
              <w:right w:val="single" w:color="auto" w:sz="4" w:space="0"/>
            </w:tcBorders>
            <w:shd w:val="clear" w:color="auto" w:fill="auto"/>
            <w:vAlign w:val="center"/>
          </w:tcPr>
          <w:p>
            <w:pPr>
              <w:spacing w:line="240" w:lineRule="auto"/>
              <w:ind w:left="-50" w:right="-50" w:firstLine="0" w:firstLineChars="0"/>
              <w:jc w:val="center"/>
              <w:rPr>
                <w:rFonts w:cs="Times New Roman"/>
                <w:color w:val="auto"/>
                <w:sz w:val="20"/>
                <w:szCs w:val="20"/>
              </w:rPr>
            </w:pPr>
          </w:p>
        </w:tc>
        <w:tc>
          <w:tcPr>
            <w:tcW w:w="596" w:type="pct"/>
            <w:vMerge w:val="continue"/>
            <w:tcBorders>
              <w:left w:val="single" w:color="auto" w:sz="4" w:space="0"/>
              <w:bottom w:val="single" w:color="auto" w:sz="4" w:space="0"/>
              <w:right w:val="single" w:color="auto" w:sz="4" w:space="0"/>
            </w:tcBorders>
            <w:shd w:val="clear" w:color="auto" w:fill="auto"/>
            <w:vAlign w:val="center"/>
          </w:tcPr>
          <w:p>
            <w:pPr>
              <w:spacing w:line="240" w:lineRule="auto"/>
              <w:ind w:left="-50" w:right="-50" w:firstLine="0" w:firstLineChars="0"/>
              <w:jc w:val="center"/>
              <w:rPr>
                <w:rFonts w:cs="Times New Roman"/>
                <w:color w:val="auto"/>
                <w:sz w:val="20"/>
                <w:szCs w:val="20"/>
              </w:rPr>
            </w:pPr>
          </w:p>
        </w:tc>
        <w:tc>
          <w:tcPr>
            <w:tcW w:w="431" w:type="pct"/>
            <w:tcBorders>
              <w:top w:val="nil"/>
              <w:left w:val="single" w:color="auto" w:sz="4" w:space="0"/>
              <w:bottom w:val="single" w:color="auto" w:sz="4" w:space="0"/>
              <w:right w:val="single" w:color="auto" w:sz="4" w:space="0"/>
            </w:tcBorders>
            <w:shd w:val="clear" w:color="auto" w:fill="auto"/>
            <w:vAlign w:val="center"/>
          </w:tcPr>
          <w:p>
            <w:pPr>
              <w:pStyle w:val="13"/>
              <w:ind w:left="-50" w:right="-50"/>
              <w:rPr>
                <w:rFonts w:cs="Times New Roman"/>
                <w:sz w:val="20"/>
                <w:szCs w:val="20"/>
              </w:rPr>
            </w:pPr>
            <w:r>
              <w:rPr>
                <w:rFonts w:hint="eastAsia" w:cs="Times New Roman"/>
                <w:sz w:val="20"/>
                <w:szCs w:val="20"/>
              </w:rPr>
              <w:t>芭蕉</w:t>
            </w:r>
            <w:r>
              <w:rPr>
                <w:rFonts w:cs="Times New Roman"/>
                <w:sz w:val="20"/>
                <w:szCs w:val="20"/>
              </w:rPr>
              <w:t>电缆工程区</w:t>
            </w:r>
          </w:p>
        </w:tc>
        <w:tc>
          <w:tcPr>
            <w:tcW w:w="161"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r>
              <w:rPr>
                <w:rFonts w:hint="eastAsia" w:ascii="宋体" w:hAnsi="宋体" w:eastAsia="宋体" w:cs="宋体"/>
                <w:color w:val="auto"/>
                <w:sz w:val="20"/>
                <w:szCs w:val="20"/>
              </w:rPr>
              <w:t>⑦</w:t>
            </w:r>
          </w:p>
        </w:tc>
        <w:tc>
          <w:tcPr>
            <w:tcW w:w="244"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72</w:t>
            </w:r>
          </w:p>
        </w:tc>
        <w:tc>
          <w:tcPr>
            <w:tcW w:w="211"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288</w:t>
            </w:r>
          </w:p>
        </w:tc>
        <w:tc>
          <w:tcPr>
            <w:tcW w:w="213"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360</w:t>
            </w:r>
          </w:p>
        </w:tc>
        <w:tc>
          <w:tcPr>
            <w:tcW w:w="211"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72</w:t>
            </w:r>
          </w:p>
        </w:tc>
        <w:tc>
          <w:tcPr>
            <w:tcW w:w="259"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288</w:t>
            </w:r>
          </w:p>
        </w:tc>
        <w:tc>
          <w:tcPr>
            <w:tcW w:w="25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360</w:t>
            </w:r>
          </w:p>
        </w:tc>
        <w:tc>
          <w:tcPr>
            <w:tcW w:w="21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189"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50"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5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23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169"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198"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39"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222"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lang w:eastAsia="zh-CN"/>
              </w:rPr>
            </w:pPr>
          </w:p>
        </w:tc>
        <w:tc>
          <w:tcPr>
            <w:tcW w:w="196"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r>
      <w:tr>
        <w:tblPrEx>
          <w:tblCellMar>
            <w:top w:w="0" w:type="dxa"/>
            <w:left w:w="108" w:type="dxa"/>
            <w:bottom w:w="0" w:type="dxa"/>
            <w:right w:w="108" w:type="dxa"/>
          </w:tblCellMar>
        </w:tblPrEx>
        <w:trPr>
          <w:trHeight w:val="329" w:hRule="atLeast"/>
          <w:jc w:val="center"/>
        </w:trPr>
        <w:tc>
          <w:tcPr>
            <w:tcW w:w="1459" w:type="pct"/>
            <w:gridSpan w:val="4"/>
            <w:tcBorders>
              <w:top w:val="nil"/>
              <w:left w:val="single" w:color="auto" w:sz="4" w:space="0"/>
              <w:bottom w:val="single" w:color="auto" w:sz="4" w:space="0"/>
              <w:right w:val="single" w:color="auto" w:sz="4" w:space="0"/>
            </w:tcBorders>
            <w:shd w:val="clear" w:color="auto" w:fill="auto"/>
            <w:vAlign w:val="center"/>
          </w:tcPr>
          <w:p>
            <w:pPr>
              <w:pStyle w:val="13"/>
              <w:ind w:left="-50" w:right="-50"/>
              <w:rPr>
                <w:rFonts w:cs="Times New Roman"/>
                <w:sz w:val="20"/>
                <w:szCs w:val="20"/>
              </w:rPr>
            </w:pPr>
            <w:r>
              <w:rPr>
                <w:rFonts w:hint="eastAsia" w:cs="Times New Roman"/>
                <w:sz w:val="20"/>
                <w:szCs w:val="20"/>
              </w:rPr>
              <w:t>合计</w:t>
            </w:r>
            <w:r>
              <w:rPr>
                <w:rFonts w:cs="Times New Roman"/>
                <w:sz w:val="20"/>
                <w:szCs w:val="20"/>
              </w:rPr>
              <w:t>　</w:t>
            </w:r>
          </w:p>
        </w:tc>
        <w:tc>
          <w:tcPr>
            <w:tcW w:w="244"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1672</w:t>
            </w:r>
          </w:p>
        </w:tc>
        <w:tc>
          <w:tcPr>
            <w:tcW w:w="211"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lang w:eastAsia="zh-CN"/>
              </w:rPr>
            </w:pPr>
            <w:r>
              <w:rPr>
                <w:rFonts w:cs="Times New Roman"/>
                <w:color w:val="auto"/>
                <w:sz w:val="20"/>
                <w:szCs w:val="20"/>
                <w:lang w:eastAsia="zh-CN"/>
              </w:rPr>
              <w:t>3762</w:t>
            </w:r>
          </w:p>
        </w:tc>
        <w:tc>
          <w:tcPr>
            <w:tcW w:w="213"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5434</w:t>
            </w:r>
          </w:p>
        </w:tc>
        <w:tc>
          <w:tcPr>
            <w:tcW w:w="211"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1672</w:t>
            </w:r>
          </w:p>
        </w:tc>
        <w:tc>
          <w:tcPr>
            <w:tcW w:w="259"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r>
              <w:rPr>
                <w:rFonts w:hint="eastAsia" w:cs="Times New Roman"/>
                <w:color w:val="auto"/>
                <w:sz w:val="20"/>
                <w:szCs w:val="20"/>
                <w:lang w:eastAsia="zh-CN"/>
              </w:rPr>
              <w:t>3805</w:t>
            </w:r>
          </w:p>
        </w:tc>
        <w:tc>
          <w:tcPr>
            <w:tcW w:w="25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5434</w:t>
            </w:r>
          </w:p>
        </w:tc>
        <w:tc>
          <w:tcPr>
            <w:tcW w:w="21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189"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50"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50"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r>
              <w:rPr>
                <w:rFonts w:cs="Times New Roman"/>
                <w:color w:val="auto"/>
                <w:sz w:val="20"/>
                <w:szCs w:val="20"/>
              </w:rPr>
              <w:t>30</w:t>
            </w:r>
          </w:p>
        </w:tc>
        <w:tc>
          <w:tcPr>
            <w:tcW w:w="230"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p>
        </w:tc>
        <w:tc>
          <w:tcPr>
            <w:tcW w:w="169"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198"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c>
          <w:tcPr>
            <w:tcW w:w="239" w:type="pct"/>
            <w:tcBorders>
              <w:top w:val="nil"/>
              <w:left w:val="nil"/>
              <w:bottom w:val="single" w:color="auto" w:sz="4" w:space="0"/>
              <w:right w:val="single" w:color="auto" w:sz="4" w:space="0"/>
            </w:tcBorders>
            <w:shd w:val="clear" w:color="auto" w:fill="auto"/>
            <w:noWrap/>
            <w:vAlign w:val="center"/>
          </w:tcPr>
          <w:p>
            <w:pPr>
              <w:pStyle w:val="13"/>
              <w:ind w:left="-50" w:right="-50"/>
              <w:rPr>
                <w:rFonts w:cs="Times New Roman"/>
                <w:sz w:val="20"/>
                <w:szCs w:val="20"/>
              </w:rPr>
            </w:pPr>
            <w:r>
              <w:rPr>
                <w:rFonts w:cs="Times New Roman"/>
                <w:sz w:val="20"/>
                <w:szCs w:val="20"/>
              </w:rPr>
              <w:t>30</w:t>
            </w:r>
          </w:p>
        </w:tc>
        <w:tc>
          <w:tcPr>
            <w:tcW w:w="222"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lang w:eastAsia="zh-CN"/>
              </w:rPr>
            </w:pPr>
          </w:p>
        </w:tc>
        <w:tc>
          <w:tcPr>
            <w:tcW w:w="196"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rFonts w:cs="Times New Roman"/>
                <w:color w:val="auto"/>
                <w:sz w:val="20"/>
                <w:szCs w:val="20"/>
              </w:rPr>
            </w:pPr>
          </w:p>
        </w:tc>
      </w:tr>
      <w:bookmarkEnd w:id="38"/>
    </w:tbl>
    <w:p>
      <w:pPr>
        <w:ind w:firstLine="480"/>
        <w:rPr>
          <w:color w:val="auto"/>
          <w:lang w:eastAsia="zh-CN"/>
        </w:rPr>
      </w:pPr>
    </w:p>
    <w:p>
      <w:pPr>
        <w:ind w:firstLine="480"/>
        <w:rPr>
          <w:color w:val="auto"/>
          <w:lang w:eastAsia="zh-CN"/>
        </w:rPr>
      </w:pPr>
    </w:p>
    <w:p>
      <w:pPr>
        <w:tabs>
          <w:tab w:val="left" w:pos="11699"/>
        </w:tabs>
        <w:ind w:firstLine="480"/>
        <w:rPr>
          <w:color w:val="auto"/>
          <w:lang w:eastAsia="zh-CN"/>
        </w:rPr>
        <w:sectPr>
          <w:headerReference r:id="rId18" w:type="default"/>
          <w:footerReference r:id="rId19" w:type="default"/>
          <w:pgSz w:w="16838" w:h="11906" w:orient="landscape"/>
          <w:pgMar w:top="1440" w:right="1797" w:bottom="1440" w:left="1797" w:header="851" w:footer="992" w:gutter="0"/>
          <w:cols w:space="425" w:num="1"/>
          <w:docGrid w:linePitch="326" w:charSpace="0"/>
        </w:sectPr>
      </w:pPr>
    </w:p>
    <w:p>
      <w:pPr>
        <w:widowControl w:val="0"/>
        <w:kinsoku/>
        <w:topLinePunct/>
        <w:autoSpaceDE/>
        <w:autoSpaceDN/>
        <w:spacing w:line="300" w:lineRule="auto"/>
        <w:ind w:firstLine="0" w:firstLineChars="0"/>
        <w:jc w:val="center"/>
        <w:rPr>
          <w:color w:val="auto"/>
          <w:lang w:eastAsia="zh-CN"/>
        </w:rPr>
      </w:pPr>
    </w:p>
    <w:p>
      <w:pPr>
        <w:widowControl w:val="0"/>
        <w:kinsoku/>
        <w:topLinePunct/>
        <w:autoSpaceDE/>
        <w:autoSpaceDN/>
        <w:spacing w:line="300" w:lineRule="auto"/>
        <w:ind w:firstLine="0" w:firstLineChars="0"/>
        <w:jc w:val="center"/>
        <w:rPr>
          <w:rFonts w:cs="Times New Roman"/>
          <w:b/>
          <w:bCs/>
          <w:color w:val="auto"/>
          <w:lang w:eastAsia="zh-CN"/>
        </w:rPr>
      </w:pPr>
      <w:r>
        <w:rPr>
          <w:snapToGrid/>
          <w:color w:val="auto"/>
          <w:lang w:eastAsia="zh-CN"/>
        </w:rPr>
        <w:drawing>
          <wp:inline distT="0" distB="0" distL="0" distR="0">
            <wp:extent cx="7324090" cy="4769485"/>
            <wp:effectExtent l="0" t="0" r="0" b="0"/>
            <wp:docPr id="124145253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41452536" name="图片 1"/>
                    <pic:cNvPicPr>
                      <a:picLocks noChangeAspect="true"/>
                    </pic:cNvPicPr>
                  </pic:nvPicPr>
                  <pic:blipFill>
                    <a:blip r:embed="rId54" cstate="print"/>
                    <a:stretch>
                      <a:fillRect/>
                    </a:stretch>
                  </pic:blipFill>
                  <pic:spPr>
                    <a:xfrm>
                      <a:off x="0" y="0"/>
                      <a:ext cx="7324543" cy="4770023"/>
                    </a:xfrm>
                    <a:prstGeom prst="rect">
                      <a:avLst/>
                    </a:prstGeom>
                  </pic:spPr>
                </pic:pic>
              </a:graphicData>
            </a:graphic>
          </wp:inline>
        </w:drawing>
      </w:r>
    </w:p>
    <w:p>
      <w:pPr>
        <w:widowControl w:val="0"/>
        <w:kinsoku/>
        <w:topLinePunct/>
        <w:autoSpaceDE/>
        <w:autoSpaceDN/>
        <w:spacing w:line="300" w:lineRule="auto"/>
        <w:ind w:firstLine="482"/>
        <w:jc w:val="center"/>
        <w:rPr>
          <w:rFonts w:cs="Times New Roman"/>
          <w:b/>
          <w:bCs/>
          <w:color w:val="auto"/>
          <w:lang w:eastAsia="zh-CN"/>
        </w:rPr>
      </w:pPr>
      <w:r>
        <w:rPr>
          <w:rFonts w:cs="Times New Roman"/>
          <w:b/>
          <w:bCs/>
          <w:color w:val="auto"/>
          <w:lang w:eastAsia="zh-CN"/>
        </w:rPr>
        <w:t>图2.4-2 土石方流向框图</w:t>
      </w:r>
    </w:p>
    <w:p>
      <w:pPr>
        <w:ind w:firstLine="0" w:firstLineChars="0"/>
        <w:rPr>
          <w:rFonts w:cs="Times New Roman"/>
          <w:color w:val="auto"/>
          <w:lang w:eastAsia="zh-CN"/>
        </w:rPr>
        <w:sectPr>
          <w:pgSz w:w="16838" w:h="11906" w:orient="landscape"/>
          <w:pgMar w:top="1440" w:right="1797" w:bottom="1440" w:left="1797" w:header="851" w:footer="992" w:gutter="0"/>
          <w:cols w:space="425" w:num="1"/>
          <w:docGrid w:linePitch="326" w:charSpace="0"/>
        </w:sectPr>
      </w:pP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39" w:name="_Toc171533284"/>
      <w:r>
        <w:rPr>
          <w:rFonts w:ascii="Times New Roman" w:hAnsi="Times New Roman" w:eastAsia="仿宋_GB2312" w:cs="Times New Roman"/>
          <w:color w:val="auto"/>
          <w:sz w:val="30"/>
          <w:szCs w:val="30"/>
          <w:lang w:eastAsia="zh-CN"/>
        </w:rPr>
        <w:t>2.5 拆迁（移民）安置与专项设施改（迁）建</w:t>
      </w:r>
      <w:bookmarkEnd w:id="39"/>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本工程不涉及拆迁（移民）安置与专项设施改（迁）建。</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40" w:name="_Toc171533285"/>
      <w:bookmarkStart w:id="41" w:name="_Hlk149227853"/>
      <w:r>
        <w:rPr>
          <w:rFonts w:ascii="Times New Roman" w:hAnsi="Times New Roman" w:eastAsia="仿宋_GB2312" w:cs="Times New Roman"/>
          <w:color w:val="auto"/>
          <w:sz w:val="30"/>
          <w:szCs w:val="30"/>
          <w:lang w:eastAsia="zh-CN"/>
        </w:rPr>
        <w:t>2.6 施工进度</w:t>
      </w:r>
      <w:bookmarkEnd w:id="40"/>
    </w:p>
    <w:bookmarkEnd w:id="41"/>
    <w:p>
      <w:pPr>
        <w:widowControl w:val="0"/>
        <w:kinsoku/>
        <w:topLinePunct/>
        <w:autoSpaceDE/>
        <w:autoSpaceDN/>
        <w:spacing w:line="360" w:lineRule="auto"/>
        <w:ind w:firstLine="480"/>
        <w:jc w:val="both"/>
        <w:rPr>
          <w:rFonts w:cs="Times New Roman"/>
          <w:color w:val="auto"/>
          <w:szCs w:val="24"/>
          <w:lang w:eastAsia="zh-CN"/>
        </w:rPr>
      </w:pPr>
      <w:bookmarkStart w:id="42" w:name="_Hlk149227841"/>
      <w:r>
        <w:rPr>
          <w:rFonts w:cs="Times New Roman"/>
          <w:color w:val="auto"/>
          <w:szCs w:val="24"/>
          <w:lang w:eastAsia="zh-CN"/>
        </w:rPr>
        <w:t>本项目计划于2024年</w:t>
      </w:r>
      <w:r>
        <w:rPr>
          <w:rFonts w:hint="eastAsia" w:cs="Times New Roman"/>
          <w:color w:val="auto"/>
          <w:szCs w:val="24"/>
          <w:lang w:eastAsia="zh-CN"/>
        </w:rPr>
        <w:t>8</w:t>
      </w:r>
      <w:r>
        <w:rPr>
          <w:rFonts w:cs="Times New Roman"/>
          <w:color w:val="auto"/>
          <w:szCs w:val="24"/>
          <w:lang w:eastAsia="zh-CN"/>
        </w:rPr>
        <w:t>月初开工建设，计划于202</w:t>
      </w:r>
      <w:r>
        <w:rPr>
          <w:rFonts w:hint="eastAsia" w:cs="Times New Roman"/>
          <w:color w:val="auto"/>
          <w:szCs w:val="24"/>
          <w:lang w:eastAsia="zh-CN"/>
        </w:rPr>
        <w:t>5</w:t>
      </w:r>
      <w:r>
        <w:rPr>
          <w:rFonts w:cs="Times New Roman"/>
          <w:color w:val="auto"/>
          <w:szCs w:val="24"/>
          <w:lang w:eastAsia="zh-CN"/>
        </w:rPr>
        <w:t>年</w:t>
      </w:r>
      <w:r>
        <w:rPr>
          <w:rFonts w:hint="eastAsia" w:cs="Times New Roman"/>
          <w:color w:val="auto"/>
          <w:szCs w:val="24"/>
          <w:lang w:eastAsia="zh-CN"/>
        </w:rPr>
        <w:t>4</w:t>
      </w:r>
      <w:r>
        <w:rPr>
          <w:rFonts w:cs="Times New Roman"/>
          <w:color w:val="auto"/>
          <w:szCs w:val="24"/>
          <w:lang w:eastAsia="zh-CN"/>
        </w:rPr>
        <w:t>月底完工，建设工期9个月。本工程施工无法避开雨季，因此土建施工应避开雨天， 减少因降水冲刷而增加的水土流失量。</w:t>
      </w:r>
    </w:p>
    <w:p>
      <w:pPr>
        <w:widowControl w:val="0"/>
        <w:kinsoku/>
        <w:topLinePunct/>
        <w:autoSpaceDE/>
        <w:autoSpaceDN/>
        <w:spacing w:line="300" w:lineRule="auto"/>
        <w:ind w:firstLine="482"/>
        <w:jc w:val="center"/>
        <w:rPr>
          <w:rFonts w:cs="Times New Roman"/>
          <w:b/>
          <w:bCs/>
          <w:color w:val="auto"/>
          <w:lang w:eastAsia="zh-CN"/>
        </w:rPr>
      </w:pPr>
      <w:r>
        <w:rPr>
          <w:rFonts w:cs="Times New Roman"/>
          <w:b/>
          <w:bCs/>
          <w:color w:val="auto"/>
          <w:lang w:eastAsia="zh-CN"/>
        </w:rPr>
        <w:t>表2.6-1 主体工程施工进度安排表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1687"/>
        <w:gridCol w:w="703"/>
        <w:gridCol w:w="704"/>
        <w:gridCol w:w="704"/>
        <w:gridCol w:w="706"/>
        <w:gridCol w:w="704"/>
        <w:gridCol w:w="706"/>
        <w:gridCol w:w="706"/>
        <w:gridCol w:w="707"/>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4" w:type="pct"/>
            <w:vMerge w:val="restart"/>
            <w:shd w:val="clear" w:color="auto" w:fill="auto"/>
            <w:vAlign w:val="center"/>
          </w:tcPr>
          <w:p>
            <w:pPr>
              <w:pStyle w:val="13"/>
              <w:rPr>
                <w:rFonts w:cs="Times New Roman"/>
                <w:sz w:val="20"/>
                <w:szCs w:val="20"/>
              </w:rPr>
            </w:pPr>
            <w:r>
              <w:rPr>
                <w:rFonts w:cs="Times New Roman"/>
                <w:sz w:val="20"/>
                <w:szCs w:val="20"/>
              </w:rPr>
              <w:t>序号</w:t>
            </w:r>
          </w:p>
        </w:tc>
        <w:tc>
          <w:tcPr>
            <w:tcW w:w="989" w:type="pct"/>
            <w:vMerge w:val="restart"/>
            <w:shd w:val="clear" w:color="auto" w:fill="auto"/>
            <w:vAlign w:val="center"/>
          </w:tcPr>
          <w:p>
            <w:pPr>
              <w:pStyle w:val="13"/>
              <w:rPr>
                <w:rFonts w:cs="Times New Roman"/>
                <w:sz w:val="20"/>
                <w:szCs w:val="20"/>
              </w:rPr>
            </w:pPr>
            <w:r>
              <w:rPr>
                <w:rFonts w:cs="Times New Roman"/>
                <w:sz w:val="20"/>
                <w:szCs w:val="20"/>
              </w:rPr>
              <w:t>项目名称</w:t>
            </w:r>
          </w:p>
        </w:tc>
        <w:tc>
          <w:tcPr>
            <w:tcW w:w="3717" w:type="pct"/>
            <w:gridSpan w:val="9"/>
            <w:vAlign w:val="center"/>
          </w:tcPr>
          <w:p>
            <w:pPr>
              <w:pStyle w:val="13"/>
              <w:rPr>
                <w:rFonts w:cs="Times New Roman"/>
                <w:sz w:val="20"/>
                <w:szCs w:val="20"/>
              </w:rPr>
            </w:pPr>
            <w:r>
              <w:rPr>
                <w:rFonts w:cs="Times New Roman"/>
                <w:sz w:val="20"/>
                <w:szCs w:val="20"/>
              </w:rPr>
              <w:t>施工进度（2024年</w:t>
            </w:r>
            <w:r>
              <w:rPr>
                <w:rFonts w:hint="eastAsia" w:cs="Times New Roman"/>
                <w:sz w:val="20"/>
                <w:szCs w:val="20"/>
              </w:rPr>
              <w:t>8</w:t>
            </w:r>
            <w:r>
              <w:rPr>
                <w:rFonts w:cs="Times New Roman"/>
                <w:sz w:val="20"/>
                <w:szCs w:val="20"/>
              </w:rPr>
              <w:t>月-2024年</w:t>
            </w:r>
            <w:r>
              <w:rPr>
                <w:rFonts w:hint="eastAsia" w:cs="Times New Roman"/>
                <w:sz w:val="20"/>
                <w:szCs w:val="20"/>
              </w:rPr>
              <w:t>4</w:t>
            </w:r>
            <w:r>
              <w:rPr>
                <w:rFonts w:cs="Times New Roman"/>
                <w:sz w:val="20"/>
                <w:szCs w:val="20"/>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4" w:type="pct"/>
            <w:vMerge w:val="continue"/>
            <w:shd w:val="clear" w:color="auto" w:fill="auto"/>
            <w:vAlign w:val="center"/>
          </w:tcPr>
          <w:p>
            <w:pPr>
              <w:pStyle w:val="13"/>
              <w:rPr>
                <w:rFonts w:cs="Times New Roman"/>
                <w:sz w:val="20"/>
                <w:szCs w:val="20"/>
              </w:rPr>
            </w:pPr>
          </w:p>
        </w:tc>
        <w:tc>
          <w:tcPr>
            <w:tcW w:w="989" w:type="pct"/>
            <w:vMerge w:val="continue"/>
            <w:shd w:val="clear" w:color="auto" w:fill="auto"/>
            <w:vAlign w:val="center"/>
          </w:tcPr>
          <w:p>
            <w:pPr>
              <w:pStyle w:val="13"/>
              <w:rPr>
                <w:rFonts w:cs="Times New Roman"/>
                <w:sz w:val="20"/>
                <w:szCs w:val="20"/>
              </w:rPr>
            </w:pPr>
          </w:p>
        </w:tc>
        <w:tc>
          <w:tcPr>
            <w:tcW w:w="412" w:type="pct"/>
            <w:vAlign w:val="center"/>
          </w:tcPr>
          <w:p>
            <w:pPr>
              <w:pStyle w:val="13"/>
              <w:rPr>
                <w:rFonts w:cs="Times New Roman"/>
                <w:sz w:val="20"/>
                <w:szCs w:val="20"/>
              </w:rPr>
            </w:pPr>
            <w:r>
              <w:rPr>
                <w:rFonts w:hint="eastAsia" w:cs="Times New Roman"/>
                <w:sz w:val="20"/>
                <w:szCs w:val="20"/>
              </w:rPr>
              <w:t>8</w:t>
            </w:r>
            <w:r>
              <w:rPr>
                <w:rFonts w:cs="Times New Roman"/>
                <w:sz w:val="20"/>
                <w:szCs w:val="20"/>
              </w:rPr>
              <w:t>月</w:t>
            </w:r>
          </w:p>
        </w:tc>
        <w:tc>
          <w:tcPr>
            <w:tcW w:w="413" w:type="pct"/>
            <w:vAlign w:val="center"/>
          </w:tcPr>
          <w:p>
            <w:pPr>
              <w:pStyle w:val="13"/>
              <w:rPr>
                <w:rFonts w:cs="Times New Roman"/>
                <w:sz w:val="20"/>
                <w:szCs w:val="20"/>
              </w:rPr>
            </w:pPr>
            <w:r>
              <w:rPr>
                <w:rFonts w:hint="eastAsia" w:cs="Times New Roman"/>
                <w:sz w:val="20"/>
                <w:szCs w:val="20"/>
              </w:rPr>
              <w:t>9</w:t>
            </w:r>
            <w:r>
              <w:rPr>
                <w:rFonts w:cs="Times New Roman"/>
                <w:sz w:val="20"/>
                <w:szCs w:val="20"/>
              </w:rPr>
              <w:t>月</w:t>
            </w:r>
          </w:p>
        </w:tc>
        <w:tc>
          <w:tcPr>
            <w:tcW w:w="413" w:type="pct"/>
            <w:vAlign w:val="center"/>
          </w:tcPr>
          <w:p>
            <w:pPr>
              <w:pStyle w:val="13"/>
              <w:rPr>
                <w:rFonts w:cs="Times New Roman"/>
                <w:sz w:val="20"/>
                <w:szCs w:val="20"/>
              </w:rPr>
            </w:pPr>
            <w:r>
              <w:rPr>
                <w:rFonts w:hint="eastAsia" w:cs="Times New Roman"/>
                <w:sz w:val="20"/>
                <w:szCs w:val="20"/>
              </w:rPr>
              <w:t>10</w:t>
            </w:r>
            <w:r>
              <w:rPr>
                <w:rFonts w:cs="Times New Roman"/>
                <w:sz w:val="20"/>
                <w:szCs w:val="20"/>
              </w:rPr>
              <w:t>月</w:t>
            </w:r>
          </w:p>
        </w:tc>
        <w:tc>
          <w:tcPr>
            <w:tcW w:w="414" w:type="pct"/>
            <w:vAlign w:val="center"/>
          </w:tcPr>
          <w:p>
            <w:pPr>
              <w:pStyle w:val="13"/>
              <w:rPr>
                <w:rFonts w:cs="Times New Roman"/>
                <w:sz w:val="20"/>
                <w:szCs w:val="20"/>
              </w:rPr>
            </w:pPr>
            <w:r>
              <w:rPr>
                <w:rFonts w:hint="eastAsia" w:cs="Times New Roman"/>
                <w:sz w:val="20"/>
                <w:szCs w:val="20"/>
              </w:rPr>
              <w:t>11</w:t>
            </w:r>
            <w:r>
              <w:rPr>
                <w:rFonts w:cs="Times New Roman"/>
                <w:sz w:val="20"/>
                <w:szCs w:val="20"/>
              </w:rPr>
              <w:t>月</w:t>
            </w:r>
          </w:p>
        </w:tc>
        <w:tc>
          <w:tcPr>
            <w:tcW w:w="413" w:type="pct"/>
            <w:vAlign w:val="center"/>
          </w:tcPr>
          <w:p>
            <w:pPr>
              <w:pStyle w:val="13"/>
              <w:rPr>
                <w:rFonts w:cs="Times New Roman"/>
                <w:sz w:val="20"/>
                <w:szCs w:val="20"/>
              </w:rPr>
            </w:pPr>
            <w:r>
              <w:rPr>
                <w:rFonts w:hint="eastAsia" w:cs="Times New Roman"/>
                <w:sz w:val="20"/>
                <w:szCs w:val="20"/>
              </w:rPr>
              <w:t>12</w:t>
            </w:r>
            <w:r>
              <w:rPr>
                <w:rFonts w:cs="Times New Roman"/>
                <w:sz w:val="20"/>
                <w:szCs w:val="20"/>
              </w:rPr>
              <w:t>月</w:t>
            </w:r>
          </w:p>
        </w:tc>
        <w:tc>
          <w:tcPr>
            <w:tcW w:w="414" w:type="pct"/>
            <w:vAlign w:val="center"/>
          </w:tcPr>
          <w:p>
            <w:pPr>
              <w:pStyle w:val="13"/>
              <w:rPr>
                <w:rFonts w:cs="Times New Roman"/>
                <w:sz w:val="20"/>
                <w:szCs w:val="20"/>
              </w:rPr>
            </w:pPr>
            <w:r>
              <w:rPr>
                <w:rFonts w:hint="eastAsia" w:cs="Times New Roman"/>
                <w:sz w:val="20"/>
                <w:szCs w:val="20"/>
              </w:rPr>
              <w:t>01</w:t>
            </w:r>
            <w:r>
              <w:rPr>
                <w:rFonts w:cs="Times New Roman"/>
                <w:sz w:val="20"/>
                <w:szCs w:val="20"/>
              </w:rPr>
              <w:t>月</w:t>
            </w:r>
          </w:p>
        </w:tc>
        <w:tc>
          <w:tcPr>
            <w:tcW w:w="414" w:type="pct"/>
            <w:shd w:val="clear" w:color="auto" w:fill="auto"/>
            <w:vAlign w:val="center"/>
          </w:tcPr>
          <w:p>
            <w:pPr>
              <w:pStyle w:val="13"/>
              <w:rPr>
                <w:rFonts w:cs="Times New Roman"/>
                <w:sz w:val="20"/>
                <w:szCs w:val="20"/>
              </w:rPr>
            </w:pPr>
            <w:r>
              <w:rPr>
                <w:rFonts w:hint="eastAsia" w:cs="Times New Roman"/>
                <w:sz w:val="20"/>
                <w:szCs w:val="20"/>
              </w:rPr>
              <w:t>02</w:t>
            </w:r>
            <w:r>
              <w:rPr>
                <w:rFonts w:cs="Times New Roman"/>
                <w:sz w:val="20"/>
                <w:szCs w:val="20"/>
              </w:rPr>
              <w:t>月</w:t>
            </w:r>
          </w:p>
        </w:tc>
        <w:tc>
          <w:tcPr>
            <w:tcW w:w="414" w:type="pct"/>
            <w:vAlign w:val="center"/>
          </w:tcPr>
          <w:p>
            <w:pPr>
              <w:pStyle w:val="13"/>
              <w:rPr>
                <w:rFonts w:cs="Times New Roman"/>
                <w:sz w:val="20"/>
                <w:szCs w:val="20"/>
              </w:rPr>
            </w:pPr>
            <w:r>
              <w:rPr>
                <w:rFonts w:hint="eastAsia" w:cs="Times New Roman"/>
                <w:sz w:val="20"/>
                <w:szCs w:val="20"/>
              </w:rPr>
              <w:t>03</w:t>
            </w:r>
            <w:r>
              <w:rPr>
                <w:rFonts w:cs="Times New Roman"/>
                <w:sz w:val="20"/>
                <w:szCs w:val="20"/>
              </w:rPr>
              <w:t>月</w:t>
            </w:r>
          </w:p>
        </w:tc>
        <w:tc>
          <w:tcPr>
            <w:tcW w:w="410" w:type="pct"/>
            <w:vAlign w:val="center"/>
          </w:tcPr>
          <w:p>
            <w:pPr>
              <w:pStyle w:val="13"/>
              <w:rPr>
                <w:rFonts w:cs="Times New Roman"/>
                <w:sz w:val="20"/>
                <w:szCs w:val="20"/>
              </w:rPr>
            </w:pPr>
            <w:r>
              <w:rPr>
                <w:rFonts w:hint="eastAsia" w:cs="Times New Roman"/>
                <w:sz w:val="20"/>
                <w:szCs w:val="20"/>
              </w:rPr>
              <w:t>04</w:t>
            </w:r>
            <w:r>
              <w:rPr>
                <w:rFonts w:cs="Times New Roman"/>
                <w:sz w:val="20"/>
                <w:szCs w:val="20"/>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4" w:type="pct"/>
            <w:shd w:val="clear" w:color="auto" w:fill="auto"/>
            <w:noWrap/>
            <w:vAlign w:val="center"/>
          </w:tcPr>
          <w:p>
            <w:pPr>
              <w:pStyle w:val="13"/>
              <w:rPr>
                <w:rFonts w:cs="Times New Roman"/>
                <w:sz w:val="20"/>
                <w:szCs w:val="20"/>
              </w:rPr>
            </w:pPr>
            <w:r>
              <w:rPr>
                <w:rFonts w:cs="Times New Roman"/>
                <w:sz w:val="20"/>
                <w:szCs w:val="20"/>
              </w:rPr>
              <w:t>1</w:t>
            </w:r>
          </w:p>
        </w:tc>
        <w:tc>
          <w:tcPr>
            <w:tcW w:w="989" w:type="pct"/>
            <w:shd w:val="clear" w:color="auto" w:fill="auto"/>
            <w:noWrap/>
            <w:vAlign w:val="center"/>
          </w:tcPr>
          <w:p>
            <w:pPr>
              <w:pStyle w:val="13"/>
              <w:rPr>
                <w:rFonts w:cs="Times New Roman"/>
                <w:sz w:val="20"/>
                <w:szCs w:val="20"/>
              </w:rPr>
            </w:pPr>
            <w:r>
              <w:rPr>
                <w:rFonts w:cs="Times New Roman"/>
                <w:sz w:val="20"/>
                <w:szCs w:val="20"/>
              </w:rPr>
              <w:t>施工准备</w:t>
            </w:r>
          </w:p>
        </w:tc>
        <w:tc>
          <w:tcPr>
            <w:tcW w:w="412" w:type="pct"/>
            <w:vAlign w:val="center"/>
          </w:tcPr>
          <w:p>
            <w:pPr>
              <w:pStyle w:val="13"/>
              <w:rPr>
                <w:rFonts w:cs="Times New Roman"/>
                <w:sz w:val="20"/>
                <w:szCs w:val="20"/>
              </w:rPr>
            </w:pPr>
            <w:r>
              <w:rPr>
                <w:rFonts w:cs="Times New Roman"/>
                <w:sz w:val="20"/>
                <w:szCs w:val="20"/>
              </w:rPr>
              <mc:AlternateContent>
                <mc:Choice Requires="wps">
                  <w:drawing>
                    <wp:anchor distT="0" distB="0" distL="114300" distR="114300" simplePos="0" relativeHeight="251684864" behindDoc="0" locked="0" layoutInCell="1" allowOverlap="1">
                      <wp:simplePos x="0" y="0"/>
                      <wp:positionH relativeFrom="column">
                        <wp:posOffset>-59690</wp:posOffset>
                      </wp:positionH>
                      <wp:positionV relativeFrom="paragraph">
                        <wp:posOffset>76835</wp:posOffset>
                      </wp:positionV>
                      <wp:extent cx="263525" cy="0"/>
                      <wp:effectExtent l="0" t="0" r="0" b="0"/>
                      <wp:wrapNone/>
                      <wp:docPr id="422381693" name="直接连接符 135"/>
                      <wp:cNvGraphicFramePr/>
                      <a:graphic xmlns:a="http://schemas.openxmlformats.org/drawingml/2006/main">
                        <a:graphicData uri="http://schemas.microsoft.com/office/word/2010/wordprocessingShape">
                          <wps:wsp>
                            <wps:cNvCnPr/>
                            <wps:spPr>
                              <a:xfrm flipV="true">
                                <a:off x="0" y="0"/>
                                <a:ext cx="2635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直接连接符 135" o:spid="_x0000_s1026" o:spt="20" style="position:absolute;left:0pt;flip:y;margin-left:-4.7pt;margin-top:6.05pt;height:0pt;width:20.75pt;z-index:251684864;mso-width-relative:page;mso-height-relative:page;" filled="f" stroked="t" coordsize="21600,21600" o:gfxdata="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SKwgltMAAAAHAQAADwAAAAAAAAABACAAAAA4AAAAZHJzL2Rvd25y&#10;ZXYueG1sUEsBAhQAFAAAAAgAh07iQP5PLLTtAQAAnAMAAA4AAAAAAAAAAQAgAAAAOAEAAGRycy9l&#10;Mm9Eb2MueG1sUEsFBgAAAAAGAAYAWQEAAJcFAAAAAA==&#10;">
                      <v:fill on="f" focussize="0,0"/>
                      <v:stroke weight="1pt" color="#000000" miterlimit="8" joinstyle="miter"/>
                      <v:imagedata o:title=""/>
                      <o:lock v:ext="edit" aspectratio="f"/>
                    </v:line>
                  </w:pict>
                </mc:Fallback>
              </mc:AlternateContent>
            </w:r>
          </w:p>
        </w:tc>
        <w:tc>
          <w:tcPr>
            <w:tcW w:w="413" w:type="pct"/>
            <w:vAlign w:val="center"/>
          </w:tcPr>
          <w:p>
            <w:pPr>
              <w:pStyle w:val="13"/>
              <w:rPr>
                <w:rFonts w:cs="Times New Roman"/>
                <w:sz w:val="20"/>
                <w:szCs w:val="20"/>
              </w:rPr>
            </w:pPr>
          </w:p>
        </w:tc>
        <w:tc>
          <w:tcPr>
            <w:tcW w:w="413" w:type="pct"/>
            <w:vAlign w:val="center"/>
          </w:tcPr>
          <w:p>
            <w:pPr>
              <w:pStyle w:val="13"/>
              <w:rPr>
                <w:rFonts w:cs="Times New Roman"/>
                <w:sz w:val="20"/>
                <w:szCs w:val="20"/>
              </w:rPr>
            </w:pPr>
          </w:p>
        </w:tc>
        <w:tc>
          <w:tcPr>
            <w:tcW w:w="414" w:type="pct"/>
            <w:vAlign w:val="center"/>
          </w:tcPr>
          <w:p>
            <w:pPr>
              <w:pStyle w:val="13"/>
              <w:rPr>
                <w:rFonts w:cs="Times New Roman"/>
                <w:sz w:val="20"/>
                <w:szCs w:val="20"/>
              </w:rPr>
            </w:pPr>
          </w:p>
        </w:tc>
        <w:tc>
          <w:tcPr>
            <w:tcW w:w="413" w:type="pct"/>
            <w:vAlign w:val="center"/>
          </w:tcPr>
          <w:p>
            <w:pPr>
              <w:pStyle w:val="13"/>
              <w:rPr>
                <w:rFonts w:cs="Times New Roman"/>
                <w:sz w:val="20"/>
                <w:szCs w:val="20"/>
              </w:rPr>
            </w:pPr>
          </w:p>
        </w:tc>
        <w:tc>
          <w:tcPr>
            <w:tcW w:w="414" w:type="pct"/>
            <w:vAlign w:val="center"/>
          </w:tcPr>
          <w:p>
            <w:pPr>
              <w:pStyle w:val="13"/>
              <w:rPr>
                <w:rFonts w:cs="Times New Roman"/>
                <w:sz w:val="20"/>
                <w:szCs w:val="20"/>
              </w:rPr>
            </w:pPr>
          </w:p>
        </w:tc>
        <w:tc>
          <w:tcPr>
            <w:tcW w:w="414" w:type="pct"/>
            <w:shd w:val="clear" w:color="auto" w:fill="auto"/>
            <w:noWrap/>
            <w:vAlign w:val="center"/>
          </w:tcPr>
          <w:p>
            <w:pPr>
              <w:pStyle w:val="13"/>
              <w:rPr>
                <w:rFonts w:cs="Times New Roman"/>
                <w:sz w:val="20"/>
                <w:szCs w:val="20"/>
              </w:rPr>
            </w:pPr>
          </w:p>
        </w:tc>
        <w:tc>
          <w:tcPr>
            <w:tcW w:w="414" w:type="pct"/>
            <w:vAlign w:val="center"/>
          </w:tcPr>
          <w:p>
            <w:pPr>
              <w:pStyle w:val="13"/>
              <w:rPr>
                <w:rFonts w:cs="Times New Roman"/>
                <w:sz w:val="20"/>
                <w:szCs w:val="20"/>
              </w:rPr>
            </w:pPr>
          </w:p>
        </w:tc>
        <w:tc>
          <w:tcPr>
            <w:tcW w:w="410" w:type="pct"/>
            <w:vAlign w:val="center"/>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4" w:type="pct"/>
            <w:shd w:val="clear" w:color="auto" w:fill="auto"/>
            <w:noWrap/>
            <w:vAlign w:val="center"/>
          </w:tcPr>
          <w:p>
            <w:pPr>
              <w:pStyle w:val="13"/>
              <w:rPr>
                <w:rFonts w:cs="Times New Roman"/>
                <w:sz w:val="20"/>
                <w:szCs w:val="20"/>
              </w:rPr>
            </w:pPr>
            <w:r>
              <w:rPr>
                <w:rFonts w:cs="Times New Roman"/>
                <w:sz w:val="20"/>
                <w:szCs w:val="20"/>
              </w:rPr>
              <w:t>2</w:t>
            </w:r>
          </w:p>
        </w:tc>
        <w:tc>
          <w:tcPr>
            <w:tcW w:w="989" w:type="pct"/>
            <w:shd w:val="clear" w:color="auto" w:fill="auto"/>
            <w:noWrap/>
            <w:vAlign w:val="center"/>
          </w:tcPr>
          <w:p>
            <w:pPr>
              <w:pStyle w:val="13"/>
              <w:rPr>
                <w:rFonts w:cs="Times New Roman"/>
                <w:sz w:val="20"/>
                <w:szCs w:val="20"/>
              </w:rPr>
            </w:pPr>
            <w:r>
              <w:rPr>
                <w:rFonts w:cs="Times New Roman"/>
                <w:sz w:val="20"/>
                <w:szCs w:val="20"/>
              </w:rPr>
              <w:t>变电站间隔</w:t>
            </w:r>
          </w:p>
          <w:p>
            <w:pPr>
              <w:pStyle w:val="13"/>
              <w:rPr>
                <w:rFonts w:cs="Times New Roman"/>
                <w:sz w:val="20"/>
                <w:szCs w:val="20"/>
              </w:rPr>
            </w:pPr>
            <w:r>
              <w:rPr>
                <w:rFonts w:cs="Times New Roman"/>
                <w:sz w:val="20"/>
                <w:szCs w:val="20"/>
              </w:rPr>
              <w:t>扩建施工</w:t>
            </w:r>
          </w:p>
        </w:tc>
        <w:tc>
          <w:tcPr>
            <w:tcW w:w="412" w:type="pct"/>
            <w:vAlign w:val="center"/>
          </w:tcPr>
          <w:p>
            <w:pPr>
              <w:pStyle w:val="13"/>
              <w:rPr>
                <w:rFonts w:cs="Times New Roman"/>
                <w:sz w:val="20"/>
                <w:szCs w:val="20"/>
              </w:rPr>
            </w:pPr>
            <w:r>
              <w:rPr>
                <w:rFonts w:cs="Times New Roman"/>
                <w:sz w:val="20"/>
                <w:szCs w:val="20"/>
              </w:rPr>
              <mc:AlternateContent>
                <mc:Choice Requires="wps">
                  <w:drawing>
                    <wp:anchor distT="0" distB="0" distL="114300" distR="114300" simplePos="0" relativeHeight="251686912" behindDoc="0" locked="0" layoutInCell="1" allowOverlap="1">
                      <wp:simplePos x="0" y="0"/>
                      <wp:positionH relativeFrom="column">
                        <wp:posOffset>198120</wp:posOffset>
                      </wp:positionH>
                      <wp:positionV relativeFrom="paragraph">
                        <wp:posOffset>78105</wp:posOffset>
                      </wp:positionV>
                      <wp:extent cx="773430" cy="0"/>
                      <wp:effectExtent l="0" t="0" r="0" b="0"/>
                      <wp:wrapNone/>
                      <wp:docPr id="1680748260" name="直接连接符 133"/>
                      <wp:cNvGraphicFramePr/>
                      <a:graphic xmlns:a="http://schemas.openxmlformats.org/drawingml/2006/main">
                        <a:graphicData uri="http://schemas.microsoft.com/office/word/2010/wordprocessingShape">
                          <wps:wsp>
                            <wps:cNvCnPr/>
                            <wps:spPr>
                              <a:xfrm>
                                <a:off x="0" y="0"/>
                                <a:ext cx="77343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直接连接符 133" o:spid="_x0000_s1026" o:spt="20" style="position:absolute;left:0pt;margin-left:15.6pt;margin-top:6.15pt;height:0pt;width:60.9pt;z-index:251686912;mso-width-relative:page;mso-height-relative:page;" filled="f" stroked="t" coordsize="21600,21600" o:gfxdata="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dR3q0NYAAAAIAQAADwAAAAAAAAABACAAAAA4AAAAZHJzL2Rvd25yZXYueG1sUEsB&#10;AhQAFAAAAAgAh07iQPU6aVHhAQAAkAMAAA4AAAAAAAAAAQAgAAAAOwEAAGRycy9lMm9Eb2MueG1s&#10;UEsFBgAAAAAGAAYAWQEAAI4FAAAAAA==&#10;">
                      <v:fill on="f" focussize="0,0"/>
                      <v:stroke weight="1pt" color="#000000" miterlimit="8" joinstyle="miter"/>
                      <v:imagedata o:title=""/>
                      <o:lock v:ext="edit" aspectratio="f"/>
                    </v:line>
                  </w:pict>
                </mc:Fallback>
              </mc:AlternateContent>
            </w:r>
          </w:p>
        </w:tc>
        <w:tc>
          <w:tcPr>
            <w:tcW w:w="413" w:type="pct"/>
            <w:vAlign w:val="center"/>
          </w:tcPr>
          <w:p>
            <w:pPr>
              <w:pStyle w:val="13"/>
              <w:rPr>
                <w:rFonts w:cs="Times New Roman"/>
                <w:sz w:val="20"/>
                <w:szCs w:val="20"/>
              </w:rPr>
            </w:pPr>
          </w:p>
        </w:tc>
        <w:tc>
          <w:tcPr>
            <w:tcW w:w="413" w:type="pct"/>
            <w:vAlign w:val="center"/>
          </w:tcPr>
          <w:p>
            <w:pPr>
              <w:pStyle w:val="13"/>
              <w:rPr>
                <w:rFonts w:cs="Times New Roman"/>
                <w:sz w:val="20"/>
                <w:szCs w:val="20"/>
              </w:rPr>
            </w:pPr>
          </w:p>
        </w:tc>
        <w:tc>
          <w:tcPr>
            <w:tcW w:w="414" w:type="pct"/>
            <w:vAlign w:val="center"/>
          </w:tcPr>
          <w:p>
            <w:pPr>
              <w:pStyle w:val="13"/>
              <w:rPr>
                <w:rFonts w:cs="Times New Roman"/>
                <w:sz w:val="20"/>
                <w:szCs w:val="20"/>
              </w:rPr>
            </w:pPr>
          </w:p>
        </w:tc>
        <w:tc>
          <w:tcPr>
            <w:tcW w:w="413" w:type="pct"/>
            <w:vAlign w:val="center"/>
          </w:tcPr>
          <w:p>
            <w:pPr>
              <w:pStyle w:val="13"/>
              <w:rPr>
                <w:rFonts w:cs="Times New Roman"/>
                <w:sz w:val="20"/>
                <w:szCs w:val="20"/>
              </w:rPr>
            </w:pPr>
          </w:p>
        </w:tc>
        <w:tc>
          <w:tcPr>
            <w:tcW w:w="414" w:type="pct"/>
            <w:vAlign w:val="center"/>
          </w:tcPr>
          <w:p>
            <w:pPr>
              <w:pStyle w:val="13"/>
              <w:rPr>
                <w:rFonts w:cs="Times New Roman"/>
                <w:sz w:val="20"/>
                <w:szCs w:val="20"/>
              </w:rPr>
            </w:pPr>
          </w:p>
        </w:tc>
        <w:tc>
          <w:tcPr>
            <w:tcW w:w="414" w:type="pct"/>
            <w:shd w:val="clear" w:color="auto" w:fill="auto"/>
            <w:noWrap/>
            <w:vAlign w:val="center"/>
          </w:tcPr>
          <w:p>
            <w:pPr>
              <w:pStyle w:val="13"/>
              <w:rPr>
                <w:rFonts w:cs="Times New Roman"/>
                <w:sz w:val="20"/>
                <w:szCs w:val="20"/>
              </w:rPr>
            </w:pPr>
          </w:p>
        </w:tc>
        <w:tc>
          <w:tcPr>
            <w:tcW w:w="414" w:type="pct"/>
            <w:vAlign w:val="center"/>
          </w:tcPr>
          <w:p>
            <w:pPr>
              <w:pStyle w:val="13"/>
              <w:rPr>
                <w:rFonts w:cs="Times New Roman"/>
                <w:sz w:val="20"/>
                <w:szCs w:val="20"/>
              </w:rPr>
            </w:pPr>
          </w:p>
        </w:tc>
        <w:tc>
          <w:tcPr>
            <w:tcW w:w="410" w:type="pct"/>
            <w:vAlign w:val="center"/>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4" w:type="pct"/>
            <w:shd w:val="clear" w:color="auto" w:fill="auto"/>
            <w:noWrap/>
            <w:vAlign w:val="center"/>
          </w:tcPr>
          <w:p>
            <w:pPr>
              <w:pStyle w:val="13"/>
              <w:rPr>
                <w:rFonts w:cs="Times New Roman"/>
                <w:sz w:val="20"/>
                <w:szCs w:val="20"/>
              </w:rPr>
            </w:pPr>
            <w:r>
              <w:rPr>
                <w:rFonts w:cs="Times New Roman"/>
                <w:sz w:val="20"/>
                <w:szCs w:val="20"/>
              </w:rPr>
              <w:t>3</w:t>
            </w:r>
          </w:p>
        </w:tc>
        <w:tc>
          <w:tcPr>
            <w:tcW w:w="989" w:type="pct"/>
            <w:shd w:val="clear" w:color="auto" w:fill="auto"/>
            <w:noWrap/>
            <w:vAlign w:val="center"/>
          </w:tcPr>
          <w:p>
            <w:pPr>
              <w:pStyle w:val="13"/>
              <w:rPr>
                <w:rFonts w:cs="Times New Roman"/>
                <w:sz w:val="20"/>
                <w:szCs w:val="20"/>
              </w:rPr>
            </w:pPr>
            <w:r>
              <w:rPr>
                <w:rFonts w:cs="Times New Roman"/>
                <w:sz w:val="20"/>
                <w:szCs w:val="20"/>
              </w:rPr>
              <w:t>施工便道区施工</w:t>
            </w:r>
          </w:p>
        </w:tc>
        <w:tc>
          <w:tcPr>
            <w:tcW w:w="412" w:type="pct"/>
            <w:vAlign w:val="center"/>
          </w:tcPr>
          <w:p>
            <w:pPr>
              <w:pStyle w:val="13"/>
              <w:rPr>
                <w:rFonts w:cs="Times New Roman"/>
                <w:sz w:val="20"/>
                <w:szCs w:val="20"/>
              </w:rPr>
            </w:pPr>
          </w:p>
        </w:tc>
        <w:tc>
          <w:tcPr>
            <w:tcW w:w="413" w:type="pct"/>
            <w:vAlign w:val="center"/>
          </w:tcPr>
          <w:p>
            <w:pPr>
              <w:pStyle w:val="13"/>
              <w:rPr>
                <w:rFonts w:cs="Times New Roman"/>
                <w:sz w:val="20"/>
                <w:szCs w:val="20"/>
              </w:rPr>
            </w:pPr>
            <w:r>
              <w:rPr>
                <w:rFonts w:cs="Times New Roman"/>
                <w:sz w:val="20"/>
                <w:szCs w:val="20"/>
              </w:rPr>
              <mc:AlternateContent>
                <mc:Choice Requires="wps">
                  <w:drawing>
                    <wp:anchor distT="0" distB="0" distL="114300" distR="114300" simplePos="0" relativeHeight="251698176" behindDoc="0" locked="0" layoutInCell="1" allowOverlap="1">
                      <wp:simplePos x="0" y="0"/>
                      <wp:positionH relativeFrom="column">
                        <wp:posOffset>-66040</wp:posOffset>
                      </wp:positionH>
                      <wp:positionV relativeFrom="paragraph">
                        <wp:posOffset>80645</wp:posOffset>
                      </wp:positionV>
                      <wp:extent cx="995045" cy="0"/>
                      <wp:effectExtent l="0" t="0" r="0" b="0"/>
                      <wp:wrapNone/>
                      <wp:docPr id="1868154467" name="直接连接符 131"/>
                      <wp:cNvGraphicFramePr/>
                      <a:graphic xmlns:a="http://schemas.openxmlformats.org/drawingml/2006/main">
                        <a:graphicData uri="http://schemas.microsoft.com/office/word/2010/wordprocessingShape">
                          <wps:wsp>
                            <wps:cNvCnPr/>
                            <wps:spPr>
                              <a:xfrm flipV="true">
                                <a:off x="0" y="0"/>
                                <a:ext cx="99504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131" o:spid="_x0000_s1026" o:spt="20" style="position:absolute;left:0pt;flip:y;margin-left:-5.2pt;margin-top:6.35pt;height:0pt;width:78.35pt;z-index:251698176;mso-width-relative:page;mso-height-relative:page;" filled="f" stroked="t" coordsize="21600,21600" o:gfxdata="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hmdBotUAAAAJAQAADwAAAAAAAAABACAAAAA4AAAAZHJzL2Rvd25yZXYueG1sUEsBAhQAFAAA&#10;AAgAh07iQHW0oGbcAQAAewMAAA4AAAAAAAAAAQAgAAAAOgEAAGRycy9lMm9Eb2MueG1sUEsFBgAA&#10;AAAGAAYAWQEAAIgFAAAAAA==&#10;">
                      <v:fill on="f" focussize="0,0"/>
                      <v:stroke weight="1pt" color="#000000 [3200]" miterlimit="8" joinstyle="miter"/>
                      <v:imagedata o:title=""/>
                      <o:lock v:ext="edit" aspectratio="f"/>
                    </v:line>
                  </w:pict>
                </mc:Fallback>
              </mc:AlternateContent>
            </w:r>
          </w:p>
        </w:tc>
        <w:tc>
          <w:tcPr>
            <w:tcW w:w="413" w:type="pct"/>
            <w:vAlign w:val="center"/>
          </w:tcPr>
          <w:p>
            <w:pPr>
              <w:pStyle w:val="13"/>
              <w:rPr>
                <w:rFonts w:cs="Times New Roman"/>
                <w:sz w:val="20"/>
                <w:szCs w:val="20"/>
              </w:rPr>
            </w:pPr>
          </w:p>
        </w:tc>
        <w:tc>
          <w:tcPr>
            <w:tcW w:w="414" w:type="pct"/>
            <w:vAlign w:val="center"/>
          </w:tcPr>
          <w:p>
            <w:pPr>
              <w:pStyle w:val="13"/>
              <w:rPr>
                <w:rFonts w:cs="Times New Roman"/>
                <w:sz w:val="20"/>
                <w:szCs w:val="20"/>
              </w:rPr>
            </w:pPr>
          </w:p>
        </w:tc>
        <w:tc>
          <w:tcPr>
            <w:tcW w:w="413" w:type="pct"/>
            <w:vAlign w:val="center"/>
          </w:tcPr>
          <w:p>
            <w:pPr>
              <w:pStyle w:val="13"/>
              <w:rPr>
                <w:rFonts w:cs="Times New Roman"/>
                <w:sz w:val="20"/>
                <w:szCs w:val="20"/>
              </w:rPr>
            </w:pPr>
          </w:p>
        </w:tc>
        <w:tc>
          <w:tcPr>
            <w:tcW w:w="414" w:type="pct"/>
            <w:vAlign w:val="center"/>
          </w:tcPr>
          <w:p>
            <w:pPr>
              <w:pStyle w:val="13"/>
              <w:rPr>
                <w:rFonts w:cs="Times New Roman"/>
                <w:sz w:val="20"/>
                <w:szCs w:val="20"/>
              </w:rPr>
            </w:pPr>
          </w:p>
        </w:tc>
        <w:tc>
          <w:tcPr>
            <w:tcW w:w="414" w:type="pct"/>
            <w:shd w:val="clear" w:color="auto" w:fill="auto"/>
            <w:noWrap/>
            <w:vAlign w:val="center"/>
          </w:tcPr>
          <w:p>
            <w:pPr>
              <w:pStyle w:val="13"/>
              <w:rPr>
                <w:rFonts w:cs="Times New Roman"/>
                <w:sz w:val="20"/>
                <w:szCs w:val="20"/>
              </w:rPr>
            </w:pPr>
          </w:p>
        </w:tc>
        <w:tc>
          <w:tcPr>
            <w:tcW w:w="414" w:type="pct"/>
            <w:vAlign w:val="center"/>
          </w:tcPr>
          <w:p>
            <w:pPr>
              <w:pStyle w:val="13"/>
              <w:rPr>
                <w:rFonts w:cs="Times New Roman"/>
                <w:sz w:val="20"/>
                <w:szCs w:val="20"/>
              </w:rPr>
            </w:pPr>
          </w:p>
        </w:tc>
        <w:tc>
          <w:tcPr>
            <w:tcW w:w="410" w:type="pct"/>
            <w:vAlign w:val="center"/>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4" w:type="pct"/>
            <w:shd w:val="clear" w:color="auto" w:fill="auto"/>
            <w:noWrap/>
            <w:vAlign w:val="center"/>
          </w:tcPr>
          <w:p>
            <w:pPr>
              <w:pStyle w:val="13"/>
              <w:rPr>
                <w:rFonts w:cs="Times New Roman"/>
                <w:sz w:val="20"/>
                <w:szCs w:val="20"/>
              </w:rPr>
            </w:pPr>
            <w:r>
              <w:rPr>
                <w:rFonts w:cs="Times New Roman"/>
                <w:sz w:val="20"/>
                <w:szCs w:val="20"/>
              </w:rPr>
              <w:t>4</w:t>
            </w:r>
          </w:p>
        </w:tc>
        <w:tc>
          <w:tcPr>
            <w:tcW w:w="989" w:type="pct"/>
            <w:shd w:val="clear" w:color="auto" w:fill="auto"/>
            <w:noWrap/>
            <w:vAlign w:val="center"/>
          </w:tcPr>
          <w:p>
            <w:pPr>
              <w:pStyle w:val="13"/>
              <w:rPr>
                <w:rFonts w:cs="Times New Roman"/>
                <w:sz w:val="20"/>
                <w:szCs w:val="20"/>
              </w:rPr>
            </w:pPr>
            <w:r>
              <w:rPr>
                <w:rFonts w:cs="Times New Roman"/>
                <w:sz w:val="20"/>
                <w:szCs w:val="20"/>
              </w:rPr>
              <w:t>基坑施工</w:t>
            </w:r>
          </w:p>
        </w:tc>
        <w:tc>
          <w:tcPr>
            <w:tcW w:w="412" w:type="pct"/>
            <w:vAlign w:val="center"/>
          </w:tcPr>
          <w:p>
            <w:pPr>
              <w:pStyle w:val="13"/>
              <w:rPr>
                <w:rFonts w:cs="Times New Roman"/>
                <w:sz w:val="20"/>
                <w:szCs w:val="20"/>
              </w:rPr>
            </w:pPr>
          </w:p>
        </w:tc>
        <w:tc>
          <w:tcPr>
            <w:tcW w:w="413" w:type="pct"/>
            <w:vAlign w:val="center"/>
          </w:tcPr>
          <w:p>
            <w:pPr>
              <w:pStyle w:val="13"/>
              <w:rPr>
                <w:rFonts w:cs="Times New Roman"/>
                <w:sz w:val="20"/>
                <w:szCs w:val="20"/>
              </w:rPr>
            </w:pPr>
            <w:r>
              <w:rPr>
                <w:rFonts w:cs="Times New Roman"/>
                <w:sz w:val="20"/>
                <w:szCs w:val="20"/>
              </w:rPr>
              <mc:AlternateContent>
                <mc:Choice Requires="wps">
                  <w:drawing>
                    <wp:anchor distT="0" distB="0" distL="114300" distR="114300" simplePos="0" relativeHeight="251691008" behindDoc="0" locked="0" layoutInCell="1" allowOverlap="1">
                      <wp:simplePos x="0" y="0"/>
                      <wp:positionH relativeFrom="column">
                        <wp:posOffset>167640</wp:posOffset>
                      </wp:positionH>
                      <wp:positionV relativeFrom="paragraph">
                        <wp:posOffset>64770</wp:posOffset>
                      </wp:positionV>
                      <wp:extent cx="1584325" cy="0"/>
                      <wp:effectExtent l="0" t="0" r="0" b="0"/>
                      <wp:wrapNone/>
                      <wp:docPr id="674273981" name="直接连接符 129"/>
                      <wp:cNvGraphicFramePr/>
                      <a:graphic xmlns:a="http://schemas.openxmlformats.org/drawingml/2006/main">
                        <a:graphicData uri="http://schemas.microsoft.com/office/word/2010/wordprocessingShape">
                          <wps:wsp>
                            <wps:cNvCnPr/>
                            <wps:spPr>
                              <a:xfrm>
                                <a:off x="0" y="0"/>
                                <a:ext cx="15843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直接连接符 129" o:spid="_x0000_s1026" o:spt="20" style="position:absolute;left:0pt;margin-left:13.2pt;margin-top:5.1pt;height:0pt;width:124.75pt;z-index:251691008;mso-width-relative:page;mso-height-relative:page;" filled="f" stroked="t" coordsize="21600,21600" o:gfxdata="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CecAvbXAAAACAEAAA8AAAAAAAAAAQAgAAAAOAAAAGRycy9kb3ducmV2Lnht&#10;bFBLAQIUABQAAAAIAIdO4kCLxjUl5AEAAJADAAAOAAAAAAAAAAEAIAAAADwBAABkcnMvZTJvRG9j&#10;LnhtbFBLBQYAAAAABgAGAFkBAACSBQAAAAA=&#10;">
                      <v:fill on="f" focussize="0,0"/>
                      <v:stroke weight="1pt" color="#000000" miterlimit="8" joinstyle="miter"/>
                      <v:imagedata o:title=""/>
                      <o:lock v:ext="edit" aspectratio="f"/>
                    </v:line>
                  </w:pict>
                </mc:Fallback>
              </mc:AlternateContent>
            </w:r>
          </w:p>
        </w:tc>
        <w:tc>
          <w:tcPr>
            <w:tcW w:w="413" w:type="pct"/>
            <w:vAlign w:val="center"/>
          </w:tcPr>
          <w:p>
            <w:pPr>
              <w:pStyle w:val="13"/>
              <w:rPr>
                <w:rFonts w:cs="Times New Roman"/>
                <w:sz w:val="20"/>
                <w:szCs w:val="20"/>
              </w:rPr>
            </w:pPr>
          </w:p>
        </w:tc>
        <w:tc>
          <w:tcPr>
            <w:tcW w:w="414" w:type="pct"/>
            <w:vAlign w:val="center"/>
          </w:tcPr>
          <w:p>
            <w:pPr>
              <w:pStyle w:val="13"/>
              <w:rPr>
                <w:rFonts w:cs="Times New Roman"/>
                <w:sz w:val="20"/>
                <w:szCs w:val="20"/>
              </w:rPr>
            </w:pPr>
          </w:p>
        </w:tc>
        <w:tc>
          <w:tcPr>
            <w:tcW w:w="413" w:type="pct"/>
            <w:vAlign w:val="center"/>
          </w:tcPr>
          <w:p>
            <w:pPr>
              <w:pStyle w:val="13"/>
              <w:rPr>
                <w:rFonts w:cs="Times New Roman"/>
                <w:sz w:val="20"/>
                <w:szCs w:val="20"/>
              </w:rPr>
            </w:pPr>
          </w:p>
        </w:tc>
        <w:tc>
          <w:tcPr>
            <w:tcW w:w="414" w:type="pct"/>
            <w:vAlign w:val="center"/>
          </w:tcPr>
          <w:p>
            <w:pPr>
              <w:pStyle w:val="13"/>
              <w:rPr>
                <w:rFonts w:cs="Times New Roman"/>
                <w:sz w:val="20"/>
                <w:szCs w:val="20"/>
              </w:rPr>
            </w:pPr>
          </w:p>
        </w:tc>
        <w:tc>
          <w:tcPr>
            <w:tcW w:w="414" w:type="pct"/>
            <w:shd w:val="clear" w:color="auto" w:fill="auto"/>
            <w:noWrap/>
            <w:vAlign w:val="center"/>
          </w:tcPr>
          <w:p>
            <w:pPr>
              <w:pStyle w:val="13"/>
              <w:rPr>
                <w:rFonts w:cs="Times New Roman"/>
                <w:sz w:val="20"/>
                <w:szCs w:val="20"/>
              </w:rPr>
            </w:pPr>
          </w:p>
        </w:tc>
        <w:tc>
          <w:tcPr>
            <w:tcW w:w="414" w:type="pct"/>
            <w:vAlign w:val="center"/>
          </w:tcPr>
          <w:p>
            <w:pPr>
              <w:pStyle w:val="13"/>
              <w:rPr>
                <w:rFonts w:cs="Times New Roman"/>
                <w:sz w:val="20"/>
                <w:szCs w:val="20"/>
              </w:rPr>
            </w:pPr>
          </w:p>
        </w:tc>
        <w:tc>
          <w:tcPr>
            <w:tcW w:w="410" w:type="pct"/>
            <w:vAlign w:val="center"/>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4" w:type="pct"/>
            <w:shd w:val="clear" w:color="auto" w:fill="auto"/>
            <w:noWrap/>
            <w:vAlign w:val="center"/>
          </w:tcPr>
          <w:p>
            <w:pPr>
              <w:pStyle w:val="13"/>
              <w:rPr>
                <w:rFonts w:cs="Times New Roman"/>
                <w:sz w:val="20"/>
                <w:szCs w:val="20"/>
              </w:rPr>
            </w:pPr>
            <w:r>
              <w:rPr>
                <w:rFonts w:cs="Times New Roman"/>
                <w:sz w:val="20"/>
                <w:szCs w:val="20"/>
              </w:rPr>
              <w:t>5</w:t>
            </w:r>
          </w:p>
        </w:tc>
        <w:tc>
          <w:tcPr>
            <w:tcW w:w="989" w:type="pct"/>
            <w:shd w:val="clear" w:color="auto" w:fill="auto"/>
            <w:noWrap/>
            <w:vAlign w:val="center"/>
          </w:tcPr>
          <w:p>
            <w:pPr>
              <w:pStyle w:val="13"/>
              <w:rPr>
                <w:rFonts w:cs="Times New Roman"/>
                <w:sz w:val="20"/>
                <w:szCs w:val="20"/>
              </w:rPr>
            </w:pPr>
            <w:r>
              <w:rPr>
                <w:rFonts w:cs="Times New Roman"/>
                <w:sz w:val="20"/>
                <w:szCs w:val="20"/>
              </w:rPr>
              <w:t>铁塔</w:t>
            </w:r>
            <w:r>
              <w:rPr>
                <w:rFonts w:hint="eastAsia" w:cs="Times New Roman"/>
                <w:sz w:val="20"/>
                <w:szCs w:val="20"/>
              </w:rPr>
              <w:t>及架线</w:t>
            </w:r>
            <w:r>
              <w:rPr>
                <w:rFonts w:cs="Times New Roman"/>
                <w:sz w:val="20"/>
                <w:szCs w:val="20"/>
              </w:rPr>
              <w:t>施工</w:t>
            </w:r>
          </w:p>
        </w:tc>
        <w:tc>
          <w:tcPr>
            <w:tcW w:w="412" w:type="pct"/>
            <w:vAlign w:val="center"/>
          </w:tcPr>
          <w:p>
            <w:pPr>
              <w:pStyle w:val="13"/>
              <w:rPr>
                <w:rFonts w:cs="Times New Roman"/>
                <w:sz w:val="20"/>
                <w:szCs w:val="20"/>
              </w:rPr>
            </w:pPr>
          </w:p>
        </w:tc>
        <w:tc>
          <w:tcPr>
            <w:tcW w:w="413" w:type="pct"/>
            <w:vAlign w:val="center"/>
          </w:tcPr>
          <w:p>
            <w:pPr>
              <w:pStyle w:val="13"/>
              <w:rPr>
                <w:rFonts w:cs="Times New Roman"/>
                <w:sz w:val="20"/>
                <w:szCs w:val="20"/>
              </w:rPr>
            </w:pPr>
          </w:p>
        </w:tc>
        <w:tc>
          <w:tcPr>
            <w:tcW w:w="413" w:type="pct"/>
            <w:vAlign w:val="center"/>
          </w:tcPr>
          <w:p>
            <w:pPr>
              <w:pStyle w:val="13"/>
              <w:rPr>
                <w:rFonts w:cs="Times New Roman"/>
                <w:sz w:val="20"/>
                <w:szCs w:val="20"/>
              </w:rPr>
            </w:pPr>
            <w:r>
              <w:rPr>
                <w:rFonts w:cs="Times New Roman"/>
                <w:sz w:val="20"/>
                <w:szCs w:val="20"/>
              </w:rPr>
              <mc:AlternateContent>
                <mc:Choice Requires="wps">
                  <w:drawing>
                    <wp:anchor distT="0" distB="0" distL="114300" distR="114300" simplePos="0" relativeHeight="251693056" behindDoc="0" locked="0" layoutInCell="1" allowOverlap="1">
                      <wp:simplePos x="0" y="0"/>
                      <wp:positionH relativeFrom="column">
                        <wp:posOffset>194945</wp:posOffset>
                      </wp:positionH>
                      <wp:positionV relativeFrom="paragraph">
                        <wp:posOffset>76835</wp:posOffset>
                      </wp:positionV>
                      <wp:extent cx="2466340" cy="16510"/>
                      <wp:effectExtent l="0" t="0" r="10160" b="2540"/>
                      <wp:wrapNone/>
                      <wp:docPr id="1197504413" name="直接连接符 127"/>
                      <wp:cNvGraphicFramePr/>
                      <a:graphic xmlns:a="http://schemas.openxmlformats.org/drawingml/2006/main">
                        <a:graphicData uri="http://schemas.microsoft.com/office/word/2010/wordprocessingShape">
                          <wps:wsp>
                            <wps:cNvCnPr/>
                            <wps:spPr>
                              <a:xfrm flipV="true">
                                <a:off x="0" y="0"/>
                                <a:ext cx="2466340" cy="1651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直接连接符 127" o:spid="_x0000_s1026" o:spt="20" style="position:absolute;left:0pt;flip:y;margin-left:15.35pt;margin-top:6.05pt;height:1.3pt;width:194.2pt;z-index:251693056;mso-width-relative:page;mso-height-relative:page;" filled="f" stroked="t" coordsize="21600,21600" o:gfxdata="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BayYCrWAAAACAEAAA8AAAAAAAAAAQAgAAAAOAAAAGRy&#10;cy9kb3ducmV2LnhtbFBLAQIUABQAAAAIAIdO4kAFABoz8QEAAKIDAAAOAAAAAAAAAAEAIAAAADsB&#10;AABkcnMvZTJvRG9jLnhtbFBLBQYAAAAABgAGAFkBAACeBQAAAAA=&#10;">
                      <v:fill on="f" focussize="0,0"/>
                      <v:stroke weight="1pt" color="#000000" miterlimit="8" joinstyle="miter"/>
                      <v:imagedata o:title=""/>
                      <o:lock v:ext="edit" aspectratio="f"/>
                    </v:line>
                  </w:pict>
                </mc:Fallback>
              </mc:AlternateContent>
            </w:r>
          </w:p>
        </w:tc>
        <w:tc>
          <w:tcPr>
            <w:tcW w:w="414" w:type="pct"/>
            <w:vAlign w:val="center"/>
          </w:tcPr>
          <w:p>
            <w:pPr>
              <w:pStyle w:val="13"/>
              <w:rPr>
                <w:rFonts w:cs="Times New Roman"/>
                <w:sz w:val="20"/>
                <w:szCs w:val="20"/>
              </w:rPr>
            </w:pPr>
          </w:p>
        </w:tc>
        <w:tc>
          <w:tcPr>
            <w:tcW w:w="413" w:type="pct"/>
            <w:vAlign w:val="center"/>
          </w:tcPr>
          <w:p>
            <w:pPr>
              <w:pStyle w:val="13"/>
              <w:rPr>
                <w:rFonts w:cs="Times New Roman"/>
                <w:sz w:val="20"/>
                <w:szCs w:val="20"/>
              </w:rPr>
            </w:pPr>
          </w:p>
        </w:tc>
        <w:tc>
          <w:tcPr>
            <w:tcW w:w="414" w:type="pct"/>
            <w:vAlign w:val="center"/>
          </w:tcPr>
          <w:p>
            <w:pPr>
              <w:pStyle w:val="13"/>
              <w:rPr>
                <w:rFonts w:cs="Times New Roman"/>
                <w:sz w:val="20"/>
                <w:szCs w:val="20"/>
              </w:rPr>
            </w:pPr>
          </w:p>
        </w:tc>
        <w:tc>
          <w:tcPr>
            <w:tcW w:w="414" w:type="pct"/>
            <w:shd w:val="clear" w:color="auto" w:fill="auto"/>
            <w:noWrap/>
            <w:vAlign w:val="center"/>
          </w:tcPr>
          <w:p>
            <w:pPr>
              <w:pStyle w:val="13"/>
              <w:rPr>
                <w:rFonts w:cs="Times New Roman"/>
                <w:sz w:val="20"/>
                <w:szCs w:val="20"/>
              </w:rPr>
            </w:pPr>
          </w:p>
        </w:tc>
        <w:tc>
          <w:tcPr>
            <w:tcW w:w="414" w:type="pct"/>
            <w:vAlign w:val="center"/>
          </w:tcPr>
          <w:p>
            <w:pPr>
              <w:pStyle w:val="13"/>
              <w:rPr>
                <w:rFonts w:cs="Times New Roman"/>
                <w:sz w:val="20"/>
                <w:szCs w:val="20"/>
              </w:rPr>
            </w:pPr>
          </w:p>
        </w:tc>
        <w:tc>
          <w:tcPr>
            <w:tcW w:w="410" w:type="pct"/>
            <w:vAlign w:val="center"/>
          </w:tcPr>
          <w:p>
            <w:pPr>
              <w:pStyle w:val="1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94" w:type="pct"/>
            <w:shd w:val="clear" w:color="auto" w:fill="auto"/>
            <w:noWrap/>
            <w:vAlign w:val="center"/>
          </w:tcPr>
          <w:p>
            <w:pPr>
              <w:pStyle w:val="13"/>
              <w:rPr>
                <w:rFonts w:cs="Times New Roman"/>
                <w:sz w:val="20"/>
                <w:szCs w:val="20"/>
              </w:rPr>
            </w:pPr>
            <w:r>
              <w:rPr>
                <w:rFonts w:hint="eastAsia" w:cs="Times New Roman"/>
                <w:sz w:val="20"/>
                <w:szCs w:val="20"/>
              </w:rPr>
              <w:t>6</w:t>
            </w:r>
          </w:p>
        </w:tc>
        <w:tc>
          <w:tcPr>
            <w:tcW w:w="989" w:type="pct"/>
            <w:shd w:val="clear" w:color="auto" w:fill="auto"/>
            <w:noWrap/>
            <w:vAlign w:val="center"/>
          </w:tcPr>
          <w:p>
            <w:pPr>
              <w:pStyle w:val="13"/>
              <w:rPr>
                <w:rFonts w:cs="Times New Roman"/>
                <w:sz w:val="20"/>
                <w:szCs w:val="20"/>
              </w:rPr>
            </w:pPr>
            <w:r>
              <w:rPr>
                <w:rFonts w:cs="Times New Roman"/>
                <w:sz w:val="20"/>
                <w:szCs w:val="20"/>
              </w:rPr>
              <w:t>工程验收</w:t>
            </w:r>
          </w:p>
        </w:tc>
        <w:tc>
          <w:tcPr>
            <w:tcW w:w="412" w:type="pct"/>
            <w:vAlign w:val="center"/>
          </w:tcPr>
          <w:p>
            <w:pPr>
              <w:pStyle w:val="13"/>
              <w:rPr>
                <w:rFonts w:cs="Times New Roman"/>
                <w:sz w:val="20"/>
                <w:szCs w:val="20"/>
              </w:rPr>
            </w:pPr>
          </w:p>
        </w:tc>
        <w:tc>
          <w:tcPr>
            <w:tcW w:w="413" w:type="pct"/>
            <w:vAlign w:val="center"/>
          </w:tcPr>
          <w:p>
            <w:pPr>
              <w:pStyle w:val="13"/>
              <w:rPr>
                <w:rFonts w:cs="Times New Roman"/>
                <w:sz w:val="20"/>
                <w:szCs w:val="20"/>
              </w:rPr>
            </w:pPr>
          </w:p>
        </w:tc>
        <w:tc>
          <w:tcPr>
            <w:tcW w:w="413" w:type="pct"/>
            <w:vAlign w:val="center"/>
          </w:tcPr>
          <w:p>
            <w:pPr>
              <w:pStyle w:val="13"/>
              <w:rPr>
                <w:rFonts w:cs="Times New Roman"/>
                <w:sz w:val="20"/>
                <w:szCs w:val="20"/>
              </w:rPr>
            </w:pPr>
          </w:p>
        </w:tc>
        <w:tc>
          <w:tcPr>
            <w:tcW w:w="414" w:type="pct"/>
            <w:vAlign w:val="center"/>
          </w:tcPr>
          <w:p>
            <w:pPr>
              <w:pStyle w:val="13"/>
              <w:rPr>
                <w:rFonts w:cs="Times New Roman"/>
                <w:sz w:val="20"/>
                <w:szCs w:val="20"/>
              </w:rPr>
            </w:pPr>
          </w:p>
        </w:tc>
        <w:tc>
          <w:tcPr>
            <w:tcW w:w="413" w:type="pct"/>
            <w:vAlign w:val="center"/>
          </w:tcPr>
          <w:p>
            <w:pPr>
              <w:pStyle w:val="13"/>
              <w:rPr>
                <w:rFonts w:cs="Times New Roman"/>
                <w:sz w:val="20"/>
                <w:szCs w:val="20"/>
              </w:rPr>
            </w:pPr>
          </w:p>
        </w:tc>
        <w:tc>
          <w:tcPr>
            <w:tcW w:w="414" w:type="pct"/>
            <w:vAlign w:val="center"/>
          </w:tcPr>
          <w:p>
            <w:pPr>
              <w:pStyle w:val="13"/>
              <w:rPr>
                <w:rFonts w:cs="Times New Roman"/>
                <w:sz w:val="20"/>
                <w:szCs w:val="20"/>
              </w:rPr>
            </w:pPr>
          </w:p>
        </w:tc>
        <w:tc>
          <w:tcPr>
            <w:tcW w:w="414" w:type="pct"/>
            <w:shd w:val="clear" w:color="auto" w:fill="auto"/>
            <w:noWrap/>
            <w:vAlign w:val="center"/>
          </w:tcPr>
          <w:p>
            <w:pPr>
              <w:pStyle w:val="13"/>
              <w:rPr>
                <w:rFonts w:cs="Times New Roman"/>
                <w:sz w:val="20"/>
                <w:szCs w:val="20"/>
              </w:rPr>
            </w:pPr>
          </w:p>
        </w:tc>
        <w:tc>
          <w:tcPr>
            <w:tcW w:w="414" w:type="pct"/>
            <w:vAlign w:val="center"/>
          </w:tcPr>
          <w:p>
            <w:pPr>
              <w:pStyle w:val="13"/>
              <w:rPr>
                <w:rFonts w:cs="Times New Roman"/>
                <w:sz w:val="20"/>
                <w:szCs w:val="20"/>
              </w:rPr>
            </w:pPr>
          </w:p>
        </w:tc>
        <w:tc>
          <w:tcPr>
            <w:tcW w:w="410" w:type="pct"/>
            <w:vAlign w:val="center"/>
          </w:tcPr>
          <w:p>
            <w:pPr>
              <w:pStyle w:val="13"/>
              <w:rPr>
                <w:rFonts w:cs="Times New Roman"/>
                <w:sz w:val="20"/>
                <w:szCs w:val="20"/>
              </w:rPr>
            </w:pPr>
            <w:r>
              <w:rPr>
                <w:rFonts w:cs="Times New Roman"/>
                <w:sz w:val="20"/>
                <w:szCs w:val="20"/>
              </w:rPr>
              <mc:AlternateContent>
                <mc:Choice Requires="wps">
                  <w:drawing>
                    <wp:anchor distT="0" distB="0" distL="114300" distR="114300" simplePos="0" relativeHeight="251697152" behindDoc="0" locked="0" layoutInCell="1" allowOverlap="1">
                      <wp:simplePos x="0" y="0"/>
                      <wp:positionH relativeFrom="column">
                        <wp:posOffset>115570</wp:posOffset>
                      </wp:positionH>
                      <wp:positionV relativeFrom="paragraph">
                        <wp:posOffset>92710</wp:posOffset>
                      </wp:positionV>
                      <wp:extent cx="220980" cy="0"/>
                      <wp:effectExtent l="0" t="0" r="0" b="0"/>
                      <wp:wrapNone/>
                      <wp:docPr id="1108899775" name="直接连接符 125"/>
                      <wp:cNvGraphicFramePr/>
                      <a:graphic xmlns:a="http://schemas.openxmlformats.org/drawingml/2006/main">
                        <a:graphicData uri="http://schemas.microsoft.com/office/word/2010/wordprocessingShape">
                          <wps:wsp>
                            <wps:cNvCnPr/>
                            <wps:spPr>
                              <a:xfrm>
                                <a:off x="0" y="0"/>
                                <a:ext cx="22098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直接连接符 125" o:spid="_x0000_s1026" o:spt="20" style="position:absolute;left:0pt;margin-left:9.1pt;margin-top:7.3pt;height:0pt;width:17.4pt;z-index:251697152;mso-width-relative:page;mso-height-relative:page;" filled="f" stroked="t" coordsize="21600,21600" o:gfxdata="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h6ir/tYAAAAHAQAADwAAAAAAAAABACAAAAA4AAAAZHJzL2Rvd25yZXYueG1sUEsB&#10;AhQAFAAAAAgAh07iQGfduHfhAQAAkAMAAA4AAAAAAAAAAQAgAAAAOwEAAGRycy9lMm9Eb2MueG1s&#10;UEsFBgAAAAAGAAYAWQEAAI4FAAAAAA==&#10;">
                      <v:fill on="f" focussize="0,0"/>
                      <v:stroke weight="1pt" color="#000000" miterlimit="8" joinstyle="miter"/>
                      <v:imagedata o:title=""/>
                      <o:lock v:ext="edit" aspectratio="f"/>
                    </v:line>
                  </w:pict>
                </mc:Fallback>
              </mc:AlternateContent>
            </w:r>
          </w:p>
        </w:tc>
      </w:tr>
      <w:bookmarkEnd w:id="42"/>
    </w:tbl>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43" w:name="_Toc171533286"/>
      <w:r>
        <w:rPr>
          <w:rFonts w:ascii="Times New Roman" w:hAnsi="Times New Roman" w:eastAsia="仿宋_GB2312" w:cs="Times New Roman"/>
          <w:color w:val="auto"/>
          <w:sz w:val="30"/>
          <w:szCs w:val="30"/>
          <w:lang w:eastAsia="zh-CN"/>
        </w:rPr>
        <w:t>2.7 自然概况</w:t>
      </w:r>
      <w:bookmarkEnd w:id="43"/>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2.7.1 地形地貌</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本工程路位于四川省东北部，均属于达州管辖的宣汉县境内，属于米仓山、大巴山中山区、盆北低山区，位于新华夏系广阔的向斜槽区。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全线的地形地貌主要为浸蚀浅切割低山地形，浅切宽谷园缓丘陵、浅切窄谷坪台状丘陵及中切宽谷缓坡丘陵等小地貌单元。山顶园缓，丘谷明显，很少成岭，沟谷地带宽阔、平坦，纵横交织。河道迂回曲折，水流缓慢，侵蚀微弱。受溪流影响，沟谷纵横，山势较缓，部分山体零碎，形态不一，为圆顶、斜坡及猪背梁，海拔高度在360～490m间，沟谷两侧呈“U”字形，全线地形为高差起伏较小的窄谷低山，山岭延伸方向与构造一致，档距分布较为均匀，地形条件较好。</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线路地形呈现高低起伏的走势，相对高差在0.9～53m之间。工程区域丘顶、山腰地带植被发育，丘间多为农业耕作区，随近年来退耕还林工程的推进，现阶段丘顶，村民的房前屋后林木较密集，多为柏树、松树及杂树。</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根据本工程线路所经地区的地形状况，其地形划分如下：丘陵为30％、山地为70％，变电站和线路工程地形地貌为：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（1）玛瑙500kV变电站220kV间隔扩建工程变电站已建成，场地标高396.5m，场地平整（地形坡度0°~2°），变电站原有排水系统完善，运行良好</w:t>
      </w:r>
      <w:r>
        <w:rPr>
          <w:rFonts w:hint="eastAsia"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（2）芭蕉220kV变电站220kV间隔扩建工程变电站已建成，场地标高344.6m，场地平整（地形坡度0°~2°），变电站原有排水系统完善，运行良好。</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（3）玛瑙-正达凯220kV线路工程路径海拔高度337~494m，相对高差0~157m。塔位海拔高度359.6~492.2m，相对高差0~132.6m，地形坡度</w:t>
      </w:r>
      <w:r>
        <w:rPr>
          <w:rFonts w:hint="eastAsia" w:cs="Times New Roman"/>
          <w:color w:val="auto"/>
          <w:szCs w:val="24"/>
          <w:lang w:eastAsia="zh-CN"/>
        </w:rPr>
        <w:t>一般在</w:t>
      </w:r>
      <w:r>
        <w:rPr>
          <w:rFonts w:cs="Times New Roman"/>
          <w:color w:val="auto"/>
          <w:szCs w:val="24"/>
          <w:lang w:eastAsia="zh-CN"/>
        </w:rPr>
        <w:t>6°~35°</w:t>
      </w:r>
      <w:r>
        <w:rPr>
          <w:rFonts w:hint="eastAsia"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（4）芭蕉-正达凯220kV线路工程路径海拔高度295~668m，相对高差0~373m。塔位海拔高度345.1~667.9m，相对高差0~322.8m，地形坡度</w:t>
      </w:r>
      <w:r>
        <w:rPr>
          <w:rFonts w:hint="eastAsia" w:cs="Times New Roman"/>
          <w:color w:val="auto"/>
          <w:szCs w:val="24"/>
          <w:lang w:eastAsia="zh-CN"/>
        </w:rPr>
        <w:t>一般在</w:t>
      </w:r>
      <w:r>
        <w:rPr>
          <w:rFonts w:cs="Times New Roman"/>
          <w:color w:val="auto"/>
          <w:szCs w:val="24"/>
          <w:lang w:eastAsia="zh-CN"/>
        </w:rPr>
        <w:t>6°~35°。</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2.7.2 地质</w:t>
      </w:r>
    </w:p>
    <w:p>
      <w:pPr>
        <w:pStyle w:val="5"/>
        <w:widowControl w:val="0"/>
        <w:kinsoku/>
        <w:topLinePunct/>
        <w:autoSpaceDE/>
        <w:autoSpaceDN/>
        <w:spacing w:before="0" w:after="120" w:afterLines="50" w:line="300" w:lineRule="auto"/>
        <w:ind w:firstLine="0" w:firstLineChars="0"/>
        <w:rPr>
          <w:rFonts w:ascii="Times New Roman" w:hAnsi="Times New Roman" w:eastAsia="仿宋_GB2312" w:cs="Times New Roman"/>
          <w:color w:val="auto"/>
          <w:sz w:val="24"/>
          <w:szCs w:val="24"/>
          <w:lang w:eastAsia="zh-CN"/>
        </w:rPr>
      </w:pPr>
      <w:r>
        <w:rPr>
          <w:rFonts w:ascii="Times New Roman" w:hAnsi="Times New Roman" w:eastAsia="仿宋_GB2312" w:cs="Times New Roman"/>
          <w:color w:val="auto"/>
          <w:sz w:val="24"/>
          <w:szCs w:val="24"/>
          <w:lang w:eastAsia="zh-CN"/>
        </w:rPr>
        <w:t>2.7.2.1 地质构造</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项目场地位于四川盆地东北部，新华夏构造体系大巴山外弧褶皱带，展布在通江至宣汉一线北东地域，主要由近似平行的北西向褶皱组成。其中的鼻状构造多向北西倾没，南东扬起。南西缘的分水岭与千秋垭背斜、乱石子与寨河口背斜，以左列、南西错移及褶皱幅度较高、有断裂为特征区别于仪陇-巴中莲花状构造。从西南到东北（即向大巴山靠近）：岩层倾角逐渐增大，由5°-15°-45°，个别达70°，褶皱渐趋紧密，卷入底层也渐老，从下白垩统-中三叠统雷口坡组；背斜两翼一般都不对称，多数背斜北东翼较陡，南西翼较缓。</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断裂不发育，走向多与轴线平行或小角度斜交，规模小，一般都在十公里以下，压扭性特征较明显。多数断层北东盘地层向南东错移，一些断层挤压带中的破劈理、斜冲擦痕、分枝构造皆指示了北东盘曾向南东移动，以及部分褶皱左列的展布特点，说明该褶带是顺时针扭动的产物。</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根据地腹构造资料；如砦口河背斜地腹下三叠统嘉陵江组为北东向、北西向两组交叉的构造线，志留系底则以北东向构造线为主。中侏罗统下沙溪庙组叶肢介层底面构造反映，在通江一带出现北东向的大向斜，与南阳场背斜平行，而地表的构造线都为北西向。这说明了华夏系、新华夏系构造曾被波及到该区。工区整体被第四系土层覆盖，斜坡顶部可见基岩出露，其岩性为侏罗系中统上沙溪庙组泥岩、砂岩互层出现。</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工区附近主要的褶皱为分水岭背斜（143）、帽盒山向斜（144）分水岭背斜（143）：北西起于平昌城皇庙，向南经宣汉小池溪至江华山一带。轴线北50°西，略呈反“S”形弯曲，长20公里。组成地层从南往北西由老渐新，从中侏罗统上沙溪庙组-蓬莱镇组下段。南东端较陡，两翼倾角20°-25°；往北西变缓，两翼倾角10°左右，个别达21°。在小池溪至石佛坪一带隆起显著，发育成短轴背斜，长7公里。轴向北50°-60°西，南西翼较缓，倾角12°-20°，北东翼20°-50°。高点在王家坝，闭合面积20平方公里，闭合差500米。</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北东翼有关刀场逆断层，走向北西，倾向北东，长5公里。南西翼亮垭寺附近有一条逆掩断层，长2公里，走向北70°西，倾向北东，倾角30°。</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帽盒山向斜（144）：位于宣汉帽盒山至观音庙一带，轴向北60°西，长14公里。地层为上侏罗统，两翼大致对称，倾角10°-20°，南翼有孙家沟逆断层，倾向北西，倾角50°，轴部有帽盒山逆断层。</w:t>
      </w:r>
    </w:p>
    <w:p>
      <w:pPr>
        <w:pStyle w:val="5"/>
        <w:widowControl w:val="0"/>
        <w:kinsoku/>
        <w:topLinePunct/>
        <w:autoSpaceDE/>
        <w:autoSpaceDN/>
        <w:spacing w:before="0" w:after="0" w:line="360" w:lineRule="auto"/>
        <w:ind w:firstLine="0" w:firstLineChars="0"/>
        <w:rPr>
          <w:rFonts w:ascii="Times New Roman" w:hAnsi="Times New Roman" w:eastAsia="仿宋_GB2312" w:cs="Times New Roman"/>
          <w:color w:val="auto"/>
          <w:sz w:val="24"/>
          <w:szCs w:val="24"/>
          <w:lang w:eastAsia="zh-CN"/>
        </w:rPr>
      </w:pPr>
      <w:bookmarkStart w:id="44" w:name="_Hlk148625651"/>
      <w:r>
        <w:rPr>
          <w:rFonts w:ascii="Times New Roman" w:hAnsi="Times New Roman" w:eastAsia="仿宋_GB2312" w:cs="Times New Roman"/>
          <w:color w:val="auto"/>
          <w:sz w:val="24"/>
          <w:szCs w:val="24"/>
          <w:lang w:eastAsia="zh-CN"/>
        </w:rPr>
        <w:t>2.7.2 2 地震</w:t>
      </w:r>
    </w:p>
    <w:bookmarkEnd w:id="44"/>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根据《建筑抗震设计规范》（GB50011－2010）2016版相关规定进行划分：工程场地类别为Ⅱ类，总体为建设的抗震一般地段。</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据中国地震局《中国地震动峰值加速度区划图》（GB18306-2015）及《建筑抗震设计规范》（GB50011-2010）2016版，勘察区抗震设防烈度为Ⅵ度，设计基本地震加速度值为0.05g，设计地震分组为第一组，该场地可项目建设。</w:t>
      </w:r>
    </w:p>
    <w:p>
      <w:pPr>
        <w:pStyle w:val="5"/>
        <w:widowControl w:val="0"/>
        <w:kinsoku/>
        <w:topLinePunct/>
        <w:autoSpaceDE/>
        <w:autoSpaceDN/>
        <w:spacing w:before="0" w:after="0" w:line="360" w:lineRule="auto"/>
        <w:ind w:firstLine="0" w:firstLineChars="0"/>
        <w:rPr>
          <w:rFonts w:ascii="Times New Roman" w:hAnsi="Times New Roman" w:eastAsia="仿宋_GB2312" w:cs="Times New Roman"/>
          <w:color w:val="auto"/>
          <w:sz w:val="24"/>
          <w:szCs w:val="24"/>
          <w:lang w:eastAsia="zh-CN"/>
        </w:rPr>
      </w:pPr>
      <w:r>
        <w:rPr>
          <w:rFonts w:ascii="Times New Roman" w:hAnsi="Times New Roman" w:eastAsia="仿宋_GB2312" w:cs="Times New Roman"/>
          <w:color w:val="auto"/>
          <w:sz w:val="24"/>
          <w:szCs w:val="24"/>
          <w:lang w:eastAsia="zh-CN"/>
        </w:rPr>
        <w:t>2.7.2 3 地层岩性</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工区出露的地层主要为第四系全新统残坡积层（粉质黏土）、侏罗系中统上沙溪庙组基岩层（砂岩），分述如下：</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（1）第四系覆盖层（Q</w:t>
      </w:r>
      <w:r>
        <w:rPr>
          <w:rFonts w:cs="Times New Roman"/>
          <w:color w:val="auto"/>
          <w:szCs w:val="24"/>
          <w:vertAlign w:val="subscript"/>
          <w:lang w:eastAsia="zh-CN"/>
        </w:rPr>
        <w:t>4</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粉质黏土（Q</w:t>
      </w:r>
      <w:r>
        <w:rPr>
          <w:rFonts w:cs="Times New Roman"/>
          <w:color w:val="auto"/>
          <w:szCs w:val="24"/>
          <w:vertAlign w:val="subscript"/>
          <w:lang w:eastAsia="zh-CN"/>
        </w:rPr>
        <w:t>4</w:t>
      </w:r>
      <w:r>
        <w:rPr>
          <w:rFonts w:cs="Times New Roman"/>
          <w:color w:val="auto"/>
          <w:szCs w:val="24"/>
          <w:vertAlign w:val="superscript"/>
          <w:lang w:eastAsia="zh-CN"/>
        </w:rPr>
        <w:t>el+dl</w:t>
      </w:r>
      <w:r>
        <w:rPr>
          <w:rFonts w:cs="Times New Roman"/>
          <w:color w:val="auto"/>
          <w:szCs w:val="24"/>
          <w:lang w:eastAsia="zh-CN"/>
        </w:rPr>
        <w:t>）：褐黄色、灰黄色、黄色，稍湿，可塑，摇振无反应，切面稍有光滑，干强度、韧性中等。根据钻探揭露，该层土体由丘包顶部至坡底厚度逐渐增加，一般厚约0.5～2.1m。</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（2）侏罗系中统上沙溪庙组基岩层（J</w:t>
      </w:r>
      <w:r>
        <w:rPr>
          <w:rFonts w:cs="Times New Roman"/>
          <w:color w:val="auto"/>
          <w:szCs w:val="24"/>
          <w:vertAlign w:val="subscript"/>
          <w:lang w:eastAsia="zh-CN"/>
        </w:rPr>
        <w:t>2</w:t>
      </w:r>
      <w:r>
        <w:rPr>
          <w:rFonts w:cs="Times New Roman"/>
          <w:color w:val="auto"/>
          <w:szCs w:val="24"/>
          <w:lang w:eastAsia="zh-CN"/>
        </w:rPr>
        <w:t>s）</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工程区范围内主要以砂岩为主，局部夹薄层状泥岩夹层，在山包范围内，局部岩石直接裸露，各岩性分述如下：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砂岩（J</w:t>
      </w:r>
      <w:r>
        <w:rPr>
          <w:rFonts w:cs="Times New Roman"/>
          <w:color w:val="auto"/>
          <w:szCs w:val="24"/>
          <w:vertAlign w:val="subscript"/>
          <w:lang w:eastAsia="zh-CN"/>
        </w:rPr>
        <w:t>2</w:t>
      </w:r>
      <w:r>
        <w:rPr>
          <w:rFonts w:cs="Times New Roman"/>
          <w:color w:val="auto"/>
          <w:szCs w:val="24"/>
          <w:lang w:eastAsia="zh-CN"/>
        </w:rPr>
        <w:t>s）</w:t>
      </w:r>
      <w:r>
        <w:rPr>
          <w:rFonts w:hint="eastAsia" w:ascii="宋体" w:hAnsi="宋体" w:eastAsia="宋体" w:cs="宋体"/>
          <w:color w:val="auto"/>
          <w:szCs w:val="24"/>
          <w:lang w:eastAsia="zh-CN"/>
        </w:rPr>
        <w:t>②</w:t>
      </w:r>
      <w:r>
        <w:rPr>
          <w:rFonts w:cs="Times New Roman"/>
          <w:color w:val="auto"/>
          <w:szCs w:val="24"/>
          <w:lang w:eastAsia="zh-CN"/>
        </w:rPr>
        <w:t>：黄灰色、紫灰色、灰色，钙质胶结，砂质结构，厚至巨厚层状构造，局部层间夹薄层泥质砂岩；主要由细砂矿物组成，节理裂隙较发育，裂隙充填泥质或无充填；抗风化能力较强，其强风化带岩芯多呈短柱状，一般厚度1.8-2.1m，采取率为70-83%，RQD值为60-92%；中风化带岩芯多呈短柱、柱状，采取率为90-96%，RQD值为93-96%。土石工程分级为Ⅳ类软石。</w:t>
      </w:r>
    </w:p>
    <w:p>
      <w:pPr>
        <w:pStyle w:val="5"/>
        <w:widowControl w:val="0"/>
        <w:kinsoku/>
        <w:topLinePunct/>
        <w:autoSpaceDE/>
        <w:autoSpaceDN/>
        <w:spacing w:before="0" w:after="0" w:line="360" w:lineRule="auto"/>
        <w:ind w:firstLine="0" w:firstLineChars="0"/>
        <w:rPr>
          <w:rFonts w:ascii="Times New Roman" w:hAnsi="Times New Roman" w:eastAsia="仿宋_GB2312" w:cs="Times New Roman"/>
          <w:color w:val="auto"/>
          <w:sz w:val="24"/>
          <w:szCs w:val="24"/>
          <w:lang w:eastAsia="zh-CN"/>
        </w:rPr>
      </w:pPr>
      <w:r>
        <w:rPr>
          <w:rFonts w:ascii="Times New Roman" w:hAnsi="Times New Roman" w:eastAsia="仿宋_GB2312" w:cs="Times New Roman"/>
          <w:color w:val="auto"/>
          <w:sz w:val="24"/>
          <w:szCs w:val="24"/>
          <w:lang w:eastAsia="zh-CN"/>
        </w:rPr>
        <w:t>2.7.2.4 水文地质条件</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（1）地表水基本特征与富水性</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沿线所跨冲沟有地表水流经，水量受季节性降水影响较大，线路影响较小。</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（2）地下水基本特征与富水性</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根据项目区地下水赋存与运移特征，区内地下水可分为上层滞水、基岩裂隙水二类。</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（1）上层滞水</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上层滞水：黏性土为主要含水层，一般含水层厚度不大，属于微透水层，渗透系数一般小于1x10-6cm/s，上层滞水的影响深度大多在2.0m范围内，与下伏基岩地下水无密切的水力联系，分布于山麓斜坡、坳谷两侧、冲沟尾端、山前裙地的松散堆积层，水量与降雨有关，雨季出露最多。</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（2）基岩裂隙水</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主要赋存砂岩表生风化裂隙及构造裂隙与层间裂隙之中，主要接受大气降水及孔隙水的入渗补给，常以下降泉的形式排泄于冲沟或低洼处。水量受大气降水的影响大，由于以风化裂隙含水为主，地下水循环深度不大，风化层产状及地下水流向均随地形变化，地下分水岭与地表分水岭基本吻合，流向垂直或斜交附近冲沟，于冲沟呈泉水排泄。地下水动态随季节变化幅度较大，但变化速度没有浅层孔隙水反应灵敏，雨季（4～8月）水量较大，8月以后水量渐减，翌年3月才开始回升，旱季并有部分出露位置较高的泉水干枯断流。</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区内各类型地下水水质较好，勘察时，取得地下水2组，并送检测单位进行腐蚀性检测，根据《公路工程地质勘察规范》（JTJ C20-2011）附录K“表K.0.2-1《按环境类型水和土对混凝土结构的腐蚀性评价表》”之规定，区内地下水对混凝土为微侵蚀性，对钢筋仅存在微腐蚀性。因此建议：对水的腐蚀性作用，无需采取相应的抗腐蚀措施。</w:t>
      </w:r>
    </w:p>
    <w:p>
      <w:pPr>
        <w:pStyle w:val="5"/>
        <w:widowControl w:val="0"/>
        <w:kinsoku/>
        <w:topLinePunct/>
        <w:autoSpaceDE/>
        <w:autoSpaceDN/>
        <w:spacing w:before="0" w:after="0" w:line="360" w:lineRule="auto"/>
        <w:ind w:firstLine="0" w:firstLineChars="0"/>
        <w:rPr>
          <w:rFonts w:ascii="Times New Roman" w:hAnsi="Times New Roman" w:eastAsia="仿宋_GB2312" w:cs="Times New Roman"/>
          <w:color w:val="auto"/>
          <w:sz w:val="24"/>
          <w:szCs w:val="24"/>
          <w:lang w:eastAsia="zh-CN"/>
        </w:rPr>
      </w:pPr>
      <w:r>
        <w:rPr>
          <w:rFonts w:ascii="Times New Roman" w:hAnsi="Times New Roman" w:eastAsia="仿宋_GB2312" w:cs="Times New Roman"/>
          <w:color w:val="auto"/>
          <w:sz w:val="24"/>
          <w:szCs w:val="24"/>
          <w:lang w:eastAsia="zh-CN"/>
        </w:rPr>
        <w:t>2.7.2.5 场地液化评价</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据中国地震局《中国地震动峰值加速度区划图》（GB18306-2015）及《建筑抗震设计规范》（GB50011-2010）2016版，勘察区抗震设防烈度为Ⅵ度，设计基本地震加速度值为0.05g，设计地震分组为第一组，该场地可进行项目建设。</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结合钻探成果及地面地质调查，各拟建场地整体地形较平坦，场区内第四系土层为残坡积粉质黏土，钻探揭露区内第四系土层总体厚约0.5～2.1m，平面上分布不均匀，厚度变化较小；下伏基岩为砂岩，岩质较硬，岩体较完整～完整，分布连续稳定。</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建筑抗震设计规范》（GB50011－2010）2016版第4.1.3～4.1.6条规定，当无实测剪切波时，可根据岩土名称和性状进行划分，场地可塑状粉质黏土fak≤150kPa，为中软土，对应的剪切波速范围为250≥υs＞150m/s。根据场地覆盖层的厚度，该场地类别为Ⅱ类。综合确定场地属抗震一般地段，根据场地土的性质和地下水埋藏条件，场地岩土体因地震引起失效失稳得可能性较大。</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根据《建筑抗震设计规范》（GB 50011-2010）（2016年版）4.3.1条规定，拟建场地地震动峰值加速度为0.05g，对应地震烈度为Ⅵ度区，可不进行判别和处理，因此该场地可不考虑液化影响。</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根据野外钻探结果及规范要求，场地内不存在饱和粉土或砂土，按照《建筑抗震设计规范》不考虑地震液化影响。</w:t>
      </w:r>
    </w:p>
    <w:p>
      <w:pPr>
        <w:pStyle w:val="5"/>
        <w:widowControl w:val="0"/>
        <w:kinsoku/>
        <w:topLinePunct/>
        <w:autoSpaceDE/>
        <w:autoSpaceDN/>
        <w:spacing w:before="0" w:after="0" w:line="360" w:lineRule="auto"/>
        <w:ind w:firstLine="0" w:firstLineChars="0"/>
        <w:rPr>
          <w:rFonts w:ascii="Times New Roman" w:hAnsi="Times New Roman" w:eastAsia="仿宋_GB2312" w:cs="Times New Roman"/>
          <w:color w:val="auto"/>
          <w:sz w:val="24"/>
          <w:szCs w:val="24"/>
          <w:lang w:eastAsia="zh-CN"/>
        </w:rPr>
      </w:pPr>
      <w:r>
        <w:rPr>
          <w:rFonts w:ascii="Times New Roman" w:hAnsi="Times New Roman" w:eastAsia="仿宋_GB2312" w:cs="Times New Roman"/>
          <w:color w:val="auto"/>
          <w:sz w:val="24"/>
          <w:szCs w:val="24"/>
          <w:lang w:eastAsia="zh-CN"/>
        </w:rPr>
        <w:t>2.7.2.6 不良地质及特殊岩性土</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根据地质调查和钻探揭露，勘察场地未见有滑坡、泥石流、地面塌陷、沉降、地裂缝及崩塌等不良地质现象。岩土体现状稳定，不良地质现象不发育。</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2.7.3 气象</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宣汉县气象属亚热带湿润季风气候，总体特点是：温暖潮湿、雨量充沛、四季分明、冬干少雨、夏热多雨，并伴有干旱、暴雨（洪涝）冰雹和大风等灾害性天气。根据多年气象资料统计，年均降水量1213.5mm，1月最少为5.4mm，5月最多为192mm，降雨集中时间为5－10月，占年降水量的79%。降水量最多为1983年的1698mm，最少为1966年的865.9mm，极差为832.1mm。近年来宣汉县每年均出现暴雨过程，其中2004年9月3日至5日全县普降两百年不遇的大暴雨，持续降雨70小时以上，最大降雨量达到463mm，最小降雨量也突破了300mm；2005年7月6日至8日，全县持续降雨达28小时，最大降雨量375.8mm，最小降雨量达140mm；2007年7月28日至7月30日，全县持续降雨达36小时，累计降雨量达120mm。</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2.7.4 水文</w:t>
      </w:r>
    </w:p>
    <w:p>
      <w:pPr>
        <w:widowControl w:val="0"/>
        <w:kinsoku/>
        <w:topLinePunct/>
        <w:autoSpaceDE/>
        <w:autoSpaceDN/>
        <w:spacing w:line="360" w:lineRule="auto"/>
        <w:ind w:firstLine="480"/>
        <w:jc w:val="both"/>
        <w:rPr>
          <w:rFonts w:cs="Times New Roman"/>
          <w:color w:val="auto"/>
          <w:szCs w:val="24"/>
          <w:lang w:eastAsia="zh-CN"/>
        </w:rPr>
      </w:pPr>
      <w:bookmarkStart w:id="45" w:name="_Hlk148624832"/>
      <w:r>
        <w:rPr>
          <w:rFonts w:cs="Times New Roman"/>
          <w:color w:val="auto"/>
          <w:szCs w:val="24"/>
          <w:lang w:eastAsia="zh-CN"/>
        </w:rPr>
        <w:t>工程区主要跨河流为后河，后河（后江），属渠江上游二级支流，发源于万源市皮窝乡大横山白龙洞处，源头海拔高1480米，由北向南纵贯全市，流经皮窝、梨树、官渡、太平、青花、长坝、花楼、罗文8个乡镇，在罗文镇大水涵出口，海拔高352米，至宣汉县普光寺与中河汇合，境内104.3公里，境外43.7公里，全长148公里；境内972.3平方公里，境外421.7平方公里，控制集雨面积1394平方公里，自然落差1128米，平均比降10.8%，多年平均流量34.43立方米/秒，水力资源理论蕴藏量为8.56万千瓦。可开发量2.18万千瓦，已开发青花、花楼、罗文沙坝三处电站，装机总量1290千瓦。区内地表水体主要为基岩裂隙水，路线部分跨越小溪沟。区内地表岩、土含水量主要受降雨和山体中基岩裂隙水的影响，但水量贫乏。</w:t>
      </w:r>
    </w:p>
    <w:bookmarkEnd w:id="45"/>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2.7.5 土壤</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宣汉县所属区域内主要分为黄壤、石灰土、紫色土等几种。黄壤：主要分布在低山区，成土母质比较复杂，由石灰岩、砂泥岩、第四系粘土及砾石的残积、坡积和堆积母质发育而成。土壤多呈酸性反应，其共同特点是粘、酸、瘦、缺磷。石灰土：石灰岩母质发育的土壤，一般质地都比较粘重，剖面上或多或少都有石灰泡沫反应，但土壤颜色却各不相同，常见的有红、黄、棕、黑四种，多于黄壤共存，土体有黄化特征，呈中性反应。紫色土：一般含碳酸钙，呈中性或微碱性反应。有机质含量低，磷、钾丰富。由于紫色土母岩松疏，易于崩解，矿质养分含量丰富，肥力较高，其发育程度较同地区的红、黄壤为迟缓，尚不具脱硅富铝化特征，属化学风化微弱的土壤，呈中性至微碱性反应，项目区以黄壤土为主。</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2.7.6 植被</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1、宣汉县植被情况</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宣汉县地处亚热带季风气候区，气候温和，地形多变，植物种类繁多，植被类型以亚热带常绿阔叶林为主，主要有杉松、柏、桤木、栎类（如麻栎、櫯栎、松皮栎等）及黄荆、马桑等。</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2、工程区植被情况</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工程区分为变电站站区和线路工程区，变电站站区地面硬化，植被覆盖度在2</w:t>
      </w:r>
      <w:r>
        <w:rPr>
          <w:rFonts w:cs="Times New Roman"/>
          <w:color w:val="auto"/>
          <w:szCs w:val="24"/>
          <w:lang w:eastAsia="zh-CN"/>
        </w:rPr>
        <w:t>5%</w:t>
      </w:r>
      <w:r>
        <w:rPr>
          <w:rFonts w:hint="eastAsia" w:cs="Times New Roman"/>
          <w:color w:val="auto"/>
          <w:szCs w:val="24"/>
          <w:lang w:eastAsia="zh-CN"/>
        </w:rPr>
        <w:t>左右，线路</w:t>
      </w:r>
      <w:r>
        <w:rPr>
          <w:rFonts w:cs="Times New Roman"/>
          <w:color w:val="auto"/>
          <w:szCs w:val="24"/>
          <w:lang w:eastAsia="zh-CN"/>
        </w:rPr>
        <w:t>工程区动工以前植被以自然生长植被为主，植被覆盖度在65%</w:t>
      </w:r>
      <w:r>
        <w:rPr>
          <w:rFonts w:hint="eastAsia" w:cs="Times New Roman"/>
          <w:color w:val="auto"/>
          <w:szCs w:val="24"/>
          <w:lang w:eastAsia="zh-CN"/>
        </w:rPr>
        <w:t>左右，具有较好</w:t>
      </w:r>
      <w:r>
        <w:rPr>
          <w:rFonts w:cs="Times New Roman"/>
          <w:color w:val="auto"/>
          <w:szCs w:val="24"/>
          <w:lang w:eastAsia="zh-CN"/>
        </w:rPr>
        <w:t>的水土保持作用。</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 xml:space="preserve">2.7.7 </w:t>
      </w:r>
      <w:r>
        <w:rPr>
          <w:rFonts w:hint="eastAsia" w:cs="Times New Roman"/>
          <w:color w:val="auto"/>
          <w:sz w:val="28"/>
          <w:szCs w:val="28"/>
          <w:lang w:eastAsia="zh-CN"/>
        </w:rPr>
        <w:t>其他</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本项目区不涉及饮用水水源保护区、水功能一级区的保护区和保留区、自然保护区、世界文化和自然遗产地、风景名胜区、地质公园、森林公园、重要湿地等。</w:t>
      </w:r>
    </w:p>
    <w:p>
      <w:pPr>
        <w:widowControl w:val="0"/>
        <w:kinsoku/>
        <w:topLinePunct/>
        <w:autoSpaceDE/>
        <w:autoSpaceDN/>
        <w:spacing w:line="300" w:lineRule="auto"/>
        <w:ind w:firstLine="480"/>
        <w:jc w:val="both"/>
        <w:rPr>
          <w:rFonts w:cs="Times New Roman"/>
          <w:color w:val="auto"/>
          <w:szCs w:val="24"/>
          <w:lang w:eastAsia="zh-CN"/>
        </w:rPr>
        <w:sectPr>
          <w:headerReference r:id="rId20" w:type="default"/>
          <w:footerReference r:id="rId21" w:type="default"/>
          <w:pgSz w:w="11906" w:h="16838"/>
          <w:pgMar w:top="1440" w:right="1797" w:bottom="1440" w:left="1797" w:header="851" w:footer="992" w:gutter="0"/>
          <w:cols w:space="425" w:num="1"/>
          <w:docGrid w:linePitch="312" w:charSpace="0"/>
        </w:sectPr>
      </w:pPr>
    </w:p>
    <w:p>
      <w:pPr>
        <w:pStyle w:val="2"/>
        <w:widowControl w:val="0"/>
        <w:kinsoku/>
        <w:topLinePunct/>
        <w:autoSpaceDE/>
        <w:autoSpaceDN/>
        <w:spacing w:before="120" w:after="120" w:line="300" w:lineRule="auto"/>
        <w:ind w:firstLine="0" w:firstLineChars="0"/>
        <w:jc w:val="center"/>
        <w:rPr>
          <w:rFonts w:cs="Times New Roman"/>
          <w:color w:val="auto"/>
          <w:sz w:val="32"/>
          <w:szCs w:val="32"/>
          <w:lang w:eastAsia="zh-CN"/>
        </w:rPr>
      </w:pPr>
      <w:bookmarkStart w:id="46" w:name="_Toc171533287"/>
      <w:r>
        <w:rPr>
          <w:rFonts w:cs="Times New Roman"/>
          <w:color w:val="auto"/>
          <w:sz w:val="32"/>
          <w:szCs w:val="32"/>
          <w:lang w:eastAsia="zh-CN"/>
        </w:rPr>
        <w:t>3  项目水土保持评价</w:t>
      </w:r>
      <w:bookmarkEnd w:id="46"/>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47" w:name="_Toc171533288"/>
      <w:r>
        <w:rPr>
          <w:rFonts w:ascii="Times New Roman" w:hAnsi="Times New Roman" w:eastAsia="仿宋_GB2312" w:cs="Times New Roman"/>
          <w:color w:val="auto"/>
          <w:sz w:val="30"/>
          <w:szCs w:val="30"/>
          <w:lang w:eastAsia="zh-CN"/>
        </w:rPr>
        <w:t>3.1 主体工程选址（线）水土保持评价</w:t>
      </w:r>
      <w:bookmarkEnd w:id="47"/>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3.1.1 《与中华人民共和国水土保持法》的符合性分析</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根据《中华人民共和国水土保持法》</w:t>
      </w:r>
      <w:r>
        <w:rPr>
          <w:color w:val="auto"/>
          <w:lang w:eastAsia="zh-CN"/>
        </w:rPr>
        <w:t>相关要求，结合本项目建设特征和区域现状，本项目与其符合性分析见表3</w:t>
      </w:r>
      <w:r>
        <w:rPr>
          <w:rFonts w:hint="eastAsia"/>
          <w:color w:val="auto"/>
          <w:lang w:eastAsia="zh-CN"/>
        </w:rPr>
        <w:t>.1</w:t>
      </w:r>
      <w:r>
        <w:rPr>
          <w:color w:val="auto"/>
          <w:lang w:eastAsia="zh-CN"/>
        </w:rPr>
        <w:t>-1。</w:t>
      </w:r>
    </w:p>
    <w:p>
      <w:pPr>
        <w:widowControl w:val="0"/>
        <w:kinsoku/>
        <w:topLinePunct/>
        <w:autoSpaceDE/>
        <w:autoSpaceDN/>
        <w:spacing w:line="300" w:lineRule="auto"/>
        <w:ind w:firstLine="482"/>
        <w:jc w:val="center"/>
        <w:rPr>
          <w:rFonts w:cs="Times New Roman"/>
          <w:b/>
          <w:bCs/>
          <w:color w:val="auto"/>
          <w:lang w:eastAsia="zh-CN"/>
        </w:rPr>
      </w:pPr>
      <w:r>
        <w:rPr>
          <w:rFonts w:cs="Times New Roman"/>
          <w:b/>
          <w:bCs/>
          <w:color w:val="auto"/>
          <w:lang w:eastAsia="zh-CN"/>
        </w:rPr>
        <w:t>表3.1-1 水土保持制约因素分析与评价表</w:t>
      </w:r>
    </w:p>
    <w:tbl>
      <w:tblPr>
        <w:tblStyle w:val="26"/>
        <w:tblW w:w="51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2"/>
        <w:gridCol w:w="4694"/>
        <w:gridCol w:w="2628"/>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32" w:type="pct"/>
            <w:vAlign w:val="center"/>
          </w:tcPr>
          <w:p>
            <w:pPr>
              <w:pStyle w:val="13"/>
              <w:rPr>
                <w:rFonts w:cs="Times New Roman"/>
                <w:sz w:val="20"/>
                <w:szCs w:val="20"/>
              </w:rPr>
            </w:pPr>
            <w:r>
              <w:rPr>
                <w:rFonts w:cs="Times New Roman"/>
                <w:sz w:val="20"/>
                <w:szCs w:val="20"/>
              </w:rPr>
              <w:t>序号</w:t>
            </w:r>
          </w:p>
        </w:tc>
        <w:tc>
          <w:tcPr>
            <w:tcW w:w="2725" w:type="pct"/>
            <w:vAlign w:val="center"/>
          </w:tcPr>
          <w:p>
            <w:pPr>
              <w:pStyle w:val="13"/>
              <w:rPr>
                <w:rFonts w:cs="Times New Roman"/>
                <w:sz w:val="20"/>
                <w:szCs w:val="20"/>
              </w:rPr>
            </w:pPr>
            <w:r>
              <w:rPr>
                <w:rFonts w:cs="Times New Roman"/>
                <w:sz w:val="20"/>
                <w:szCs w:val="20"/>
              </w:rPr>
              <w:t>《中华人民共和国水土保持法》条文</w:t>
            </w:r>
          </w:p>
        </w:tc>
        <w:tc>
          <w:tcPr>
            <w:tcW w:w="1526" w:type="pct"/>
            <w:vAlign w:val="center"/>
          </w:tcPr>
          <w:p>
            <w:pPr>
              <w:pStyle w:val="13"/>
              <w:rPr>
                <w:rFonts w:cs="Times New Roman"/>
                <w:sz w:val="20"/>
                <w:szCs w:val="20"/>
              </w:rPr>
            </w:pPr>
            <w:r>
              <w:rPr>
                <w:rFonts w:cs="Times New Roman"/>
                <w:sz w:val="20"/>
                <w:szCs w:val="20"/>
              </w:rPr>
              <w:t>本项目情况</w:t>
            </w:r>
          </w:p>
        </w:tc>
        <w:tc>
          <w:tcPr>
            <w:tcW w:w="417" w:type="pct"/>
            <w:vAlign w:val="center"/>
          </w:tcPr>
          <w:p>
            <w:pPr>
              <w:pStyle w:val="13"/>
              <w:rPr>
                <w:rFonts w:cs="Times New Roman"/>
                <w:sz w:val="20"/>
                <w:szCs w:val="20"/>
              </w:rPr>
            </w:pPr>
            <w:r>
              <w:rPr>
                <w:rFonts w:cs="Times New Roman"/>
                <w:sz w:val="20"/>
                <w:szCs w:val="20"/>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32" w:type="pct"/>
            <w:vAlign w:val="center"/>
          </w:tcPr>
          <w:p>
            <w:pPr>
              <w:pStyle w:val="13"/>
              <w:rPr>
                <w:rFonts w:cs="Times New Roman"/>
                <w:sz w:val="20"/>
                <w:szCs w:val="20"/>
              </w:rPr>
            </w:pPr>
            <w:r>
              <w:rPr>
                <w:rFonts w:cs="Times New Roman"/>
                <w:sz w:val="20"/>
                <w:szCs w:val="20"/>
              </w:rPr>
              <w:t>1</w:t>
            </w:r>
          </w:p>
        </w:tc>
        <w:tc>
          <w:tcPr>
            <w:tcW w:w="2725" w:type="pct"/>
            <w:vAlign w:val="center"/>
          </w:tcPr>
          <w:p>
            <w:pPr>
              <w:pStyle w:val="13"/>
              <w:jc w:val="both"/>
              <w:rPr>
                <w:rFonts w:cs="Times New Roman"/>
                <w:sz w:val="20"/>
                <w:szCs w:val="20"/>
              </w:rPr>
            </w:pPr>
            <w:r>
              <w:rPr>
                <w:rFonts w:cs="Times New Roman"/>
                <w:b/>
                <w:sz w:val="20"/>
                <w:szCs w:val="20"/>
              </w:rPr>
              <w:t>第十七条</w:t>
            </w:r>
            <w:r>
              <w:rPr>
                <w:rFonts w:cs="Times New Roman"/>
                <w:sz w:val="20"/>
                <w:szCs w:val="20"/>
              </w:rPr>
              <w:t xml:space="preserve"> 禁止在崩塌、滑坡危险区和泥石流易发区从事取土、挖砂、采石等可能造成的水土流失的活动。崩塌、滑坡危险区和泥石流易发区的范围，由县级以上地方人民政府划定并公告。</w:t>
            </w:r>
          </w:p>
        </w:tc>
        <w:tc>
          <w:tcPr>
            <w:tcW w:w="1526" w:type="pct"/>
            <w:vAlign w:val="center"/>
          </w:tcPr>
          <w:p>
            <w:pPr>
              <w:pStyle w:val="13"/>
              <w:jc w:val="both"/>
              <w:rPr>
                <w:rFonts w:cs="Times New Roman"/>
                <w:sz w:val="20"/>
                <w:szCs w:val="20"/>
              </w:rPr>
            </w:pPr>
            <w:r>
              <w:rPr>
                <w:rFonts w:cs="Times New Roman"/>
                <w:sz w:val="20"/>
                <w:szCs w:val="20"/>
              </w:rPr>
              <w:t>未涉及县级以上地方人民政府划定并公告的崩塌、滑坡危险区和泥石流易发区。</w:t>
            </w:r>
          </w:p>
        </w:tc>
        <w:tc>
          <w:tcPr>
            <w:tcW w:w="417" w:type="pct"/>
            <w:vAlign w:val="center"/>
          </w:tcPr>
          <w:p>
            <w:pPr>
              <w:pStyle w:val="13"/>
              <w:jc w:val="both"/>
              <w:rPr>
                <w:rFonts w:cs="Times New Roman"/>
                <w:sz w:val="20"/>
                <w:szCs w:val="20"/>
              </w:rPr>
            </w:pPr>
            <w:r>
              <w:rPr>
                <w:rFonts w:cs="Times New Roman"/>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32" w:type="pct"/>
            <w:vAlign w:val="center"/>
          </w:tcPr>
          <w:p>
            <w:pPr>
              <w:pStyle w:val="13"/>
              <w:rPr>
                <w:rFonts w:cs="Times New Roman"/>
                <w:sz w:val="20"/>
                <w:szCs w:val="20"/>
              </w:rPr>
            </w:pPr>
            <w:r>
              <w:rPr>
                <w:rFonts w:cs="Times New Roman"/>
                <w:sz w:val="20"/>
                <w:szCs w:val="20"/>
              </w:rPr>
              <w:t>2</w:t>
            </w:r>
          </w:p>
        </w:tc>
        <w:tc>
          <w:tcPr>
            <w:tcW w:w="2725" w:type="pct"/>
            <w:vAlign w:val="center"/>
          </w:tcPr>
          <w:p>
            <w:pPr>
              <w:pStyle w:val="13"/>
              <w:jc w:val="both"/>
              <w:rPr>
                <w:rFonts w:cs="Times New Roman"/>
                <w:sz w:val="20"/>
                <w:szCs w:val="20"/>
              </w:rPr>
            </w:pPr>
            <w:r>
              <w:rPr>
                <w:rFonts w:cs="Times New Roman"/>
                <w:b/>
                <w:sz w:val="20"/>
                <w:szCs w:val="20"/>
              </w:rPr>
              <w:t>第十八条</w:t>
            </w:r>
            <w:r>
              <w:rPr>
                <w:rFonts w:cs="Times New Roman"/>
                <w:sz w:val="20"/>
                <w:szCs w:val="20"/>
              </w:rPr>
              <w:t xml:space="preserve"> 水土流失严重、生态脆弱的地区，应当限制或者禁止可能造成水土流失的生产建设活动，严格保护植物、沙壳、结皮、地衣等。</w:t>
            </w:r>
          </w:p>
        </w:tc>
        <w:tc>
          <w:tcPr>
            <w:tcW w:w="1526" w:type="pct"/>
            <w:vAlign w:val="center"/>
          </w:tcPr>
          <w:p>
            <w:pPr>
              <w:pStyle w:val="13"/>
              <w:jc w:val="both"/>
              <w:rPr>
                <w:rFonts w:cs="Times New Roman"/>
                <w:sz w:val="20"/>
                <w:szCs w:val="20"/>
              </w:rPr>
            </w:pPr>
            <w:r>
              <w:rPr>
                <w:rFonts w:cs="Times New Roman"/>
                <w:sz w:val="20"/>
                <w:szCs w:val="20"/>
              </w:rPr>
              <w:t>本项目不涉及水土流失严重地区，生态环境区。</w:t>
            </w:r>
          </w:p>
        </w:tc>
        <w:tc>
          <w:tcPr>
            <w:tcW w:w="417" w:type="pct"/>
            <w:vAlign w:val="center"/>
          </w:tcPr>
          <w:p>
            <w:pPr>
              <w:pStyle w:val="13"/>
              <w:jc w:val="both"/>
              <w:rPr>
                <w:rFonts w:cs="Times New Roman"/>
                <w:sz w:val="20"/>
                <w:szCs w:val="20"/>
              </w:rPr>
            </w:pPr>
            <w:r>
              <w:rPr>
                <w:rFonts w:cs="Times New Roman"/>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32" w:type="pct"/>
            <w:vAlign w:val="center"/>
          </w:tcPr>
          <w:p>
            <w:pPr>
              <w:pStyle w:val="13"/>
              <w:rPr>
                <w:rFonts w:cs="Times New Roman"/>
                <w:sz w:val="20"/>
                <w:szCs w:val="20"/>
              </w:rPr>
            </w:pPr>
            <w:r>
              <w:rPr>
                <w:rFonts w:cs="Times New Roman"/>
                <w:sz w:val="20"/>
                <w:szCs w:val="20"/>
              </w:rPr>
              <w:t>3</w:t>
            </w:r>
          </w:p>
        </w:tc>
        <w:tc>
          <w:tcPr>
            <w:tcW w:w="2725" w:type="pct"/>
            <w:vAlign w:val="center"/>
          </w:tcPr>
          <w:p>
            <w:pPr>
              <w:pStyle w:val="13"/>
              <w:jc w:val="both"/>
              <w:rPr>
                <w:rFonts w:cs="Times New Roman"/>
                <w:sz w:val="20"/>
                <w:szCs w:val="20"/>
              </w:rPr>
            </w:pPr>
            <w:r>
              <w:rPr>
                <w:rFonts w:cs="Times New Roman"/>
                <w:b/>
                <w:sz w:val="20"/>
                <w:szCs w:val="20"/>
              </w:rPr>
              <w:t>第二十四条</w:t>
            </w:r>
            <w:r>
              <w:rPr>
                <w:rFonts w:cs="Times New Roman"/>
                <w:sz w:val="20"/>
                <w:szCs w:val="20"/>
              </w:rPr>
              <w:t xml:space="preserve"> 生产建设项目选址、选线应当避让水土流失重点预防区和重点治理区，无法避让的，应当提高防治标准，优化施工工艺，减少地表扰动和植被损坏范围，有效控制可能造成的水土流失。</w:t>
            </w:r>
          </w:p>
        </w:tc>
        <w:tc>
          <w:tcPr>
            <w:tcW w:w="1526" w:type="pct"/>
            <w:vAlign w:val="center"/>
          </w:tcPr>
          <w:p>
            <w:pPr>
              <w:pStyle w:val="13"/>
              <w:jc w:val="both"/>
              <w:rPr>
                <w:rFonts w:cs="Times New Roman"/>
                <w:sz w:val="20"/>
                <w:szCs w:val="20"/>
              </w:rPr>
            </w:pPr>
            <w:r>
              <w:rPr>
                <w:rFonts w:cs="Times New Roman"/>
                <w:sz w:val="20"/>
                <w:szCs w:val="20"/>
              </w:rPr>
              <w:t>项目区属于“嘉陵江及沱江中下游国家级水土流失重点治理区”，方案通过采取一级防治标准，能够较好的控制水土流失。</w:t>
            </w:r>
          </w:p>
        </w:tc>
        <w:tc>
          <w:tcPr>
            <w:tcW w:w="417" w:type="pct"/>
            <w:vAlign w:val="center"/>
          </w:tcPr>
          <w:p>
            <w:pPr>
              <w:pStyle w:val="13"/>
              <w:jc w:val="both"/>
              <w:rPr>
                <w:rFonts w:cs="Times New Roman"/>
                <w:sz w:val="20"/>
                <w:szCs w:val="20"/>
              </w:rPr>
            </w:pPr>
            <w:r>
              <w:rPr>
                <w:rFonts w:cs="Times New Roman"/>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32" w:type="pct"/>
            <w:vAlign w:val="center"/>
          </w:tcPr>
          <w:p>
            <w:pPr>
              <w:pStyle w:val="13"/>
              <w:rPr>
                <w:rFonts w:cs="Times New Roman"/>
                <w:sz w:val="20"/>
                <w:szCs w:val="20"/>
              </w:rPr>
            </w:pPr>
            <w:r>
              <w:rPr>
                <w:rFonts w:cs="Times New Roman"/>
                <w:sz w:val="20"/>
                <w:szCs w:val="20"/>
              </w:rPr>
              <w:t>4</w:t>
            </w:r>
          </w:p>
        </w:tc>
        <w:tc>
          <w:tcPr>
            <w:tcW w:w="2725" w:type="pct"/>
            <w:vAlign w:val="center"/>
          </w:tcPr>
          <w:p>
            <w:pPr>
              <w:pStyle w:val="13"/>
              <w:jc w:val="both"/>
              <w:rPr>
                <w:rFonts w:cs="Times New Roman"/>
                <w:sz w:val="20"/>
                <w:szCs w:val="20"/>
              </w:rPr>
            </w:pPr>
            <w:r>
              <w:rPr>
                <w:rFonts w:cs="Times New Roman"/>
                <w:b/>
                <w:sz w:val="20"/>
                <w:szCs w:val="20"/>
              </w:rPr>
              <w:t>第二十八条</w:t>
            </w:r>
            <w:r>
              <w:rPr>
                <w:rFonts w:cs="Times New Roman"/>
                <w:sz w:val="20"/>
                <w:szCs w:val="20"/>
              </w:rPr>
              <w:t xml:space="preserve"> 依法应当编制水土保持方案的生产建设项目，其生产建设活动中排弃的砂、石、土、矸石、尾矿、废渣等应当综合利用；不能综合利用，确需废弃的，应当堆放在水土保持方案确定专门存放地，并采取措施保证不产生新的危害。</w:t>
            </w:r>
          </w:p>
        </w:tc>
        <w:tc>
          <w:tcPr>
            <w:tcW w:w="1526" w:type="pct"/>
            <w:vAlign w:val="center"/>
          </w:tcPr>
          <w:p>
            <w:pPr>
              <w:pStyle w:val="13"/>
              <w:jc w:val="both"/>
              <w:rPr>
                <w:rFonts w:cs="Times New Roman"/>
                <w:sz w:val="20"/>
                <w:szCs w:val="20"/>
              </w:rPr>
            </w:pPr>
            <w:r>
              <w:rPr>
                <w:rFonts w:cs="Times New Roman"/>
                <w:sz w:val="20"/>
                <w:szCs w:val="20"/>
              </w:rPr>
              <w:t>本项目不涉及弃砂、石、土、矸石、尾矿、废渣等。</w:t>
            </w:r>
          </w:p>
        </w:tc>
        <w:tc>
          <w:tcPr>
            <w:tcW w:w="417" w:type="pct"/>
            <w:vAlign w:val="center"/>
          </w:tcPr>
          <w:p>
            <w:pPr>
              <w:pStyle w:val="13"/>
              <w:jc w:val="both"/>
              <w:rPr>
                <w:rFonts w:cs="Times New Roman"/>
                <w:sz w:val="20"/>
                <w:szCs w:val="20"/>
              </w:rPr>
            </w:pPr>
            <w:r>
              <w:rPr>
                <w:rFonts w:cs="Times New Roman"/>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32" w:type="pct"/>
            <w:vAlign w:val="center"/>
          </w:tcPr>
          <w:p>
            <w:pPr>
              <w:pStyle w:val="13"/>
              <w:rPr>
                <w:rFonts w:cs="Times New Roman"/>
                <w:sz w:val="20"/>
                <w:szCs w:val="20"/>
              </w:rPr>
            </w:pPr>
            <w:r>
              <w:rPr>
                <w:rFonts w:cs="Times New Roman"/>
                <w:sz w:val="20"/>
                <w:szCs w:val="20"/>
              </w:rPr>
              <w:t>5</w:t>
            </w:r>
          </w:p>
        </w:tc>
        <w:tc>
          <w:tcPr>
            <w:tcW w:w="2725" w:type="pct"/>
            <w:vAlign w:val="center"/>
          </w:tcPr>
          <w:p>
            <w:pPr>
              <w:pStyle w:val="13"/>
              <w:jc w:val="both"/>
              <w:rPr>
                <w:rFonts w:cs="Times New Roman"/>
                <w:sz w:val="20"/>
                <w:szCs w:val="20"/>
              </w:rPr>
            </w:pPr>
            <w:r>
              <w:rPr>
                <w:rFonts w:cs="Times New Roman"/>
                <w:b/>
                <w:sz w:val="20"/>
                <w:szCs w:val="20"/>
              </w:rPr>
              <w:t>第三十二条</w:t>
            </w:r>
            <w:r>
              <w:rPr>
                <w:rFonts w:cs="Times New Roman"/>
                <w:sz w:val="20"/>
                <w:szCs w:val="20"/>
              </w:rPr>
              <w:t xml:space="preserve"> 在山区、丘陵区、风沙区以及水土保持规划确定的容易发生水土流失的其他区域开办生产建设项目或者从事其他生产建设活动，损坏水土保持设施、地貌植被，不能恢复原有水土保持功能的，应当缴纳水土保持补偿费，专项用于水土流失预防和治理。</w:t>
            </w:r>
          </w:p>
        </w:tc>
        <w:tc>
          <w:tcPr>
            <w:tcW w:w="1526" w:type="pct"/>
            <w:vAlign w:val="center"/>
          </w:tcPr>
          <w:p>
            <w:pPr>
              <w:pStyle w:val="13"/>
              <w:jc w:val="both"/>
              <w:rPr>
                <w:rFonts w:cs="Times New Roman"/>
                <w:sz w:val="20"/>
                <w:szCs w:val="20"/>
              </w:rPr>
            </w:pPr>
            <w:r>
              <w:rPr>
                <w:rFonts w:cs="Times New Roman"/>
                <w:sz w:val="20"/>
                <w:szCs w:val="20"/>
              </w:rPr>
              <w:t>方案已计列水土保持补偿费。</w:t>
            </w:r>
          </w:p>
        </w:tc>
        <w:tc>
          <w:tcPr>
            <w:tcW w:w="417" w:type="pct"/>
            <w:vAlign w:val="center"/>
          </w:tcPr>
          <w:p>
            <w:pPr>
              <w:pStyle w:val="13"/>
              <w:jc w:val="both"/>
              <w:rPr>
                <w:rFonts w:cs="Times New Roman"/>
                <w:sz w:val="20"/>
                <w:szCs w:val="20"/>
              </w:rPr>
            </w:pPr>
            <w:r>
              <w:rPr>
                <w:rFonts w:cs="Times New Roman"/>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32" w:type="pct"/>
            <w:vAlign w:val="center"/>
          </w:tcPr>
          <w:p>
            <w:pPr>
              <w:pStyle w:val="13"/>
              <w:rPr>
                <w:rFonts w:cs="Times New Roman"/>
                <w:sz w:val="20"/>
                <w:szCs w:val="20"/>
              </w:rPr>
            </w:pPr>
            <w:r>
              <w:rPr>
                <w:rFonts w:cs="Times New Roman"/>
                <w:sz w:val="20"/>
                <w:szCs w:val="20"/>
              </w:rPr>
              <w:t>6</w:t>
            </w:r>
          </w:p>
        </w:tc>
        <w:tc>
          <w:tcPr>
            <w:tcW w:w="2725" w:type="pct"/>
            <w:vAlign w:val="center"/>
          </w:tcPr>
          <w:p>
            <w:pPr>
              <w:pStyle w:val="13"/>
              <w:jc w:val="both"/>
              <w:rPr>
                <w:rFonts w:cs="Times New Roman"/>
                <w:sz w:val="20"/>
                <w:szCs w:val="20"/>
              </w:rPr>
            </w:pPr>
            <w:r>
              <w:rPr>
                <w:rFonts w:hint="eastAsia" w:cs="Times New Roman"/>
                <w:b/>
                <w:sz w:val="20"/>
                <w:szCs w:val="20"/>
              </w:rPr>
              <w:t>第三十八条</w:t>
            </w:r>
            <w:r>
              <w:rPr>
                <w:rFonts w:hint="eastAsia" w:cs="Times New Roman"/>
                <w:sz w:val="20"/>
                <w:szCs w:val="20"/>
              </w:rPr>
              <w:t xml:space="preserve"> 对生产建设活动所占用土地的地表土  应当进行分层剥离、保存和利用，做到土石方挖填 平衡， 减少地表扰动范围；对废弃的砂、石、土、 矸石、尾矿、废渣等存放地， 应当采取拦挡、坡面 防护、防洪排导等措施。生产建设活动结束后应当 及时在取土场、开挖和存放地的裸露土地上种树植草、恢复植被。</w:t>
            </w:r>
          </w:p>
        </w:tc>
        <w:tc>
          <w:tcPr>
            <w:tcW w:w="1526" w:type="pct"/>
            <w:vAlign w:val="center"/>
          </w:tcPr>
          <w:p>
            <w:pPr>
              <w:pStyle w:val="13"/>
              <w:jc w:val="both"/>
              <w:rPr>
                <w:rFonts w:cs="Times New Roman"/>
                <w:sz w:val="20"/>
                <w:szCs w:val="20"/>
              </w:rPr>
            </w:pPr>
            <w:r>
              <w:rPr>
                <w:rFonts w:hint="eastAsia" w:cs="Times New Roman"/>
                <w:sz w:val="20"/>
                <w:szCs w:val="20"/>
              </w:rPr>
              <w:t>本项目通过剥离表土并布 设相应防护措施，用于后期 表土回覆；本项目土石方挖</w:t>
            </w:r>
          </w:p>
          <w:p>
            <w:pPr>
              <w:pStyle w:val="13"/>
              <w:jc w:val="both"/>
              <w:rPr>
                <w:rFonts w:cs="Times New Roman"/>
                <w:sz w:val="20"/>
                <w:szCs w:val="20"/>
              </w:rPr>
            </w:pPr>
            <w:r>
              <w:rPr>
                <w:rFonts w:hint="eastAsia" w:cs="Times New Roman"/>
                <w:sz w:val="20"/>
                <w:szCs w:val="20"/>
              </w:rPr>
              <w:t>填平衡，无弃方。</w:t>
            </w:r>
          </w:p>
        </w:tc>
        <w:tc>
          <w:tcPr>
            <w:tcW w:w="417" w:type="pct"/>
            <w:vAlign w:val="center"/>
          </w:tcPr>
          <w:p>
            <w:pPr>
              <w:pStyle w:val="13"/>
              <w:jc w:val="both"/>
              <w:rPr>
                <w:rFonts w:cs="Times New Roman"/>
                <w:sz w:val="20"/>
                <w:szCs w:val="20"/>
              </w:rPr>
            </w:pPr>
            <w:r>
              <w:rPr>
                <w:rFonts w:cs="Times New Roman"/>
                <w:sz w:val="20"/>
                <w:szCs w:val="20"/>
              </w:rPr>
              <w:t>符合</w:t>
            </w:r>
          </w:p>
        </w:tc>
      </w:tr>
    </w:tbl>
    <w:p>
      <w:pPr>
        <w:widowControl w:val="0"/>
        <w:kinsoku/>
        <w:topLinePunct/>
        <w:autoSpaceDE/>
        <w:autoSpaceDN/>
        <w:spacing w:line="360" w:lineRule="auto"/>
        <w:rPr>
          <w:rFonts w:cs="Times New Roman"/>
          <w:color w:val="auto"/>
          <w:sz w:val="10"/>
          <w:szCs w:val="10"/>
          <w:lang w:eastAsia="zh-CN"/>
        </w:rPr>
      </w:pP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结论：根据《中华人民共和国水土保持法》关于开发建设项目相关制约性的规定，本项目不存在水土保持制约性因素。</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3.1.2 与生产建设项目水土保持技术标准的符合性分析</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1）主体工程选址、建设方案的限制因素分析</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工程选址不涉及河流两岸、湖泊和水库周边的植物保护带，但无法避免涉及“嘉陵江及沱江中下游国家级水土流失重点治理区”，本工程水土流失防治采用西南紫色土区。建设类项目一级标准，防治目标值较高，并通过采取工程、植物、临时等综合防治措施体系控制水土流失的发生，同时将减少临时场地的布设，控制临时场地的面积，较少地表扰动和植被损坏范围，减轻水土流失。</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工程建设区内无全国水土保持监测网络中的水土保持监测站点、重点试验区及国家确定的水土保持长期定位观测站，也未在崩塌和滑坡危险区、泥石流易发区内设置取土（石、砂）场。但该项目属于城市新区建设项目，主体工程设计已提高植被建设标准和景观效果，并配套建设排水和雨水等利用设施。总体来讲，项目选址、建设方案符合《生产建设项目水土保持技术标准》（GB50433-2018）对主体工程的约束性规定。</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2）施工组织设计限制因素分析</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按照《生产建设项目水土保持技术标准》（GB50433-2018）对于施工组织、工程施工设计约束性规定的要求，本项目基本符合有关约束性规定的要求，对不足部分，本方案也提出了合理化建议或解决办法，达到最大限度减少水土流失、保护生态、保护自然景观的目的。</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工程选址、建设方案布局和施工组织设计分析详见下表。</w:t>
      </w:r>
    </w:p>
    <w:p>
      <w:pPr>
        <w:widowControl w:val="0"/>
        <w:kinsoku/>
        <w:topLinePunct/>
        <w:autoSpaceDE/>
        <w:autoSpaceDN/>
        <w:spacing w:line="300" w:lineRule="auto"/>
        <w:ind w:firstLine="0" w:firstLineChars="0"/>
        <w:jc w:val="center"/>
        <w:rPr>
          <w:rFonts w:cs="Times New Roman"/>
          <w:b/>
          <w:bCs/>
          <w:color w:val="auto"/>
          <w:lang w:eastAsia="zh-CN"/>
        </w:rPr>
      </w:pPr>
      <w:r>
        <w:rPr>
          <w:rFonts w:cs="Times New Roman"/>
          <w:b/>
          <w:bCs/>
          <w:color w:val="auto"/>
          <w:lang w:eastAsia="zh-CN"/>
        </w:rPr>
        <w:t>表3.1-2 《生产建设项目水土保持技术标准》水土保持制约因素分析与评价</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1"/>
        <w:gridCol w:w="744"/>
        <w:gridCol w:w="4074"/>
        <w:gridCol w:w="2432"/>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tblHeader/>
          <w:jc w:val="center"/>
        </w:trPr>
        <w:tc>
          <w:tcPr>
            <w:tcW w:w="259" w:type="pct"/>
            <w:vAlign w:val="center"/>
          </w:tcPr>
          <w:p>
            <w:pPr>
              <w:pStyle w:val="13"/>
              <w:rPr>
                <w:rFonts w:cs="Times New Roman"/>
                <w:sz w:val="20"/>
                <w:szCs w:val="20"/>
              </w:rPr>
            </w:pPr>
            <w:r>
              <w:rPr>
                <w:rFonts w:cs="Times New Roman"/>
                <w:sz w:val="20"/>
                <w:szCs w:val="20"/>
              </w:rPr>
              <w:t>序号</w:t>
            </w:r>
          </w:p>
        </w:tc>
        <w:tc>
          <w:tcPr>
            <w:tcW w:w="447" w:type="pct"/>
            <w:vAlign w:val="center"/>
          </w:tcPr>
          <w:p>
            <w:pPr>
              <w:pStyle w:val="13"/>
              <w:rPr>
                <w:rFonts w:cs="Times New Roman"/>
                <w:sz w:val="20"/>
                <w:szCs w:val="20"/>
              </w:rPr>
            </w:pPr>
            <w:r>
              <w:rPr>
                <w:rFonts w:cs="Times New Roman"/>
                <w:sz w:val="20"/>
                <w:szCs w:val="20"/>
              </w:rPr>
              <w:t>项目</w:t>
            </w:r>
          </w:p>
        </w:tc>
        <w:tc>
          <w:tcPr>
            <w:tcW w:w="2448" w:type="pct"/>
            <w:vAlign w:val="center"/>
          </w:tcPr>
          <w:p>
            <w:pPr>
              <w:pStyle w:val="13"/>
              <w:rPr>
                <w:rFonts w:cs="Times New Roman"/>
                <w:sz w:val="20"/>
                <w:szCs w:val="20"/>
              </w:rPr>
            </w:pPr>
            <w:r>
              <w:rPr>
                <w:rFonts w:cs="Times New Roman"/>
                <w:sz w:val="20"/>
                <w:szCs w:val="20"/>
              </w:rPr>
              <w:t>规定内容</w:t>
            </w:r>
          </w:p>
        </w:tc>
        <w:tc>
          <w:tcPr>
            <w:tcW w:w="1461" w:type="pct"/>
            <w:vAlign w:val="center"/>
          </w:tcPr>
          <w:p>
            <w:pPr>
              <w:pStyle w:val="13"/>
              <w:rPr>
                <w:rFonts w:cs="Times New Roman"/>
                <w:sz w:val="20"/>
                <w:szCs w:val="20"/>
              </w:rPr>
            </w:pPr>
            <w:r>
              <w:rPr>
                <w:rFonts w:cs="Times New Roman"/>
                <w:sz w:val="20"/>
                <w:szCs w:val="20"/>
              </w:rPr>
              <w:t>本方案符合性分析</w:t>
            </w:r>
          </w:p>
        </w:tc>
        <w:tc>
          <w:tcPr>
            <w:tcW w:w="385" w:type="pct"/>
            <w:vAlign w:val="center"/>
          </w:tcPr>
          <w:p>
            <w:pPr>
              <w:pStyle w:val="13"/>
              <w:rPr>
                <w:rFonts w:cs="Times New Roman"/>
                <w:sz w:val="20"/>
                <w:szCs w:val="20"/>
              </w:rPr>
            </w:pPr>
            <w:r>
              <w:rPr>
                <w:rFonts w:cs="Times New Roman"/>
                <w:sz w:val="20"/>
                <w:szCs w:val="20"/>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9" w:type="pct"/>
            <w:vAlign w:val="center"/>
          </w:tcPr>
          <w:p>
            <w:pPr>
              <w:pStyle w:val="13"/>
              <w:rPr>
                <w:rFonts w:cs="Times New Roman"/>
                <w:sz w:val="20"/>
                <w:szCs w:val="20"/>
              </w:rPr>
            </w:pPr>
            <w:r>
              <w:rPr>
                <w:rFonts w:cs="Times New Roman"/>
                <w:sz w:val="20"/>
                <w:szCs w:val="20"/>
              </w:rPr>
              <w:t>1</w:t>
            </w:r>
          </w:p>
        </w:tc>
        <w:tc>
          <w:tcPr>
            <w:tcW w:w="447" w:type="pct"/>
            <w:vAlign w:val="center"/>
          </w:tcPr>
          <w:p>
            <w:pPr>
              <w:pStyle w:val="13"/>
              <w:rPr>
                <w:rFonts w:cs="Times New Roman"/>
                <w:sz w:val="20"/>
                <w:szCs w:val="20"/>
              </w:rPr>
            </w:pPr>
            <w:r>
              <w:rPr>
                <w:rFonts w:cs="Times New Roman"/>
                <w:sz w:val="20"/>
                <w:szCs w:val="20"/>
              </w:rPr>
              <w:t>主体工程选址</w:t>
            </w:r>
          </w:p>
          <w:p>
            <w:pPr>
              <w:pStyle w:val="13"/>
              <w:rPr>
                <w:rFonts w:cs="Times New Roman"/>
                <w:sz w:val="20"/>
                <w:szCs w:val="20"/>
              </w:rPr>
            </w:pPr>
            <w:r>
              <w:rPr>
                <w:rFonts w:cs="Times New Roman"/>
                <w:sz w:val="20"/>
                <w:szCs w:val="20"/>
              </w:rPr>
              <w:t>(线)应避让下列区域</w:t>
            </w:r>
          </w:p>
        </w:tc>
        <w:tc>
          <w:tcPr>
            <w:tcW w:w="2448" w:type="pct"/>
            <w:vAlign w:val="center"/>
          </w:tcPr>
          <w:p>
            <w:pPr>
              <w:pStyle w:val="13"/>
              <w:jc w:val="both"/>
              <w:rPr>
                <w:rFonts w:cs="Times New Roman"/>
                <w:sz w:val="20"/>
                <w:szCs w:val="20"/>
              </w:rPr>
            </w:pPr>
            <w:r>
              <w:rPr>
                <w:rFonts w:cs="Times New Roman"/>
                <w:sz w:val="20"/>
                <w:szCs w:val="20"/>
              </w:rPr>
              <w:t>主体工程选址（线）应避让下列区域</w:t>
            </w:r>
          </w:p>
          <w:p>
            <w:pPr>
              <w:pStyle w:val="13"/>
              <w:jc w:val="both"/>
              <w:rPr>
                <w:rFonts w:cs="Times New Roman"/>
                <w:sz w:val="20"/>
                <w:szCs w:val="20"/>
              </w:rPr>
            </w:pPr>
            <w:r>
              <w:rPr>
                <w:rFonts w:cs="Times New Roman"/>
                <w:sz w:val="20"/>
                <w:szCs w:val="20"/>
              </w:rPr>
              <w:t>1.水土流失重点预防区和重点治理区。</w:t>
            </w:r>
          </w:p>
          <w:p>
            <w:pPr>
              <w:pStyle w:val="13"/>
              <w:jc w:val="both"/>
              <w:rPr>
                <w:rFonts w:cs="Times New Roman"/>
                <w:sz w:val="20"/>
                <w:szCs w:val="20"/>
              </w:rPr>
            </w:pPr>
            <w:r>
              <w:rPr>
                <w:rFonts w:cs="Times New Roman"/>
                <w:sz w:val="20"/>
                <w:szCs w:val="20"/>
              </w:rPr>
              <w:t>2.河流两岸、湖泊和水库周边的植物保护带。</w:t>
            </w:r>
          </w:p>
          <w:p>
            <w:pPr>
              <w:pStyle w:val="13"/>
              <w:jc w:val="both"/>
              <w:rPr>
                <w:rFonts w:cs="Times New Roman"/>
                <w:sz w:val="20"/>
                <w:szCs w:val="20"/>
              </w:rPr>
            </w:pPr>
            <w:r>
              <w:rPr>
                <w:rFonts w:cs="Times New Roman"/>
                <w:sz w:val="20"/>
                <w:szCs w:val="20"/>
              </w:rPr>
              <w:t>3.全国水土保持监测网络中的水土保持监测站点、重点试验区及国家确定的水土保持长期定位观测站。</w:t>
            </w:r>
          </w:p>
        </w:tc>
        <w:tc>
          <w:tcPr>
            <w:tcW w:w="1461" w:type="pct"/>
            <w:vAlign w:val="center"/>
          </w:tcPr>
          <w:p>
            <w:pPr>
              <w:pStyle w:val="13"/>
              <w:jc w:val="both"/>
              <w:rPr>
                <w:rFonts w:cs="Times New Roman"/>
                <w:sz w:val="20"/>
                <w:szCs w:val="20"/>
              </w:rPr>
            </w:pPr>
            <w:r>
              <w:rPr>
                <w:rFonts w:cs="Times New Roman"/>
                <w:sz w:val="20"/>
                <w:szCs w:val="20"/>
              </w:rPr>
              <w:t>1.项目区属于“嘉陵江及沱江中下游国家级水土流失重点治理区”，方案通过采取一级防治标准，能够较好的控制水土流失。</w:t>
            </w:r>
          </w:p>
          <w:p>
            <w:pPr>
              <w:pStyle w:val="13"/>
              <w:jc w:val="both"/>
              <w:rPr>
                <w:rFonts w:cs="Times New Roman"/>
                <w:sz w:val="20"/>
                <w:szCs w:val="20"/>
              </w:rPr>
            </w:pPr>
            <w:r>
              <w:rPr>
                <w:rFonts w:cs="Times New Roman"/>
                <w:sz w:val="20"/>
                <w:szCs w:val="20"/>
              </w:rPr>
              <w:t>2.本项目不在河流两岸、湖泊和水库周边的植物保护带。</w:t>
            </w:r>
          </w:p>
          <w:p>
            <w:pPr>
              <w:pStyle w:val="13"/>
              <w:jc w:val="both"/>
              <w:rPr>
                <w:rFonts w:cs="Times New Roman"/>
                <w:sz w:val="20"/>
                <w:szCs w:val="20"/>
              </w:rPr>
            </w:pPr>
            <w:r>
              <w:rPr>
                <w:rFonts w:cs="Times New Roman"/>
                <w:sz w:val="20"/>
                <w:szCs w:val="20"/>
              </w:rPr>
              <w:t>3.本项目占地范围内没有监测点、试验站和观测站。</w:t>
            </w:r>
          </w:p>
        </w:tc>
        <w:tc>
          <w:tcPr>
            <w:tcW w:w="385" w:type="pct"/>
            <w:vAlign w:val="center"/>
          </w:tcPr>
          <w:p>
            <w:pPr>
              <w:pStyle w:val="13"/>
              <w:rPr>
                <w:rFonts w:cs="Times New Roman"/>
                <w:sz w:val="20"/>
                <w:szCs w:val="20"/>
              </w:rPr>
            </w:pPr>
            <w:r>
              <w:rPr>
                <w:rFonts w:cs="Times New Roman"/>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9" w:type="pct"/>
            <w:vAlign w:val="center"/>
          </w:tcPr>
          <w:p>
            <w:pPr>
              <w:pStyle w:val="13"/>
              <w:rPr>
                <w:rFonts w:cs="Times New Roman"/>
                <w:sz w:val="20"/>
                <w:szCs w:val="20"/>
              </w:rPr>
            </w:pPr>
            <w:r>
              <w:rPr>
                <w:rFonts w:cs="Times New Roman"/>
                <w:sz w:val="20"/>
                <w:szCs w:val="20"/>
              </w:rPr>
              <w:t>2</w:t>
            </w:r>
          </w:p>
        </w:tc>
        <w:tc>
          <w:tcPr>
            <w:tcW w:w="447" w:type="pct"/>
            <w:vAlign w:val="center"/>
          </w:tcPr>
          <w:p>
            <w:pPr>
              <w:pStyle w:val="13"/>
              <w:rPr>
                <w:rFonts w:cs="Times New Roman"/>
                <w:sz w:val="20"/>
                <w:szCs w:val="20"/>
              </w:rPr>
            </w:pPr>
            <w:r>
              <w:rPr>
                <w:rFonts w:cs="Times New Roman"/>
                <w:sz w:val="20"/>
                <w:szCs w:val="20"/>
              </w:rPr>
              <w:t>建设</w:t>
            </w:r>
          </w:p>
          <w:p>
            <w:pPr>
              <w:pStyle w:val="13"/>
              <w:rPr>
                <w:rFonts w:cs="Times New Roman"/>
                <w:sz w:val="20"/>
                <w:szCs w:val="20"/>
              </w:rPr>
            </w:pPr>
            <w:r>
              <w:rPr>
                <w:rFonts w:cs="Times New Roman"/>
                <w:sz w:val="20"/>
                <w:szCs w:val="20"/>
              </w:rPr>
              <w:t>方案</w:t>
            </w:r>
          </w:p>
        </w:tc>
        <w:tc>
          <w:tcPr>
            <w:tcW w:w="2448" w:type="pct"/>
            <w:vAlign w:val="center"/>
          </w:tcPr>
          <w:p>
            <w:pPr>
              <w:pStyle w:val="13"/>
              <w:jc w:val="both"/>
              <w:rPr>
                <w:rFonts w:cs="Times New Roman"/>
                <w:sz w:val="20"/>
                <w:szCs w:val="20"/>
              </w:rPr>
            </w:pPr>
            <w:r>
              <w:rPr>
                <w:rFonts w:cs="Times New Roman"/>
                <w:sz w:val="20"/>
                <w:szCs w:val="20"/>
              </w:rPr>
              <w:t>1.城镇区的建设项目应高植被建设标准，注重景观效果，配套建设灌溉、排水和雨水利用设施。</w:t>
            </w:r>
          </w:p>
        </w:tc>
        <w:tc>
          <w:tcPr>
            <w:tcW w:w="1461" w:type="pct"/>
            <w:vAlign w:val="center"/>
          </w:tcPr>
          <w:p>
            <w:pPr>
              <w:pStyle w:val="13"/>
              <w:jc w:val="both"/>
              <w:rPr>
                <w:rFonts w:cs="Times New Roman"/>
                <w:sz w:val="20"/>
                <w:szCs w:val="20"/>
              </w:rPr>
            </w:pPr>
            <w:r>
              <w:rPr>
                <w:rFonts w:cs="Times New Roman"/>
                <w:sz w:val="20"/>
                <w:szCs w:val="20"/>
              </w:rPr>
              <w:t>本项目不属于城镇建设项目</w:t>
            </w:r>
          </w:p>
        </w:tc>
        <w:tc>
          <w:tcPr>
            <w:tcW w:w="385" w:type="pct"/>
            <w:vAlign w:val="center"/>
          </w:tcPr>
          <w:p>
            <w:pPr>
              <w:pStyle w:val="13"/>
              <w:rPr>
                <w:rFonts w:cs="Times New Roman"/>
                <w:sz w:val="20"/>
                <w:szCs w:val="20"/>
              </w:rPr>
            </w:pPr>
            <w:r>
              <w:rPr>
                <w:rFonts w:cs="Times New Roman"/>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9" w:type="pct"/>
            <w:vAlign w:val="center"/>
          </w:tcPr>
          <w:p>
            <w:pPr>
              <w:spacing w:line="240" w:lineRule="exact"/>
              <w:ind w:firstLine="0" w:firstLineChars="0"/>
              <w:jc w:val="center"/>
              <w:rPr>
                <w:rFonts w:cs="Times New Roman"/>
                <w:color w:val="auto"/>
                <w:sz w:val="20"/>
                <w:szCs w:val="20"/>
              </w:rPr>
            </w:pPr>
            <w:r>
              <w:rPr>
                <w:rFonts w:cs="Times New Roman"/>
                <w:color w:val="auto"/>
                <w:sz w:val="20"/>
                <w:szCs w:val="20"/>
              </w:rPr>
              <w:t>3</w:t>
            </w:r>
          </w:p>
        </w:tc>
        <w:tc>
          <w:tcPr>
            <w:tcW w:w="447" w:type="pct"/>
            <w:vAlign w:val="center"/>
          </w:tcPr>
          <w:p>
            <w:pPr>
              <w:spacing w:line="240" w:lineRule="exact"/>
              <w:ind w:firstLine="0" w:firstLineChars="0"/>
              <w:jc w:val="center"/>
              <w:rPr>
                <w:rFonts w:cs="Times New Roman"/>
                <w:color w:val="auto"/>
                <w:sz w:val="20"/>
                <w:szCs w:val="20"/>
                <w:lang w:eastAsia="zh-CN"/>
              </w:rPr>
            </w:pPr>
            <w:r>
              <w:rPr>
                <w:rFonts w:cs="Times New Roman"/>
                <w:color w:val="auto"/>
                <w:sz w:val="20"/>
                <w:szCs w:val="20"/>
              </w:rPr>
              <w:t>取土</w:t>
            </w:r>
          </w:p>
          <w:p>
            <w:pPr>
              <w:spacing w:line="240" w:lineRule="exact"/>
              <w:ind w:firstLine="0" w:firstLineChars="0"/>
              <w:jc w:val="center"/>
              <w:rPr>
                <w:rFonts w:cs="Times New Roman"/>
                <w:color w:val="auto"/>
                <w:sz w:val="20"/>
                <w:szCs w:val="20"/>
              </w:rPr>
            </w:pPr>
            <w:r>
              <w:rPr>
                <w:rFonts w:cs="Times New Roman"/>
                <w:color w:val="auto"/>
                <w:sz w:val="20"/>
                <w:szCs w:val="20"/>
              </w:rPr>
              <w:t>(石、砂)场设置</w:t>
            </w:r>
          </w:p>
        </w:tc>
        <w:tc>
          <w:tcPr>
            <w:tcW w:w="2448" w:type="pct"/>
            <w:vAlign w:val="center"/>
          </w:tcPr>
          <w:p>
            <w:pPr>
              <w:spacing w:line="240" w:lineRule="exact"/>
              <w:ind w:firstLine="0" w:firstLineChars="0"/>
              <w:rPr>
                <w:rFonts w:cs="Times New Roman"/>
                <w:b/>
                <w:color w:val="auto"/>
                <w:sz w:val="20"/>
                <w:szCs w:val="20"/>
                <w:lang w:eastAsia="zh-CN"/>
              </w:rPr>
            </w:pPr>
            <w:bookmarkStart w:id="48" w:name="_Hlk6738722"/>
            <w:r>
              <w:rPr>
                <w:rFonts w:cs="Times New Roman"/>
                <w:b/>
                <w:color w:val="auto"/>
                <w:sz w:val="20"/>
                <w:szCs w:val="20"/>
                <w:lang w:eastAsia="zh-CN"/>
              </w:rPr>
              <w:t>1</w:t>
            </w:r>
            <w:r>
              <w:rPr>
                <w:rFonts w:hint="eastAsia" w:cs="Times New Roman"/>
                <w:b/>
                <w:color w:val="auto"/>
                <w:sz w:val="20"/>
                <w:szCs w:val="20"/>
                <w:lang w:eastAsia="zh-CN"/>
              </w:rPr>
              <w:t>.</w:t>
            </w:r>
            <w:r>
              <w:rPr>
                <w:rFonts w:cs="Times New Roman"/>
                <w:b/>
                <w:color w:val="auto"/>
                <w:sz w:val="20"/>
                <w:szCs w:val="20"/>
                <w:lang w:eastAsia="zh-CN"/>
              </w:rPr>
              <w:t>严禁在崩塌和滑坡危险区、泥石流易发区内设置取土(石、砂)场。</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2.</w:t>
            </w:r>
            <w:r>
              <w:rPr>
                <w:rFonts w:ascii="Times New Roman" w:eastAsia="仿宋_GB2312" w:cs="Times New Roman"/>
              </w:rPr>
              <w:t>应符合城镇、景区等规划要求，并与周边景观相互协调；</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3.</w:t>
            </w:r>
            <w:r>
              <w:rPr>
                <w:rFonts w:ascii="Times New Roman" w:eastAsia="仿宋_GB2312" w:cs="Times New Roman"/>
              </w:rPr>
              <w:t>在河道取土</w:t>
            </w:r>
            <w:r>
              <w:rPr>
                <w:rFonts w:ascii="Times New Roman" w:hAnsi="Times New Roman" w:eastAsia="仿宋_GB2312" w:cs="Times New Roman"/>
              </w:rPr>
              <w:t>(</w:t>
            </w:r>
            <w:r>
              <w:rPr>
                <w:rFonts w:ascii="Times New Roman" w:eastAsia="仿宋_GB2312" w:cs="Times New Roman"/>
              </w:rPr>
              <w:t>石、砂</w:t>
            </w:r>
            <w:r>
              <w:rPr>
                <w:rFonts w:ascii="Times New Roman" w:hAnsi="Times New Roman" w:eastAsia="仿宋_GB2312" w:cs="Times New Roman"/>
              </w:rPr>
              <w:t>)</w:t>
            </w:r>
            <w:r>
              <w:rPr>
                <w:rFonts w:ascii="Times New Roman" w:eastAsia="仿宋_GB2312" w:cs="Times New Roman"/>
              </w:rPr>
              <w:t>的应符合河道管理的有关规定；</w:t>
            </w:r>
          </w:p>
          <w:p>
            <w:pPr>
              <w:spacing w:line="240" w:lineRule="exact"/>
              <w:ind w:firstLine="0" w:firstLineChars="0"/>
              <w:rPr>
                <w:rFonts w:cs="Times New Roman"/>
                <w:b/>
                <w:color w:val="auto"/>
                <w:sz w:val="20"/>
                <w:szCs w:val="20"/>
                <w:lang w:eastAsia="zh-CN"/>
              </w:rPr>
            </w:pPr>
            <w:r>
              <w:rPr>
                <w:rFonts w:cs="Times New Roman"/>
                <w:color w:val="auto"/>
                <w:sz w:val="20"/>
                <w:szCs w:val="20"/>
                <w:lang w:eastAsia="zh-CN"/>
              </w:rPr>
              <w:t>4.应综合考虑取土(石、砂)结束后的土地利用。</w:t>
            </w:r>
            <w:bookmarkEnd w:id="48"/>
          </w:p>
        </w:tc>
        <w:tc>
          <w:tcPr>
            <w:tcW w:w="1461" w:type="pct"/>
            <w:vAlign w:val="center"/>
          </w:tcPr>
          <w:p>
            <w:pPr>
              <w:spacing w:line="240" w:lineRule="exact"/>
              <w:ind w:firstLine="0" w:firstLineChars="0"/>
              <w:rPr>
                <w:rFonts w:cs="Times New Roman"/>
                <w:color w:val="auto"/>
                <w:sz w:val="20"/>
                <w:szCs w:val="20"/>
                <w:lang w:eastAsia="zh-CN"/>
              </w:rPr>
            </w:pPr>
            <w:r>
              <w:rPr>
                <w:rFonts w:hint="eastAsia" w:cs="Times New Roman"/>
                <w:color w:val="auto"/>
                <w:sz w:val="20"/>
                <w:szCs w:val="20"/>
                <w:lang w:eastAsia="zh-CN"/>
              </w:rPr>
              <w:t>不设置取土(石、砂)场</w:t>
            </w:r>
            <w:r>
              <w:rPr>
                <w:rFonts w:cs="Times New Roman"/>
                <w:color w:val="auto"/>
                <w:sz w:val="20"/>
                <w:szCs w:val="20"/>
                <w:lang w:eastAsia="zh-CN"/>
              </w:rPr>
              <w:t>。</w:t>
            </w:r>
          </w:p>
        </w:tc>
        <w:tc>
          <w:tcPr>
            <w:tcW w:w="385" w:type="pct"/>
            <w:vAlign w:val="center"/>
          </w:tcPr>
          <w:p>
            <w:pPr>
              <w:spacing w:line="240" w:lineRule="exact"/>
              <w:ind w:firstLine="0" w:firstLineChars="0"/>
              <w:jc w:val="center"/>
              <w:rPr>
                <w:rFonts w:cs="Times New Roman"/>
                <w:color w:val="auto"/>
                <w:sz w:val="20"/>
                <w:szCs w:val="20"/>
              </w:rPr>
            </w:pPr>
            <w:r>
              <w:rPr>
                <w:rFonts w:hint="eastAsia" w:cs="Times New Roman"/>
                <w:color w:val="auto"/>
                <w:sz w:val="20"/>
                <w:szCs w:val="2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9" w:type="pct"/>
            <w:vAlign w:val="center"/>
          </w:tcPr>
          <w:p>
            <w:pPr>
              <w:spacing w:line="240" w:lineRule="exact"/>
              <w:ind w:firstLine="0" w:firstLineChars="0"/>
              <w:jc w:val="center"/>
              <w:rPr>
                <w:rFonts w:cs="Times New Roman"/>
                <w:color w:val="auto"/>
                <w:sz w:val="20"/>
                <w:szCs w:val="20"/>
              </w:rPr>
            </w:pPr>
            <w:r>
              <w:rPr>
                <w:rFonts w:cs="Times New Roman"/>
                <w:color w:val="auto"/>
                <w:sz w:val="20"/>
                <w:szCs w:val="20"/>
              </w:rPr>
              <w:t>4</w:t>
            </w:r>
          </w:p>
        </w:tc>
        <w:tc>
          <w:tcPr>
            <w:tcW w:w="447" w:type="pct"/>
            <w:vAlign w:val="center"/>
          </w:tcPr>
          <w:p>
            <w:pPr>
              <w:spacing w:line="240" w:lineRule="exact"/>
              <w:ind w:firstLine="0" w:firstLineChars="0"/>
              <w:jc w:val="center"/>
              <w:rPr>
                <w:rFonts w:cs="Times New Roman"/>
                <w:color w:val="auto"/>
                <w:sz w:val="20"/>
                <w:szCs w:val="20"/>
                <w:lang w:eastAsia="zh-CN"/>
              </w:rPr>
            </w:pPr>
            <w:r>
              <w:rPr>
                <w:rFonts w:cs="Times New Roman"/>
                <w:color w:val="auto"/>
                <w:sz w:val="20"/>
                <w:szCs w:val="20"/>
                <w:lang w:eastAsia="zh-CN"/>
              </w:rPr>
              <w:t>弃土</w:t>
            </w:r>
          </w:p>
          <w:p>
            <w:pPr>
              <w:spacing w:line="240" w:lineRule="exact"/>
              <w:ind w:firstLine="0" w:firstLineChars="0"/>
              <w:jc w:val="center"/>
              <w:rPr>
                <w:rFonts w:cs="Times New Roman"/>
                <w:color w:val="auto"/>
                <w:sz w:val="20"/>
                <w:szCs w:val="20"/>
                <w:lang w:eastAsia="zh-CN"/>
              </w:rPr>
            </w:pPr>
            <w:r>
              <w:rPr>
                <w:rFonts w:cs="Times New Roman"/>
                <w:color w:val="auto"/>
                <w:sz w:val="20"/>
                <w:szCs w:val="20"/>
                <w:lang w:eastAsia="zh-CN"/>
              </w:rPr>
              <w:t>(石、渣、灰、</w:t>
            </w:r>
            <w:r>
              <w:rPr>
                <w:rFonts w:hint="eastAsia" w:cs="Times New Roman"/>
                <w:color w:val="auto"/>
                <w:sz w:val="20"/>
                <w:szCs w:val="20"/>
                <w:lang w:eastAsia="zh-CN"/>
              </w:rPr>
              <w:t>矸石</w:t>
            </w:r>
            <w:r>
              <w:rPr>
                <w:rFonts w:cs="Times New Roman"/>
                <w:color w:val="auto"/>
                <w:sz w:val="20"/>
                <w:szCs w:val="20"/>
                <w:lang w:eastAsia="zh-CN"/>
              </w:rPr>
              <w:t>、尾矿)场设置</w:t>
            </w:r>
          </w:p>
        </w:tc>
        <w:tc>
          <w:tcPr>
            <w:tcW w:w="2448" w:type="pct"/>
            <w:vAlign w:val="center"/>
          </w:tcPr>
          <w:p>
            <w:pPr>
              <w:spacing w:line="240" w:lineRule="exact"/>
              <w:ind w:firstLine="0" w:firstLineChars="0"/>
              <w:rPr>
                <w:rFonts w:cs="Times New Roman"/>
                <w:b/>
                <w:color w:val="auto"/>
                <w:sz w:val="20"/>
                <w:szCs w:val="20"/>
                <w:lang w:eastAsia="zh-CN"/>
              </w:rPr>
            </w:pPr>
            <w:r>
              <w:rPr>
                <w:rFonts w:cs="Times New Roman"/>
                <w:b/>
                <w:color w:val="auto"/>
                <w:sz w:val="20"/>
                <w:szCs w:val="20"/>
                <w:lang w:eastAsia="zh-CN"/>
              </w:rPr>
              <w:t>1.严禁在对公共设施、基础设施、工业企业、居民点等有重大影晌的区域设置弃土(石、渣、灰、</w:t>
            </w:r>
            <w:r>
              <w:rPr>
                <w:rFonts w:hint="eastAsia" w:cs="Times New Roman"/>
                <w:b/>
                <w:color w:val="auto"/>
                <w:sz w:val="20"/>
                <w:szCs w:val="20"/>
                <w:lang w:eastAsia="zh-CN"/>
              </w:rPr>
              <w:t>矸石</w:t>
            </w:r>
            <w:r>
              <w:rPr>
                <w:rFonts w:cs="Times New Roman"/>
                <w:b/>
                <w:color w:val="auto"/>
                <w:sz w:val="20"/>
                <w:szCs w:val="20"/>
                <w:lang w:eastAsia="zh-CN"/>
              </w:rPr>
              <w:t>、尾矿)场。</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2.</w:t>
            </w:r>
            <w:r>
              <w:rPr>
                <w:rFonts w:ascii="Times New Roman" w:eastAsia="仿宋_GB2312" w:cs="Times New Roman"/>
              </w:rPr>
              <w:t>涉及河道的应符合河流防洪规划和治导线的规定，不得设置在河道、湖泊和建成水库管理范围内；</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3.</w:t>
            </w:r>
            <w:r>
              <w:rPr>
                <w:rFonts w:ascii="Times New Roman" w:eastAsia="仿宋_GB2312" w:cs="Times New Roman"/>
              </w:rPr>
              <w:t>在山丘区宜选择荒沟、凹地、支毛沟．平原区宜选择凹地、荒地，风沙区宜避开风口；</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4.</w:t>
            </w:r>
            <w:r>
              <w:rPr>
                <w:rFonts w:ascii="Times New Roman" w:eastAsia="仿宋_GB2312" w:cs="Times New Roman"/>
              </w:rPr>
              <w:t>应充分利用取土</w:t>
            </w:r>
            <w:r>
              <w:rPr>
                <w:rFonts w:ascii="Times New Roman" w:hAnsi="Times New Roman" w:eastAsia="仿宋_GB2312" w:cs="Times New Roman"/>
              </w:rPr>
              <w:t>(</w:t>
            </w:r>
            <w:r>
              <w:rPr>
                <w:rFonts w:ascii="Times New Roman" w:eastAsia="仿宋_GB2312" w:cs="Times New Roman"/>
              </w:rPr>
              <w:t>石、砂</w:t>
            </w:r>
            <w:r>
              <w:rPr>
                <w:rFonts w:ascii="Times New Roman" w:hAnsi="Times New Roman" w:eastAsia="仿宋_GB2312" w:cs="Times New Roman"/>
              </w:rPr>
              <w:t>)</w:t>
            </w:r>
            <w:r>
              <w:rPr>
                <w:rFonts w:ascii="Times New Roman" w:eastAsia="仿宋_GB2312" w:cs="Times New Roman"/>
              </w:rPr>
              <w:t>场、废弃采坑、沉陷区等场地；</w:t>
            </w:r>
          </w:p>
          <w:p>
            <w:pPr>
              <w:spacing w:line="240" w:lineRule="exact"/>
              <w:ind w:firstLine="0" w:firstLineChars="0"/>
              <w:rPr>
                <w:rFonts w:cs="Times New Roman"/>
                <w:b/>
                <w:color w:val="auto"/>
                <w:sz w:val="20"/>
                <w:szCs w:val="20"/>
                <w:lang w:eastAsia="zh-CN"/>
              </w:rPr>
            </w:pPr>
            <w:r>
              <w:rPr>
                <w:rFonts w:cs="Times New Roman"/>
                <w:color w:val="auto"/>
                <w:sz w:val="20"/>
                <w:szCs w:val="20"/>
                <w:lang w:eastAsia="zh-CN"/>
              </w:rPr>
              <w:t>5.应综合考虑弃土(石、渣、灰、</w:t>
            </w:r>
            <w:r>
              <w:rPr>
                <w:rFonts w:hint="eastAsia" w:cs="Times New Roman"/>
                <w:color w:val="auto"/>
                <w:sz w:val="20"/>
                <w:szCs w:val="20"/>
                <w:lang w:eastAsia="zh-CN"/>
              </w:rPr>
              <w:t>矸石</w:t>
            </w:r>
            <w:r>
              <w:rPr>
                <w:rFonts w:cs="Times New Roman"/>
                <w:color w:val="auto"/>
                <w:sz w:val="20"/>
                <w:szCs w:val="20"/>
                <w:lang w:eastAsia="zh-CN"/>
              </w:rPr>
              <w:t>、尾矿)结束后的土地利用。</w:t>
            </w:r>
          </w:p>
        </w:tc>
        <w:tc>
          <w:tcPr>
            <w:tcW w:w="1461" w:type="pct"/>
            <w:vAlign w:val="center"/>
          </w:tcPr>
          <w:p>
            <w:pPr>
              <w:spacing w:line="240" w:lineRule="exact"/>
              <w:ind w:firstLine="0" w:firstLineChars="0"/>
              <w:jc w:val="center"/>
              <w:rPr>
                <w:rFonts w:cs="Times New Roman"/>
                <w:color w:val="auto"/>
                <w:sz w:val="20"/>
                <w:szCs w:val="20"/>
                <w:lang w:eastAsia="zh-CN"/>
              </w:rPr>
            </w:pPr>
            <w:r>
              <w:rPr>
                <w:rFonts w:hint="eastAsia" w:cs="Times New Roman"/>
                <w:color w:val="auto"/>
                <w:sz w:val="20"/>
                <w:szCs w:val="20"/>
                <w:lang w:eastAsia="zh-CN"/>
              </w:rPr>
              <w:t>不设置</w:t>
            </w:r>
            <w:r>
              <w:rPr>
                <w:rFonts w:cs="Times New Roman"/>
                <w:color w:val="auto"/>
                <w:sz w:val="20"/>
                <w:szCs w:val="20"/>
                <w:lang w:eastAsia="zh-CN"/>
              </w:rPr>
              <w:t>弃土(石、渣、灰、</w:t>
            </w:r>
            <w:r>
              <w:rPr>
                <w:rFonts w:hint="eastAsia" w:cs="Times New Roman"/>
                <w:color w:val="auto"/>
                <w:sz w:val="20"/>
                <w:szCs w:val="20"/>
                <w:lang w:eastAsia="zh-CN"/>
              </w:rPr>
              <w:t>矸石</w:t>
            </w:r>
            <w:r>
              <w:rPr>
                <w:rFonts w:cs="Times New Roman"/>
                <w:color w:val="auto"/>
                <w:sz w:val="20"/>
                <w:szCs w:val="20"/>
                <w:lang w:eastAsia="zh-CN"/>
              </w:rPr>
              <w:t>、尾矿)场设置</w:t>
            </w:r>
          </w:p>
        </w:tc>
        <w:tc>
          <w:tcPr>
            <w:tcW w:w="385" w:type="pct"/>
            <w:vAlign w:val="center"/>
          </w:tcPr>
          <w:p>
            <w:pPr>
              <w:spacing w:line="240" w:lineRule="exact"/>
              <w:ind w:firstLine="0" w:firstLineChars="0"/>
              <w:jc w:val="center"/>
              <w:rPr>
                <w:rFonts w:cs="Times New Roman"/>
                <w:color w:val="auto"/>
                <w:sz w:val="20"/>
                <w:szCs w:val="20"/>
                <w:lang w:eastAsia="zh-CN"/>
              </w:rPr>
            </w:pPr>
            <w:r>
              <w:rPr>
                <w:rFonts w:hint="eastAsia" w:cs="Times New Roman"/>
                <w:color w:val="auto"/>
                <w:sz w:val="20"/>
                <w:szCs w:val="2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9" w:type="pct"/>
            <w:vAlign w:val="center"/>
          </w:tcPr>
          <w:p>
            <w:pPr>
              <w:pStyle w:val="13"/>
              <w:rPr>
                <w:rFonts w:cs="Times New Roman"/>
                <w:sz w:val="20"/>
                <w:szCs w:val="20"/>
              </w:rPr>
            </w:pPr>
            <w:r>
              <w:rPr>
                <w:rFonts w:cs="Times New Roman"/>
                <w:sz w:val="20"/>
                <w:szCs w:val="20"/>
              </w:rPr>
              <w:t>5</w:t>
            </w:r>
          </w:p>
        </w:tc>
        <w:tc>
          <w:tcPr>
            <w:tcW w:w="447" w:type="pct"/>
            <w:vAlign w:val="center"/>
          </w:tcPr>
          <w:p>
            <w:pPr>
              <w:pStyle w:val="13"/>
              <w:rPr>
                <w:rFonts w:cs="Times New Roman"/>
                <w:sz w:val="20"/>
                <w:szCs w:val="20"/>
              </w:rPr>
            </w:pPr>
            <w:r>
              <w:rPr>
                <w:rFonts w:cs="Times New Roman"/>
                <w:sz w:val="20"/>
                <w:szCs w:val="20"/>
              </w:rPr>
              <w:t>施工</w:t>
            </w:r>
          </w:p>
          <w:p>
            <w:pPr>
              <w:pStyle w:val="13"/>
              <w:rPr>
                <w:rFonts w:cs="Times New Roman"/>
                <w:sz w:val="20"/>
                <w:szCs w:val="20"/>
              </w:rPr>
            </w:pPr>
            <w:r>
              <w:rPr>
                <w:rFonts w:cs="Times New Roman"/>
                <w:sz w:val="20"/>
                <w:szCs w:val="20"/>
              </w:rPr>
              <w:t>组织</w:t>
            </w:r>
          </w:p>
          <w:p>
            <w:pPr>
              <w:pStyle w:val="13"/>
              <w:rPr>
                <w:rFonts w:cs="Times New Roman"/>
                <w:sz w:val="20"/>
                <w:szCs w:val="20"/>
              </w:rPr>
            </w:pPr>
            <w:r>
              <w:rPr>
                <w:rFonts w:cs="Times New Roman"/>
                <w:sz w:val="20"/>
                <w:szCs w:val="20"/>
              </w:rPr>
              <w:t>设计</w:t>
            </w:r>
          </w:p>
        </w:tc>
        <w:tc>
          <w:tcPr>
            <w:tcW w:w="2448" w:type="pct"/>
            <w:vAlign w:val="center"/>
          </w:tcPr>
          <w:p>
            <w:pPr>
              <w:pStyle w:val="13"/>
              <w:jc w:val="both"/>
              <w:rPr>
                <w:rFonts w:cs="Times New Roman"/>
                <w:sz w:val="20"/>
                <w:szCs w:val="20"/>
              </w:rPr>
            </w:pPr>
            <w:r>
              <w:rPr>
                <w:rFonts w:cs="Times New Roman"/>
                <w:sz w:val="20"/>
                <w:szCs w:val="20"/>
              </w:rPr>
              <w:t>1.应控制施工场地占地，避开植被相对良好的区域和基本农田区。</w:t>
            </w:r>
          </w:p>
          <w:p>
            <w:pPr>
              <w:pStyle w:val="13"/>
              <w:jc w:val="both"/>
              <w:rPr>
                <w:rFonts w:cs="Times New Roman"/>
                <w:sz w:val="20"/>
                <w:szCs w:val="20"/>
              </w:rPr>
            </w:pPr>
            <w:r>
              <w:rPr>
                <w:rFonts w:cs="Times New Roman"/>
                <w:sz w:val="20"/>
                <w:szCs w:val="20"/>
              </w:rPr>
              <w:t>2.应合理安排施工，防止重复开挖和多次倒运，减少裸露时间和范围。</w:t>
            </w:r>
          </w:p>
          <w:p>
            <w:pPr>
              <w:pStyle w:val="13"/>
              <w:jc w:val="both"/>
              <w:rPr>
                <w:rFonts w:cs="Times New Roman"/>
                <w:sz w:val="20"/>
                <w:szCs w:val="20"/>
              </w:rPr>
            </w:pPr>
            <w:r>
              <w:rPr>
                <w:rFonts w:cs="Times New Roman"/>
                <w:sz w:val="20"/>
                <w:szCs w:val="20"/>
              </w:rPr>
              <w:t>3.在河岸陡坡开挖土石方，以及开挖边坡下方有河渠、公路、铁路、居民点和其他重要基础设施时，宜设计渣石渡槽、溜渣洞等专门设施，将开挖的土石导出。</w:t>
            </w:r>
          </w:p>
          <w:p>
            <w:pPr>
              <w:pStyle w:val="13"/>
              <w:jc w:val="both"/>
              <w:rPr>
                <w:rFonts w:cs="Times New Roman"/>
                <w:sz w:val="20"/>
                <w:szCs w:val="20"/>
              </w:rPr>
            </w:pPr>
            <w:r>
              <w:rPr>
                <w:rFonts w:cs="Times New Roman"/>
                <w:sz w:val="20"/>
                <w:szCs w:val="20"/>
              </w:rPr>
              <w:t>4.弃土、弃石、弃渣应分类堆放。</w:t>
            </w:r>
          </w:p>
          <w:p>
            <w:pPr>
              <w:pStyle w:val="13"/>
              <w:jc w:val="both"/>
              <w:rPr>
                <w:rFonts w:cs="Times New Roman"/>
                <w:sz w:val="20"/>
                <w:szCs w:val="20"/>
              </w:rPr>
            </w:pPr>
            <w:r>
              <w:rPr>
                <w:rFonts w:cs="Times New Roman"/>
                <w:sz w:val="20"/>
                <w:szCs w:val="20"/>
              </w:rPr>
              <w:t>5.外借土石方应优先考虑利用其他工程废弃的土（石、渣），外购土（石、料）应选择合规的料场。</w:t>
            </w:r>
          </w:p>
          <w:p>
            <w:pPr>
              <w:pStyle w:val="13"/>
              <w:jc w:val="both"/>
              <w:rPr>
                <w:rFonts w:cs="Times New Roman"/>
                <w:sz w:val="20"/>
                <w:szCs w:val="20"/>
              </w:rPr>
            </w:pPr>
            <w:r>
              <w:rPr>
                <w:rFonts w:cs="Times New Roman"/>
                <w:sz w:val="20"/>
                <w:szCs w:val="20"/>
              </w:rPr>
              <w:t>6.大型料场宜分台阶开采，控制开挖深度。爆破开挖应控制装药量和爆破范围。</w:t>
            </w:r>
          </w:p>
          <w:p>
            <w:pPr>
              <w:pStyle w:val="13"/>
              <w:jc w:val="both"/>
              <w:rPr>
                <w:rFonts w:cs="Times New Roman"/>
                <w:sz w:val="20"/>
                <w:szCs w:val="20"/>
              </w:rPr>
            </w:pPr>
            <w:r>
              <w:rPr>
                <w:rFonts w:cs="Times New Roman"/>
                <w:sz w:val="20"/>
                <w:szCs w:val="20"/>
              </w:rPr>
              <w:t>7.工程标段划分应考虑合理调配土石方，减少土（石）方、弃土（石、渣）方和临时占地数量。</w:t>
            </w:r>
          </w:p>
        </w:tc>
        <w:tc>
          <w:tcPr>
            <w:tcW w:w="1461" w:type="pct"/>
            <w:vAlign w:val="center"/>
          </w:tcPr>
          <w:p>
            <w:pPr>
              <w:pStyle w:val="13"/>
              <w:jc w:val="both"/>
              <w:rPr>
                <w:rFonts w:cs="Times New Roman"/>
                <w:sz w:val="20"/>
                <w:szCs w:val="20"/>
              </w:rPr>
            </w:pPr>
            <w:r>
              <w:rPr>
                <w:rFonts w:cs="Times New Roman"/>
                <w:sz w:val="20"/>
                <w:szCs w:val="20"/>
              </w:rPr>
              <w:t>1.本项目已控制施工场地占地，避开了植被良好的区域和基本农田。</w:t>
            </w:r>
          </w:p>
          <w:p>
            <w:pPr>
              <w:pStyle w:val="13"/>
              <w:jc w:val="both"/>
              <w:rPr>
                <w:rFonts w:cs="Times New Roman"/>
                <w:sz w:val="20"/>
                <w:szCs w:val="20"/>
              </w:rPr>
            </w:pPr>
            <w:r>
              <w:rPr>
                <w:rFonts w:cs="Times New Roman"/>
                <w:sz w:val="20"/>
                <w:szCs w:val="20"/>
              </w:rPr>
              <w:t>2.水保方案中将提出管理要求。</w:t>
            </w:r>
          </w:p>
          <w:p>
            <w:pPr>
              <w:pStyle w:val="13"/>
              <w:jc w:val="both"/>
              <w:rPr>
                <w:rFonts w:cs="Times New Roman"/>
                <w:sz w:val="20"/>
                <w:szCs w:val="20"/>
              </w:rPr>
            </w:pPr>
            <w:r>
              <w:rPr>
                <w:rFonts w:cs="Times New Roman"/>
                <w:sz w:val="20"/>
                <w:szCs w:val="20"/>
              </w:rPr>
              <w:t>3.本项目不涉及河岸陡坡土石方开挖。</w:t>
            </w:r>
          </w:p>
          <w:p>
            <w:pPr>
              <w:pStyle w:val="13"/>
              <w:jc w:val="both"/>
              <w:rPr>
                <w:rFonts w:cs="Times New Roman"/>
                <w:sz w:val="20"/>
                <w:szCs w:val="20"/>
              </w:rPr>
            </w:pPr>
            <w:r>
              <w:rPr>
                <w:rFonts w:cs="Times New Roman"/>
                <w:sz w:val="20"/>
                <w:szCs w:val="20"/>
              </w:rPr>
              <w:t>4.本项目不涉及。</w:t>
            </w:r>
          </w:p>
          <w:p>
            <w:pPr>
              <w:pStyle w:val="13"/>
              <w:jc w:val="both"/>
              <w:rPr>
                <w:rFonts w:cs="Times New Roman"/>
                <w:sz w:val="20"/>
                <w:szCs w:val="20"/>
              </w:rPr>
            </w:pPr>
            <w:r>
              <w:rPr>
                <w:rFonts w:cs="Times New Roman"/>
                <w:sz w:val="20"/>
                <w:szCs w:val="20"/>
              </w:rPr>
              <w:t>5.本项目不涉及。</w:t>
            </w:r>
          </w:p>
          <w:p>
            <w:pPr>
              <w:pStyle w:val="13"/>
              <w:jc w:val="both"/>
              <w:rPr>
                <w:rFonts w:cs="Times New Roman"/>
                <w:sz w:val="20"/>
                <w:szCs w:val="20"/>
              </w:rPr>
            </w:pPr>
            <w:r>
              <w:rPr>
                <w:rFonts w:cs="Times New Roman"/>
                <w:sz w:val="20"/>
                <w:szCs w:val="20"/>
              </w:rPr>
              <w:t>6.本项目无料场。</w:t>
            </w:r>
          </w:p>
          <w:p>
            <w:pPr>
              <w:pStyle w:val="13"/>
              <w:jc w:val="both"/>
              <w:rPr>
                <w:rFonts w:cs="Times New Roman"/>
                <w:sz w:val="20"/>
                <w:szCs w:val="20"/>
              </w:rPr>
            </w:pPr>
            <w:r>
              <w:rPr>
                <w:rFonts w:cs="Times New Roman"/>
                <w:sz w:val="20"/>
                <w:szCs w:val="20"/>
              </w:rPr>
              <w:t>7.水保方案中将提出管理要求。</w:t>
            </w:r>
          </w:p>
        </w:tc>
        <w:tc>
          <w:tcPr>
            <w:tcW w:w="385" w:type="pct"/>
            <w:vAlign w:val="center"/>
          </w:tcPr>
          <w:p>
            <w:pPr>
              <w:pStyle w:val="13"/>
              <w:rPr>
                <w:rFonts w:cs="Times New Roman"/>
                <w:sz w:val="20"/>
                <w:szCs w:val="20"/>
              </w:rPr>
            </w:pPr>
            <w:r>
              <w:rPr>
                <w:rFonts w:cs="Times New Roman"/>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9" w:type="pct"/>
            <w:vAlign w:val="center"/>
          </w:tcPr>
          <w:p>
            <w:pPr>
              <w:spacing w:line="240" w:lineRule="exact"/>
              <w:ind w:firstLine="0" w:firstLineChars="0"/>
              <w:jc w:val="center"/>
              <w:rPr>
                <w:rFonts w:cs="Times New Roman"/>
                <w:color w:val="auto"/>
                <w:sz w:val="20"/>
                <w:szCs w:val="20"/>
              </w:rPr>
            </w:pPr>
            <w:r>
              <w:rPr>
                <w:rFonts w:cs="Times New Roman"/>
                <w:color w:val="auto"/>
                <w:sz w:val="20"/>
                <w:szCs w:val="20"/>
              </w:rPr>
              <w:t>6</w:t>
            </w:r>
          </w:p>
        </w:tc>
        <w:tc>
          <w:tcPr>
            <w:tcW w:w="447" w:type="pct"/>
            <w:vAlign w:val="center"/>
          </w:tcPr>
          <w:p>
            <w:pPr>
              <w:spacing w:line="240" w:lineRule="exact"/>
              <w:ind w:firstLine="0" w:firstLineChars="0"/>
              <w:jc w:val="center"/>
              <w:rPr>
                <w:rFonts w:cs="Times New Roman"/>
                <w:color w:val="auto"/>
                <w:sz w:val="20"/>
                <w:szCs w:val="20"/>
              </w:rPr>
            </w:pPr>
            <w:r>
              <w:rPr>
                <w:rFonts w:cs="Times New Roman"/>
                <w:color w:val="auto"/>
                <w:sz w:val="20"/>
                <w:szCs w:val="20"/>
              </w:rPr>
              <w:t>工程施工</w:t>
            </w:r>
          </w:p>
        </w:tc>
        <w:tc>
          <w:tcPr>
            <w:tcW w:w="2448" w:type="pct"/>
            <w:vAlign w:val="center"/>
          </w:tcPr>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1.</w:t>
            </w:r>
            <w:r>
              <w:rPr>
                <w:rFonts w:ascii="Times New Roman" w:eastAsia="仿宋_GB2312" w:cs="Times New Roman"/>
              </w:rPr>
              <w:t>施工活动应控制在设计的施工道路、施工场地内。</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2.</w:t>
            </w:r>
            <w:r>
              <w:rPr>
                <w:rFonts w:ascii="Times New Roman" w:eastAsia="仿宋_GB2312" w:cs="Times New Roman"/>
              </w:rPr>
              <w:t>施工开始时应首先对表土进行剥离或保护．剥离的表土应集中堆放，并采取防护措施。</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3.</w:t>
            </w:r>
            <w:r>
              <w:rPr>
                <w:rFonts w:ascii="Times New Roman" w:eastAsia="仿宋_GB2312" w:cs="Times New Roman"/>
              </w:rPr>
              <w:t>裸露地表应及时防护．减少裸露时间；填筑土方时应随挖、随运、随填、随压。</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4.</w:t>
            </w:r>
            <w:r>
              <w:rPr>
                <w:rFonts w:ascii="Times New Roman" w:eastAsia="仿宋_GB2312" w:cs="Times New Roman"/>
              </w:rPr>
              <w:t>临时堆土</w:t>
            </w:r>
            <w:r>
              <w:rPr>
                <w:rFonts w:ascii="Times New Roman" w:hAnsi="Times New Roman" w:eastAsia="仿宋_GB2312" w:cs="Times New Roman"/>
              </w:rPr>
              <w:t>(</w:t>
            </w:r>
            <w:r>
              <w:rPr>
                <w:rFonts w:ascii="Times New Roman" w:eastAsia="仿宋_GB2312" w:cs="Times New Roman"/>
              </w:rPr>
              <w:t>石、渣</w:t>
            </w:r>
            <w:r>
              <w:rPr>
                <w:rFonts w:ascii="Times New Roman" w:hAnsi="Times New Roman" w:eastAsia="仿宋_GB2312" w:cs="Times New Roman"/>
              </w:rPr>
              <w:t>)</w:t>
            </w:r>
            <w:r>
              <w:rPr>
                <w:rFonts w:ascii="Times New Roman" w:eastAsia="仿宋_GB2312" w:cs="Times New Roman"/>
              </w:rPr>
              <w:t>应集中堆放，并采取临时拦挡、苫盖、排水、沉沙等措施。</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5.</w:t>
            </w:r>
            <w:r>
              <w:rPr>
                <w:rFonts w:ascii="Times New Roman" w:eastAsia="仿宋_GB2312" w:cs="Times New Roman"/>
              </w:rPr>
              <w:t>施工产生的泥浆应先通过泥浆沉淀池沉淀．再采取其他处置措施。</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6.</w:t>
            </w:r>
            <w:r>
              <w:rPr>
                <w:rFonts w:ascii="Times New Roman" w:eastAsia="仿宋_GB2312" w:cs="Times New Roman"/>
              </w:rPr>
              <w:t>围堪填筑、拆除应采取减少流失的有效措施。</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7.</w:t>
            </w:r>
            <w:r>
              <w:rPr>
                <w:rFonts w:ascii="Times New Roman" w:eastAsia="仿宋_GB2312" w:cs="Times New Roman"/>
              </w:rPr>
              <w:t>弃土</w:t>
            </w:r>
            <w:r>
              <w:rPr>
                <w:rFonts w:ascii="Times New Roman" w:hAnsi="Times New Roman" w:eastAsia="仿宋_GB2312" w:cs="Times New Roman"/>
              </w:rPr>
              <w:t>(</w:t>
            </w:r>
            <w:r>
              <w:rPr>
                <w:rFonts w:ascii="Times New Roman" w:eastAsia="仿宋_GB2312" w:cs="Times New Roman"/>
              </w:rPr>
              <w:t>石、渣</w:t>
            </w:r>
            <w:r>
              <w:rPr>
                <w:rFonts w:ascii="Times New Roman" w:hAnsi="Times New Roman" w:eastAsia="仿宋_GB2312" w:cs="Times New Roman"/>
              </w:rPr>
              <w:t>)</w:t>
            </w:r>
            <w:r>
              <w:rPr>
                <w:rFonts w:ascii="Times New Roman" w:eastAsia="仿宋_GB2312" w:cs="Times New Roman"/>
              </w:rPr>
              <w:t>场地应事先设置拦挡措施，弃土</w:t>
            </w:r>
            <w:r>
              <w:rPr>
                <w:rFonts w:ascii="Times New Roman" w:hAnsi="Times New Roman" w:eastAsia="仿宋_GB2312" w:cs="Times New Roman"/>
              </w:rPr>
              <w:t>(</w:t>
            </w:r>
            <w:r>
              <w:rPr>
                <w:rFonts w:ascii="Times New Roman" w:eastAsia="仿宋_GB2312" w:cs="Times New Roman"/>
              </w:rPr>
              <w:t>石、渣</w:t>
            </w:r>
            <w:r>
              <w:rPr>
                <w:rFonts w:ascii="Times New Roman" w:hAnsi="Times New Roman" w:eastAsia="仿宋_GB2312" w:cs="Times New Roman"/>
              </w:rPr>
              <w:t>)</w:t>
            </w:r>
            <w:r>
              <w:rPr>
                <w:rFonts w:ascii="Times New Roman" w:eastAsia="仿宋_GB2312" w:cs="Times New Roman"/>
              </w:rPr>
              <w:t>应有序堆放。</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8.</w:t>
            </w:r>
            <w:r>
              <w:rPr>
                <w:rFonts w:ascii="Times New Roman" w:eastAsia="仿宋_GB2312" w:cs="Times New Roman"/>
              </w:rPr>
              <w:t>取土</w:t>
            </w:r>
            <w:r>
              <w:rPr>
                <w:rFonts w:ascii="Times New Roman" w:hAnsi="Times New Roman" w:eastAsia="仿宋_GB2312" w:cs="Times New Roman"/>
              </w:rPr>
              <w:t>(</w:t>
            </w:r>
            <w:r>
              <w:rPr>
                <w:rFonts w:ascii="Times New Roman" w:eastAsia="仿宋_GB2312" w:cs="Times New Roman"/>
              </w:rPr>
              <w:t>石、砂</w:t>
            </w:r>
            <w:r>
              <w:rPr>
                <w:rFonts w:ascii="Times New Roman" w:hAnsi="Times New Roman" w:eastAsia="仿宋_GB2312" w:cs="Times New Roman"/>
              </w:rPr>
              <w:t>)</w:t>
            </w:r>
            <w:r>
              <w:rPr>
                <w:rFonts w:ascii="Times New Roman" w:eastAsia="仿宋_GB2312" w:cs="Times New Roman"/>
              </w:rPr>
              <w:t>场开挖前应设置截</w:t>
            </w:r>
            <w:r>
              <w:rPr>
                <w:rFonts w:ascii="Times New Roman" w:hAnsi="Times New Roman" w:eastAsia="仿宋_GB2312" w:cs="Times New Roman"/>
              </w:rPr>
              <w:t>(</w:t>
            </w:r>
            <w:r>
              <w:rPr>
                <w:rFonts w:ascii="Times New Roman" w:eastAsia="仿宋_GB2312" w:cs="Times New Roman"/>
              </w:rPr>
              <w:t>排</w:t>
            </w:r>
            <w:r>
              <w:rPr>
                <w:rFonts w:ascii="Times New Roman" w:hAnsi="Times New Roman" w:eastAsia="仿宋_GB2312" w:cs="Times New Roman"/>
              </w:rPr>
              <w:t>)</w:t>
            </w:r>
            <w:r>
              <w:rPr>
                <w:rFonts w:ascii="Times New Roman" w:eastAsia="仿宋_GB2312" w:cs="Times New Roman"/>
              </w:rPr>
              <w:t>水、沉沙等措施。</w:t>
            </w:r>
          </w:p>
          <w:p>
            <w:pPr>
              <w:spacing w:line="240" w:lineRule="exact"/>
              <w:ind w:firstLine="0" w:firstLineChars="0"/>
              <w:rPr>
                <w:rFonts w:cs="Times New Roman"/>
                <w:b/>
                <w:color w:val="auto"/>
                <w:sz w:val="20"/>
                <w:szCs w:val="20"/>
                <w:lang w:eastAsia="zh-CN"/>
              </w:rPr>
            </w:pPr>
            <w:r>
              <w:rPr>
                <w:rFonts w:cs="Times New Roman"/>
                <w:color w:val="auto"/>
                <w:sz w:val="20"/>
                <w:szCs w:val="20"/>
                <w:lang w:eastAsia="zh-CN"/>
              </w:rPr>
              <w:t>9.土(石、料、渣、</w:t>
            </w:r>
            <w:r>
              <w:rPr>
                <w:rFonts w:hint="eastAsia" w:cs="Times New Roman"/>
                <w:color w:val="auto"/>
                <w:sz w:val="20"/>
                <w:szCs w:val="20"/>
                <w:lang w:eastAsia="zh-CN"/>
              </w:rPr>
              <w:t>矸石</w:t>
            </w:r>
            <w:r>
              <w:rPr>
                <w:rFonts w:cs="Times New Roman"/>
                <w:color w:val="auto"/>
                <w:sz w:val="20"/>
                <w:szCs w:val="20"/>
                <w:lang w:eastAsia="zh-CN"/>
              </w:rPr>
              <w:t>)方在运输过程中应采取保护措施，防止沿途散溢。</w:t>
            </w:r>
          </w:p>
        </w:tc>
        <w:tc>
          <w:tcPr>
            <w:tcW w:w="1461" w:type="pct"/>
            <w:vAlign w:val="center"/>
          </w:tcPr>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1.</w:t>
            </w:r>
            <w:r>
              <w:rPr>
                <w:rFonts w:ascii="Times New Roman" w:eastAsia="仿宋_GB2312" w:cs="Times New Roman"/>
              </w:rPr>
              <w:t>施工活动控制在设计的施工道路、施工场地内。</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2.</w:t>
            </w:r>
            <w:r>
              <w:rPr>
                <w:rFonts w:ascii="Times New Roman" w:eastAsia="仿宋_GB2312" w:cs="Times New Roman"/>
              </w:rPr>
              <w:t>施工开始时首先对表土进行剥离或保护．剥离的表土应集中堆放，并采取防护措施。</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3.</w:t>
            </w:r>
            <w:r>
              <w:rPr>
                <w:rFonts w:ascii="Times New Roman" w:eastAsia="仿宋_GB2312" w:cs="Times New Roman"/>
              </w:rPr>
              <w:t>裸露地表及时防护．减少裸露时间；填筑土方时随挖、随运、随填、随压。</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4.</w:t>
            </w:r>
            <w:r>
              <w:rPr>
                <w:rFonts w:ascii="Times New Roman" w:eastAsia="仿宋_GB2312" w:cs="Times New Roman"/>
              </w:rPr>
              <w:t>临时堆土</w:t>
            </w:r>
            <w:r>
              <w:rPr>
                <w:rFonts w:ascii="Times New Roman" w:hAnsi="Times New Roman" w:eastAsia="仿宋_GB2312" w:cs="Times New Roman"/>
              </w:rPr>
              <w:t>(</w:t>
            </w:r>
            <w:r>
              <w:rPr>
                <w:rFonts w:ascii="Times New Roman" w:eastAsia="仿宋_GB2312" w:cs="Times New Roman"/>
              </w:rPr>
              <w:t>石、渣</w:t>
            </w:r>
            <w:r>
              <w:rPr>
                <w:rFonts w:ascii="Times New Roman" w:hAnsi="Times New Roman" w:eastAsia="仿宋_GB2312" w:cs="Times New Roman"/>
              </w:rPr>
              <w:t>)</w:t>
            </w:r>
            <w:r>
              <w:rPr>
                <w:rFonts w:hint="eastAsia" w:ascii="Times New Roman" w:eastAsia="仿宋_GB2312" w:cs="Times New Roman"/>
              </w:rPr>
              <w:t>已</w:t>
            </w:r>
            <w:r>
              <w:rPr>
                <w:rFonts w:ascii="Times New Roman" w:eastAsia="仿宋_GB2312" w:cs="Times New Roman"/>
              </w:rPr>
              <w:t>集中堆放，并采取临时拦挡、苫盖、排水、沉沙等措施。</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5.</w:t>
            </w:r>
            <w:r>
              <w:rPr>
                <w:rFonts w:ascii="Times New Roman" w:eastAsia="仿宋_GB2312" w:cs="Times New Roman"/>
              </w:rPr>
              <w:t>施工产生的泥浆应先通过泥浆沉淀池沉淀．再采取其他处置措施。</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6.</w:t>
            </w:r>
            <w:r>
              <w:rPr>
                <w:rFonts w:ascii="Times New Roman" w:eastAsia="仿宋_GB2312" w:cs="Times New Roman"/>
              </w:rPr>
              <w:t>围堪填筑、拆除采取减少流失的有效措施。</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7.</w:t>
            </w:r>
            <w:r>
              <w:rPr>
                <w:rFonts w:hint="eastAsia" w:ascii="Times New Roman" w:hAnsi="Times New Roman" w:eastAsia="仿宋_GB2312" w:cs="Times New Roman"/>
              </w:rPr>
              <w:t>无</w:t>
            </w:r>
            <w:r>
              <w:rPr>
                <w:rFonts w:ascii="Times New Roman" w:eastAsia="仿宋_GB2312" w:cs="Times New Roman"/>
              </w:rPr>
              <w:t>弃土</w:t>
            </w:r>
            <w:r>
              <w:rPr>
                <w:rFonts w:ascii="Times New Roman" w:hAnsi="Times New Roman" w:eastAsia="仿宋_GB2312" w:cs="Times New Roman"/>
              </w:rPr>
              <w:t>(</w:t>
            </w:r>
            <w:r>
              <w:rPr>
                <w:rFonts w:ascii="Times New Roman" w:eastAsia="仿宋_GB2312" w:cs="Times New Roman"/>
              </w:rPr>
              <w:t>石、渣</w:t>
            </w:r>
            <w:r>
              <w:rPr>
                <w:rFonts w:ascii="Times New Roman" w:hAnsi="Times New Roman" w:eastAsia="仿宋_GB2312" w:cs="Times New Roman"/>
              </w:rPr>
              <w:t>)</w:t>
            </w:r>
            <w:r>
              <w:rPr>
                <w:rFonts w:ascii="Times New Roman" w:eastAsia="仿宋_GB2312" w:cs="Times New Roman"/>
              </w:rPr>
              <w:t>场。</w:t>
            </w:r>
          </w:p>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8.</w:t>
            </w:r>
            <w:r>
              <w:rPr>
                <w:rFonts w:hint="eastAsia" w:ascii="Times New Roman" w:hAnsi="Times New Roman" w:eastAsia="仿宋_GB2312" w:cs="Times New Roman"/>
              </w:rPr>
              <w:t>无</w:t>
            </w:r>
            <w:r>
              <w:rPr>
                <w:rFonts w:ascii="Times New Roman" w:eastAsia="仿宋_GB2312" w:cs="Times New Roman"/>
              </w:rPr>
              <w:t>取土</w:t>
            </w:r>
            <w:r>
              <w:rPr>
                <w:rFonts w:ascii="Times New Roman" w:hAnsi="Times New Roman" w:eastAsia="仿宋_GB2312" w:cs="Times New Roman"/>
              </w:rPr>
              <w:t>(</w:t>
            </w:r>
            <w:r>
              <w:rPr>
                <w:rFonts w:ascii="Times New Roman" w:eastAsia="仿宋_GB2312" w:cs="Times New Roman"/>
              </w:rPr>
              <w:t>石、砂</w:t>
            </w:r>
            <w:r>
              <w:rPr>
                <w:rFonts w:ascii="Times New Roman" w:hAnsi="Times New Roman" w:eastAsia="仿宋_GB2312" w:cs="Times New Roman"/>
              </w:rPr>
              <w:t>)</w:t>
            </w:r>
            <w:r>
              <w:rPr>
                <w:rFonts w:ascii="Times New Roman" w:eastAsia="仿宋_GB2312" w:cs="Times New Roman"/>
              </w:rPr>
              <w:t>场。</w:t>
            </w:r>
          </w:p>
          <w:p>
            <w:pPr>
              <w:spacing w:line="240" w:lineRule="exact"/>
              <w:ind w:firstLine="0" w:firstLineChars="0"/>
              <w:rPr>
                <w:rFonts w:cs="Times New Roman"/>
                <w:color w:val="auto"/>
                <w:sz w:val="20"/>
                <w:szCs w:val="20"/>
                <w:lang w:eastAsia="zh-CN"/>
              </w:rPr>
            </w:pPr>
            <w:r>
              <w:rPr>
                <w:rFonts w:cs="Times New Roman"/>
                <w:color w:val="auto"/>
                <w:sz w:val="20"/>
                <w:szCs w:val="20"/>
                <w:lang w:eastAsia="zh-CN"/>
              </w:rPr>
              <w:t>9.土(石、料、渣、</w:t>
            </w:r>
            <w:r>
              <w:rPr>
                <w:rFonts w:hint="eastAsia" w:cs="Times New Roman"/>
                <w:color w:val="auto"/>
                <w:sz w:val="20"/>
                <w:szCs w:val="20"/>
                <w:lang w:eastAsia="zh-CN"/>
              </w:rPr>
              <w:t>矸</w:t>
            </w:r>
            <w:r>
              <w:rPr>
                <w:rFonts w:cs="Times New Roman"/>
                <w:color w:val="auto"/>
                <w:sz w:val="20"/>
                <w:szCs w:val="20"/>
                <w:lang w:eastAsia="zh-CN"/>
              </w:rPr>
              <w:t>石)方在运输过程中应采取保护措施，防止沿途散溢。</w:t>
            </w:r>
          </w:p>
        </w:tc>
        <w:tc>
          <w:tcPr>
            <w:tcW w:w="385" w:type="pct"/>
            <w:vAlign w:val="center"/>
          </w:tcPr>
          <w:p>
            <w:pPr>
              <w:spacing w:line="240" w:lineRule="exact"/>
              <w:ind w:firstLine="0" w:firstLineChars="0"/>
              <w:jc w:val="center"/>
              <w:rPr>
                <w:rFonts w:cs="Times New Roman"/>
                <w:color w:val="auto"/>
                <w:sz w:val="20"/>
                <w:szCs w:val="20"/>
                <w:lang w:eastAsia="zh-CN"/>
              </w:rPr>
            </w:pPr>
            <w:r>
              <w:rPr>
                <w:rFonts w:hint="eastAsia" w:cs="Times New Roman"/>
                <w:color w:val="auto"/>
                <w:sz w:val="20"/>
                <w:szCs w:val="2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9" w:type="pct"/>
            <w:vAlign w:val="center"/>
          </w:tcPr>
          <w:p>
            <w:pPr>
              <w:spacing w:line="240" w:lineRule="exact"/>
              <w:ind w:firstLine="0" w:firstLineChars="0"/>
              <w:jc w:val="center"/>
              <w:rPr>
                <w:rFonts w:cs="Times New Roman"/>
                <w:color w:val="auto"/>
                <w:sz w:val="20"/>
                <w:szCs w:val="20"/>
              </w:rPr>
            </w:pPr>
            <w:r>
              <w:rPr>
                <w:rFonts w:cs="Times New Roman"/>
                <w:color w:val="auto"/>
                <w:sz w:val="20"/>
                <w:szCs w:val="20"/>
              </w:rPr>
              <w:t>7</w:t>
            </w:r>
          </w:p>
        </w:tc>
        <w:tc>
          <w:tcPr>
            <w:tcW w:w="447" w:type="pct"/>
            <w:vAlign w:val="center"/>
          </w:tcPr>
          <w:p>
            <w:pPr>
              <w:spacing w:line="240" w:lineRule="exact"/>
              <w:ind w:firstLine="0" w:firstLineChars="0"/>
              <w:jc w:val="center"/>
              <w:rPr>
                <w:rFonts w:cs="Times New Roman"/>
                <w:color w:val="auto"/>
                <w:sz w:val="20"/>
                <w:szCs w:val="20"/>
                <w:lang w:eastAsia="zh-CN"/>
              </w:rPr>
            </w:pPr>
            <w:r>
              <w:rPr>
                <w:rFonts w:cs="Times New Roman"/>
                <w:color w:val="auto"/>
                <w:sz w:val="20"/>
                <w:szCs w:val="20"/>
                <w:lang w:eastAsia="zh-CN"/>
              </w:rPr>
              <w:t>西南紫色土区特殊规定</w:t>
            </w:r>
          </w:p>
        </w:tc>
        <w:tc>
          <w:tcPr>
            <w:tcW w:w="2448" w:type="pct"/>
            <w:vAlign w:val="center"/>
          </w:tcPr>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1.</w:t>
            </w:r>
            <w:r>
              <w:rPr>
                <w:rFonts w:ascii="Times New Roman" w:eastAsia="仿宋_GB2312" w:cs="Times New Roman"/>
              </w:rPr>
              <w:t>弃土</w:t>
            </w:r>
            <w:r>
              <w:rPr>
                <w:rFonts w:ascii="Times New Roman" w:hAnsi="Times New Roman" w:eastAsia="仿宋_GB2312" w:cs="Times New Roman"/>
              </w:rPr>
              <w:t>(</w:t>
            </w:r>
            <w:r>
              <w:rPr>
                <w:rFonts w:ascii="Times New Roman" w:eastAsia="仿宋_GB2312" w:cs="Times New Roman"/>
              </w:rPr>
              <w:t>石、渣</w:t>
            </w:r>
            <w:r>
              <w:rPr>
                <w:rFonts w:ascii="Times New Roman" w:hAnsi="Times New Roman" w:eastAsia="仿宋_GB2312" w:cs="Times New Roman"/>
              </w:rPr>
              <w:t>)</w:t>
            </w:r>
            <w:r>
              <w:rPr>
                <w:rFonts w:ascii="Times New Roman" w:eastAsia="仿宋_GB2312" w:cs="Times New Roman"/>
              </w:rPr>
              <w:t>场应注重防洪排水、拦挡措施；</w:t>
            </w:r>
          </w:p>
          <w:p>
            <w:pPr>
              <w:spacing w:line="240" w:lineRule="exact"/>
              <w:ind w:firstLine="0" w:firstLineChars="0"/>
              <w:rPr>
                <w:rFonts w:cs="Times New Roman"/>
                <w:color w:val="auto"/>
                <w:sz w:val="20"/>
                <w:szCs w:val="20"/>
                <w:lang w:eastAsia="zh-CN"/>
              </w:rPr>
            </w:pPr>
            <w:r>
              <w:rPr>
                <w:rFonts w:cs="Times New Roman"/>
                <w:color w:val="auto"/>
                <w:sz w:val="20"/>
                <w:szCs w:val="20"/>
                <w:lang w:eastAsia="zh-CN"/>
              </w:rPr>
              <w:t>2.江河上游水源涵养区应采取水源涵养措施。</w:t>
            </w:r>
          </w:p>
        </w:tc>
        <w:tc>
          <w:tcPr>
            <w:tcW w:w="1461" w:type="pct"/>
            <w:vAlign w:val="center"/>
          </w:tcPr>
          <w:p>
            <w:pPr>
              <w:pStyle w:val="88"/>
              <w:spacing w:line="240" w:lineRule="exact"/>
              <w:ind w:firstLine="0" w:firstLineChars="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无</w:t>
            </w:r>
            <w:r>
              <w:rPr>
                <w:rFonts w:ascii="Times New Roman" w:eastAsia="仿宋_GB2312" w:cs="Times New Roman"/>
              </w:rPr>
              <w:t>弃土</w:t>
            </w:r>
            <w:r>
              <w:rPr>
                <w:rFonts w:ascii="Times New Roman" w:hAnsi="Times New Roman" w:eastAsia="仿宋_GB2312" w:cs="Times New Roman"/>
              </w:rPr>
              <w:t>(</w:t>
            </w:r>
            <w:r>
              <w:rPr>
                <w:rFonts w:ascii="Times New Roman" w:eastAsia="仿宋_GB2312" w:cs="Times New Roman"/>
              </w:rPr>
              <w:t>石、渣</w:t>
            </w:r>
            <w:r>
              <w:rPr>
                <w:rFonts w:ascii="Times New Roman" w:hAnsi="Times New Roman" w:eastAsia="仿宋_GB2312" w:cs="Times New Roman"/>
              </w:rPr>
              <w:t>)</w:t>
            </w:r>
            <w:r>
              <w:rPr>
                <w:rFonts w:ascii="Times New Roman" w:eastAsia="仿宋_GB2312" w:cs="Times New Roman"/>
              </w:rPr>
              <w:t>场；</w:t>
            </w:r>
          </w:p>
          <w:p>
            <w:pPr>
              <w:pStyle w:val="13"/>
              <w:jc w:val="both"/>
              <w:rPr>
                <w:rFonts w:cs="Times New Roman"/>
                <w:sz w:val="20"/>
                <w:szCs w:val="20"/>
              </w:rPr>
            </w:pPr>
            <w:r>
              <w:rPr>
                <w:rFonts w:cs="Times New Roman"/>
                <w:sz w:val="20"/>
                <w:szCs w:val="20"/>
              </w:rPr>
              <w:t>2.</w:t>
            </w:r>
            <w:r>
              <w:rPr>
                <w:rFonts w:hint="eastAsia" w:cs="Times New Roman"/>
                <w:sz w:val="20"/>
                <w:szCs w:val="20"/>
              </w:rPr>
              <w:t>不属于</w:t>
            </w:r>
            <w:r>
              <w:rPr>
                <w:rFonts w:cs="Times New Roman"/>
                <w:sz w:val="20"/>
                <w:szCs w:val="20"/>
              </w:rPr>
              <w:t>江河上游水源涵养区。</w:t>
            </w:r>
          </w:p>
        </w:tc>
        <w:tc>
          <w:tcPr>
            <w:tcW w:w="385" w:type="pct"/>
            <w:vAlign w:val="center"/>
          </w:tcPr>
          <w:p>
            <w:pPr>
              <w:pStyle w:val="13"/>
              <w:rPr>
                <w:rFonts w:cs="Times New Roman"/>
                <w:sz w:val="20"/>
                <w:szCs w:val="20"/>
              </w:rPr>
            </w:pPr>
            <w:r>
              <w:rPr>
                <w:rFonts w:hint="eastAsia" w:cs="Times New Roman"/>
                <w:sz w:val="20"/>
                <w:szCs w:val="20"/>
              </w:rPr>
              <w:t>符合</w:t>
            </w:r>
          </w:p>
        </w:tc>
      </w:tr>
    </w:tbl>
    <w:p>
      <w:pPr>
        <w:widowControl w:val="0"/>
        <w:kinsoku/>
        <w:topLinePunct/>
        <w:autoSpaceDE/>
        <w:autoSpaceDN/>
        <w:spacing w:line="300" w:lineRule="auto"/>
        <w:jc w:val="both"/>
        <w:rPr>
          <w:rFonts w:cs="Times New Roman"/>
          <w:color w:val="auto"/>
          <w:sz w:val="10"/>
          <w:szCs w:val="10"/>
          <w:lang w:eastAsia="zh-CN"/>
        </w:rPr>
      </w:pP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属于“嘉陵江及沱江中下游国家级水土流失重点治理区”，不涉及饮用水水源保护区、自然保护区、世界文化和自然遗产地、风景名胜区、地质公园、森林公园和重要湿地等敏感区域；不涉及全国水土保持监测网络中的水土保持监测点和重点试验区，没有占用国家确定的水土保持长期定位观测站。项目区地质稳定，不涉及泥石流易发区、崩塌滑坡危险区、易引起严重水土流失和生态恶化地区。</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结论：工程的选址、建设方案、施工组织设计及工程管理等方面满足《生产建设项目水土保持技术标准》（GB50433-2018）有关主体工程约束性规定的要求，符合《中华人民共和国水土保持法》（2010年修订）办法的相关要求，但工程属于“嘉陵江及沱江中下游国家级水土流失重点治理区”，工程通过采取优化施工工艺，提高植被建设标准等措施，能够最大限度</w:t>
      </w:r>
      <w:r>
        <w:rPr>
          <w:rFonts w:hint="eastAsia" w:cs="Times New Roman"/>
          <w:color w:val="auto"/>
          <w:szCs w:val="24"/>
          <w:lang w:eastAsia="zh-CN"/>
        </w:rPr>
        <w:t>地</w:t>
      </w:r>
      <w:r>
        <w:rPr>
          <w:rFonts w:cs="Times New Roman"/>
          <w:color w:val="auto"/>
          <w:szCs w:val="24"/>
          <w:lang w:eastAsia="zh-CN"/>
        </w:rPr>
        <w:t>保护了现有土地和植被，减少新增流失，从水土保持角度评价，项目选址基本满足水土保持要求。因此，本项目不存在水土保持重大制约性因素，项目建设可行。</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49" w:name="_Toc171533289"/>
      <w:r>
        <w:rPr>
          <w:rFonts w:ascii="Times New Roman" w:hAnsi="Times New Roman" w:eastAsia="仿宋_GB2312" w:cs="Times New Roman"/>
          <w:color w:val="auto"/>
          <w:sz w:val="30"/>
          <w:szCs w:val="30"/>
          <w:lang w:eastAsia="zh-CN"/>
        </w:rPr>
        <w:t>3.2 建设方案与布局水土保持评价</w:t>
      </w:r>
      <w:bookmarkEnd w:id="49"/>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3.2.1 建设方案评价</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工程总平面布置以充分满足各功能要求为前提，配合工艺要求对各种建构筑物及相关设施进行合理布局。本项目严格控制施工红线，同时考虑工程的平面布置和竖向布置相互协调结合。</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同时，工程建设按节约用地、布局紧凑、少挖低填、便于施工以及生产管理 的原则进行平面布局。项目区生活及生产用电可在就近国家电网接线或自发电，施工生产用水为近接市政供水管网及抽水，经现场踏勘了解，满足需水要求。因此，工程主体工程建设方案及布局合理。本项目属于输电线路工程新建项目，主体工程根据实际需求进行的布设。主体工程设计在满足线路工程的工艺要求的前提下，线路力求顺直以减少占地和投资。基本依托现有道路布设，方便人、材、机的运输、施工和生产维护管理，从而减少施工的扰动。</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本项目的建设方案间隔</w:t>
      </w:r>
      <w:r>
        <w:rPr>
          <w:rFonts w:hint="eastAsia" w:cs="Times New Roman"/>
          <w:color w:val="auto"/>
          <w:szCs w:val="24"/>
          <w:lang w:eastAsia="zh-CN"/>
        </w:rPr>
        <w:t>扩建</w:t>
      </w:r>
      <w:r>
        <w:rPr>
          <w:rFonts w:cs="Times New Roman"/>
          <w:color w:val="auto"/>
          <w:szCs w:val="24"/>
          <w:lang w:eastAsia="zh-CN"/>
        </w:rPr>
        <w:t>、塔基及临时施工区涉及挖填方，本方案需从水土保持角度提高防护标准，要求减少地表扰动范围，控制可能造成的水土流失。</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综上所述，建设方案符合水土保持规范要求。</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3.2.2 工程占地评价</w:t>
      </w:r>
    </w:p>
    <w:p>
      <w:pPr>
        <w:widowControl w:val="0"/>
        <w:kinsoku/>
        <w:topLinePunct/>
        <w:autoSpaceDE/>
        <w:autoSpaceDN/>
        <w:spacing w:before="120" w:beforeLines="50" w:line="360" w:lineRule="auto"/>
        <w:ind w:firstLine="468"/>
        <w:jc w:val="both"/>
        <w:rPr>
          <w:rFonts w:cs="Times New Roman"/>
          <w:color w:val="auto"/>
          <w:spacing w:val="-3"/>
          <w:szCs w:val="24"/>
          <w:lang w:eastAsia="zh-CN"/>
        </w:rPr>
      </w:pPr>
      <w:r>
        <w:rPr>
          <w:rFonts w:cs="Times New Roman"/>
          <w:color w:val="auto"/>
          <w:spacing w:val="-3"/>
          <w:szCs w:val="24"/>
          <w:lang w:eastAsia="zh-CN"/>
        </w:rPr>
        <w:t>综上，本项目总占地3.81hm</w:t>
      </w:r>
      <w:r>
        <w:rPr>
          <w:rFonts w:cs="Times New Roman"/>
          <w:color w:val="auto"/>
          <w:spacing w:val="-3"/>
          <w:szCs w:val="24"/>
          <w:vertAlign w:val="superscript"/>
          <w:lang w:eastAsia="zh-CN"/>
        </w:rPr>
        <w:t>2</w:t>
      </w:r>
      <w:r>
        <w:rPr>
          <w:rFonts w:cs="Times New Roman"/>
          <w:color w:val="auto"/>
          <w:spacing w:val="-3"/>
          <w:szCs w:val="24"/>
          <w:lang w:eastAsia="zh-CN"/>
        </w:rPr>
        <w:t>，其中永久占地0.95hm</w:t>
      </w:r>
      <w:r>
        <w:rPr>
          <w:rFonts w:cs="Times New Roman"/>
          <w:color w:val="auto"/>
          <w:spacing w:val="-3"/>
          <w:szCs w:val="24"/>
          <w:vertAlign w:val="superscript"/>
          <w:lang w:eastAsia="zh-CN"/>
        </w:rPr>
        <w:t>2</w:t>
      </w:r>
      <w:r>
        <w:rPr>
          <w:rFonts w:cs="Times New Roman"/>
          <w:color w:val="auto"/>
          <w:spacing w:val="-3"/>
          <w:szCs w:val="24"/>
          <w:lang w:eastAsia="zh-CN"/>
        </w:rPr>
        <w:t>，临时占地2.86hm</w:t>
      </w:r>
      <w:r>
        <w:rPr>
          <w:rFonts w:cs="Times New Roman"/>
          <w:color w:val="auto"/>
          <w:spacing w:val="-3"/>
          <w:szCs w:val="24"/>
          <w:vertAlign w:val="superscript"/>
          <w:lang w:eastAsia="zh-CN"/>
        </w:rPr>
        <w:t>2</w:t>
      </w:r>
      <w:r>
        <w:rPr>
          <w:rFonts w:cs="Times New Roman"/>
          <w:color w:val="auto"/>
          <w:spacing w:val="-3"/>
          <w:szCs w:val="24"/>
          <w:lang w:eastAsia="zh-CN"/>
        </w:rPr>
        <w:t>，通过复核，主体工程设计中的占地无漏项、缺项且满足施工要求。</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工程布局本着节约用地原则，严格执行国家规定的土地使用审批程序。变电站工程为原有变电站站址占地，不新增占地，线路工程塔基施工布置在永久征地范围内，涉及施工期临时占地，占地类型以林地和耕地为主，由于工程规模小，工期短，大部分临时占地区域表现为短时间占压扰动，施工结束后及时清理迹地，恢复植被，水土流失影响控制在较小范围内。从水土保持角度分析，工程占地类型、性质无限制因素，基本符合水土保持的要求。</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临时占地包括变电站工程中施工场地临时占地，和线路工程中塔基工程、施工便道、牵张场、跨越场和电缆沟道临时占地等，从工程总体布置，施工方法、调查同类工程施工经验及实地测量等方面分析确定，在严格控制施工场地范围的前提下，充分考虑施工期间堆放材料、临时堆土、人员活动可能扰动的区域，线路工程临时占地既可满足施工需要，不存在漏项和冗余占地，占地面积无需增减。在施工完毕后及时恢复临时占地区域内植被，满足水土保持要求。</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综上所述，从水土保持角度分析，项目永久占地符合工程实际建设需要，不存在多占用土地的情况，临时占地完全满足施工阶段各项目建设区的施工用地需要，不存在多占情况，且临时占地施工结束后均给予恢复植被，对生态环境的影响仅限于施工期，并且影响较小。占地类型不存在制约性因素。工程占地在满足施工要求的基础上最大限度地减少了扰动，总体符合水土保持要求。</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3.2.3 土石方平衡评价</w:t>
      </w:r>
    </w:p>
    <w:p>
      <w:pPr>
        <w:widowControl w:val="0"/>
        <w:kinsoku/>
        <w:topLinePunct/>
        <w:autoSpaceDE/>
        <w:autoSpaceDN/>
        <w:spacing w:line="360" w:lineRule="auto"/>
        <w:ind w:firstLine="480"/>
        <w:jc w:val="both"/>
        <w:rPr>
          <w:rFonts w:cs="Times New Roman"/>
          <w:color w:val="auto"/>
          <w:szCs w:val="24"/>
          <w:lang w:eastAsia="zh-CN"/>
        </w:rPr>
      </w:pPr>
      <w:bookmarkStart w:id="50" w:name="_Hlk149218068"/>
      <w:r>
        <w:rPr>
          <w:rFonts w:cs="Times New Roman"/>
          <w:color w:val="auto"/>
          <w:szCs w:val="24"/>
          <w:lang w:eastAsia="zh-CN"/>
        </w:rPr>
        <w:t>（1）表土剥离防护、利用分析评价</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工程已考虑变电站站区施工场地临时占地和线路工程塔基占地、施工便道、电缆工程表土的剥离及防护措施。工程在土石方施工挖方时，先将表土剥离后，再进行下一步施工活动，开挖表土堆放于施工场地临时占地内，采用土袋拦挡和防雨布遮盖等临时防护措施进行防护。</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本工程表土剥离总量为1672m</w:t>
      </w:r>
      <w:r>
        <w:rPr>
          <w:rFonts w:cs="Times New Roman"/>
          <w:color w:val="auto"/>
          <w:szCs w:val="24"/>
          <w:vertAlign w:val="superscript"/>
          <w:lang w:eastAsia="zh-CN"/>
        </w:rPr>
        <w:t>3</w:t>
      </w:r>
      <w:r>
        <w:rPr>
          <w:rFonts w:cs="Times New Roman"/>
          <w:color w:val="auto"/>
          <w:szCs w:val="24"/>
          <w:lang w:eastAsia="zh-CN"/>
        </w:rPr>
        <w:t>，完工后剥离的表土回填至扰动后的场地，用于施工结束后进行土地整治植被恢复，可全部回覆利用，无需外借和外弃。从水土保持的角度考虑，本项目工程表土剥离保护与利用措施合理，为后期占地恢复利用创造先行条件。</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（2）工程土石方平衡分析评价</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根据主体设计资料，本项目总挖方量为5434m</w:t>
      </w:r>
      <w:r>
        <w:rPr>
          <w:rFonts w:cs="Times New Roman"/>
          <w:color w:val="auto"/>
          <w:szCs w:val="24"/>
          <w:vertAlign w:val="superscript"/>
          <w:lang w:eastAsia="zh-CN"/>
        </w:rPr>
        <w:t>3</w:t>
      </w:r>
      <w:r>
        <w:rPr>
          <w:rFonts w:cs="Times New Roman"/>
          <w:color w:val="auto"/>
          <w:szCs w:val="24"/>
          <w:lang w:eastAsia="zh-CN"/>
        </w:rPr>
        <w:t>（含表土剥离1672m</w:t>
      </w:r>
      <w:r>
        <w:rPr>
          <w:rFonts w:cs="Times New Roman"/>
          <w:color w:val="auto"/>
          <w:szCs w:val="24"/>
          <w:vertAlign w:val="superscript"/>
          <w:lang w:eastAsia="zh-CN"/>
        </w:rPr>
        <w:t>3</w:t>
      </w:r>
      <w:r>
        <w:rPr>
          <w:rFonts w:cs="Times New Roman"/>
          <w:color w:val="auto"/>
          <w:szCs w:val="24"/>
          <w:lang w:eastAsia="zh-CN"/>
        </w:rPr>
        <w:t>），总填方5434m</w:t>
      </w:r>
      <w:r>
        <w:rPr>
          <w:rFonts w:cs="Times New Roman"/>
          <w:color w:val="auto"/>
          <w:szCs w:val="24"/>
          <w:vertAlign w:val="superscript"/>
          <w:lang w:eastAsia="zh-CN"/>
        </w:rPr>
        <w:t>3</w:t>
      </w:r>
      <w:r>
        <w:rPr>
          <w:rFonts w:cs="Times New Roman"/>
          <w:color w:val="auto"/>
          <w:szCs w:val="24"/>
          <w:lang w:eastAsia="zh-CN"/>
        </w:rPr>
        <w:t>（含表土回覆1672m</w:t>
      </w:r>
      <w:r>
        <w:rPr>
          <w:rFonts w:cs="Times New Roman"/>
          <w:color w:val="auto"/>
          <w:szCs w:val="24"/>
          <w:vertAlign w:val="superscript"/>
          <w:lang w:eastAsia="zh-CN"/>
        </w:rPr>
        <w:t>3</w:t>
      </w:r>
      <w:r>
        <w:rPr>
          <w:rFonts w:cs="Times New Roman"/>
          <w:color w:val="auto"/>
          <w:szCs w:val="24"/>
          <w:lang w:eastAsia="zh-CN"/>
        </w:rPr>
        <w:t>），无弃方产生，工程土石方不存在缺项和漏项。本项目不自设弃土场，有利于控制项目新增占地和控制水土流失发生，符合水土保持要求。总体分析，项目土石方调配合理符合水土保持要求。</w:t>
      </w:r>
    </w:p>
    <w:bookmarkEnd w:id="50"/>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综上，本项目土石方平衡基本满足水土保持要求。</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3.2.4 取土（石、砂）场设置评价</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主要建筑材料包括石料、砂料等，砂石料来源主要为砂石料厂采购，因此未单独设置取土（石、料）场，该方案既满足了工程建设的需要，又尽量减少了工程扰动范围，减少了可能引起的水土流失，因此从水土保持和主体工程角度分析，料源方案合理，符合水土保持要求。</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3.2.5 弃土（石、渣、灰、矸、尾矿）场设置评价</w:t>
      </w:r>
    </w:p>
    <w:p>
      <w:pPr>
        <w:widowControl w:val="0"/>
        <w:kinsoku/>
        <w:topLinePunct/>
        <w:autoSpaceDE/>
        <w:autoSpaceDN/>
        <w:spacing w:line="360" w:lineRule="auto"/>
        <w:ind w:firstLine="480"/>
        <w:jc w:val="both"/>
        <w:rPr>
          <w:rFonts w:cs="Times New Roman"/>
          <w:color w:val="auto"/>
          <w:szCs w:val="24"/>
          <w:lang w:eastAsia="zh-CN"/>
        </w:rPr>
      </w:pPr>
      <w:bookmarkStart w:id="51" w:name="_Hlk149210670"/>
      <w:r>
        <w:rPr>
          <w:rFonts w:cs="Times New Roman"/>
          <w:color w:val="auto"/>
          <w:szCs w:val="24"/>
          <w:lang w:eastAsia="zh-CN"/>
        </w:rPr>
        <w:t>本项目土石方量经区域内综合调配使用后无弃方产生，因此本项目不设置弃土场，符合水土保持要求。</w:t>
      </w:r>
    </w:p>
    <w:bookmarkEnd w:id="51"/>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3.2.6 施工方法与工艺分析评价</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（1）施工布置的分析评价</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主体工程施工组织设计中提出的施工用水、用电方案是可行的，满足施工要求；建筑材料采购方式基本合理。</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施工时应根据各项目分区具体的工程措施合理安排各施工工序，减少或避免各工序间的相互干扰。施工采用机械和人工配合进行，机械以铲运机、推土机为主，人工则配合机械做零星场地或边角地区的平整。</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在工程施工过程中，土石方的挖填采用机械和人工相结合的方法，减少施工时间，降低地表因开挖裸露造成的水土流失。</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通过分析认为，本项目施工工艺对主体工程不存在限制性影响，从水土保持角度认为是可行的。</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根据咨询，施工方租用周边民居作为办公和住宿用房，不单独设置施工营地，不新征占地。</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总体上来看，施工总体布置结合工程建设特点而设，项目总体布局是合理的。</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工程在施工布置上，遵循因地、因时制宜、有利生产、方便生活、易于管理、安全可靠、经济合理的原则，少占地和减少开挖扰动破坏面，符合水土保持等相关法律法规的要求。</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（2）施工工艺与方法的水土保持分析与评价</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1）施工工艺与时序分析评价</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场地内施工过程以机械施工为</w:t>
      </w:r>
      <w:r>
        <w:rPr>
          <w:rFonts w:hint="eastAsia" w:cs="Times New Roman"/>
          <w:color w:val="auto"/>
          <w:szCs w:val="24"/>
          <w:lang w:eastAsia="zh-CN"/>
        </w:rPr>
        <w:t>与</w:t>
      </w:r>
      <w:r>
        <w:rPr>
          <w:rFonts w:cs="Times New Roman"/>
          <w:color w:val="auto"/>
          <w:szCs w:val="24"/>
          <w:lang w:eastAsia="zh-CN"/>
        </w:rPr>
        <w:t>人工施工</w:t>
      </w:r>
      <w:r>
        <w:rPr>
          <w:rFonts w:hint="eastAsia" w:cs="Times New Roman"/>
          <w:color w:val="auto"/>
          <w:szCs w:val="24"/>
          <w:lang w:eastAsia="zh-CN"/>
        </w:rPr>
        <w:t>结合</w:t>
      </w:r>
      <w:r>
        <w:rPr>
          <w:rFonts w:cs="Times New Roman"/>
          <w:color w:val="auto"/>
          <w:szCs w:val="24"/>
          <w:lang w:eastAsia="zh-CN"/>
        </w:rPr>
        <w:t>。根据实际施工时序反映，项目施工时序安排基本合理得当。建议加强施工组织与管理，减少裸露面积和破坏强度。方案新增表土剥离、回填、临时遮盖和拦挡等设施，主要是防止雨水对堆体的冲刷。施工开挖、填筑、堆置等裸露面，均应加强临时覆盖等措施，防止造成水土流失。</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2）施工材料分析评价</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本工程建设需要的钢材、水泥、砂等建材均由购买获得，水土流失防治责任由供料商负责。</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3）项目挖填施工工艺及施工时序分析</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项目</w:t>
      </w:r>
      <w:r>
        <w:rPr>
          <w:rFonts w:hint="eastAsia" w:cs="Times New Roman"/>
          <w:color w:val="auto"/>
          <w:szCs w:val="24"/>
          <w:lang w:eastAsia="zh-CN"/>
        </w:rPr>
        <w:t>采用机械与人工结合的施工方法，减少了水土流失的影响范围。基础</w:t>
      </w:r>
      <w:r>
        <w:rPr>
          <w:rFonts w:cs="Times New Roman"/>
          <w:color w:val="auto"/>
          <w:szCs w:val="24"/>
          <w:lang w:eastAsia="zh-CN"/>
        </w:rPr>
        <w:t>大开挖时段应避开雨天，采取随挖随填的方式。通过分析，项目施工工艺及施工时序基本合理。</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3.2.7 主体工程设计中具有水土保持功能工程的评价</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 xml:space="preserve">本方案根据主导功能原则、责任区分原则、试验排除原则， 从综合防治水土 流失角度出发，对主体工程中具有水土保持功能工程进行分析论证。现对主体工程中具有水土保持功能工程进行分析评价如下： </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（1）变电站间隔扩建工程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变电站间隔扩建施工过程中，修建排水管道、排水设施，对绿化草坪恢复以减少扰动地表。</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（2）线路工程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塔基及临时施工区施工过程中，采用修建排洪沟</w:t>
      </w:r>
      <w:r>
        <w:rPr>
          <w:rFonts w:hint="eastAsia" w:cs="Times New Roman"/>
          <w:color w:val="auto"/>
          <w:szCs w:val="24"/>
          <w:lang w:eastAsia="zh-CN"/>
        </w:rPr>
        <w:t>、</w:t>
      </w:r>
      <w:r>
        <w:rPr>
          <w:rFonts w:cs="Times New Roman"/>
          <w:color w:val="auto"/>
          <w:szCs w:val="24"/>
          <w:lang w:eastAsia="zh-CN"/>
        </w:rPr>
        <w:t>护坡墙</w:t>
      </w:r>
      <w:r>
        <w:rPr>
          <w:rFonts w:hint="eastAsia" w:cs="Times New Roman"/>
          <w:color w:val="auto"/>
          <w:szCs w:val="24"/>
          <w:lang w:eastAsia="zh-CN"/>
        </w:rPr>
        <w:t>、</w:t>
      </w:r>
      <w:r>
        <w:rPr>
          <w:rFonts w:cs="Times New Roman"/>
          <w:color w:val="auto"/>
          <w:szCs w:val="24"/>
          <w:lang w:eastAsia="zh-CN"/>
        </w:rPr>
        <w:t>林区植被恢复</w:t>
      </w:r>
      <w:r>
        <w:rPr>
          <w:rFonts w:hint="eastAsia" w:cs="Times New Roman"/>
          <w:color w:val="auto"/>
          <w:szCs w:val="24"/>
          <w:lang w:eastAsia="zh-CN"/>
        </w:rPr>
        <w:t>与</w:t>
      </w:r>
      <w:r>
        <w:rPr>
          <w:rFonts w:cs="Times New Roman"/>
          <w:color w:val="auto"/>
          <w:szCs w:val="24"/>
          <w:lang w:eastAsia="zh-CN"/>
        </w:rPr>
        <w:t>移栽并恢复树木可有效减少扰动地表。</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综上所述，主体工程设计了一定的具有水土保持功能的措施，但临时防护措施考虑不足，本方案需做补充。在施工过程中施工单位应加强临时防护措施，施工完毕后及时恢复区域植被。本方案将对主体设计中未完善之处补充设计。</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主体设计中，十分重视水土保持工作。在工程选址选线、截、排水设计、绿化工程等方面，均能够贯彻落实水土保持法规，并采取了相应的设计手段，尽可能减少对地表和植被的破坏，从而减少水土流失现象的发生。主体工程设计可以满足水土保持需要。</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52" w:name="_Toc171533290"/>
      <w:r>
        <w:rPr>
          <w:rFonts w:ascii="Times New Roman" w:hAnsi="Times New Roman" w:eastAsia="仿宋_GB2312" w:cs="Times New Roman"/>
          <w:color w:val="auto"/>
          <w:sz w:val="30"/>
          <w:szCs w:val="30"/>
          <w:lang w:eastAsia="zh-CN"/>
        </w:rPr>
        <w:t>3.3 主体工程设计中水土保持措施界定</w:t>
      </w:r>
      <w:bookmarkEnd w:id="52"/>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通过以上对主体工程中具有水土保持功能工程的分析，按照《生产建设项目水土保持技术标准》（GB 50433-2018）的界定原则和附录 D，界定如下：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（1）变电站间隔扩建工程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变电站间隔扩建施工过程中，修建雨水检查井、</w:t>
      </w:r>
      <w:r>
        <w:rPr>
          <w:rFonts w:hint="eastAsia" w:cs="Times New Roman"/>
          <w:color w:val="auto"/>
          <w:szCs w:val="24"/>
          <w:lang w:eastAsia="zh-CN"/>
        </w:rPr>
        <w:t>挂水管道</w:t>
      </w:r>
      <w:r>
        <w:rPr>
          <w:rFonts w:cs="Times New Roman"/>
          <w:color w:val="auto"/>
          <w:szCs w:val="24"/>
          <w:lang w:eastAsia="zh-CN"/>
        </w:rPr>
        <w:t>以减少扰动地表，具有良好的水土保持功能，界定为水土保持工程。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（2）线路工程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塔基及临时施工区施工过程中，采用修建排洪沟、护坡墙、林区植被恢复</w:t>
      </w:r>
      <w:r>
        <w:rPr>
          <w:rFonts w:hint="eastAsia" w:cs="Times New Roman"/>
          <w:color w:val="auto"/>
          <w:szCs w:val="24"/>
          <w:lang w:eastAsia="zh-CN"/>
        </w:rPr>
        <w:t>与</w:t>
      </w:r>
      <w:r>
        <w:rPr>
          <w:rFonts w:cs="Times New Roman"/>
          <w:color w:val="auto"/>
          <w:szCs w:val="24"/>
          <w:lang w:eastAsia="zh-CN"/>
        </w:rPr>
        <w:t>移栽并恢复树木可有效减少扰动地表，能有效的防止水土流失，界定为水土保持工程。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综上所述，主体工程设计了一定的具有水土保持功能的措施，但临时防护措施考虑不足，本方案需做补充。在施工过程中施工单位应加强临时防护措施，施工完毕后及时恢复区域植被。本方案将对主体设计中未完善之处补充设计。</w:t>
      </w:r>
    </w:p>
    <w:p>
      <w:pPr>
        <w:widowControl w:val="0"/>
        <w:kinsoku/>
        <w:topLinePunct/>
        <w:autoSpaceDE/>
        <w:autoSpaceDN/>
        <w:spacing w:line="300" w:lineRule="auto"/>
        <w:ind w:firstLine="0" w:firstLineChars="0"/>
        <w:jc w:val="center"/>
        <w:rPr>
          <w:rFonts w:cs="Times New Roman"/>
          <w:b/>
          <w:bCs/>
          <w:color w:val="auto"/>
          <w:lang w:eastAsia="zh-CN"/>
        </w:rPr>
      </w:pPr>
      <w:r>
        <w:rPr>
          <w:rFonts w:cs="Times New Roman"/>
          <w:b/>
          <w:bCs/>
          <w:color w:val="auto"/>
          <w:lang w:eastAsia="zh-CN"/>
        </w:rPr>
        <w:t>表3.3-1 主体设计中纳入本方案的水土保持工程数量及投资汇总表</w:t>
      </w:r>
    </w:p>
    <w:tbl>
      <w:tblPr>
        <w:tblStyle w:val="26"/>
        <w:tblW w:w="5000" w:type="pct"/>
        <w:tblInd w:w="0" w:type="dxa"/>
        <w:tblLayout w:type="autofit"/>
        <w:tblCellMar>
          <w:top w:w="0" w:type="dxa"/>
          <w:left w:w="108" w:type="dxa"/>
          <w:bottom w:w="0" w:type="dxa"/>
          <w:right w:w="108" w:type="dxa"/>
        </w:tblCellMar>
      </w:tblPr>
      <w:tblGrid>
        <w:gridCol w:w="612"/>
        <w:gridCol w:w="3942"/>
        <w:gridCol w:w="694"/>
        <w:gridCol w:w="986"/>
        <w:gridCol w:w="1003"/>
        <w:gridCol w:w="1291"/>
      </w:tblGrid>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序号</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工程或费用名称</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单位</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数量</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单价(元)</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合计(万元)</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第一部分  工程措施</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15.75</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变电站工程区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4.84</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芭蕉220kV变电站220kV间隔扩建工程区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4.84</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芭蕉变电站站区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4.84</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排水管道</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m</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90</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4</w:t>
            </w:r>
            <w:r>
              <w:rPr>
                <w:rFonts w:cs="Times New Roman"/>
                <w:snapToGrid/>
                <w:color w:val="auto"/>
                <w:sz w:val="20"/>
                <w:szCs w:val="20"/>
                <w:lang w:eastAsia="zh-CN"/>
              </w:rPr>
              <w:t>21.1</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3.79</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雨水口</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座</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850.0 </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0.85</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雨水检查井</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座</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1000.0 </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线路工程</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10.91</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42"/>
              <w:numPr>
                <w:ilvl w:val="0"/>
                <w:numId w:val="1"/>
              </w:numPr>
              <w:kinsoku/>
              <w:autoSpaceDE/>
              <w:autoSpaceDN/>
              <w:adjustRightInd/>
              <w:snapToGrid/>
              <w:spacing w:line="240" w:lineRule="auto"/>
              <w:ind w:right="-120" w:rightChars="-50" w:firstLineChars="0"/>
              <w:jc w:val="center"/>
              <w:textAlignment w:val="auto"/>
              <w:rPr>
                <w:rFonts w:cs="Times New Roman"/>
                <w:snapToGrid/>
                <w:color w:val="auto"/>
                <w:sz w:val="20"/>
                <w:szCs w:val="20"/>
                <w:lang w:eastAsia="zh-CN"/>
              </w:rPr>
            </w:pP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玛瑙-正达凯220kV线路工程区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3.68</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玛瑙塔基及临时施工区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3.68</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排洪沟</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m</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65</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432.3 </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2.81</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护坡墙</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m</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70</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124.3 </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0.87</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芭蕉-正达凯220kV线路工程区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7.23</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②</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芭蕉塔基及临时施工区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7.23</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排洪沟</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m</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100</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162.0 </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1.62</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护坡墙</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m</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130</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431.5 </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5.61</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二</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第二部分  植物措施</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70.41</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变电站工程区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0.09</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玛瑙500kV变电站220kV间隔扩建工程区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0.09</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玛瑙变电站站区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0.09</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绿化草坪恢复</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m</w:t>
            </w:r>
            <w:r>
              <w:rPr>
                <w:rFonts w:cs="Times New Roman"/>
                <w:snapToGrid/>
                <w:color w:val="auto"/>
                <w:sz w:val="20"/>
                <w:szCs w:val="20"/>
                <w:vertAlign w:val="superscript"/>
                <w:lang w:eastAsia="zh-CN"/>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25</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36.0 </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0.09</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线路工程</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70.32</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42"/>
              <w:numPr>
                <w:ilvl w:val="0"/>
                <w:numId w:val="2"/>
              </w:numPr>
              <w:kinsoku/>
              <w:autoSpaceDE/>
              <w:autoSpaceDN/>
              <w:adjustRightInd/>
              <w:snapToGrid/>
              <w:spacing w:line="240" w:lineRule="auto"/>
              <w:ind w:right="-120" w:rightChars="-50" w:firstLineChars="0"/>
              <w:jc w:val="center"/>
              <w:textAlignment w:val="auto"/>
              <w:rPr>
                <w:rFonts w:cs="Times New Roman"/>
                <w:snapToGrid/>
                <w:color w:val="auto"/>
                <w:sz w:val="20"/>
                <w:szCs w:val="20"/>
                <w:lang w:eastAsia="zh-CN"/>
              </w:rPr>
            </w:pP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玛瑙-正达凯220kV线路工程区</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21.6</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玛瑙塔基及临时施工区</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21.6</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植被恢复</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m</w:t>
            </w:r>
            <w:r>
              <w:rPr>
                <w:rFonts w:cs="Times New Roman"/>
                <w:snapToGrid/>
                <w:color w:val="auto"/>
                <w:sz w:val="20"/>
                <w:szCs w:val="20"/>
                <w:vertAlign w:val="superscript"/>
                <w:lang w:eastAsia="zh-CN"/>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6315</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34.2 </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21.6</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线路工程</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48.72</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⑴</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芭蕉塔基及临时施工区</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48.72</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玛瑙塔基及临时施工区</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48.72</w:t>
            </w:r>
          </w:p>
        </w:tc>
      </w:tr>
      <w:tr>
        <w:tblPrEx>
          <w:tblCellMar>
            <w:top w:w="0" w:type="dxa"/>
            <w:left w:w="108" w:type="dxa"/>
            <w:bottom w:w="0" w:type="dxa"/>
            <w:right w:w="108" w:type="dxa"/>
          </w:tblCellMar>
        </w:tblPrEx>
        <w:trPr>
          <w:trHeight w:val="289"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植被恢复</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m</w:t>
            </w:r>
            <w:r>
              <w:rPr>
                <w:rFonts w:cs="Times New Roman"/>
                <w:snapToGrid/>
                <w:color w:val="auto"/>
                <w:sz w:val="20"/>
                <w:szCs w:val="20"/>
                <w:vertAlign w:val="superscript"/>
                <w:lang w:eastAsia="zh-CN"/>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14240</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34.2 </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48.72</w:t>
            </w:r>
          </w:p>
        </w:tc>
      </w:tr>
    </w:tbl>
    <w:p>
      <w:pPr>
        <w:widowControl w:val="0"/>
        <w:kinsoku/>
        <w:topLinePunct/>
        <w:autoSpaceDE/>
        <w:autoSpaceDN/>
        <w:spacing w:line="300" w:lineRule="auto"/>
        <w:ind w:firstLine="0" w:firstLineChars="0"/>
        <w:jc w:val="center"/>
        <w:rPr>
          <w:rFonts w:cs="Times New Roman"/>
          <w:b/>
          <w:bCs/>
          <w:color w:val="auto"/>
          <w:lang w:eastAsia="zh-CN"/>
        </w:rPr>
      </w:pPr>
    </w:p>
    <w:p>
      <w:pPr>
        <w:widowControl w:val="0"/>
        <w:kinsoku/>
        <w:topLinePunct/>
        <w:autoSpaceDE/>
        <w:autoSpaceDN/>
        <w:spacing w:line="300" w:lineRule="auto"/>
        <w:ind w:firstLine="0" w:firstLineChars="0"/>
        <w:jc w:val="center"/>
        <w:rPr>
          <w:rFonts w:cs="Times New Roman"/>
          <w:b/>
          <w:bCs/>
          <w:color w:val="auto"/>
          <w:lang w:eastAsia="zh-CN"/>
        </w:rPr>
      </w:pPr>
    </w:p>
    <w:p>
      <w:pPr>
        <w:widowControl w:val="0"/>
        <w:kinsoku/>
        <w:topLinePunct/>
        <w:autoSpaceDE/>
        <w:autoSpaceDN/>
        <w:spacing w:line="300" w:lineRule="auto"/>
        <w:ind w:firstLine="480"/>
        <w:jc w:val="both"/>
        <w:rPr>
          <w:rFonts w:cs="Times New Roman"/>
          <w:color w:val="auto"/>
          <w:szCs w:val="24"/>
          <w:lang w:eastAsia="zh-CN"/>
        </w:rPr>
        <w:sectPr>
          <w:pgSz w:w="11906" w:h="16838"/>
          <w:pgMar w:top="1440" w:right="1797" w:bottom="1440" w:left="1797" w:header="851" w:footer="992" w:gutter="0"/>
          <w:cols w:space="425" w:num="1"/>
          <w:docGrid w:linePitch="312" w:charSpace="0"/>
        </w:sectPr>
      </w:pPr>
    </w:p>
    <w:p>
      <w:pPr>
        <w:pStyle w:val="2"/>
        <w:widowControl w:val="0"/>
        <w:kinsoku/>
        <w:topLinePunct/>
        <w:autoSpaceDE/>
        <w:autoSpaceDN/>
        <w:spacing w:before="120" w:after="120" w:line="300" w:lineRule="auto"/>
        <w:ind w:firstLine="0" w:firstLineChars="0"/>
        <w:jc w:val="center"/>
        <w:rPr>
          <w:rFonts w:cs="Times New Roman"/>
          <w:color w:val="auto"/>
          <w:sz w:val="32"/>
          <w:szCs w:val="32"/>
          <w:lang w:eastAsia="zh-CN"/>
        </w:rPr>
      </w:pPr>
      <w:bookmarkStart w:id="53" w:name="_Toc171533291"/>
      <w:r>
        <w:rPr>
          <w:rFonts w:cs="Times New Roman"/>
          <w:color w:val="auto"/>
          <w:sz w:val="32"/>
          <w:szCs w:val="32"/>
          <w:lang w:eastAsia="zh-CN"/>
        </w:rPr>
        <w:t>4  水土流失分析与预测</w:t>
      </w:r>
      <w:bookmarkEnd w:id="53"/>
    </w:p>
    <w:p>
      <w:pPr>
        <w:keepNext/>
        <w:keepLines/>
        <w:widowControl w:val="0"/>
        <w:kinsoku/>
        <w:topLinePunct/>
        <w:autoSpaceDE/>
        <w:autoSpaceDN/>
        <w:spacing w:before="120" w:after="120" w:line="360" w:lineRule="auto"/>
        <w:ind w:firstLine="0" w:firstLineChars="0"/>
        <w:outlineLvl w:val="1"/>
        <w:rPr>
          <w:rFonts w:cs="Times New Roman"/>
          <w:b/>
          <w:bCs/>
          <w:color w:val="auto"/>
          <w:sz w:val="30"/>
          <w:szCs w:val="30"/>
          <w:lang w:eastAsia="zh-CN"/>
        </w:rPr>
      </w:pPr>
      <w:bookmarkStart w:id="54" w:name="_Toc171533292"/>
      <w:r>
        <w:rPr>
          <w:rFonts w:cs="Times New Roman"/>
          <w:b/>
          <w:bCs/>
          <w:color w:val="auto"/>
          <w:sz w:val="30"/>
          <w:szCs w:val="30"/>
          <w:lang w:eastAsia="zh-CN"/>
        </w:rPr>
        <w:t>4.1 水土流失现状</w:t>
      </w:r>
      <w:bookmarkEnd w:id="54"/>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（1）项目所在行政区水土流失现状</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项目地处西南紫色土区，水土流失主要以水力侵蚀为主。根据《2022年度四川省21市、州水土流失面积》统计，2022年宣汉县水土流失面积4271km</w:t>
      </w:r>
      <w:r>
        <w:rPr>
          <w:rFonts w:cs="Times New Roman"/>
          <w:color w:val="auto"/>
          <w:szCs w:val="24"/>
          <w:vertAlign w:val="superscript"/>
          <w:lang w:eastAsia="zh-CN"/>
        </w:rPr>
        <w:t>2</w:t>
      </w:r>
      <w:r>
        <w:rPr>
          <w:rFonts w:cs="Times New Roman"/>
          <w:color w:val="auto"/>
          <w:szCs w:val="24"/>
          <w:lang w:eastAsia="zh-CN"/>
        </w:rPr>
        <w:t>，其中微度侵蚀面积2259.02km</w:t>
      </w:r>
      <w:r>
        <w:rPr>
          <w:rFonts w:cs="Times New Roman"/>
          <w:color w:val="auto"/>
          <w:szCs w:val="24"/>
          <w:vertAlign w:val="superscript"/>
          <w:lang w:eastAsia="zh-CN"/>
        </w:rPr>
        <w:t>2</w:t>
      </w:r>
      <w:r>
        <w:rPr>
          <w:rFonts w:cs="Times New Roman"/>
          <w:color w:val="auto"/>
          <w:szCs w:val="24"/>
          <w:lang w:eastAsia="zh-CN"/>
        </w:rPr>
        <w:t>、轻度侵蚀面积1523.79km</w:t>
      </w:r>
      <w:r>
        <w:rPr>
          <w:rFonts w:cs="Times New Roman"/>
          <w:color w:val="auto"/>
          <w:szCs w:val="24"/>
          <w:vertAlign w:val="superscript"/>
          <w:lang w:eastAsia="zh-CN"/>
        </w:rPr>
        <w:t>2</w:t>
      </w:r>
      <w:r>
        <w:rPr>
          <w:rFonts w:cs="Times New Roman"/>
          <w:color w:val="auto"/>
          <w:szCs w:val="24"/>
          <w:lang w:eastAsia="zh-CN"/>
        </w:rPr>
        <w:t>、中度侵蚀面积159.82km</w:t>
      </w:r>
      <w:r>
        <w:rPr>
          <w:rFonts w:cs="Times New Roman"/>
          <w:color w:val="auto"/>
          <w:szCs w:val="24"/>
          <w:vertAlign w:val="superscript"/>
          <w:lang w:eastAsia="zh-CN"/>
        </w:rPr>
        <w:t>2</w:t>
      </w:r>
      <w:r>
        <w:rPr>
          <w:rFonts w:cs="Times New Roman"/>
          <w:color w:val="auto"/>
          <w:szCs w:val="24"/>
          <w:lang w:eastAsia="zh-CN"/>
        </w:rPr>
        <w:t>、强烈侵蚀面面积151.42km</w:t>
      </w:r>
      <w:r>
        <w:rPr>
          <w:rFonts w:cs="Times New Roman"/>
          <w:color w:val="auto"/>
          <w:szCs w:val="24"/>
          <w:vertAlign w:val="superscript"/>
          <w:lang w:eastAsia="zh-CN"/>
        </w:rPr>
        <w:t>2</w:t>
      </w:r>
      <w:r>
        <w:rPr>
          <w:rFonts w:cs="Times New Roman"/>
          <w:color w:val="auto"/>
          <w:szCs w:val="24"/>
          <w:lang w:eastAsia="zh-CN"/>
        </w:rPr>
        <w:t>、极强烈侵蚀面积111.32km</w:t>
      </w:r>
      <w:r>
        <w:rPr>
          <w:rFonts w:cs="Times New Roman"/>
          <w:color w:val="auto"/>
          <w:szCs w:val="24"/>
          <w:vertAlign w:val="superscript"/>
          <w:lang w:eastAsia="zh-CN"/>
        </w:rPr>
        <w:t>2</w:t>
      </w:r>
      <w:r>
        <w:rPr>
          <w:rFonts w:cs="Times New Roman"/>
          <w:color w:val="auto"/>
          <w:szCs w:val="24"/>
          <w:lang w:eastAsia="zh-CN"/>
        </w:rPr>
        <w:t>、剧烈侵蚀面积36.60km</w:t>
      </w:r>
      <w:r>
        <w:rPr>
          <w:rFonts w:cs="Times New Roman"/>
          <w:color w:val="auto"/>
          <w:szCs w:val="24"/>
          <w:vertAlign w:val="superscript"/>
          <w:lang w:eastAsia="zh-CN"/>
        </w:rPr>
        <w:t>2</w:t>
      </w:r>
      <w:r>
        <w:rPr>
          <w:rFonts w:cs="Times New Roman"/>
          <w:color w:val="auto"/>
          <w:szCs w:val="24"/>
          <w:lang w:eastAsia="zh-CN"/>
        </w:rPr>
        <w:t>。项目建设场地内土壤侵蚀等级为轻度，容许土壤流失量500t/km</w:t>
      </w:r>
      <w:r>
        <w:rPr>
          <w:rFonts w:cs="Times New Roman"/>
          <w:color w:val="auto"/>
          <w:szCs w:val="24"/>
          <w:vertAlign w:val="superscript"/>
          <w:lang w:eastAsia="zh-CN"/>
        </w:rPr>
        <w:t>2</w:t>
      </w:r>
      <w:r>
        <w:rPr>
          <w:rFonts w:cs="Times New Roman"/>
          <w:color w:val="auto"/>
          <w:szCs w:val="24"/>
          <w:lang w:eastAsia="zh-CN"/>
        </w:rPr>
        <w:t>·a。水土流失受自然因素和人为活动的综合影响，其分布有明显的区域性，总的趋势是丘陵区比平原区严重。水力侵蚀以轻度和中度为主。水土流失受自然因素和人为活动的综合影响，其分布有明显的区域性，总的趋势是丘陵区比平原区严重。</w:t>
      </w:r>
    </w:p>
    <w:p>
      <w:pPr>
        <w:widowControl w:val="0"/>
        <w:kinsoku/>
        <w:topLinePunct/>
        <w:autoSpaceDE/>
        <w:autoSpaceDN/>
        <w:spacing w:line="300" w:lineRule="auto"/>
        <w:ind w:firstLine="422"/>
        <w:jc w:val="center"/>
        <w:rPr>
          <w:rFonts w:cs="Times New Roman"/>
          <w:b/>
          <w:bCs/>
          <w:color w:val="auto"/>
          <w:sz w:val="21"/>
          <w:lang w:eastAsia="zh-CN"/>
        </w:rPr>
      </w:pPr>
      <w:r>
        <w:rPr>
          <w:rFonts w:cs="Times New Roman"/>
          <w:b/>
          <w:bCs/>
          <w:color w:val="auto"/>
          <w:sz w:val="21"/>
          <w:lang w:eastAsia="zh-CN"/>
        </w:rPr>
        <w:t>表4.1-1 宣汉县水土流失现状表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7"/>
        <w:gridCol w:w="1015"/>
        <w:gridCol w:w="694"/>
        <w:gridCol w:w="671"/>
        <w:gridCol w:w="621"/>
        <w:gridCol w:w="672"/>
        <w:gridCol w:w="621"/>
        <w:gridCol w:w="672"/>
        <w:gridCol w:w="621"/>
        <w:gridCol w:w="672"/>
        <w:gridCol w:w="621"/>
        <w:gridCol w:w="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91" w:type="pct"/>
            <w:vMerge w:val="restar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面积</w:t>
            </w:r>
          </w:p>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县市</w:t>
            </w:r>
          </w:p>
        </w:tc>
        <w:tc>
          <w:tcPr>
            <w:tcW w:w="610" w:type="pct"/>
            <w:vMerge w:val="restar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侵蚀</w:t>
            </w:r>
          </w:p>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面积</w:t>
            </w:r>
          </w:p>
        </w:tc>
        <w:tc>
          <w:tcPr>
            <w:tcW w:w="820" w:type="pct"/>
            <w:gridSpan w:val="2"/>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轻度</w:t>
            </w:r>
          </w:p>
        </w:tc>
        <w:tc>
          <w:tcPr>
            <w:tcW w:w="777" w:type="pct"/>
            <w:gridSpan w:val="2"/>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中度</w:t>
            </w:r>
          </w:p>
        </w:tc>
        <w:tc>
          <w:tcPr>
            <w:tcW w:w="777" w:type="pct"/>
            <w:gridSpan w:val="2"/>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强烈</w:t>
            </w:r>
          </w:p>
        </w:tc>
        <w:tc>
          <w:tcPr>
            <w:tcW w:w="777" w:type="pct"/>
            <w:gridSpan w:val="2"/>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极强烈</w:t>
            </w:r>
          </w:p>
        </w:tc>
        <w:tc>
          <w:tcPr>
            <w:tcW w:w="748" w:type="pct"/>
            <w:gridSpan w:val="2"/>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剧烈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91" w:type="pct"/>
            <w:vMerge w:val="continue"/>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p>
        </w:tc>
        <w:tc>
          <w:tcPr>
            <w:tcW w:w="610" w:type="pct"/>
            <w:vMerge w:val="continue"/>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p>
        </w:tc>
        <w:tc>
          <w:tcPr>
            <w:tcW w:w="417"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面积</w:t>
            </w:r>
          </w:p>
        </w:tc>
        <w:tc>
          <w:tcPr>
            <w:tcW w:w="403" w:type="pct"/>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比例</w:t>
            </w:r>
          </w:p>
        </w:tc>
        <w:tc>
          <w:tcPr>
            <w:tcW w:w="373"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面积</w:t>
            </w:r>
          </w:p>
        </w:tc>
        <w:tc>
          <w:tcPr>
            <w:tcW w:w="404" w:type="pct"/>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比例</w:t>
            </w:r>
          </w:p>
        </w:tc>
        <w:tc>
          <w:tcPr>
            <w:tcW w:w="373"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面积</w:t>
            </w:r>
          </w:p>
        </w:tc>
        <w:tc>
          <w:tcPr>
            <w:tcW w:w="404" w:type="pct"/>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比例</w:t>
            </w:r>
          </w:p>
        </w:tc>
        <w:tc>
          <w:tcPr>
            <w:tcW w:w="373"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面积</w:t>
            </w:r>
          </w:p>
        </w:tc>
        <w:tc>
          <w:tcPr>
            <w:tcW w:w="404" w:type="pct"/>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比例</w:t>
            </w:r>
          </w:p>
        </w:tc>
        <w:tc>
          <w:tcPr>
            <w:tcW w:w="373"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面积</w:t>
            </w:r>
          </w:p>
        </w:tc>
        <w:tc>
          <w:tcPr>
            <w:tcW w:w="375" w:type="pct"/>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91" w:type="pct"/>
            <w:vMerge w:val="continue"/>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p>
        </w:tc>
        <w:tc>
          <w:tcPr>
            <w:tcW w:w="610"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km</w:t>
            </w:r>
            <w:r>
              <w:rPr>
                <w:rFonts w:cs="Times New Roman"/>
                <w:snapToGrid/>
                <w:color w:val="auto"/>
                <w:sz w:val="20"/>
                <w:szCs w:val="20"/>
                <w:vertAlign w:val="superscript"/>
                <w:lang w:eastAsia="zh-CN"/>
              </w:rPr>
              <w:t>2</w:t>
            </w:r>
          </w:p>
        </w:tc>
        <w:tc>
          <w:tcPr>
            <w:tcW w:w="417"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km</w:t>
            </w:r>
            <w:r>
              <w:rPr>
                <w:rFonts w:cs="Times New Roman"/>
                <w:snapToGrid/>
                <w:color w:val="auto"/>
                <w:sz w:val="20"/>
                <w:szCs w:val="20"/>
                <w:vertAlign w:val="superscript"/>
                <w:lang w:eastAsia="zh-CN"/>
              </w:rPr>
              <w:t>2</w:t>
            </w:r>
          </w:p>
        </w:tc>
        <w:tc>
          <w:tcPr>
            <w:tcW w:w="403" w:type="pct"/>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w:t>
            </w:r>
          </w:p>
        </w:tc>
        <w:tc>
          <w:tcPr>
            <w:tcW w:w="373"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km</w:t>
            </w:r>
            <w:r>
              <w:rPr>
                <w:rFonts w:cs="Times New Roman"/>
                <w:snapToGrid/>
                <w:color w:val="auto"/>
                <w:sz w:val="20"/>
                <w:szCs w:val="20"/>
                <w:vertAlign w:val="superscript"/>
                <w:lang w:eastAsia="zh-CN"/>
              </w:rPr>
              <w:t>2</w:t>
            </w:r>
          </w:p>
        </w:tc>
        <w:tc>
          <w:tcPr>
            <w:tcW w:w="404" w:type="pct"/>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w:t>
            </w:r>
          </w:p>
        </w:tc>
        <w:tc>
          <w:tcPr>
            <w:tcW w:w="373"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km</w:t>
            </w:r>
            <w:r>
              <w:rPr>
                <w:rFonts w:cs="Times New Roman"/>
                <w:snapToGrid/>
                <w:color w:val="auto"/>
                <w:sz w:val="20"/>
                <w:szCs w:val="20"/>
                <w:vertAlign w:val="superscript"/>
                <w:lang w:eastAsia="zh-CN"/>
              </w:rPr>
              <w:t>2</w:t>
            </w:r>
          </w:p>
        </w:tc>
        <w:tc>
          <w:tcPr>
            <w:tcW w:w="404" w:type="pct"/>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w:t>
            </w:r>
          </w:p>
        </w:tc>
        <w:tc>
          <w:tcPr>
            <w:tcW w:w="373"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km</w:t>
            </w:r>
            <w:r>
              <w:rPr>
                <w:rFonts w:cs="Times New Roman"/>
                <w:snapToGrid/>
                <w:color w:val="auto"/>
                <w:sz w:val="20"/>
                <w:szCs w:val="20"/>
                <w:vertAlign w:val="superscript"/>
                <w:lang w:eastAsia="zh-CN"/>
              </w:rPr>
              <w:t>2</w:t>
            </w:r>
          </w:p>
        </w:tc>
        <w:tc>
          <w:tcPr>
            <w:tcW w:w="404" w:type="pct"/>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w:t>
            </w:r>
          </w:p>
        </w:tc>
        <w:tc>
          <w:tcPr>
            <w:tcW w:w="373"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km</w:t>
            </w:r>
            <w:r>
              <w:rPr>
                <w:rFonts w:cs="Times New Roman"/>
                <w:snapToGrid/>
                <w:color w:val="auto"/>
                <w:sz w:val="20"/>
                <w:szCs w:val="20"/>
                <w:vertAlign w:val="superscript"/>
                <w:lang w:eastAsia="zh-CN"/>
              </w:rPr>
              <w:t>2</w:t>
            </w:r>
          </w:p>
        </w:tc>
        <w:tc>
          <w:tcPr>
            <w:tcW w:w="375" w:type="pct"/>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91"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宣汉县</w:t>
            </w:r>
          </w:p>
        </w:tc>
        <w:tc>
          <w:tcPr>
            <w:tcW w:w="610"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4271</w:t>
            </w:r>
          </w:p>
        </w:tc>
        <w:tc>
          <w:tcPr>
            <w:tcW w:w="417"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1523.79</w:t>
            </w:r>
          </w:p>
        </w:tc>
        <w:tc>
          <w:tcPr>
            <w:tcW w:w="403" w:type="pct"/>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76.74</w:t>
            </w:r>
          </w:p>
        </w:tc>
        <w:tc>
          <w:tcPr>
            <w:tcW w:w="373"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159.82</w:t>
            </w:r>
          </w:p>
        </w:tc>
        <w:tc>
          <w:tcPr>
            <w:tcW w:w="404" w:type="pct"/>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8.05</w:t>
            </w:r>
          </w:p>
        </w:tc>
        <w:tc>
          <w:tcPr>
            <w:tcW w:w="373"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151.42</w:t>
            </w:r>
          </w:p>
        </w:tc>
        <w:tc>
          <w:tcPr>
            <w:tcW w:w="404" w:type="pct"/>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7.62</w:t>
            </w:r>
          </w:p>
        </w:tc>
        <w:tc>
          <w:tcPr>
            <w:tcW w:w="373"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111.32</w:t>
            </w:r>
          </w:p>
        </w:tc>
        <w:tc>
          <w:tcPr>
            <w:tcW w:w="404" w:type="pct"/>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5.60</w:t>
            </w:r>
          </w:p>
        </w:tc>
        <w:tc>
          <w:tcPr>
            <w:tcW w:w="373" w:type="pct"/>
            <w:noWrap/>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39.60</w:t>
            </w:r>
          </w:p>
        </w:tc>
        <w:tc>
          <w:tcPr>
            <w:tcW w:w="375" w:type="pct"/>
            <w:vAlign w:val="center"/>
          </w:tcPr>
          <w:p>
            <w:pPr>
              <w:widowControl w:val="0"/>
              <w:kinsoku/>
              <w:autoSpaceDE/>
              <w:autoSpaceDN/>
              <w:spacing w:line="240" w:lineRule="auto"/>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1.99</w:t>
            </w:r>
          </w:p>
        </w:tc>
      </w:tr>
    </w:tbl>
    <w:p>
      <w:pPr>
        <w:widowControl w:val="0"/>
        <w:kinsoku/>
        <w:topLinePunct/>
        <w:autoSpaceDE/>
        <w:autoSpaceDN/>
        <w:spacing w:line="300" w:lineRule="auto"/>
        <w:rPr>
          <w:rFonts w:cs="Times New Roman"/>
          <w:color w:val="auto"/>
          <w:sz w:val="10"/>
          <w:szCs w:val="10"/>
          <w:lang w:eastAsia="zh-CN"/>
        </w:rPr>
      </w:pP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（2）项目区水土流失现状</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本项目位于宣汉县，根据《土壤侵蚀分类分级标准》（SL190-2007）中相关规定，项目所在地属于西南土石山区，容许土壤流失量为500t/km²·a，土壤流失类型为水力作用下的土壤流失。</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项目区土壤侵蚀模数确定过程中参考了项目区的地形、地质、土壤类型、地区的降水情况，植被覆盖情况及管理措施因子，并参考《土壤侵蚀分类分级标准》(SLl90—2007)，综合确定原地貌土壤侵蚀模数背景值，经分析工程区平均土壤侵蚀模数为1523t/(km</w:t>
      </w:r>
      <w:r>
        <w:rPr>
          <w:rFonts w:cs="Times New Roman"/>
          <w:color w:val="auto"/>
          <w:szCs w:val="24"/>
          <w:vertAlign w:val="superscript"/>
          <w:lang w:eastAsia="zh-CN"/>
        </w:rPr>
        <w:t>2</w:t>
      </w:r>
      <w:r>
        <w:rPr>
          <w:rFonts w:cs="Times New Roman"/>
          <w:color w:val="auto"/>
          <w:szCs w:val="24"/>
          <w:lang w:eastAsia="zh-CN"/>
        </w:rPr>
        <w:t>·a)，项目区年平均土壤流失量为129.03t，侵蚀强度为轻度。</w:t>
      </w:r>
    </w:p>
    <w:p>
      <w:pPr>
        <w:keepNext/>
        <w:keepLines/>
        <w:widowControl w:val="0"/>
        <w:kinsoku/>
        <w:topLinePunct/>
        <w:autoSpaceDE/>
        <w:autoSpaceDN/>
        <w:spacing w:before="120" w:after="120" w:line="360" w:lineRule="auto"/>
        <w:ind w:firstLine="0" w:firstLineChars="0"/>
        <w:outlineLvl w:val="1"/>
        <w:rPr>
          <w:rFonts w:cs="Times New Roman"/>
          <w:b/>
          <w:bCs/>
          <w:color w:val="auto"/>
          <w:sz w:val="30"/>
          <w:szCs w:val="30"/>
          <w:lang w:eastAsia="zh-CN"/>
        </w:rPr>
      </w:pPr>
      <w:bookmarkStart w:id="55" w:name="_Toc171533293"/>
      <w:r>
        <w:rPr>
          <w:rFonts w:cs="Times New Roman"/>
          <w:b/>
          <w:bCs/>
          <w:color w:val="auto"/>
          <w:sz w:val="30"/>
          <w:szCs w:val="30"/>
          <w:lang w:eastAsia="zh-CN"/>
        </w:rPr>
        <w:t>4.2 水土流失影响因素分析</w:t>
      </w:r>
      <w:bookmarkEnd w:id="55"/>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本工程位于四川盆地东北部，总体属四川盆地盆中低山丘陵地貌，海拔较低。项目建设过程中，将不可避免地改变原有地形、地貌，扰动或破坏原有地表和植被，损坏原有的水土保持设施，导致土壤结构破坏，林草退化，降低了表层土壤的抗性，造成新增水土流失。根据项目组成、工程特性及建设特点，不同的施工区域所具有的水土流失特点也各不相同。</w:t>
      </w:r>
    </w:p>
    <w:p>
      <w:pPr>
        <w:keepNext/>
        <w:keepLines/>
        <w:widowControl w:val="0"/>
        <w:kinsoku/>
        <w:topLinePunct/>
        <w:autoSpaceDE/>
        <w:autoSpaceDN/>
        <w:spacing w:before="120" w:after="120" w:line="360" w:lineRule="auto"/>
        <w:ind w:firstLine="0" w:firstLineChars="0"/>
        <w:outlineLvl w:val="2"/>
        <w:rPr>
          <w:rFonts w:cs="Times New Roman"/>
          <w:b/>
          <w:bCs/>
          <w:color w:val="auto"/>
          <w:sz w:val="28"/>
          <w:szCs w:val="28"/>
          <w:lang w:eastAsia="zh-CN"/>
        </w:rPr>
      </w:pPr>
      <w:r>
        <w:rPr>
          <w:rFonts w:cs="Times New Roman"/>
          <w:b/>
          <w:bCs/>
          <w:color w:val="auto"/>
          <w:sz w:val="28"/>
          <w:szCs w:val="28"/>
          <w:lang w:eastAsia="zh-CN"/>
        </w:rPr>
        <w:t>4.2.1变电站间隔扩建工程水土流失成因</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变电站间隔扩建工程涉及土石方开挖回填，若不采取有效措施将产生水土流失，其水土流失主要产生在施工期，主要表现为水力侵蚀。</w:t>
      </w:r>
    </w:p>
    <w:p>
      <w:pPr>
        <w:widowControl w:val="0"/>
        <w:kinsoku/>
        <w:topLinePunct/>
        <w:autoSpaceDE/>
        <w:autoSpaceDN/>
        <w:spacing w:line="360" w:lineRule="auto"/>
        <w:ind w:firstLine="422"/>
        <w:jc w:val="center"/>
        <w:rPr>
          <w:rFonts w:cs="Times New Roman"/>
          <w:b/>
          <w:bCs/>
          <w:color w:val="auto"/>
          <w:sz w:val="21"/>
          <w:lang w:eastAsia="zh-CN"/>
        </w:rPr>
      </w:pPr>
      <w:r>
        <w:rPr>
          <w:rFonts w:cs="Times New Roman"/>
          <w:b/>
          <w:bCs/>
          <w:color w:val="auto"/>
          <w:sz w:val="21"/>
          <w:lang w:eastAsia="zh-CN"/>
        </w:rPr>
        <w:t>表4.2-1 变电站间隔扩建工程水土流失因素分析</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1370"/>
        <w:gridCol w:w="3643"/>
        <w:gridCol w:w="2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pct"/>
            <w:gridSpan w:val="2"/>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流失单元</w:t>
            </w:r>
          </w:p>
        </w:tc>
        <w:tc>
          <w:tcPr>
            <w:tcW w:w="2136"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施工准备及施工期</w:t>
            </w:r>
          </w:p>
        </w:tc>
        <w:tc>
          <w:tcPr>
            <w:tcW w:w="1612"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自然恢复期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Merge w:val="restar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变电</w:t>
            </w:r>
          </w:p>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站站区</w:t>
            </w:r>
          </w:p>
        </w:tc>
        <w:tc>
          <w:tcPr>
            <w:tcW w:w="803"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玛瑙500kV变电站220kV间隔扩建工程</w:t>
            </w:r>
          </w:p>
        </w:tc>
        <w:tc>
          <w:tcPr>
            <w:tcW w:w="2136"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出线构架基槽开挖的土石方的临时松散堆放遇降水则易流走；设备安装、调试期，站区内仍有部分地表裸露于外，抗蚀能力较弱</w:t>
            </w:r>
          </w:p>
        </w:tc>
        <w:tc>
          <w:tcPr>
            <w:tcW w:w="1612"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间隔基础裸露地表已铺设碎石及硬化，其余地表仍裸露于外，若无植被覆盖，易发生水土流失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Merge w:val="continue"/>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p>
        </w:tc>
        <w:tc>
          <w:tcPr>
            <w:tcW w:w="803"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芭蕉220kV变电站220kV间隔扩建工程</w:t>
            </w:r>
          </w:p>
        </w:tc>
        <w:tc>
          <w:tcPr>
            <w:tcW w:w="2136"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出线构架基槽开挖、填筑及排水管道开挖的土石方的临时松散堆放遇降水则易流走；设备安装、调试期，站区内仍有部分地表裸露于外，抗蚀能力较弱</w:t>
            </w:r>
          </w:p>
        </w:tc>
        <w:tc>
          <w:tcPr>
            <w:tcW w:w="1612"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间隔基础裸露地表已铺设碎石及硬化，其余地表仍裸露于外，若无植被覆盖，易发生水土流失</w:t>
            </w:r>
          </w:p>
        </w:tc>
      </w:tr>
    </w:tbl>
    <w:p>
      <w:pPr>
        <w:keepNext/>
        <w:keepLines/>
        <w:widowControl w:val="0"/>
        <w:kinsoku/>
        <w:topLinePunct/>
        <w:autoSpaceDE/>
        <w:autoSpaceDN/>
        <w:spacing w:before="120" w:after="120" w:line="360" w:lineRule="auto"/>
        <w:ind w:firstLine="0" w:firstLineChars="0"/>
        <w:outlineLvl w:val="2"/>
        <w:rPr>
          <w:rFonts w:cs="Times New Roman"/>
          <w:b/>
          <w:bCs/>
          <w:color w:val="auto"/>
          <w:sz w:val="28"/>
          <w:szCs w:val="28"/>
          <w:lang w:eastAsia="zh-CN"/>
        </w:rPr>
      </w:pPr>
      <w:r>
        <w:rPr>
          <w:rFonts w:cs="Times New Roman"/>
          <w:b/>
          <w:bCs/>
          <w:color w:val="auto"/>
          <w:sz w:val="28"/>
          <w:szCs w:val="28"/>
          <w:lang w:eastAsia="zh-CN"/>
        </w:rPr>
        <w:t>4.2.2 线路工程水土流失成因及分布</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线路工程的兴建对项目区水土流失的影响主要表现在工程建设期的施工活动。塔基及塔基施工临时占地、施工便道等场地的开挖平整和基础清理，开挖土石方及剥离表土的临时堆存，牵张场、跨越场、电缆沟道等施工活动对地表的扰动和再塑，使表层植被受到破坏，失去固土保水的能力，造成新增水土流失。</w:t>
      </w:r>
    </w:p>
    <w:p>
      <w:pPr>
        <w:widowControl w:val="0"/>
        <w:kinsoku/>
        <w:topLinePunct/>
        <w:autoSpaceDE/>
        <w:autoSpaceDN/>
        <w:spacing w:line="360" w:lineRule="auto"/>
        <w:ind w:firstLine="422"/>
        <w:jc w:val="center"/>
        <w:rPr>
          <w:rFonts w:cs="Times New Roman"/>
          <w:b/>
          <w:bCs/>
          <w:color w:val="auto"/>
          <w:sz w:val="21"/>
          <w:lang w:eastAsia="zh-CN"/>
        </w:rPr>
      </w:pPr>
      <w:r>
        <w:rPr>
          <w:rFonts w:cs="Times New Roman"/>
          <w:b/>
          <w:bCs/>
          <w:color w:val="auto"/>
          <w:sz w:val="21"/>
          <w:lang w:eastAsia="zh-CN"/>
        </w:rPr>
        <w:t>表4.2-2 线路工程区水土流失因素分析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3938"/>
        <w:gridCol w:w="3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流失单元</w:t>
            </w:r>
          </w:p>
        </w:tc>
        <w:tc>
          <w:tcPr>
            <w:tcW w:w="2309"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施工准备及施工期</w:t>
            </w:r>
          </w:p>
        </w:tc>
        <w:tc>
          <w:tcPr>
            <w:tcW w:w="194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自然恢复期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塔基及临时施工区</w:t>
            </w:r>
          </w:p>
        </w:tc>
        <w:tc>
          <w:tcPr>
            <w:tcW w:w="2309"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塔基基础、基面及排水沟、护坡墙的土石方开挖、回填工程极易发生水土流失，塔基区的施工将改变占地区微地貌形态；另外，铁塔基础浇筑施工，在一定程度上破坏塔基周围地表、植被，而增加水土流失量</w:t>
            </w:r>
          </w:p>
        </w:tc>
        <w:tc>
          <w:tcPr>
            <w:tcW w:w="194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建成后由于杆塔已组立、护坡墙、排水沟等措施已完善，塔基永久占地区已硬化，基本无水土流失，但临时施工区地表仍裸露于外，若不尽快恢复植被将新增水土流失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施工便道区</w:t>
            </w:r>
          </w:p>
        </w:tc>
        <w:tc>
          <w:tcPr>
            <w:tcW w:w="2309"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施工过程中，施工材料的运输、人为踩踏易引起水上流失</w:t>
            </w:r>
          </w:p>
        </w:tc>
        <w:tc>
          <w:tcPr>
            <w:tcW w:w="194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施工结束后，地表仍裸露于外，若无植被覆盖，极易发生水土流失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46"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牵张场</w:t>
            </w:r>
            <w:r>
              <w:rPr>
                <w:rFonts w:hint="eastAsia" w:cs="Times New Roman"/>
                <w:color w:val="auto"/>
                <w:sz w:val="20"/>
                <w:szCs w:val="20"/>
                <w:lang w:eastAsia="zh-CN"/>
              </w:rPr>
              <w:t>区</w:t>
            </w:r>
          </w:p>
        </w:tc>
        <w:tc>
          <w:tcPr>
            <w:tcW w:w="2309" w:type="pct"/>
            <w:vMerge w:val="restar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施工准备期将堆放施工所用的相关机械器材，占压地表，扰动、破坏植被，增加水土流失量;施工过程中搭设脚手架、设置牵张机等活动对地表进行占压，破坏地表植被，增加水土流先量</w:t>
            </w:r>
          </w:p>
        </w:tc>
        <w:tc>
          <w:tcPr>
            <w:tcW w:w="1945" w:type="pct"/>
            <w:vMerge w:val="restar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施工结束后，场地已清理、平整，但由于施工占压，地表植被恢复较慢，易发生水土流失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跨越场</w:t>
            </w:r>
            <w:r>
              <w:rPr>
                <w:rFonts w:hint="eastAsia" w:cs="Times New Roman"/>
                <w:color w:val="auto"/>
                <w:sz w:val="20"/>
                <w:szCs w:val="20"/>
                <w:lang w:eastAsia="zh-CN"/>
              </w:rPr>
              <w:t>区</w:t>
            </w:r>
          </w:p>
        </w:tc>
        <w:tc>
          <w:tcPr>
            <w:tcW w:w="2309" w:type="pct"/>
            <w:vMerge w:val="continue"/>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p>
        </w:tc>
        <w:tc>
          <w:tcPr>
            <w:tcW w:w="1945" w:type="pct"/>
            <w:vMerge w:val="continue"/>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电缆工程区</w:t>
            </w:r>
          </w:p>
        </w:tc>
        <w:tc>
          <w:tcPr>
            <w:tcW w:w="2309"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电缆沟道的土石方开挖、回填工程极易发生水土流失</w:t>
            </w:r>
          </w:p>
        </w:tc>
        <w:tc>
          <w:tcPr>
            <w:tcW w:w="194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施工结束后，地表仍裸露于外，若无植被覆盖，极易发生水土流失</w:t>
            </w:r>
          </w:p>
        </w:tc>
      </w:tr>
    </w:tbl>
    <w:p>
      <w:pPr>
        <w:widowControl w:val="0"/>
        <w:kinsoku/>
        <w:topLinePunct/>
        <w:autoSpaceDE/>
        <w:autoSpaceDN/>
        <w:spacing w:line="300" w:lineRule="auto"/>
        <w:rPr>
          <w:rFonts w:cs="Times New Roman"/>
          <w:color w:val="auto"/>
          <w:sz w:val="10"/>
          <w:szCs w:val="10"/>
          <w:lang w:eastAsia="zh-CN"/>
        </w:rPr>
      </w:pP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输电线路在自然恢复期因塔基护坡</w:t>
      </w:r>
      <w:r>
        <w:rPr>
          <w:rFonts w:hint="eastAsia" w:cs="Times New Roman"/>
          <w:color w:val="auto"/>
          <w:szCs w:val="24"/>
          <w:lang w:eastAsia="zh-CN"/>
        </w:rPr>
        <w:t>、</w:t>
      </w:r>
      <w:r>
        <w:rPr>
          <w:rFonts w:cs="Times New Roman"/>
          <w:color w:val="auto"/>
          <w:szCs w:val="24"/>
          <w:lang w:eastAsia="zh-CN"/>
        </w:rPr>
        <w:t>排水沟</w:t>
      </w:r>
      <w:r>
        <w:rPr>
          <w:rFonts w:hint="eastAsia" w:cs="Times New Roman"/>
          <w:color w:val="auto"/>
          <w:szCs w:val="24"/>
          <w:lang w:eastAsia="zh-CN"/>
        </w:rPr>
        <w:t>、植被恢复</w:t>
      </w:r>
      <w:r>
        <w:rPr>
          <w:rFonts w:cs="Times New Roman"/>
          <w:color w:val="auto"/>
          <w:szCs w:val="24"/>
          <w:lang w:eastAsia="zh-CN"/>
        </w:rPr>
        <w:t>以及余土的堆放处理等措施的完善，使新增水土流失得到了有效控制，但植物措施不能在短期内完全发挥作用，因此在植被恢复过程中仍然会有少量的新增水土流失。</w:t>
      </w:r>
    </w:p>
    <w:p>
      <w:pPr>
        <w:keepNext/>
        <w:keepLines/>
        <w:widowControl w:val="0"/>
        <w:kinsoku/>
        <w:topLinePunct/>
        <w:autoSpaceDE/>
        <w:autoSpaceDN/>
        <w:spacing w:before="120" w:after="120" w:line="360" w:lineRule="auto"/>
        <w:ind w:firstLine="0" w:firstLineChars="0"/>
        <w:outlineLvl w:val="2"/>
        <w:rPr>
          <w:rFonts w:cs="Times New Roman"/>
          <w:b/>
          <w:bCs/>
          <w:color w:val="auto"/>
          <w:sz w:val="28"/>
          <w:szCs w:val="28"/>
          <w:lang w:eastAsia="zh-CN"/>
        </w:rPr>
      </w:pPr>
      <w:r>
        <w:rPr>
          <w:rFonts w:cs="Times New Roman"/>
          <w:b/>
          <w:bCs/>
          <w:color w:val="auto"/>
          <w:sz w:val="28"/>
          <w:szCs w:val="28"/>
          <w:lang w:eastAsia="zh-CN"/>
        </w:rPr>
        <w:t>4.2.3 扰动地表、损毁植被面积</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根据主体工程设计资料、土地利用现状调查和统计分析，本项目施工过程中造成扰动地表面积3</w:t>
      </w:r>
      <w:r>
        <w:rPr>
          <w:rFonts w:hint="eastAsia" w:cs="Times New Roman"/>
          <w:color w:val="auto"/>
          <w:szCs w:val="24"/>
          <w:lang w:eastAsia="zh-CN"/>
        </w:rPr>
        <w:t>.</w:t>
      </w:r>
      <w:r>
        <w:rPr>
          <w:rFonts w:cs="Times New Roman"/>
          <w:color w:val="auto"/>
          <w:szCs w:val="24"/>
          <w:lang w:eastAsia="zh-CN"/>
        </w:rPr>
        <w:t>81</w:t>
      </w:r>
      <w:r>
        <w:rPr>
          <w:rFonts w:hint="eastAsia" w:cs="Times New Roman"/>
          <w:color w:val="auto"/>
          <w:szCs w:val="24"/>
          <w:lang w:eastAsia="zh-CN"/>
        </w:rPr>
        <w:t>h</w:t>
      </w:r>
      <w:r>
        <w:rPr>
          <w:rFonts w:cs="Times New Roman"/>
          <w:color w:val="auto"/>
          <w:szCs w:val="24"/>
          <w:lang w:eastAsia="zh-CN"/>
        </w:rPr>
        <w:t>m</w:t>
      </w:r>
      <w:r>
        <w:rPr>
          <w:rFonts w:cs="Times New Roman"/>
          <w:color w:val="auto"/>
          <w:szCs w:val="24"/>
          <w:vertAlign w:val="superscript"/>
          <w:lang w:eastAsia="zh-CN"/>
        </w:rPr>
        <w:t>2</w:t>
      </w:r>
      <w:r>
        <w:rPr>
          <w:rFonts w:cs="Times New Roman"/>
          <w:color w:val="auto"/>
          <w:szCs w:val="24"/>
          <w:lang w:eastAsia="zh-CN"/>
        </w:rPr>
        <w:t>，损毁植被面积3.22</w:t>
      </w:r>
      <w:r>
        <w:rPr>
          <w:rFonts w:hint="eastAsia" w:cs="Times New Roman"/>
          <w:color w:val="auto"/>
          <w:szCs w:val="24"/>
          <w:lang w:eastAsia="zh-CN"/>
        </w:rPr>
        <w:t>h</w:t>
      </w:r>
      <w:r>
        <w:rPr>
          <w:rFonts w:cs="Times New Roman"/>
          <w:color w:val="auto"/>
          <w:szCs w:val="24"/>
          <w:lang w:eastAsia="zh-CN"/>
        </w:rPr>
        <w:t>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经现场踏勘、查阅小流域实施方案和咨询当地相关职能部门，本项目不涉及水土保持专项设施。</w:t>
      </w:r>
    </w:p>
    <w:p>
      <w:pPr>
        <w:keepNext/>
        <w:keepLines/>
        <w:widowControl w:val="0"/>
        <w:kinsoku/>
        <w:topLinePunct/>
        <w:autoSpaceDE/>
        <w:autoSpaceDN/>
        <w:spacing w:before="120" w:after="120" w:line="360" w:lineRule="auto"/>
        <w:ind w:firstLine="0" w:firstLineChars="0"/>
        <w:outlineLvl w:val="2"/>
        <w:rPr>
          <w:rFonts w:cs="Times New Roman"/>
          <w:b/>
          <w:bCs/>
          <w:color w:val="auto"/>
          <w:sz w:val="28"/>
          <w:szCs w:val="28"/>
          <w:lang w:eastAsia="zh-CN"/>
        </w:rPr>
      </w:pPr>
      <w:r>
        <w:rPr>
          <w:rFonts w:cs="Times New Roman"/>
          <w:b/>
          <w:bCs/>
          <w:color w:val="auto"/>
          <w:sz w:val="28"/>
          <w:szCs w:val="28"/>
          <w:lang w:eastAsia="zh-CN"/>
        </w:rPr>
        <w:t>4.2.4 弃渣量预测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本工程土石方总工程量为挖方5434m</w:t>
      </w:r>
      <w:r>
        <w:rPr>
          <w:rFonts w:cs="Times New Roman"/>
          <w:color w:val="auto"/>
          <w:szCs w:val="24"/>
          <w:vertAlign w:val="superscript"/>
          <w:lang w:eastAsia="zh-CN"/>
        </w:rPr>
        <w:t>3</w:t>
      </w:r>
      <w:r>
        <w:rPr>
          <w:rFonts w:cs="Times New Roman"/>
          <w:color w:val="auto"/>
          <w:szCs w:val="24"/>
          <w:lang w:eastAsia="zh-CN"/>
        </w:rPr>
        <w:t>(自然方，下同，其中表土剥离1672m</w:t>
      </w:r>
      <w:r>
        <w:rPr>
          <w:rFonts w:cs="Times New Roman"/>
          <w:color w:val="auto"/>
          <w:szCs w:val="24"/>
          <w:vertAlign w:val="superscript"/>
          <w:lang w:eastAsia="zh-CN"/>
        </w:rPr>
        <w:t>3</w:t>
      </w:r>
      <w:r>
        <w:rPr>
          <w:rFonts w:cs="Times New Roman"/>
          <w:color w:val="auto"/>
          <w:szCs w:val="24"/>
          <w:lang w:eastAsia="zh-CN"/>
        </w:rPr>
        <w:t>)，填方5434m</w:t>
      </w:r>
      <w:r>
        <w:rPr>
          <w:rFonts w:cs="Times New Roman"/>
          <w:color w:val="auto"/>
          <w:szCs w:val="24"/>
          <w:vertAlign w:val="superscript"/>
          <w:lang w:eastAsia="zh-CN"/>
        </w:rPr>
        <w:t>3</w:t>
      </w:r>
      <w:r>
        <w:rPr>
          <w:rFonts w:cs="Times New Roman"/>
          <w:color w:val="auto"/>
          <w:szCs w:val="24"/>
          <w:lang w:eastAsia="zh-CN"/>
        </w:rPr>
        <w:t>(其中表土利用1672m</w:t>
      </w:r>
      <w:r>
        <w:rPr>
          <w:rFonts w:cs="Times New Roman"/>
          <w:color w:val="auto"/>
          <w:szCs w:val="24"/>
          <w:vertAlign w:val="superscript"/>
          <w:lang w:eastAsia="zh-CN"/>
        </w:rPr>
        <w:t>3</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变电站工程少量余方（30m</w:t>
      </w:r>
      <w:r>
        <w:rPr>
          <w:rFonts w:cs="Times New Roman"/>
          <w:color w:val="auto"/>
          <w:szCs w:val="24"/>
          <w:vertAlign w:val="superscript"/>
          <w:lang w:eastAsia="zh-CN"/>
        </w:rPr>
        <w:t>3</w:t>
      </w:r>
      <w:r>
        <w:rPr>
          <w:rFonts w:cs="Times New Roman"/>
          <w:color w:val="auto"/>
          <w:szCs w:val="24"/>
          <w:lang w:eastAsia="zh-CN"/>
        </w:rPr>
        <w:t>）回填至站外临近塔位平摊处理，无永久弃方。</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线路工程余土4472m</w:t>
      </w:r>
      <w:r>
        <w:rPr>
          <w:rFonts w:cs="Times New Roman"/>
          <w:color w:val="auto"/>
          <w:szCs w:val="24"/>
          <w:vertAlign w:val="superscript"/>
          <w:lang w:eastAsia="zh-CN"/>
        </w:rPr>
        <w:t>3</w:t>
      </w:r>
      <w:r>
        <w:rPr>
          <w:rFonts w:cs="Times New Roman"/>
          <w:color w:val="auto"/>
          <w:szCs w:val="24"/>
          <w:lang w:eastAsia="zh-CN"/>
        </w:rPr>
        <w:t>。根据相关线路工程建设经验，塔基区余方可摊平于塔基施工扰动范围内处理，经压实后平均堆高≤30cm，不影响塔基运行安全，部分位结合主体布设的挡护措施，符合水保要求。</w:t>
      </w:r>
    </w:p>
    <w:p>
      <w:pPr>
        <w:keepNext/>
        <w:keepLines/>
        <w:widowControl w:val="0"/>
        <w:kinsoku/>
        <w:topLinePunct/>
        <w:autoSpaceDE/>
        <w:autoSpaceDN/>
        <w:spacing w:before="120" w:after="120" w:line="360" w:lineRule="auto"/>
        <w:ind w:firstLine="0" w:firstLineChars="0"/>
        <w:outlineLvl w:val="1"/>
        <w:rPr>
          <w:rFonts w:cs="Times New Roman"/>
          <w:b/>
          <w:bCs/>
          <w:color w:val="auto"/>
          <w:sz w:val="30"/>
          <w:szCs w:val="30"/>
          <w:lang w:eastAsia="zh-CN"/>
        </w:rPr>
      </w:pPr>
      <w:bookmarkStart w:id="56" w:name="_Toc171533294"/>
      <w:r>
        <w:rPr>
          <w:rFonts w:cs="Times New Roman"/>
          <w:b/>
          <w:bCs/>
          <w:color w:val="auto"/>
          <w:sz w:val="30"/>
          <w:szCs w:val="30"/>
          <w:lang w:eastAsia="zh-CN"/>
        </w:rPr>
        <w:t>4.3 土壤流失量预测</w:t>
      </w:r>
      <w:bookmarkEnd w:id="56"/>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工程建设造成水土流失量主要由两部分组成，一是由于施工区项目建设扰动地表、破坏土壤，造成水土保持功能降低甚至丧失，导致土壤侵蚀加剧而增加的水土流失量；二是因为项目建设造成回填土不合理堆放而增加的水土流失量。</w:t>
      </w:r>
    </w:p>
    <w:p>
      <w:pPr>
        <w:keepNext/>
        <w:keepLines/>
        <w:widowControl w:val="0"/>
        <w:kinsoku/>
        <w:topLinePunct/>
        <w:autoSpaceDE/>
        <w:autoSpaceDN/>
        <w:spacing w:before="120" w:after="120" w:line="360" w:lineRule="auto"/>
        <w:ind w:firstLine="0" w:firstLineChars="0"/>
        <w:outlineLvl w:val="2"/>
        <w:rPr>
          <w:rFonts w:cs="Times New Roman"/>
          <w:b/>
          <w:bCs/>
          <w:color w:val="auto"/>
          <w:sz w:val="28"/>
          <w:szCs w:val="28"/>
          <w:lang w:eastAsia="zh-CN"/>
        </w:rPr>
      </w:pPr>
      <w:r>
        <w:rPr>
          <w:rFonts w:cs="Times New Roman"/>
          <w:b/>
          <w:bCs/>
          <w:color w:val="auto"/>
          <w:sz w:val="28"/>
          <w:szCs w:val="28"/>
          <w:lang w:eastAsia="zh-CN"/>
        </w:rPr>
        <w:t>4.3.1 预测单元</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本项目的预测范围包括工程的永久占地和临时占地区域，预测总面积3.81hm</w:t>
      </w:r>
      <w:r>
        <w:rPr>
          <w:rFonts w:cs="Times New Roman"/>
          <w:color w:val="auto"/>
          <w:szCs w:val="24"/>
          <w:vertAlign w:val="superscript"/>
          <w:lang w:eastAsia="zh-CN"/>
        </w:rPr>
        <w:t>2</w:t>
      </w:r>
      <w:r>
        <w:rPr>
          <w:rFonts w:cs="Times New Roman"/>
          <w:color w:val="auto"/>
          <w:szCs w:val="24"/>
          <w:lang w:eastAsia="zh-CN"/>
        </w:rPr>
        <w:t>，根据工程总体布局、工程特点及对水土流失的影响，将预测区域划分为变电站工程区(包括玛瑙变电站站区、芭蕉变电站站区)、线路工程区(包括塔基及临时施工区、施工便道区、牵张场区、跨越场区和电缆工程区)等预测单元。</w:t>
      </w:r>
    </w:p>
    <w:p>
      <w:pPr>
        <w:keepNext/>
        <w:keepLines/>
        <w:widowControl w:val="0"/>
        <w:kinsoku/>
        <w:topLinePunct/>
        <w:autoSpaceDE/>
        <w:autoSpaceDN/>
        <w:spacing w:before="120" w:after="120" w:line="360" w:lineRule="auto"/>
        <w:ind w:firstLine="0" w:firstLineChars="0"/>
        <w:outlineLvl w:val="2"/>
        <w:rPr>
          <w:rFonts w:cs="Times New Roman"/>
          <w:b/>
          <w:bCs/>
          <w:color w:val="auto"/>
          <w:sz w:val="28"/>
          <w:szCs w:val="28"/>
          <w:lang w:eastAsia="zh-CN"/>
        </w:rPr>
      </w:pPr>
      <w:r>
        <w:rPr>
          <w:rFonts w:cs="Times New Roman"/>
          <w:b/>
          <w:bCs/>
          <w:color w:val="auto"/>
          <w:sz w:val="28"/>
          <w:szCs w:val="28"/>
          <w:lang w:eastAsia="zh-CN"/>
        </w:rPr>
        <w:t>4.3.2 预测时段</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本项目为新建建设类项目，计划于2024年</w:t>
      </w:r>
      <w:r>
        <w:rPr>
          <w:rFonts w:hint="eastAsia" w:cs="Times New Roman"/>
          <w:color w:val="auto"/>
          <w:szCs w:val="24"/>
          <w:lang w:eastAsia="zh-CN"/>
        </w:rPr>
        <w:t>8</w:t>
      </w:r>
      <w:r>
        <w:rPr>
          <w:rFonts w:cs="Times New Roman"/>
          <w:color w:val="auto"/>
          <w:szCs w:val="24"/>
          <w:lang w:eastAsia="zh-CN"/>
        </w:rPr>
        <w:t>月开始施工，2025年</w:t>
      </w:r>
      <w:r>
        <w:rPr>
          <w:rFonts w:hint="eastAsia" w:cs="Times New Roman"/>
          <w:color w:val="auto"/>
          <w:szCs w:val="24"/>
          <w:lang w:eastAsia="zh-CN"/>
        </w:rPr>
        <w:t>4</w:t>
      </w:r>
      <w:r>
        <w:rPr>
          <w:rFonts w:cs="Times New Roman"/>
          <w:color w:val="auto"/>
          <w:szCs w:val="24"/>
          <w:lang w:eastAsia="zh-CN"/>
        </w:rPr>
        <w:t>月竣工，总工期9个月。根据《生产建设项目水土保持技术标准》(GB50433-2018)，结合工程建设特点，本项目水土流失预测时段包括施工期(含施工准备期)、自然恢复期。</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（1）施工期(含施工准备期)</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施工准备期和施工期的预测时段根据各施工单元的施工进度安排，结合产生水土流失的季节，按照最不利条件确定，施工时段超过雨季长度的按照全年计算，不超过雨季的按所在雨季长度的比例计算。</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（2）自然恢复期</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自然恢复期为项目区在消除人为干扰后地表植被自然生长恢复到初步发挥水土保持功效所需的时间，根据本工程项目区气候特点和植物生长特性，确定自然恢复期为2年。</w:t>
      </w:r>
    </w:p>
    <w:p>
      <w:pPr>
        <w:widowControl w:val="0"/>
        <w:kinsoku/>
        <w:topLinePunct/>
        <w:autoSpaceDE/>
        <w:autoSpaceDN/>
        <w:spacing w:line="360" w:lineRule="auto"/>
        <w:ind w:firstLine="422"/>
        <w:jc w:val="center"/>
        <w:rPr>
          <w:rFonts w:cs="Times New Roman"/>
          <w:b/>
          <w:bCs/>
          <w:color w:val="auto"/>
          <w:sz w:val="21"/>
          <w:lang w:eastAsia="zh-CN"/>
        </w:rPr>
      </w:pPr>
      <w:r>
        <w:rPr>
          <w:rFonts w:cs="Times New Roman"/>
          <w:b/>
          <w:bCs/>
          <w:color w:val="auto"/>
          <w:sz w:val="21"/>
          <w:lang w:eastAsia="zh-CN"/>
        </w:rPr>
        <w:t>表4.3-1水土流失预测时段、范围一览表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9"/>
        <w:gridCol w:w="1851"/>
        <w:gridCol w:w="1173"/>
        <w:gridCol w:w="1274"/>
        <w:gridCol w:w="1143"/>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0" w:type="pct"/>
            <w:gridSpan w:val="2"/>
            <w:vMerge w:val="restar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预测单元</w:t>
            </w:r>
          </w:p>
        </w:tc>
        <w:tc>
          <w:tcPr>
            <w:tcW w:w="1435" w:type="pct"/>
            <w:gridSpan w:val="2"/>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施工期</w:t>
            </w:r>
          </w:p>
        </w:tc>
        <w:tc>
          <w:tcPr>
            <w:tcW w:w="1255" w:type="pct"/>
            <w:gridSpan w:val="2"/>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自然恢复期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0" w:type="pct"/>
            <w:gridSpan w:val="2"/>
            <w:vMerge w:val="continue"/>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p>
        </w:tc>
        <w:tc>
          <w:tcPr>
            <w:tcW w:w="688"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预测范围</w:t>
            </w:r>
          </w:p>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w:t>
            </w:r>
            <w:r>
              <w:rPr>
                <w:rFonts w:hint="eastAsia" w:cs="Times New Roman"/>
                <w:color w:val="auto"/>
                <w:sz w:val="20"/>
                <w:szCs w:val="20"/>
                <w:lang w:eastAsia="zh-CN"/>
              </w:rPr>
              <w:t>h</w:t>
            </w:r>
            <w:r>
              <w:rPr>
                <w:rFonts w:cs="Times New Roman"/>
                <w:color w:val="auto"/>
                <w:sz w:val="20"/>
                <w:szCs w:val="20"/>
                <w:lang w:eastAsia="zh-CN"/>
              </w:rPr>
              <w:t>m</w:t>
            </w:r>
            <w:r>
              <w:rPr>
                <w:rFonts w:cs="Times New Roman"/>
                <w:color w:val="auto"/>
                <w:sz w:val="20"/>
                <w:szCs w:val="20"/>
                <w:vertAlign w:val="superscript"/>
                <w:lang w:eastAsia="zh-CN"/>
              </w:rPr>
              <w:t>2</w:t>
            </w:r>
            <w:r>
              <w:rPr>
                <w:rFonts w:cs="Times New Roman"/>
                <w:color w:val="auto"/>
                <w:sz w:val="20"/>
                <w:szCs w:val="20"/>
                <w:lang w:eastAsia="zh-CN"/>
              </w:rPr>
              <w:t>）</w:t>
            </w:r>
          </w:p>
        </w:tc>
        <w:tc>
          <w:tcPr>
            <w:tcW w:w="747"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预测时</w:t>
            </w:r>
          </w:p>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段（年）</w:t>
            </w:r>
          </w:p>
        </w:tc>
        <w:tc>
          <w:tcPr>
            <w:tcW w:w="670"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预测范围</w:t>
            </w:r>
          </w:p>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（m</w:t>
            </w:r>
            <w:r>
              <w:rPr>
                <w:rFonts w:cs="Times New Roman"/>
                <w:color w:val="auto"/>
                <w:sz w:val="20"/>
                <w:szCs w:val="20"/>
                <w:vertAlign w:val="superscript"/>
                <w:lang w:eastAsia="zh-CN"/>
              </w:rPr>
              <w:t>2</w:t>
            </w:r>
            <w:r>
              <w:rPr>
                <w:rFonts w:cs="Times New Roman"/>
                <w:color w:val="auto"/>
                <w:sz w:val="20"/>
                <w:szCs w:val="20"/>
                <w:lang w:eastAsia="zh-CN"/>
              </w:rPr>
              <w:t>）</w:t>
            </w:r>
          </w:p>
        </w:tc>
        <w:tc>
          <w:tcPr>
            <w:tcW w:w="5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预测时</w:t>
            </w:r>
          </w:p>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段（</w:t>
            </w:r>
            <w:r>
              <w:rPr>
                <w:rFonts w:hint="eastAsia" w:cs="Times New Roman"/>
                <w:color w:val="auto"/>
                <w:sz w:val="20"/>
                <w:szCs w:val="20"/>
                <w:lang w:eastAsia="zh-CN"/>
              </w:rPr>
              <w:t>a</w:t>
            </w:r>
            <w:r>
              <w:rPr>
                <w:rFonts w:cs="Times New Roman"/>
                <w:color w:val="auto"/>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pct"/>
            <w:vAlign w:val="center"/>
          </w:tcPr>
          <w:p>
            <w:pPr>
              <w:widowControl w:val="0"/>
              <w:topLinePunct/>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玛瑙500kV变电站220kV间隔扩建工程</w:t>
            </w:r>
          </w:p>
        </w:tc>
        <w:tc>
          <w:tcPr>
            <w:tcW w:w="10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玛瑙变电站站区</w:t>
            </w:r>
          </w:p>
        </w:tc>
        <w:tc>
          <w:tcPr>
            <w:tcW w:w="688"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0.01</w:t>
            </w:r>
          </w:p>
        </w:tc>
        <w:tc>
          <w:tcPr>
            <w:tcW w:w="747"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0.4</w:t>
            </w:r>
          </w:p>
        </w:tc>
        <w:tc>
          <w:tcPr>
            <w:tcW w:w="670"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0.01</w:t>
            </w:r>
          </w:p>
        </w:tc>
        <w:tc>
          <w:tcPr>
            <w:tcW w:w="5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2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芭蕉220kV变电站220kV间隔扩建工程</w:t>
            </w:r>
          </w:p>
        </w:tc>
        <w:tc>
          <w:tcPr>
            <w:tcW w:w="10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芭蕉变电站站区</w:t>
            </w:r>
          </w:p>
        </w:tc>
        <w:tc>
          <w:tcPr>
            <w:tcW w:w="688"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0.03</w:t>
            </w:r>
          </w:p>
        </w:tc>
        <w:tc>
          <w:tcPr>
            <w:tcW w:w="747"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0.4</w:t>
            </w:r>
          </w:p>
        </w:tc>
        <w:tc>
          <w:tcPr>
            <w:tcW w:w="670"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0.03</w:t>
            </w:r>
          </w:p>
        </w:tc>
        <w:tc>
          <w:tcPr>
            <w:tcW w:w="5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pct"/>
            <w:vMerge w:val="restar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玛瑙-正达凯220kV线路工程</w:t>
            </w:r>
          </w:p>
        </w:tc>
        <w:tc>
          <w:tcPr>
            <w:tcW w:w="10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玛瑙</w:t>
            </w:r>
            <w:r>
              <w:rPr>
                <w:rFonts w:cs="Times New Roman"/>
                <w:color w:val="auto"/>
                <w:sz w:val="20"/>
                <w:szCs w:val="20"/>
                <w:lang w:eastAsia="zh-CN"/>
              </w:rPr>
              <w:t>塔基及临时施工区</w:t>
            </w:r>
          </w:p>
        </w:tc>
        <w:tc>
          <w:tcPr>
            <w:tcW w:w="688"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0.63</w:t>
            </w:r>
          </w:p>
        </w:tc>
        <w:tc>
          <w:tcPr>
            <w:tcW w:w="747"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0.8</w:t>
            </w:r>
          </w:p>
        </w:tc>
        <w:tc>
          <w:tcPr>
            <w:tcW w:w="670"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0.</w:t>
            </w:r>
            <w:r>
              <w:rPr>
                <w:rFonts w:cs="Times New Roman"/>
                <w:color w:val="auto"/>
                <w:sz w:val="20"/>
                <w:szCs w:val="20"/>
                <w:lang w:eastAsia="zh-CN"/>
              </w:rPr>
              <w:t>37</w:t>
            </w:r>
          </w:p>
        </w:tc>
        <w:tc>
          <w:tcPr>
            <w:tcW w:w="5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pct"/>
            <w:vMerge w:val="continue"/>
            <w:vAlign w:val="center"/>
          </w:tcPr>
          <w:p>
            <w:pPr>
              <w:widowControl w:val="0"/>
              <w:topLinePunct/>
              <w:spacing w:line="240" w:lineRule="auto"/>
              <w:ind w:firstLine="400"/>
              <w:jc w:val="center"/>
              <w:rPr>
                <w:rFonts w:cs="Times New Roman"/>
                <w:color w:val="auto"/>
                <w:sz w:val="20"/>
                <w:szCs w:val="20"/>
                <w:lang w:eastAsia="zh-CN"/>
              </w:rPr>
            </w:pPr>
          </w:p>
        </w:tc>
        <w:tc>
          <w:tcPr>
            <w:tcW w:w="10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玛瑙</w:t>
            </w:r>
            <w:r>
              <w:rPr>
                <w:rFonts w:cs="Times New Roman"/>
                <w:color w:val="auto"/>
                <w:sz w:val="20"/>
                <w:szCs w:val="20"/>
              </w:rPr>
              <w:t>施工便道区</w:t>
            </w:r>
          </w:p>
        </w:tc>
        <w:tc>
          <w:tcPr>
            <w:tcW w:w="688"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 xml:space="preserve">0.40 </w:t>
            </w:r>
          </w:p>
        </w:tc>
        <w:tc>
          <w:tcPr>
            <w:tcW w:w="747"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0.8</w:t>
            </w:r>
          </w:p>
        </w:tc>
        <w:tc>
          <w:tcPr>
            <w:tcW w:w="670"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0.40</w:t>
            </w:r>
          </w:p>
        </w:tc>
        <w:tc>
          <w:tcPr>
            <w:tcW w:w="5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pct"/>
            <w:vMerge w:val="continue"/>
            <w:vAlign w:val="center"/>
          </w:tcPr>
          <w:p>
            <w:pPr>
              <w:widowControl w:val="0"/>
              <w:topLinePunct/>
              <w:spacing w:line="240" w:lineRule="auto"/>
              <w:ind w:firstLine="400"/>
              <w:jc w:val="center"/>
              <w:rPr>
                <w:rFonts w:cs="Times New Roman"/>
                <w:color w:val="auto"/>
                <w:sz w:val="20"/>
                <w:szCs w:val="20"/>
                <w:lang w:eastAsia="zh-CN"/>
              </w:rPr>
            </w:pPr>
          </w:p>
        </w:tc>
        <w:tc>
          <w:tcPr>
            <w:tcW w:w="10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玛瑙</w:t>
            </w:r>
            <w:r>
              <w:rPr>
                <w:rFonts w:cs="Times New Roman"/>
                <w:color w:val="auto"/>
                <w:sz w:val="20"/>
                <w:szCs w:val="20"/>
              </w:rPr>
              <w:t>牵张场区</w:t>
            </w:r>
          </w:p>
        </w:tc>
        <w:tc>
          <w:tcPr>
            <w:tcW w:w="688"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 xml:space="preserve">0.12 </w:t>
            </w:r>
          </w:p>
        </w:tc>
        <w:tc>
          <w:tcPr>
            <w:tcW w:w="747"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0.4</w:t>
            </w:r>
          </w:p>
        </w:tc>
        <w:tc>
          <w:tcPr>
            <w:tcW w:w="670"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0.</w:t>
            </w:r>
            <w:r>
              <w:rPr>
                <w:rFonts w:cs="Times New Roman"/>
                <w:color w:val="auto"/>
                <w:sz w:val="20"/>
                <w:szCs w:val="20"/>
                <w:lang w:eastAsia="zh-CN"/>
              </w:rPr>
              <w:t>12</w:t>
            </w:r>
          </w:p>
        </w:tc>
        <w:tc>
          <w:tcPr>
            <w:tcW w:w="5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25" w:type="pct"/>
            <w:vMerge w:val="continue"/>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p>
        </w:tc>
        <w:tc>
          <w:tcPr>
            <w:tcW w:w="10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玛瑙</w:t>
            </w:r>
            <w:r>
              <w:rPr>
                <w:rFonts w:cs="Times New Roman"/>
                <w:color w:val="auto"/>
                <w:sz w:val="20"/>
                <w:szCs w:val="20"/>
              </w:rPr>
              <w:t>跨越场区</w:t>
            </w:r>
          </w:p>
        </w:tc>
        <w:tc>
          <w:tcPr>
            <w:tcW w:w="688"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 xml:space="preserve">0.05 </w:t>
            </w:r>
          </w:p>
        </w:tc>
        <w:tc>
          <w:tcPr>
            <w:tcW w:w="747"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0.4</w:t>
            </w:r>
          </w:p>
        </w:tc>
        <w:tc>
          <w:tcPr>
            <w:tcW w:w="670"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0.05</w:t>
            </w:r>
          </w:p>
        </w:tc>
        <w:tc>
          <w:tcPr>
            <w:tcW w:w="5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pct"/>
            <w:vMerge w:val="restar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芭蕉-正达凯220kV线路工程</w:t>
            </w:r>
          </w:p>
        </w:tc>
        <w:tc>
          <w:tcPr>
            <w:tcW w:w="10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芭蕉</w:t>
            </w:r>
            <w:r>
              <w:rPr>
                <w:rFonts w:cs="Times New Roman"/>
                <w:color w:val="auto"/>
                <w:sz w:val="20"/>
                <w:szCs w:val="20"/>
                <w:lang w:eastAsia="zh-CN"/>
              </w:rPr>
              <w:t>塔基及临时施工区</w:t>
            </w:r>
          </w:p>
        </w:tc>
        <w:tc>
          <w:tcPr>
            <w:tcW w:w="688"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 xml:space="preserve">1.42 </w:t>
            </w:r>
          </w:p>
        </w:tc>
        <w:tc>
          <w:tcPr>
            <w:tcW w:w="747"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0.8</w:t>
            </w:r>
          </w:p>
        </w:tc>
        <w:tc>
          <w:tcPr>
            <w:tcW w:w="670"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0.</w:t>
            </w:r>
            <w:r>
              <w:rPr>
                <w:rFonts w:cs="Times New Roman"/>
                <w:color w:val="auto"/>
                <w:sz w:val="20"/>
                <w:szCs w:val="20"/>
                <w:lang w:eastAsia="zh-CN"/>
              </w:rPr>
              <w:t>73</w:t>
            </w:r>
          </w:p>
        </w:tc>
        <w:tc>
          <w:tcPr>
            <w:tcW w:w="5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pct"/>
            <w:vMerge w:val="continue"/>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p>
        </w:tc>
        <w:tc>
          <w:tcPr>
            <w:tcW w:w="10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芭蕉</w:t>
            </w:r>
            <w:r>
              <w:rPr>
                <w:rFonts w:cs="Times New Roman"/>
                <w:color w:val="auto"/>
                <w:sz w:val="20"/>
                <w:szCs w:val="20"/>
              </w:rPr>
              <w:t>施工便道区</w:t>
            </w:r>
          </w:p>
        </w:tc>
        <w:tc>
          <w:tcPr>
            <w:tcW w:w="688"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 xml:space="preserve">0.76 </w:t>
            </w:r>
          </w:p>
        </w:tc>
        <w:tc>
          <w:tcPr>
            <w:tcW w:w="747"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0.8</w:t>
            </w:r>
          </w:p>
        </w:tc>
        <w:tc>
          <w:tcPr>
            <w:tcW w:w="670"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0.</w:t>
            </w:r>
            <w:r>
              <w:rPr>
                <w:rFonts w:cs="Times New Roman"/>
                <w:color w:val="auto"/>
                <w:sz w:val="20"/>
                <w:szCs w:val="20"/>
                <w:lang w:eastAsia="zh-CN"/>
              </w:rPr>
              <w:t>76</w:t>
            </w:r>
          </w:p>
        </w:tc>
        <w:tc>
          <w:tcPr>
            <w:tcW w:w="5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pct"/>
            <w:vMerge w:val="continue"/>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p>
        </w:tc>
        <w:tc>
          <w:tcPr>
            <w:tcW w:w="10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芭蕉</w:t>
            </w:r>
            <w:r>
              <w:rPr>
                <w:rFonts w:cs="Times New Roman"/>
                <w:color w:val="auto"/>
                <w:sz w:val="20"/>
                <w:szCs w:val="20"/>
              </w:rPr>
              <w:t>牵张场区</w:t>
            </w:r>
          </w:p>
        </w:tc>
        <w:tc>
          <w:tcPr>
            <w:tcW w:w="688"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 xml:space="preserve">0.28 </w:t>
            </w:r>
          </w:p>
        </w:tc>
        <w:tc>
          <w:tcPr>
            <w:tcW w:w="747"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0.4</w:t>
            </w:r>
          </w:p>
        </w:tc>
        <w:tc>
          <w:tcPr>
            <w:tcW w:w="670"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0.</w:t>
            </w:r>
            <w:r>
              <w:rPr>
                <w:rFonts w:cs="Times New Roman"/>
                <w:color w:val="auto"/>
                <w:sz w:val="20"/>
                <w:szCs w:val="20"/>
                <w:lang w:eastAsia="zh-CN"/>
              </w:rPr>
              <w:t>28</w:t>
            </w:r>
          </w:p>
        </w:tc>
        <w:tc>
          <w:tcPr>
            <w:tcW w:w="5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25" w:type="pct"/>
            <w:vMerge w:val="continue"/>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p>
        </w:tc>
        <w:tc>
          <w:tcPr>
            <w:tcW w:w="10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芭蕉</w:t>
            </w:r>
            <w:r>
              <w:rPr>
                <w:rFonts w:cs="Times New Roman"/>
                <w:color w:val="auto"/>
                <w:sz w:val="20"/>
                <w:szCs w:val="20"/>
              </w:rPr>
              <w:t>跨越场区</w:t>
            </w:r>
          </w:p>
        </w:tc>
        <w:tc>
          <w:tcPr>
            <w:tcW w:w="688"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 xml:space="preserve">0.07 </w:t>
            </w:r>
          </w:p>
        </w:tc>
        <w:tc>
          <w:tcPr>
            <w:tcW w:w="747"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0.4</w:t>
            </w:r>
          </w:p>
        </w:tc>
        <w:tc>
          <w:tcPr>
            <w:tcW w:w="670"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0.0</w:t>
            </w:r>
            <w:r>
              <w:rPr>
                <w:rFonts w:cs="Times New Roman"/>
                <w:color w:val="auto"/>
                <w:sz w:val="20"/>
                <w:szCs w:val="20"/>
                <w:lang w:eastAsia="zh-CN"/>
              </w:rPr>
              <w:t>7</w:t>
            </w:r>
          </w:p>
        </w:tc>
        <w:tc>
          <w:tcPr>
            <w:tcW w:w="5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pct"/>
            <w:vMerge w:val="continue"/>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p>
        </w:tc>
        <w:tc>
          <w:tcPr>
            <w:tcW w:w="10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芭蕉</w:t>
            </w:r>
            <w:r>
              <w:rPr>
                <w:rFonts w:cs="Times New Roman"/>
                <w:color w:val="auto"/>
                <w:sz w:val="20"/>
                <w:szCs w:val="20"/>
              </w:rPr>
              <w:t>电缆工程区</w:t>
            </w:r>
          </w:p>
        </w:tc>
        <w:tc>
          <w:tcPr>
            <w:tcW w:w="688"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 xml:space="preserve">0.04 </w:t>
            </w:r>
          </w:p>
        </w:tc>
        <w:tc>
          <w:tcPr>
            <w:tcW w:w="747"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0.4</w:t>
            </w:r>
          </w:p>
        </w:tc>
        <w:tc>
          <w:tcPr>
            <w:tcW w:w="670"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0.04</w:t>
            </w:r>
          </w:p>
        </w:tc>
        <w:tc>
          <w:tcPr>
            <w:tcW w:w="5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0" w:type="pct"/>
            <w:gridSpan w:val="2"/>
            <w:vAlign w:val="center"/>
          </w:tcPr>
          <w:p>
            <w:pPr>
              <w:widowControl w:val="0"/>
              <w:kinsoku/>
              <w:topLinePunct/>
              <w:autoSpaceDE/>
              <w:autoSpaceDN/>
              <w:spacing w:line="240" w:lineRule="auto"/>
              <w:ind w:firstLine="0" w:firstLineChars="0"/>
              <w:jc w:val="center"/>
              <w:rPr>
                <w:rFonts w:cs="Times New Roman"/>
                <w:color w:val="auto"/>
                <w:sz w:val="20"/>
                <w:szCs w:val="20"/>
              </w:rPr>
            </w:pPr>
            <w:r>
              <w:rPr>
                <w:rFonts w:cs="Times New Roman"/>
                <w:color w:val="auto"/>
                <w:sz w:val="20"/>
                <w:szCs w:val="20"/>
                <w:lang w:eastAsia="zh-CN"/>
              </w:rPr>
              <w:t>合计</w:t>
            </w:r>
          </w:p>
        </w:tc>
        <w:tc>
          <w:tcPr>
            <w:tcW w:w="688"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3</w:t>
            </w:r>
            <w:r>
              <w:rPr>
                <w:rFonts w:hint="eastAsia" w:cs="Times New Roman"/>
                <w:color w:val="auto"/>
                <w:sz w:val="20"/>
                <w:szCs w:val="20"/>
                <w:lang w:eastAsia="zh-CN"/>
              </w:rPr>
              <w:t>.</w:t>
            </w:r>
            <w:r>
              <w:rPr>
                <w:rFonts w:cs="Times New Roman"/>
                <w:color w:val="auto"/>
                <w:sz w:val="20"/>
                <w:szCs w:val="20"/>
                <w:lang w:eastAsia="zh-CN"/>
              </w:rPr>
              <w:t>81</w:t>
            </w:r>
          </w:p>
        </w:tc>
        <w:tc>
          <w:tcPr>
            <w:tcW w:w="747"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p>
        </w:tc>
        <w:tc>
          <w:tcPr>
            <w:tcW w:w="670"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2</w:t>
            </w:r>
            <w:r>
              <w:rPr>
                <w:rFonts w:hint="eastAsia" w:cs="Times New Roman"/>
                <w:color w:val="auto"/>
                <w:sz w:val="20"/>
                <w:szCs w:val="20"/>
                <w:lang w:eastAsia="zh-CN"/>
              </w:rPr>
              <w:t>.</w:t>
            </w:r>
            <w:r>
              <w:rPr>
                <w:rFonts w:cs="Times New Roman"/>
                <w:color w:val="auto"/>
                <w:sz w:val="20"/>
                <w:szCs w:val="20"/>
                <w:lang w:eastAsia="zh-CN"/>
              </w:rPr>
              <w:t>8</w:t>
            </w:r>
            <w:r>
              <w:rPr>
                <w:rFonts w:hint="eastAsia" w:cs="Times New Roman"/>
                <w:color w:val="auto"/>
                <w:sz w:val="20"/>
                <w:szCs w:val="20"/>
                <w:lang w:eastAsia="zh-CN"/>
              </w:rPr>
              <w:t>6</w:t>
            </w:r>
          </w:p>
        </w:tc>
        <w:tc>
          <w:tcPr>
            <w:tcW w:w="585" w:type="pct"/>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p>
        </w:tc>
      </w:tr>
    </w:tbl>
    <w:p>
      <w:pPr>
        <w:keepNext/>
        <w:keepLines/>
        <w:widowControl w:val="0"/>
        <w:kinsoku/>
        <w:topLinePunct/>
        <w:autoSpaceDE/>
        <w:autoSpaceDN/>
        <w:spacing w:before="120" w:after="120" w:line="360" w:lineRule="auto"/>
        <w:ind w:firstLine="0" w:firstLineChars="0"/>
        <w:outlineLvl w:val="2"/>
        <w:rPr>
          <w:rFonts w:cs="Times New Roman"/>
          <w:b/>
          <w:bCs/>
          <w:color w:val="auto"/>
          <w:sz w:val="28"/>
          <w:szCs w:val="28"/>
          <w:lang w:eastAsia="zh-CN"/>
        </w:rPr>
      </w:pPr>
      <w:r>
        <w:rPr>
          <w:rFonts w:cs="Times New Roman"/>
          <w:b/>
          <w:bCs/>
          <w:color w:val="auto"/>
          <w:sz w:val="28"/>
          <w:szCs w:val="28"/>
          <w:lang w:eastAsia="zh-CN"/>
        </w:rPr>
        <w:t>4.3.3 土壤侵蚀模数</w:t>
      </w:r>
    </w:p>
    <w:p>
      <w:pPr>
        <w:keepNext/>
        <w:keepLines/>
        <w:widowControl w:val="0"/>
        <w:kinsoku/>
        <w:topLinePunct/>
        <w:autoSpaceDE/>
        <w:autoSpaceDN/>
        <w:spacing w:line="360" w:lineRule="auto"/>
        <w:ind w:firstLine="0" w:firstLineChars="0"/>
        <w:outlineLvl w:val="3"/>
        <w:rPr>
          <w:rFonts w:cs="Times New Roman"/>
          <w:b/>
          <w:bCs/>
          <w:color w:val="auto"/>
          <w:szCs w:val="24"/>
          <w:lang w:eastAsia="zh-CN"/>
        </w:rPr>
      </w:pPr>
      <w:r>
        <w:rPr>
          <w:rFonts w:cs="Times New Roman"/>
          <w:b/>
          <w:bCs/>
          <w:color w:val="auto"/>
          <w:szCs w:val="24"/>
          <w:lang w:eastAsia="zh-CN"/>
        </w:rPr>
        <w:t>4.3.3.1 原地貌土壤侵蚀模数</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土壤侵蚀分类分级标准》（SL190-2007），结合土壤侵蚀强度分布图，根据对项目建设区降雨、地形坡度、土地利用类型、土壤类型等因子进行现场踏勘，确定项目区土壤侵蚀强度和土壤侵蚀模数背景值，通过加权平均法计算项目区土壤侵蚀模数。项目区土壤侵蚀类型属于水力侵蚀西南紫色土区，容许土壤流失为500 t/（km²·a）。项目区土壤侵蚀以轻度水力侵蚀为主，土壤侵蚀模数背景值为1523t/（km²·a）。工程区各预测单元扰动前土壤侵蚀模数背景值见下表。</w:t>
      </w:r>
    </w:p>
    <w:p>
      <w:pPr>
        <w:widowControl w:val="0"/>
        <w:kinsoku/>
        <w:topLinePunct/>
        <w:autoSpaceDE/>
        <w:autoSpaceDN/>
        <w:spacing w:line="300" w:lineRule="auto"/>
        <w:ind w:firstLine="422"/>
        <w:jc w:val="center"/>
        <w:rPr>
          <w:rFonts w:cs="Times New Roman"/>
          <w:b/>
          <w:bCs/>
          <w:color w:val="auto"/>
          <w:sz w:val="21"/>
          <w:lang w:eastAsia="zh-CN"/>
        </w:rPr>
      </w:pPr>
      <w:r>
        <w:rPr>
          <w:rFonts w:cs="Times New Roman"/>
          <w:b/>
          <w:bCs/>
          <w:color w:val="auto"/>
          <w:sz w:val="21"/>
          <w:lang w:eastAsia="zh-CN"/>
        </w:rPr>
        <w:t>表4.3-2 土壤流失背景计算表</w:t>
      </w:r>
    </w:p>
    <w:tbl>
      <w:tblPr>
        <w:tblStyle w:val="26"/>
        <w:tblW w:w="5379" w:type="pct"/>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1020"/>
        <w:gridCol w:w="1455"/>
        <w:gridCol w:w="728"/>
        <w:gridCol w:w="728"/>
        <w:gridCol w:w="873"/>
        <w:gridCol w:w="756"/>
        <w:gridCol w:w="1140"/>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50" w:type="pct"/>
            <w:gridSpan w:val="2"/>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项目</w:t>
            </w: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地类</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面积(m2)</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地形坡度(°)</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植被覆盖率（%）</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侵蚀强度</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侵蚀模数(t/km²·a)</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年流失量（t.a）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79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玛瑙500kV变电站220kV间隔扩建工程</w:t>
            </w:r>
          </w:p>
        </w:tc>
        <w:tc>
          <w:tcPr>
            <w:tcW w:w="55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玛瑙变电站站区</w:t>
            </w: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公共管理与公共服务用地</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0.01</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&lt;5</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微度</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300</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79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芭蕉220kV变电站220kV间隔扩建工程</w:t>
            </w:r>
          </w:p>
        </w:tc>
        <w:tc>
          <w:tcPr>
            <w:tcW w:w="55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芭蕉变电站站区</w:t>
            </w: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公共管理与公共服务用地</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0.03</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&lt;5</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微度</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300</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4" w:type="pct"/>
            <w:vMerge w:val="restar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玛瑙-正达凯220kV线路工程</w:t>
            </w:r>
          </w:p>
        </w:tc>
        <w:tc>
          <w:tcPr>
            <w:tcW w:w="556" w:type="pct"/>
            <w:vMerge w:val="restar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玛瑙塔基及临时施工区</w:t>
            </w: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耕地</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0.03</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5-8</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轻度</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1200</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94"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556"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林地</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0.60</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8-15</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60-75</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轻度</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1600</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9.60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94"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556"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0.63</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1581 </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9.96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94"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55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玛瑙施工便道区</w:t>
            </w: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林地</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0.4</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15-25</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60-75</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轻度</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1600</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6.40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94"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556" w:type="pct"/>
            <w:vMerge w:val="restar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玛瑙牵张场区</w:t>
            </w: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耕地</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0.12</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5-8</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轻度</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1200</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1.44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94"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556"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0.12</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1200 </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1.44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94"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556" w:type="pct"/>
            <w:vMerge w:val="restar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玛瑙跨越场区</w:t>
            </w: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耕地</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0.02</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5-8</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轻度</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1200</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94"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556"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林地</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0.03</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5-8</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60-75</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轻度</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1500</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94"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556"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0.05</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1380</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94" w:type="pct"/>
            <w:vMerge w:val="restar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芭蕉-正达凯220kV线路工程</w:t>
            </w:r>
          </w:p>
        </w:tc>
        <w:tc>
          <w:tcPr>
            <w:tcW w:w="556" w:type="pct"/>
            <w:vMerge w:val="restar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芭蕉塔基及临时施工区</w:t>
            </w: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耕地</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0.06</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5-8</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轻度</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1200</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94"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556"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林地</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1.36</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8-15</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60-75</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轻度</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1600</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21.76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94"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556"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1.42</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1583</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22.48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94"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55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芭蕉施工便道区</w:t>
            </w: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林地</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0.76</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15-25</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60-75</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轻度</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1600</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12.16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94"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55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芭蕉牵张场区</w:t>
            </w: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耕地</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0.28</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5-8</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轻度</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1200</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3.36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94"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55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芭蕉跨越场区</w:t>
            </w: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林地</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0.07</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5-8</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60-75</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轻度</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1500</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1.05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94"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556" w:type="pct"/>
            <w:vMerge w:val="restar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芭蕉电缆工程区</w:t>
            </w: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公共管理与公共服务用地</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0.01</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&lt;5</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轻度</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300</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94"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556"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耕地</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0.03</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5-8</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轻度</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1500</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94"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556" w:type="pct"/>
            <w:vMerge w:val="continue"/>
            <w:vAlign w:val="center"/>
          </w:tcPr>
          <w:p>
            <w:pPr>
              <w:kinsoku/>
              <w:autoSpaceDE/>
              <w:autoSpaceDN/>
              <w:adjustRightInd/>
              <w:snapToGrid/>
              <w:spacing w:line="320" w:lineRule="exact"/>
              <w:ind w:firstLine="0" w:firstLineChars="0"/>
              <w:textAlignment w:val="auto"/>
              <w:rPr>
                <w:rFonts w:cs="Times New Roman"/>
                <w:snapToGrid/>
                <w:color w:val="auto"/>
                <w:sz w:val="20"/>
                <w:szCs w:val="20"/>
                <w:lang w:eastAsia="zh-CN"/>
              </w:rPr>
            </w:pP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0.04</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1200</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9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合计</w:t>
            </w:r>
          </w:p>
        </w:tc>
        <w:tc>
          <w:tcPr>
            <w:tcW w:w="55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793"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3.81</w:t>
            </w:r>
          </w:p>
        </w:tc>
        <w:tc>
          <w:tcPr>
            <w:tcW w:w="397"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76"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12"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621"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1523 </w:t>
            </w:r>
          </w:p>
        </w:tc>
        <w:tc>
          <w:tcPr>
            <w:tcW w:w="554" w:type="pct"/>
            <w:shd w:val="clear" w:color="auto" w:fill="auto"/>
            <w:vAlign w:val="center"/>
          </w:tcPr>
          <w:p>
            <w:pPr>
              <w:kinsoku/>
              <w:autoSpaceDE/>
              <w:autoSpaceDN/>
              <w:adjustRightInd/>
              <w:snapToGrid/>
              <w:spacing w:line="32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58.02 </w:t>
            </w:r>
          </w:p>
        </w:tc>
      </w:tr>
    </w:tbl>
    <w:p>
      <w:pPr>
        <w:widowControl w:val="0"/>
        <w:kinsoku/>
        <w:topLinePunct/>
        <w:autoSpaceDE/>
        <w:autoSpaceDN/>
        <w:spacing w:line="300" w:lineRule="auto"/>
        <w:ind w:firstLine="261"/>
        <w:jc w:val="both"/>
        <w:rPr>
          <w:rFonts w:cs="Times New Roman"/>
          <w:b/>
          <w:bCs/>
          <w:color w:val="auto"/>
          <w:sz w:val="13"/>
          <w:szCs w:val="13"/>
          <w:lang w:eastAsia="zh-CN"/>
        </w:rPr>
      </w:pPr>
    </w:p>
    <w:p>
      <w:pPr>
        <w:keepNext/>
        <w:keepLines/>
        <w:widowControl w:val="0"/>
        <w:kinsoku/>
        <w:topLinePunct/>
        <w:autoSpaceDE/>
        <w:autoSpaceDN/>
        <w:spacing w:line="360" w:lineRule="auto"/>
        <w:ind w:firstLine="0" w:firstLineChars="0"/>
        <w:outlineLvl w:val="3"/>
        <w:rPr>
          <w:rFonts w:cs="Times New Roman"/>
          <w:b/>
          <w:bCs/>
          <w:color w:val="auto"/>
          <w:szCs w:val="24"/>
          <w:lang w:eastAsia="zh-CN"/>
        </w:rPr>
      </w:pPr>
      <w:r>
        <w:rPr>
          <w:rFonts w:cs="Times New Roman"/>
          <w:b/>
          <w:bCs/>
          <w:color w:val="auto"/>
          <w:szCs w:val="24"/>
          <w:lang w:eastAsia="zh-CN"/>
        </w:rPr>
        <w:t>4.3.3.2 施工扰动后土壤侵蚀模数</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（1）土壤侵蚀类型划分</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项目施工建设将损坏原有地形地貌和植被，增加土壤的可侵蚀性；另一方面，由于场地平整时，挖、填土方不仅造成大面积的裸露地面，而且会改变原地形，增大侵蚀扰动表面积。施工期土壤流失量根据《生产建设项目土壤流失量测算导则》（SL773-2018）推荐公式计算，扰动后的土壤侵蚀因子可根据项目区地形地貌、气候（降雨、风速等）、土地利用、植被情况等实际情况结合工程特点，参照《生产建设项目土壤流失量测算导则》（SL773-2018）确定取值。根据项目区域现状和项目施工特点，施工期扰动类型分为地面翻扰型一般扰动地表和植被破坏型一般扰动地表两种</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1）地表翻扰型一般扰动地表</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本项目建构筑物工程、道路及管线工程、景观绿化工程、预留地、施工场地均为地表翻扰型一般扰动地表，根据《生产建设项目土壤流失量测算导则》（SL773-2018）中的规定，依据其中的公式进行计算：</w:t>
      </w:r>
    </w:p>
    <w:p>
      <w:pPr>
        <w:widowControl w:val="0"/>
        <w:kinsoku/>
        <w:topLinePunct/>
        <w:autoSpaceDE/>
        <w:autoSpaceDN/>
        <w:spacing w:line="360" w:lineRule="auto"/>
        <w:ind w:firstLine="480"/>
        <w:jc w:val="center"/>
        <w:rPr>
          <w:rFonts w:cs="Times New Roman"/>
          <w:color w:val="auto"/>
          <w:szCs w:val="24"/>
          <w:lang w:eastAsia="zh-CN"/>
        </w:rPr>
      </w:pPr>
      <w:r>
        <w:rPr>
          <w:rFonts w:cs="Times New Roman"/>
          <w:color w:val="auto"/>
          <w:szCs w:val="24"/>
          <w:lang w:eastAsia="zh-CN"/>
        </w:rPr>
        <w:t>M</w:t>
      </w:r>
      <w:r>
        <w:rPr>
          <w:rFonts w:cs="Times New Roman"/>
          <w:color w:val="auto"/>
          <w:szCs w:val="24"/>
          <w:vertAlign w:val="subscript"/>
          <w:lang w:eastAsia="zh-CN"/>
        </w:rPr>
        <w:t>yd</w:t>
      </w:r>
      <w:r>
        <w:rPr>
          <w:rFonts w:cs="Times New Roman"/>
          <w:color w:val="auto"/>
          <w:szCs w:val="24"/>
          <w:lang w:eastAsia="zh-CN"/>
        </w:rPr>
        <w:t>=RK</w:t>
      </w:r>
      <w:r>
        <w:rPr>
          <w:rFonts w:cs="Times New Roman"/>
          <w:color w:val="auto"/>
          <w:szCs w:val="24"/>
          <w:vertAlign w:val="subscript"/>
          <w:lang w:eastAsia="zh-CN"/>
        </w:rPr>
        <w:t>yd</w:t>
      </w:r>
      <w:r>
        <w:rPr>
          <w:rFonts w:cs="Times New Roman"/>
          <w:color w:val="auto"/>
          <w:szCs w:val="24"/>
          <w:lang w:eastAsia="zh-CN"/>
        </w:rPr>
        <w:t>L</w:t>
      </w:r>
      <w:r>
        <w:rPr>
          <w:rFonts w:cs="Times New Roman"/>
          <w:color w:val="auto"/>
          <w:szCs w:val="24"/>
          <w:vertAlign w:val="subscript"/>
          <w:lang w:eastAsia="zh-CN"/>
        </w:rPr>
        <w:t>y</w:t>
      </w:r>
      <w:r>
        <w:rPr>
          <w:rFonts w:cs="Times New Roman"/>
          <w:color w:val="auto"/>
          <w:szCs w:val="24"/>
          <w:lang w:eastAsia="zh-CN"/>
        </w:rPr>
        <w:t>S</w:t>
      </w:r>
      <w:r>
        <w:rPr>
          <w:rFonts w:cs="Times New Roman"/>
          <w:color w:val="auto"/>
          <w:szCs w:val="24"/>
          <w:vertAlign w:val="subscript"/>
          <w:lang w:eastAsia="zh-CN"/>
        </w:rPr>
        <w:t>y</w:t>
      </w:r>
      <w:r>
        <w:rPr>
          <w:rFonts w:cs="Times New Roman"/>
          <w:color w:val="auto"/>
          <w:szCs w:val="24"/>
          <w:lang w:eastAsia="zh-CN"/>
        </w:rPr>
        <w:t>BETA</w:t>
      </w:r>
    </w:p>
    <w:p>
      <w:pPr>
        <w:widowControl w:val="0"/>
        <w:kinsoku/>
        <w:topLinePunct/>
        <w:autoSpaceDE/>
        <w:autoSpaceDN/>
        <w:spacing w:line="360" w:lineRule="auto"/>
        <w:ind w:firstLine="480"/>
        <w:jc w:val="center"/>
        <w:rPr>
          <w:rFonts w:cs="Times New Roman"/>
          <w:color w:val="auto"/>
          <w:szCs w:val="24"/>
          <w:lang w:eastAsia="zh-CN"/>
        </w:rPr>
      </w:pPr>
      <w:r>
        <w:rPr>
          <w:rFonts w:cs="Times New Roman"/>
          <w:color w:val="auto"/>
          <w:szCs w:val="24"/>
          <w:lang w:eastAsia="zh-CN"/>
        </w:rPr>
        <w:t>Kyd=NK</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式中：</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M</w:t>
      </w:r>
      <w:r>
        <w:rPr>
          <w:rFonts w:cs="Times New Roman"/>
          <w:color w:val="auto"/>
          <w:szCs w:val="24"/>
          <w:vertAlign w:val="subscript"/>
          <w:lang w:eastAsia="zh-CN"/>
        </w:rPr>
        <w:t>yd</w:t>
      </w:r>
      <w:r>
        <w:rPr>
          <w:rFonts w:cs="Times New Roman"/>
          <w:color w:val="auto"/>
          <w:szCs w:val="24"/>
          <w:lang w:eastAsia="zh-CN"/>
        </w:rPr>
        <w:t>——地表翻扰型表计算单元土壤流失量，t；</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R——降雨侵蚀力因子，MJ·mm/（hm</w:t>
      </w:r>
      <w:r>
        <w:rPr>
          <w:rFonts w:cs="Times New Roman"/>
          <w:color w:val="auto"/>
          <w:szCs w:val="24"/>
          <w:vertAlign w:val="superscript"/>
          <w:lang w:eastAsia="zh-CN"/>
        </w:rPr>
        <w:t>2</w:t>
      </w:r>
      <w:r>
        <w:rPr>
          <w:rFonts w:cs="Times New Roman"/>
          <w:color w:val="auto"/>
          <w:szCs w:val="24"/>
          <w:lang w:eastAsia="zh-CN"/>
        </w:rPr>
        <w:t>·h）；</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K</w:t>
      </w:r>
      <w:r>
        <w:rPr>
          <w:rFonts w:cs="Times New Roman"/>
          <w:color w:val="auto"/>
          <w:szCs w:val="24"/>
          <w:vertAlign w:val="subscript"/>
          <w:lang w:eastAsia="zh-CN"/>
        </w:rPr>
        <w:t>yd</w:t>
      </w:r>
      <w:r>
        <w:rPr>
          <w:rFonts w:cs="Times New Roman"/>
          <w:color w:val="auto"/>
          <w:szCs w:val="24"/>
          <w:lang w:eastAsia="zh-CN"/>
        </w:rPr>
        <w:t>——土壤可蚀性因子，t·hm</w:t>
      </w:r>
      <w:r>
        <w:rPr>
          <w:rFonts w:cs="Times New Roman"/>
          <w:color w:val="auto"/>
          <w:szCs w:val="24"/>
          <w:vertAlign w:val="superscript"/>
          <w:lang w:eastAsia="zh-CN"/>
        </w:rPr>
        <w:t>2</w:t>
      </w:r>
      <w:r>
        <w:rPr>
          <w:rFonts w:cs="Times New Roman"/>
          <w:color w:val="auto"/>
          <w:szCs w:val="24"/>
          <w:lang w:eastAsia="zh-CN"/>
        </w:rPr>
        <w:t>·h/（hm</w:t>
      </w:r>
      <w:r>
        <w:rPr>
          <w:rFonts w:cs="Times New Roman"/>
          <w:color w:val="auto"/>
          <w:szCs w:val="24"/>
          <w:vertAlign w:val="superscript"/>
          <w:lang w:eastAsia="zh-CN"/>
        </w:rPr>
        <w:t>2</w:t>
      </w:r>
      <w:r>
        <w:rPr>
          <w:rFonts w:cs="Times New Roman"/>
          <w:color w:val="auto"/>
          <w:szCs w:val="24"/>
          <w:lang w:eastAsia="zh-CN"/>
        </w:rPr>
        <w:t>·MJ·mm）；</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L</w:t>
      </w:r>
      <w:r>
        <w:rPr>
          <w:rFonts w:cs="Times New Roman"/>
          <w:color w:val="auto"/>
          <w:szCs w:val="24"/>
          <w:vertAlign w:val="subscript"/>
          <w:lang w:eastAsia="zh-CN"/>
        </w:rPr>
        <w:t>y</w:t>
      </w:r>
      <w:r>
        <w:rPr>
          <w:rFonts w:cs="Times New Roman"/>
          <w:color w:val="auto"/>
          <w:szCs w:val="24"/>
          <w:lang w:eastAsia="zh-CN"/>
        </w:rPr>
        <w:t>——坡长因子，无量纲；</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S</w:t>
      </w:r>
      <w:r>
        <w:rPr>
          <w:rFonts w:cs="Times New Roman"/>
          <w:color w:val="auto"/>
          <w:szCs w:val="24"/>
          <w:vertAlign w:val="subscript"/>
          <w:lang w:eastAsia="zh-CN"/>
        </w:rPr>
        <w:t>y</w:t>
      </w:r>
      <w:r>
        <w:rPr>
          <w:rFonts w:cs="Times New Roman"/>
          <w:color w:val="auto"/>
          <w:szCs w:val="24"/>
          <w:lang w:eastAsia="zh-CN"/>
        </w:rPr>
        <w:t>——坡度因子，无量纲；</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B——植被覆盖因子，无量纲；</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E——工程措施因子，无量纲；</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T——耕作措施因子，无量纲；</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A——计算单元的水平投影面积，hm2。</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2）植被破坏型一般扰动地表计算单元土壤流失量按以下公式计算：</w:t>
      </w:r>
    </w:p>
    <w:p>
      <w:pPr>
        <w:widowControl w:val="0"/>
        <w:kinsoku/>
        <w:topLinePunct/>
        <w:autoSpaceDE/>
        <w:autoSpaceDN/>
        <w:spacing w:line="360" w:lineRule="auto"/>
        <w:ind w:firstLine="480"/>
        <w:jc w:val="center"/>
        <w:rPr>
          <w:rFonts w:cs="Times New Roman"/>
          <w:color w:val="auto"/>
          <w:szCs w:val="24"/>
          <w:lang w:eastAsia="zh-CN"/>
        </w:rPr>
      </w:pPr>
      <w:r>
        <w:rPr>
          <w:rFonts w:cs="Times New Roman"/>
          <w:color w:val="auto"/>
          <w:szCs w:val="24"/>
          <w:lang w:eastAsia="zh-CN"/>
        </w:rPr>
        <w:t>M</w:t>
      </w:r>
      <w:r>
        <w:rPr>
          <w:rFonts w:cs="Times New Roman"/>
          <w:color w:val="auto"/>
          <w:szCs w:val="24"/>
          <w:vertAlign w:val="subscript"/>
          <w:lang w:eastAsia="zh-CN"/>
        </w:rPr>
        <w:t>yz</w:t>
      </w:r>
      <w:r>
        <w:rPr>
          <w:rFonts w:cs="Times New Roman"/>
          <w:color w:val="auto"/>
          <w:szCs w:val="24"/>
          <w:lang w:eastAsia="zh-CN"/>
        </w:rPr>
        <w:t xml:space="preserve"> =RKL=RKL</w:t>
      </w:r>
      <w:r>
        <w:rPr>
          <w:rFonts w:cs="Times New Roman"/>
          <w:color w:val="auto"/>
          <w:szCs w:val="24"/>
          <w:vertAlign w:val="subscript"/>
          <w:lang w:eastAsia="zh-CN"/>
        </w:rPr>
        <w:t>y</w:t>
      </w:r>
      <w:r>
        <w:rPr>
          <w:rFonts w:cs="Times New Roman"/>
          <w:color w:val="auto"/>
          <w:szCs w:val="24"/>
          <w:lang w:eastAsia="zh-CN"/>
        </w:rPr>
        <w:t>S</w:t>
      </w:r>
      <w:r>
        <w:rPr>
          <w:rFonts w:cs="Times New Roman"/>
          <w:color w:val="auto"/>
          <w:szCs w:val="24"/>
          <w:vertAlign w:val="subscript"/>
          <w:lang w:eastAsia="zh-CN"/>
        </w:rPr>
        <w:t>y</w:t>
      </w:r>
      <w:r>
        <w:rPr>
          <w:rFonts w:cs="Times New Roman"/>
          <w:color w:val="auto"/>
          <w:szCs w:val="24"/>
          <w:lang w:eastAsia="zh-CN"/>
        </w:rPr>
        <w:t>BETA</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式中：</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M</w:t>
      </w:r>
      <w:r>
        <w:rPr>
          <w:rFonts w:cs="Times New Roman"/>
          <w:color w:val="auto"/>
          <w:szCs w:val="24"/>
          <w:vertAlign w:val="subscript"/>
          <w:lang w:eastAsia="zh-CN"/>
        </w:rPr>
        <w:t>yz</w:t>
      </w:r>
      <w:r>
        <w:rPr>
          <w:rFonts w:cs="Times New Roman"/>
          <w:color w:val="auto"/>
          <w:szCs w:val="24"/>
          <w:lang w:eastAsia="zh-CN"/>
        </w:rPr>
        <w:t>——植被破坏型一般扰动地表计算单元土壤流失量，t；</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R——降雨侵蚀力因子，MJ • mm/（hm</w:t>
      </w:r>
      <w:r>
        <w:rPr>
          <w:rFonts w:cs="Times New Roman"/>
          <w:color w:val="auto"/>
          <w:szCs w:val="24"/>
          <w:vertAlign w:val="superscript"/>
          <w:lang w:eastAsia="zh-CN"/>
        </w:rPr>
        <w:t>2</w:t>
      </w:r>
      <w:r>
        <w:rPr>
          <w:rFonts w:cs="Times New Roman"/>
          <w:color w:val="auto"/>
          <w:szCs w:val="24"/>
          <w:lang w:eastAsia="zh-CN"/>
        </w:rPr>
        <w:t xml:space="preserve"> • h ）；</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K——</w:t>
      </w:r>
      <w:r>
        <w:rPr>
          <w:rFonts w:hint="eastAsia" w:cs="Times New Roman"/>
          <w:color w:val="auto"/>
          <w:szCs w:val="24"/>
          <w:lang w:eastAsia="zh-CN"/>
        </w:rPr>
        <w:t>土</w:t>
      </w:r>
      <w:r>
        <w:rPr>
          <w:rFonts w:cs="Times New Roman"/>
          <w:color w:val="auto"/>
          <w:szCs w:val="24"/>
          <w:lang w:eastAsia="zh-CN"/>
        </w:rPr>
        <w:t xml:space="preserve">壤可蚀性因子，t • hm </w:t>
      </w:r>
      <w:r>
        <w:rPr>
          <w:rFonts w:cs="Times New Roman"/>
          <w:color w:val="auto"/>
          <w:szCs w:val="24"/>
          <w:vertAlign w:val="superscript"/>
          <w:lang w:eastAsia="zh-CN"/>
        </w:rPr>
        <w:t>2</w:t>
      </w:r>
      <w:r>
        <w:rPr>
          <w:rFonts w:cs="Times New Roman"/>
          <w:color w:val="auto"/>
          <w:szCs w:val="24"/>
          <w:lang w:eastAsia="zh-CN"/>
        </w:rPr>
        <w:t xml:space="preserve"> • h/（hm </w:t>
      </w:r>
      <w:r>
        <w:rPr>
          <w:rFonts w:cs="Times New Roman"/>
          <w:color w:val="auto"/>
          <w:szCs w:val="24"/>
          <w:vertAlign w:val="superscript"/>
          <w:lang w:eastAsia="zh-CN"/>
        </w:rPr>
        <w:t>2</w:t>
      </w:r>
      <w:r>
        <w:rPr>
          <w:rFonts w:cs="Times New Roman"/>
          <w:color w:val="auto"/>
          <w:szCs w:val="24"/>
          <w:lang w:eastAsia="zh-CN"/>
        </w:rPr>
        <w:t xml:space="preserve"> • MJ • mm ）；</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L</w:t>
      </w:r>
      <w:r>
        <w:rPr>
          <w:rFonts w:cs="Times New Roman"/>
          <w:color w:val="auto"/>
          <w:szCs w:val="24"/>
          <w:vertAlign w:val="subscript"/>
          <w:lang w:eastAsia="zh-CN"/>
        </w:rPr>
        <w:t>y</w:t>
      </w:r>
      <w:r>
        <w:rPr>
          <w:rFonts w:cs="Times New Roman"/>
          <w:color w:val="auto"/>
          <w:szCs w:val="24"/>
          <w:lang w:eastAsia="zh-CN"/>
        </w:rPr>
        <w:t>——坡长因子，无量纲；</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S</w:t>
      </w:r>
      <w:r>
        <w:rPr>
          <w:rFonts w:cs="Times New Roman"/>
          <w:color w:val="auto"/>
          <w:szCs w:val="24"/>
          <w:vertAlign w:val="subscript"/>
          <w:lang w:eastAsia="zh-CN"/>
        </w:rPr>
        <w:t>y</w:t>
      </w:r>
      <w:r>
        <w:rPr>
          <w:rFonts w:cs="Times New Roman"/>
          <w:color w:val="auto"/>
          <w:szCs w:val="24"/>
          <w:lang w:eastAsia="zh-CN"/>
        </w:rPr>
        <w:t>——坡度因子，无量纲；</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B——植被覆盖因子，无量纲；</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E——工程措施因子，无量纲；</w:t>
      </w:r>
    </w:p>
    <w:p>
      <w:pPr>
        <w:widowControl w:val="0"/>
        <w:kinsoku/>
        <w:topLinePunct/>
        <w:autoSpaceDE/>
        <w:autoSpaceDN/>
        <w:spacing w:line="360" w:lineRule="auto"/>
        <w:ind w:firstLine="1159" w:firstLineChars="483"/>
        <w:rPr>
          <w:rFonts w:cs="Times New Roman"/>
          <w:color w:val="auto"/>
          <w:szCs w:val="24"/>
          <w:lang w:eastAsia="zh-CN"/>
        </w:rPr>
      </w:pPr>
      <w:r>
        <w:rPr>
          <w:rFonts w:cs="Times New Roman"/>
          <w:color w:val="auto"/>
          <w:szCs w:val="24"/>
          <w:lang w:eastAsia="zh-CN"/>
        </w:rPr>
        <w:t>T——耕作措施因子，无量纲；</w:t>
      </w:r>
    </w:p>
    <w:p>
      <w:pPr>
        <w:widowControl w:val="0"/>
        <w:kinsoku/>
        <w:topLinePunct/>
        <w:autoSpaceDE/>
        <w:autoSpaceDN/>
        <w:spacing w:line="360" w:lineRule="auto"/>
        <w:ind w:firstLine="1200" w:firstLineChars="500"/>
        <w:rPr>
          <w:rFonts w:cs="Times New Roman"/>
          <w:color w:val="auto"/>
          <w:szCs w:val="24"/>
          <w:lang w:eastAsia="zh-CN"/>
        </w:rPr>
      </w:pPr>
      <w:r>
        <w:rPr>
          <w:rFonts w:cs="Times New Roman"/>
          <w:color w:val="auto"/>
          <w:szCs w:val="24"/>
          <w:lang w:eastAsia="zh-CN"/>
        </w:rPr>
        <w:t>A——计算单元的水平投影面积，hm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00" w:lineRule="auto"/>
        <w:ind w:firstLine="0" w:firstLineChars="0"/>
        <w:jc w:val="center"/>
        <w:rPr>
          <w:rFonts w:cs="Times New Roman"/>
          <w:b/>
          <w:bCs/>
          <w:color w:val="auto"/>
          <w:sz w:val="21"/>
          <w:lang w:eastAsia="zh-CN"/>
        </w:rPr>
      </w:pPr>
      <w:r>
        <w:rPr>
          <w:rFonts w:cs="Times New Roman"/>
          <w:b/>
          <w:bCs/>
          <w:color w:val="auto"/>
          <w:sz w:val="21"/>
          <w:lang w:eastAsia="zh-CN"/>
        </w:rPr>
        <w:t>表4-3 3 扰动后土壤侵蚀模数计算参数表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1748"/>
        <w:gridCol w:w="2185"/>
        <w:gridCol w:w="2019"/>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预测期</w:t>
            </w:r>
          </w:p>
        </w:tc>
        <w:tc>
          <w:tcPr>
            <w:tcW w:w="1025"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类型</w:t>
            </w:r>
          </w:p>
        </w:tc>
        <w:tc>
          <w:tcPr>
            <w:tcW w:w="2464" w:type="pct"/>
            <w:gridSpan w:val="2"/>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预测单元</w:t>
            </w:r>
          </w:p>
        </w:tc>
        <w:tc>
          <w:tcPr>
            <w:tcW w:w="1000"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土壤侵蚀模数</w:t>
            </w:r>
            <w:r>
              <w:rPr>
                <w:rFonts w:cs="Times New Roman"/>
                <w:snapToGrid/>
                <w:color w:val="auto"/>
                <w:sz w:val="20"/>
                <w:szCs w:val="20"/>
                <w:lang w:eastAsia="zh-CN"/>
              </w:rPr>
              <w:t>（t/km</w:t>
            </w:r>
            <w:r>
              <w:rPr>
                <w:rFonts w:cs="Times New Roman"/>
                <w:snapToGrid/>
                <w:color w:val="auto"/>
                <w:sz w:val="20"/>
                <w:szCs w:val="20"/>
                <w:vertAlign w:val="superscript"/>
                <w:lang w:eastAsia="zh-CN"/>
              </w:rPr>
              <w:t>2</w:t>
            </w:r>
            <w:r>
              <w:rPr>
                <w:rFonts w:eastAsia="微软雅黑" w:cs="Times New Roman"/>
                <w:snapToGrid/>
                <w:color w:val="auto"/>
                <w:sz w:val="20"/>
                <w:szCs w:val="20"/>
                <w:lang w:eastAsia="zh-CN"/>
              </w:rPr>
              <w:t>•</w:t>
            </w:r>
            <w:r>
              <w:rPr>
                <w:rFonts w:cs="Times New Roman"/>
                <w:snapToGrid/>
                <w:color w:val="auto"/>
                <w:sz w:val="20"/>
                <w:szCs w:val="20"/>
                <w:lang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Merge w:val="restar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施工期</w:t>
            </w:r>
          </w:p>
        </w:tc>
        <w:tc>
          <w:tcPr>
            <w:tcW w:w="1025" w:type="pct"/>
            <w:vMerge w:val="restar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地表翻扰型一般扰动地表</w:t>
            </w:r>
          </w:p>
        </w:tc>
        <w:tc>
          <w:tcPr>
            <w:tcW w:w="1281" w:type="pct"/>
            <w:vMerge w:val="restart"/>
            <w:vAlign w:val="center"/>
          </w:tcPr>
          <w:p>
            <w:pPr>
              <w:widowControl w:val="0"/>
              <w:topLinePunct/>
              <w:spacing w:line="260" w:lineRule="exact"/>
              <w:ind w:firstLine="400"/>
              <w:rPr>
                <w:rFonts w:cs="Times New Roman"/>
                <w:color w:val="auto"/>
                <w:sz w:val="20"/>
                <w:szCs w:val="20"/>
                <w:lang w:eastAsia="zh-CN"/>
              </w:rPr>
            </w:pPr>
            <w:r>
              <w:rPr>
                <w:rFonts w:cs="Times New Roman"/>
                <w:color w:val="auto"/>
                <w:sz w:val="20"/>
                <w:szCs w:val="20"/>
                <w:lang w:eastAsia="zh-CN"/>
              </w:rPr>
              <w:t>变电站</w:t>
            </w:r>
            <w:r>
              <w:rPr>
                <w:rFonts w:hint="eastAsia" w:cs="Times New Roman"/>
                <w:color w:val="auto"/>
                <w:sz w:val="20"/>
                <w:szCs w:val="20"/>
                <w:lang w:eastAsia="zh-CN"/>
              </w:rPr>
              <w:t>工程</w:t>
            </w:r>
          </w:p>
        </w:tc>
        <w:tc>
          <w:tcPr>
            <w:tcW w:w="1184"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玛瑙500kV变电站220kV间隔扩建工程</w:t>
            </w:r>
          </w:p>
        </w:tc>
        <w:tc>
          <w:tcPr>
            <w:tcW w:w="1000"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025"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281"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184"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芭蕉220kV变电站220kV间隔扩建工程</w:t>
            </w:r>
          </w:p>
        </w:tc>
        <w:tc>
          <w:tcPr>
            <w:tcW w:w="1000"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0"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025"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281"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玛瑙-正达凯220kV线路工程</w:t>
            </w:r>
          </w:p>
        </w:tc>
        <w:tc>
          <w:tcPr>
            <w:tcW w:w="1184"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塔基及临时施工区</w:t>
            </w:r>
          </w:p>
        </w:tc>
        <w:tc>
          <w:tcPr>
            <w:tcW w:w="1000"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025"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281" w:type="pct"/>
            <w:vMerge w:val="restar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芭蕉-正达凯220kV线路工程</w:t>
            </w:r>
          </w:p>
        </w:tc>
        <w:tc>
          <w:tcPr>
            <w:tcW w:w="1184"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塔基及临时施工区</w:t>
            </w:r>
          </w:p>
        </w:tc>
        <w:tc>
          <w:tcPr>
            <w:tcW w:w="1000"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025"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281"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184"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电缆工程区</w:t>
            </w:r>
          </w:p>
        </w:tc>
        <w:tc>
          <w:tcPr>
            <w:tcW w:w="1000"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025" w:type="pct"/>
            <w:vMerge w:val="restart"/>
            <w:vAlign w:val="center"/>
          </w:tcPr>
          <w:p>
            <w:pPr>
              <w:widowControl w:val="0"/>
              <w:topLinePunct/>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植被破坏型一般扰动地表</w:t>
            </w:r>
          </w:p>
        </w:tc>
        <w:tc>
          <w:tcPr>
            <w:tcW w:w="1281" w:type="pct"/>
            <w:vMerge w:val="restar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玛瑙-正达凯220kV线路工程</w:t>
            </w:r>
          </w:p>
        </w:tc>
        <w:tc>
          <w:tcPr>
            <w:tcW w:w="1184" w:type="pct"/>
            <w:shd w:val="clear" w:color="auto" w:fill="auto"/>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rPr>
              <w:t>施工便道区</w:t>
            </w:r>
          </w:p>
        </w:tc>
        <w:tc>
          <w:tcPr>
            <w:tcW w:w="1000"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0"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025" w:type="pct"/>
            <w:vMerge w:val="continue"/>
            <w:vAlign w:val="center"/>
          </w:tcPr>
          <w:p>
            <w:pPr>
              <w:widowControl w:val="0"/>
              <w:topLinePunct/>
              <w:spacing w:line="260" w:lineRule="exact"/>
              <w:ind w:firstLine="400"/>
              <w:jc w:val="center"/>
              <w:rPr>
                <w:rFonts w:cs="Times New Roman"/>
                <w:color w:val="auto"/>
                <w:sz w:val="20"/>
                <w:szCs w:val="20"/>
                <w:lang w:eastAsia="zh-CN"/>
              </w:rPr>
            </w:pPr>
          </w:p>
        </w:tc>
        <w:tc>
          <w:tcPr>
            <w:tcW w:w="1281"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184" w:type="pct"/>
            <w:shd w:val="clear" w:color="auto" w:fill="auto"/>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rPr>
              <w:t>牵张场区</w:t>
            </w:r>
          </w:p>
        </w:tc>
        <w:tc>
          <w:tcPr>
            <w:tcW w:w="1000"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025" w:type="pct"/>
            <w:vMerge w:val="continue"/>
            <w:vAlign w:val="center"/>
          </w:tcPr>
          <w:p>
            <w:pPr>
              <w:widowControl w:val="0"/>
              <w:topLinePunct/>
              <w:spacing w:line="260" w:lineRule="exact"/>
              <w:ind w:firstLine="400"/>
              <w:jc w:val="center"/>
              <w:rPr>
                <w:rFonts w:cs="Times New Roman"/>
                <w:color w:val="auto"/>
                <w:sz w:val="20"/>
                <w:szCs w:val="20"/>
                <w:lang w:eastAsia="zh-CN"/>
              </w:rPr>
            </w:pPr>
          </w:p>
        </w:tc>
        <w:tc>
          <w:tcPr>
            <w:tcW w:w="1281"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184"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rPr>
              <w:t>跨越场区</w:t>
            </w:r>
          </w:p>
        </w:tc>
        <w:tc>
          <w:tcPr>
            <w:tcW w:w="1000" w:type="pct"/>
            <w:shd w:val="clear" w:color="auto" w:fill="auto"/>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025"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281" w:type="pct"/>
            <w:vMerge w:val="restar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芭蕉-正达凯220kV线路工程</w:t>
            </w:r>
          </w:p>
        </w:tc>
        <w:tc>
          <w:tcPr>
            <w:tcW w:w="1184" w:type="pct"/>
            <w:shd w:val="clear" w:color="auto" w:fill="auto"/>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rPr>
              <w:t>施工便道区</w:t>
            </w:r>
          </w:p>
        </w:tc>
        <w:tc>
          <w:tcPr>
            <w:tcW w:w="1000"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025"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281"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184" w:type="pct"/>
            <w:shd w:val="clear" w:color="auto" w:fill="auto"/>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rPr>
              <w:t>牵张场区</w:t>
            </w:r>
          </w:p>
        </w:tc>
        <w:tc>
          <w:tcPr>
            <w:tcW w:w="1000" w:type="pct"/>
            <w:shd w:val="clear" w:color="auto" w:fill="auto"/>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0"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025"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281" w:type="pct"/>
            <w:vMerge w:val="continue"/>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p>
        </w:tc>
        <w:tc>
          <w:tcPr>
            <w:tcW w:w="1184" w:type="pct"/>
            <w:shd w:val="clear" w:color="auto" w:fill="auto"/>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rPr>
              <w:t>跨越场区</w:t>
            </w:r>
          </w:p>
        </w:tc>
        <w:tc>
          <w:tcPr>
            <w:tcW w:w="1000" w:type="pct"/>
            <w:vAlign w:val="center"/>
          </w:tcPr>
          <w:p>
            <w:pPr>
              <w:widowControl w:val="0"/>
              <w:kinsoku/>
              <w:topLinePunct/>
              <w:autoSpaceDE/>
              <w:autoSpaceDN/>
              <w:spacing w:line="260" w:lineRule="exact"/>
              <w:ind w:firstLine="0" w:firstLineChars="0"/>
              <w:jc w:val="center"/>
              <w:rPr>
                <w:rFonts w:cs="Times New Roman"/>
                <w:color w:val="auto"/>
                <w:sz w:val="20"/>
                <w:szCs w:val="20"/>
                <w:lang w:eastAsia="zh-CN"/>
              </w:rPr>
            </w:pPr>
            <w:r>
              <w:rPr>
                <w:rFonts w:cs="Times New Roman"/>
                <w:color w:val="auto"/>
                <w:sz w:val="20"/>
                <w:szCs w:val="20"/>
                <w:lang w:eastAsia="zh-CN"/>
              </w:rPr>
              <w:t>2200</w:t>
            </w:r>
          </w:p>
        </w:tc>
      </w:tr>
    </w:tbl>
    <w:p>
      <w:pPr>
        <w:keepNext/>
        <w:keepLines/>
        <w:widowControl w:val="0"/>
        <w:kinsoku/>
        <w:topLinePunct/>
        <w:autoSpaceDE/>
        <w:autoSpaceDN/>
        <w:spacing w:before="120" w:beforeLines="50" w:line="360" w:lineRule="auto"/>
        <w:ind w:firstLine="0" w:firstLineChars="0"/>
        <w:outlineLvl w:val="3"/>
        <w:rPr>
          <w:rFonts w:cs="Times New Roman"/>
          <w:b/>
          <w:bCs/>
          <w:color w:val="auto"/>
          <w:szCs w:val="24"/>
          <w:lang w:eastAsia="zh-CN"/>
        </w:rPr>
      </w:pPr>
      <w:r>
        <w:rPr>
          <w:rFonts w:cs="Times New Roman"/>
          <w:b/>
          <w:bCs/>
          <w:color w:val="auto"/>
          <w:szCs w:val="24"/>
          <w:lang w:eastAsia="zh-CN"/>
        </w:rPr>
        <w:t>4.3.3.3 自然恢复期土壤侵蚀模数</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自然恢复期土壤流失量根据自然恢复期侵蚀模数计算，侵蚀模数按恢复2年后逐渐降低至背景值综合考虑取值，本项目自然恢复期土壤侵蚀模数取1800t/（km</w:t>
      </w:r>
      <w:r>
        <w:rPr>
          <w:rFonts w:cs="Times New Roman"/>
          <w:color w:val="auto"/>
          <w:szCs w:val="24"/>
          <w:vertAlign w:val="superscript"/>
          <w:lang w:eastAsia="zh-CN"/>
        </w:rPr>
        <w:t>2</w:t>
      </w:r>
      <w:r>
        <w:rPr>
          <w:rFonts w:cs="Times New Roman"/>
          <w:color w:val="auto"/>
          <w:szCs w:val="24"/>
          <w:lang w:eastAsia="zh-CN"/>
        </w:rPr>
        <w:t>·a）。</w:t>
      </w:r>
    </w:p>
    <w:p>
      <w:pPr>
        <w:keepNext/>
        <w:keepLines/>
        <w:widowControl w:val="0"/>
        <w:kinsoku/>
        <w:topLinePunct/>
        <w:autoSpaceDE/>
        <w:autoSpaceDN/>
        <w:spacing w:before="120" w:after="120" w:line="360" w:lineRule="auto"/>
        <w:ind w:firstLine="0" w:firstLineChars="0"/>
        <w:outlineLvl w:val="2"/>
        <w:rPr>
          <w:rFonts w:cs="Times New Roman"/>
          <w:b/>
          <w:bCs/>
          <w:color w:val="auto"/>
          <w:sz w:val="28"/>
          <w:szCs w:val="28"/>
          <w:lang w:eastAsia="zh-CN"/>
        </w:rPr>
      </w:pPr>
      <w:r>
        <w:rPr>
          <w:rFonts w:cs="Times New Roman"/>
          <w:b/>
          <w:bCs/>
          <w:color w:val="auto"/>
          <w:sz w:val="28"/>
          <w:szCs w:val="28"/>
          <w:lang w:eastAsia="zh-CN"/>
        </w:rPr>
        <w:t>4.3.4 预测结果</w:t>
      </w:r>
    </w:p>
    <w:p>
      <w:pPr>
        <w:keepNext/>
        <w:keepLines/>
        <w:widowControl w:val="0"/>
        <w:kinsoku/>
        <w:topLinePunct/>
        <w:autoSpaceDE/>
        <w:autoSpaceDN/>
        <w:spacing w:line="360" w:lineRule="auto"/>
        <w:ind w:firstLine="0" w:firstLineChars="0"/>
        <w:outlineLvl w:val="3"/>
        <w:rPr>
          <w:rFonts w:cs="Times New Roman"/>
          <w:b/>
          <w:bCs/>
          <w:color w:val="auto"/>
          <w:szCs w:val="24"/>
          <w:lang w:eastAsia="zh-CN"/>
        </w:rPr>
      </w:pPr>
      <w:r>
        <w:rPr>
          <w:rFonts w:cs="Times New Roman"/>
          <w:b/>
          <w:bCs/>
          <w:color w:val="auto"/>
          <w:szCs w:val="24"/>
          <w:lang w:eastAsia="zh-CN"/>
        </w:rPr>
        <w:t>4.3.4.1 预测方法</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土壤流失量的大小是由水土流失程度和施工期限来确定的，水土流失程度系自然因素和人为活动因素所造成。水力侵蚀自然因素以植被率的高低、地面坡度、地表土壤的抗蚀强度等三个因素为主，而人为活动又将对以上因素进一步改变和破坏，从而改变水力侵蚀的速度。土壤流失预测是假定工程建设过程中不采取任何水土保持措施条件下将造成的土壤流失面积和土壤流失量。根据《生产建设项目水土保持技术标准》（GB50433-2018），扰动地表土壤流失量W预测按下列按下式计算：</w:t>
      </w:r>
    </w:p>
    <w:p>
      <w:pPr>
        <w:widowControl w:val="0"/>
        <w:kinsoku/>
        <w:topLinePunct/>
        <w:autoSpaceDE/>
        <w:autoSpaceDN/>
        <w:spacing w:line="300" w:lineRule="auto"/>
        <w:ind w:firstLine="0" w:firstLineChars="0"/>
        <w:jc w:val="center"/>
        <w:rPr>
          <w:rFonts w:cs="Times New Roman"/>
          <w:color w:val="auto"/>
          <w:szCs w:val="24"/>
          <w:lang w:eastAsia="zh-CN"/>
        </w:rPr>
      </w:pPr>
      <w:r>
        <w:rPr>
          <w:rFonts w:cs="Times New Roman"/>
          <w:color w:val="auto"/>
          <w:szCs w:val="24"/>
          <w:lang w:eastAsia="zh-CN"/>
        </w:rPr>
        <w:drawing>
          <wp:inline distT="0" distB="0" distL="0" distR="0">
            <wp:extent cx="2974340" cy="1855470"/>
            <wp:effectExtent l="0" t="0" r="0" b="0"/>
            <wp:docPr id="183890821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38908210" name="图片 1"/>
                    <pic:cNvPicPr>
                      <a:picLocks noChangeAspect="true"/>
                    </pic:cNvPicPr>
                  </pic:nvPicPr>
                  <pic:blipFill>
                    <a:blip r:embed="rId55" cstate="print">
                      <a:extLst>
                        <a:ext uri="{28A0092B-C50C-407E-A947-70E740481C1C}">
                          <a14:useLocalDpi xmlns:a14="http://schemas.microsoft.com/office/drawing/2010/main" val="false"/>
                        </a:ext>
                      </a:extLst>
                    </a:blip>
                    <a:stretch>
                      <a:fillRect/>
                    </a:stretch>
                  </pic:blipFill>
                  <pic:spPr>
                    <a:xfrm>
                      <a:off x="0" y="0"/>
                      <a:ext cx="2986496" cy="1863032"/>
                    </a:xfrm>
                    <a:prstGeom prst="rect">
                      <a:avLst/>
                    </a:prstGeom>
                  </pic:spPr>
                </pic:pic>
              </a:graphicData>
            </a:graphic>
          </wp:inline>
        </w:drawing>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式中：</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W——土壤流失量，t；</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Δ W——新增土壤流失量，t；</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Fji——某时段某单元的预测面积，km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Mji——某时段某单元的土壤侵蚀模数，t/(km</w:t>
      </w:r>
      <w:r>
        <w:rPr>
          <w:rFonts w:cs="Times New Roman"/>
          <w:color w:val="auto"/>
          <w:szCs w:val="24"/>
          <w:vertAlign w:val="superscript"/>
          <w:lang w:eastAsia="zh-CN"/>
        </w:rPr>
        <w:t>2</w:t>
      </w:r>
      <w:r>
        <w:rPr>
          <w:rFonts w:cs="Times New Roman"/>
          <w:color w:val="auto"/>
          <w:szCs w:val="24"/>
          <w:lang w:eastAsia="zh-CN"/>
        </w:rPr>
        <w:t>.a)；</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Δ Mji——某时段某单元的新增土壤侵蚀模数，t/(km</w:t>
      </w:r>
      <w:r>
        <w:rPr>
          <w:rFonts w:cs="Times New Roman"/>
          <w:color w:val="auto"/>
          <w:szCs w:val="24"/>
          <w:vertAlign w:val="superscript"/>
          <w:lang w:eastAsia="zh-CN"/>
        </w:rPr>
        <w:t>2</w:t>
      </w:r>
      <w:r>
        <w:rPr>
          <w:rFonts w:cs="Times New Roman"/>
          <w:color w:val="auto"/>
          <w:szCs w:val="24"/>
          <w:lang w:eastAsia="zh-CN"/>
        </w:rPr>
        <w:t>.a)；</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Tji——某时段某单元的预测时间，a；</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i——预测单元，i＝1，2，3，……,n；</w:t>
      </w:r>
    </w:p>
    <w:p>
      <w:pPr>
        <w:widowControl w:val="0"/>
        <w:kinsoku/>
        <w:topLinePunct/>
        <w:autoSpaceDE/>
        <w:autoSpaceDN/>
        <w:spacing w:line="360" w:lineRule="auto"/>
        <w:ind w:firstLine="1080" w:firstLineChars="450"/>
        <w:rPr>
          <w:rFonts w:cs="Times New Roman"/>
          <w:color w:val="auto"/>
          <w:szCs w:val="24"/>
          <w:lang w:eastAsia="zh-CN"/>
        </w:rPr>
      </w:pPr>
      <w:r>
        <w:rPr>
          <w:rFonts w:cs="Times New Roman"/>
          <w:color w:val="auto"/>
          <w:szCs w:val="24"/>
          <w:lang w:eastAsia="zh-CN"/>
        </w:rPr>
        <w:t>j——预测时段，j＝1 、2，指施工期和自然恢复期。</w:t>
      </w:r>
    </w:p>
    <w:p>
      <w:pPr>
        <w:keepNext/>
        <w:keepLines/>
        <w:widowControl w:val="0"/>
        <w:kinsoku/>
        <w:topLinePunct/>
        <w:autoSpaceDE/>
        <w:autoSpaceDN/>
        <w:spacing w:line="360" w:lineRule="auto"/>
        <w:ind w:firstLine="0" w:firstLineChars="0"/>
        <w:outlineLvl w:val="3"/>
        <w:rPr>
          <w:rFonts w:cs="Times New Roman"/>
          <w:b/>
          <w:bCs/>
          <w:color w:val="auto"/>
          <w:szCs w:val="24"/>
          <w:lang w:eastAsia="zh-CN"/>
        </w:rPr>
      </w:pPr>
      <w:r>
        <w:rPr>
          <w:rFonts w:cs="Times New Roman"/>
          <w:b/>
          <w:bCs/>
          <w:color w:val="auto"/>
          <w:szCs w:val="24"/>
          <w:lang w:eastAsia="zh-CN"/>
        </w:rPr>
        <w:t>4.3.4.2 预测结果</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根据土壤侵蚀量的预测模式，计算本项目施工期、自然恢复期不同区域的水土流失量。计算结果详见表4.3-4。本项目背景流失总量77.13t，预测流失总量为243.77t，新增水土流失总量为114.74t。</w:t>
      </w:r>
    </w:p>
    <w:p>
      <w:pPr>
        <w:widowControl w:val="0"/>
        <w:kinsoku/>
        <w:topLinePunct/>
        <w:autoSpaceDE/>
        <w:autoSpaceDN/>
        <w:spacing w:line="360" w:lineRule="auto"/>
        <w:ind w:firstLine="482"/>
        <w:jc w:val="center"/>
        <w:rPr>
          <w:rFonts w:cs="Times New Roman"/>
          <w:b/>
          <w:bCs/>
          <w:color w:val="auto"/>
          <w:lang w:eastAsia="zh-CN"/>
        </w:rPr>
        <w:sectPr>
          <w:pgSz w:w="11906" w:h="16838"/>
          <w:pgMar w:top="1440" w:right="1797" w:bottom="1440" w:left="1797" w:header="851" w:footer="992" w:gutter="0"/>
          <w:cols w:space="425" w:num="1"/>
          <w:docGrid w:linePitch="312" w:charSpace="0"/>
        </w:sectPr>
      </w:pPr>
    </w:p>
    <w:p>
      <w:pPr>
        <w:widowControl w:val="0"/>
        <w:kinsoku/>
        <w:topLinePunct/>
        <w:autoSpaceDE/>
        <w:autoSpaceDN/>
        <w:spacing w:before="204" w:beforeLines="85" w:line="360" w:lineRule="auto"/>
        <w:ind w:firstLine="482"/>
        <w:jc w:val="center"/>
        <w:rPr>
          <w:rFonts w:cs="Times New Roman"/>
          <w:b/>
          <w:bCs/>
          <w:color w:val="auto"/>
          <w:lang w:eastAsia="zh-CN"/>
        </w:rPr>
      </w:pPr>
      <w:r>
        <w:rPr>
          <w:rFonts w:cs="Times New Roman"/>
          <w:b/>
          <w:bCs/>
          <w:color w:val="auto"/>
          <w:lang w:eastAsia="zh-CN"/>
        </w:rPr>
        <w:t>表4.3-4 水土流失量计算表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2119"/>
        <w:gridCol w:w="1106"/>
        <w:gridCol w:w="1241"/>
        <w:gridCol w:w="1217"/>
        <w:gridCol w:w="1217"/>
        <w:gridCol w:w="937"/>
        <w:gridCol w:w="864"/>
        <w:gridCol w:w="1007"/>
        <w:gridCol w:w="1007"/>
        <w:gridCol w:w="1007"/>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blHeader/>
        </w:trPr>
        <w:tc>
          <w:tcPr>
            <w:tcW w:w="1510" w:type="pct"/>
            <w:gridSpan w:val="3"/>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预测单元</w:t>
            </w:r>
          </w:p>
        </w:tc>
        <w:tc>
          <w:tcPr>
            <w:tcW w:w="46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预测时段</w:t>
            </w:r>
          </w:p>
        </w:tc>
        <w:tc>
          <w:tcPr>
            <w:tcW w:w="45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土壤侵蚀背景值（t/km²·a）</w:t>
            </w:r>
          </w:p>
        </w:tc>
        <w:tc>
          <w:tcPr>
            <w:tcW w:w="45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扰动后侵蚀模数（t/km²·a）</w:t>
            </w:r>
          </w:p>
        </w:tc>
        <w:tc>
          <w:tcPr>
            <w:tcW w:w="348"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侵蚀面积</w:t>
            </w:r>
          </w:p>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（hm</w:t>
            </w:r>
            <w:r>
              <w:rPr>
                <w:rFonts w:cs="Times New Roman"/>
                <w:snapToGrid/>
                <w:color w:val="auto"/>
                <w:sz w:val="20"/>
                <w:szCs w:val="20"/>
                <w:vertAlign w:val="superscript"/>
                <w:lang w:eastAsia="zh-CN"/>
              </w:rPr>
              <w:t>2</w:t>
            </w:r>
            <w:r>
              <w:rPr>
                <w:rFonts w:cs="Times New Roman"/>
                <w:snapToGrid/>
                <w:color w:val="auto"/>
                <w:sz w:val="20"/>
                <w:szCs w:val="20"/>
                <w:lang w:eastAsia="zh-CN"/>
              </w:rPr>
              <w:t>）</w:t>
            </w:r>
          </w:p>
        </w:tc>
        <w:tc>
          <w:tcPr>
            <w:tcW w:w="32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侵蚀时间</w:t>
            </w:r>
          </w:p>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（a）</w:t>
            </w:r>
          </w:p>
        </w:tc>
        <w:tc>
          <w:tcPr>
            <w:tcW w:w="37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背景流失</w:t>
            </w:r>
          </w:p>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量（t）</w:t>
            </w:r>
          </w:p>
        </w:tc>
        <w:tc>
          <w:tcPr>
            <w:tcW w:w="37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预测流失</w:t>
            </w:r>
          </w:p>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量（t）</w:t>
            </w:r>
          </w:p>
        </w:tc>
        <w:tc>
          <w:tcPr>
            <w:tcW w:w="37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新增流失</w:t>
            </w:r>
          </w:p>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量（t）</w:t>
            </w:r>
          </w:p>
        </w:tc>
        <w:tc>
          <w:tcPr>
            <w:tcW w:w="334"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color w:val="auto"/>
                <w:sz w:val="18"/>
                <w:szCs w:val="18"/>
                <w:lang w:eastAsia="zh-CN"/>
              </w:rPr>
            </w:pPr>
            <w:r>
              <w:rPr>
                <w:rFonts w:cs="Times New Roman"/>
                <w:color w:val="auto"/>
                <w:sz w:val="18"/>
                <w:szCs w:val="18"/>
              </w:rPr>
              <w:t>占新增流</w:t>
            </w:r>
          </w:p>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color w:val="auto"/>
                <w:sz w:val="18"/>
                <w:szCs w:val="18"/>
              </w:rPr>
              <w:t>失量的%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restar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变电站</w:t>
            </w:r>
          </w:p>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工程区</w:t>
            </w:r>
          </w:p>
        </w:tc>
        <w:tc>
          <w:tcPr>
            <w:tcW w:w="787" w:type="pct"/>
            <w:vMerge w:val="restar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玛瑙500kV变电站220kV间隔扩建工程区</w:t>
            </w:r>
          </w:p>
        </w:tc>
        <w:tc>
          <w:tcPr>
            <w:tcW w:w="411" w:type="pct"/>
            <w:vMerge w:val="restart"/>
            <w:shd w:val="clear" w:color="auto" w:fill="auto"/>
            <w:vAlign w:val="center"/>
          </w:tcPr>
          <w:p>
            <w:pPr>
              <w:spacing w:line="240" w:lineRule="auto"/>
              <w:ind w:left="-50" w:right="-50" w:firstLine="0" w:firstLineChars="0"/>
              <w:rPr>
                <w:rFonts w:cs="Times New Roman"/>
                <w:snapToGrid/>
                <w:color w:val="auto"/>
                <w:sz w:val="20"/>
                <w:szCs w:val="20"/>
                <w:lang w:eastAsia="zh-CN"/>
              </w:rPr>
            </w:pPr>
            <w:r>
              <w:rPr>
                <w:rFonts w:cs="Times New Roman"/>
                <w:snapToGrid/>
                <w:color w:val="auto"/>
                <w:sz w:val="20"/>
                <w:szCs w:val="20"/>
                <w:lang w:eastAsia="zh-CN"/>
              </w:rPr>
              <w:t>玛瑙变电站站区</w:t>
            </w: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施工期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300</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3500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0.01</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0.4</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0.01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0.14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0.13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spacing w:line="240" w:lineRule="auto"/>
              <w:ind w:left="-50" w:right="-50" w:firstLine="0" w:firstLineChars="0"/>
              <w:jc w:val="center"/>
              <w:rPr>
                <w:rFonts w:cs="Times New Roman"/>
                <w:snapToGrid/>
                <w:color w:val="auto"/>
                <w:sz w:val="20"/>
                <w:szCs w:val="20"/>
                <w:lang w:eastAsia="zh-CN"/>
              </w:rPr>
            </w:pPr>
          </w:p>
        </w:tc>
        <w:tc>
          <w:tcPr>
            <w:tcW w:w="411" w:type="pct"/>
            <w:vMerge w:val="continue"/>
            <w:vAlign w:val="center"/>
          </w:tcPr>
          <w:p>
            <w:pPr>
              <w:spacing w:line="240" w:lineRule="auto"/>
              <w:ind w:left="-50" w:right="-50" w:firstLine="0" w:firstLineChars="0"/>
              <w:jc w:val="center"/>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自然恢复期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300</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1800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0.01</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2</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0.06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0.36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0.30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spacing w:line="240" w:lineRule="auto"/>
              <w:ind w:left="-50" w:right="-50" w:firstLine="0" w:firstLineChars="0"/>
              <w:jc w:val="center"/>
              <w:rPr>
                <w:rFonts w:cs="Times New Roman"/>
                <w:snapToGrid/>
                <w:color w:val="auto"/>
                <w:sz w:val="20"/>
                <w:szCs w:val="20"/>
                <w:lang w:eastAsia="zh-CN"/>
              </w:rPr>
            </w:pPr>
          </w:p>
        </w:tc>
        <w:tc>
          <w:tcPr>
            <w:tcW w:w="411" w:type="pct"/>
            <w:vMerge w:val="continue"/>
            <w:vAlign w:val="center"/>
          </w:tcPr>
          <w:p>
            <w:pPr>
              <w:spacing w:line="240" w:lineRule="auto"/>
              <w:ind w:left="-50" w:right="-50" w:firstLine="0" w:firstLineChars="0"/>
              <w:jc w:val="center"/>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0.07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0.50 </w:t>
            </w:r>
          </w:p>
        </w:tc>
        <w:tc>
          <w:tcPr>
            <w:tcW w:w="37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0.43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restar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芭蕉220kV变电站220kV间隔扩建工程区</w:t>
            </w:r>
          </w:p>
        </w:tc>
        <w:tc>
          <w:tcPr>
            <w:tcW w:w="411" w:type="pct"/>
            <w:vMerge w:val="restar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芭蕉变电站站区</w:t>
            </w: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施工期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300</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4000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0.03</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0.4</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0.04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0.48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0.44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自然恢复期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300</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1800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0.03</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2</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0.18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1.08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0.90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0.22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1.56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1.34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restar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线路</w:t>
            </w:r>
          </w:p>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工程区</w:t>
            </w:r>
          </w:p>
        </w:tc>
        <w:tc>
          <w:tcPr>
            <w:tcW w:w="787" w:type="pct"/>
            <w:vMerge w:val="restar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玛瑙-正达凯220kV线路工程区</w:t>
            </w:r>
          </w:p>
        </w:tc>
        <w:tc>
          <w:tcPr>
            <w:tcW w:w="411" w:type="pct"/>
            <w:vMerge w:val="restar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玛瑙塔基及临时施工区</w:t>
            </w: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施工期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1543</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6600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0.63</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0.8</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7.78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33.26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25.49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自然恢复期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1543</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1800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0.37</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2</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11.42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13.32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1.90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19.19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46.58 </w:t>
            </w:r>
          </w:p>
        </w:tc>
        <w:tc>
          <w:tcPr>
            <w:tcW w:w="37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27.39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23.87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restar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玛瑙施工便道区</w:t>
            </w: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施工期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1600</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2000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0.40</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0.8</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5.12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6.40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1.28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自然恢复期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1600</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1800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0.40</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2</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12.80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14.40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1.60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17.92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20.80 </w:t>
            </w:r>
          </w:p>
        </w:tc>
        <w:tc>
          <w:tcPr>
            <w:tcW w:w="37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2.88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restar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玛瑙牵张场区</w:t>
            </w: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施工期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1227</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2000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0.12</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0.4</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0.59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0.96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0.37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自然恢复期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1227</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1800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0.12</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2</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2.94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4.32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1.38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3.53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5.28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1.75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restar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玛瑙跨越场区</w:t>
            </w: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施工期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1350</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2200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0.05</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0.4</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0.27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0.44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0.17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自然恢复期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1350</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1800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0.05</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2</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1.35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1.80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0.45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1.62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2.24 </w:t>
            </w:r>
          </w:p>
        </w:tc>
        <w:tc>
          <w:tcPr>
            <w:tcW w:w="37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0.62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restar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芭蕉-正达凯220kV线路工程区</w:t>
            </w:r>
          </w:p>
        </w:tc>
        <w:tc>
          <w:tcPr>
            <w:tcW w:w="411" w:type="pct"/>
            <w:vMerge w:val="restar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芭蕉塔基及临时施工区</w:t>
            </w: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施工期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1571</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6600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1.42</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0.8</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17.85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74.98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57.13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49.79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自然恢复期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1571</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1800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0.73</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2</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22.94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26.28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3.34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40.78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101.26 </w:t>
            </w:r>
          </w:p>
        </w:tc>
        <w:tc>
          <w:tcPr>
            <w:tcW w:w="37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60.47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52.70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restar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芭蕉施工便道区</w:t>
            </w: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施工期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1600</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3300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0.76</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0.8</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9.73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20.06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10.34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自然恢复期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1600</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1800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0.76</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2</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24.32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27.36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3.04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34.05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47.42 </w:t>
            </w:r>
          </w:p>
        </w:tc>
        <w:tc>
          <w:tcPr>
            <w:tcW w:w="37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13.38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restar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芭蕉牵张场区</w:t>
            </w: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施工期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1200</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2200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0.28</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0.4</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1.34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2.46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1.12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自然恢复期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1200</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1800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0.28</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2</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6.72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10.08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3.36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8.06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12.54 </w:t>
            </w:r>
          </w:p>
        </w:tc>
        <w:tc>
          <w:tcPr>
            <w:tcW w:w="37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4.48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restar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芭蕉跨越场区</w:t>
            </w: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施工期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1500</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2200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0.07</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0.4</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0.42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0.62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0.20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自然恢复期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1500</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1800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0.07</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2</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2.10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2.52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0.42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2.52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3.14 </w:t>
            </w:r>
          </w:p>
        </w:tc>
        <w:tc>
          <w:tcPr>
            <w:tcW w:w="37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0.62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restar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芭蕉电缆工程区</w:t>
            </w: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施工期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1100</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5400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0.04</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0.4</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0.18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0.86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0.69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自然恢复期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1100</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1800</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0.04</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2</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0.88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1.44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0.56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2"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787"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11" w:type="pct"/>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1.06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2.30 </w:t>
            </w:r>
          </w:p>
        </w:tc>
        <w:tc>
          <w:tcPr>
            <w:tcW w:w="37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snapToGrid/>
                <w:color w:val="auto"/>
                <w:sz w:val="20"/>
                <w:szCs w:val="20"/>
                <w:lang w:eastAsia="zh-CN"/>
              </w:rPr>
              <w:t>1.25</w:t>
            </w:r>
          </w:p>
        </w:tc>
        <w:tc>
          <w:tcPr>
            <w:tcW w:w="33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510" w:type="pct"/>
            <w:gridSpan w:val="3"/>
            <w:vMerge w:val="restar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合计</w:t>
            </w: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施工期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43.32</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140.93 </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97.35 </w:t>
            </w:r>
          </w:p>
        </w:tc>
        <w:tc>
          <w:tcPr>
            <w:tcW w:w="33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color w:val="auto"/>
                <w:sz w:val="20"/>
                <w:szCs w:val="20"/>
              </w:rPr>
              <w:t xml:space="preserve">84.84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510" w:type="pct"/>
            <w:gridSpan w:val="3"/>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自然恢复期</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85.71</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103.10</w:t>
            </w:r>
          </w:p>
        </w:tc>
        <w:tc>
          <w:tcPr>
            <w:tcW w:w="374" w:type="pct"/>
            <w:shd w:val="clear" w:color="auto" w:fill="auto"/>
            <w:noWrap/>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17.39</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15.16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510" w:type="pct"/>
            <w:gridSpan w:val="3"/>
            <w:vMerge w:val="continue"/>
            <w:vAlign w:val="center"/>
          </w:tcPr>
          <w:p>
            <w:pPr>
              <w:kinsoku/>
              <w:autoSpaceDE/>
              <w:autoSpaceDN/>
              <w:adjustRightInd/>
              <w:snapToGrid/>
              <w:spacing w:line="240" w:lineRule="auto"/>
              <w:ind w:left="-50" w:right="-50" w:firstLine="0" w:firstLineChars="0"/>
              <w:textAlignment w:val="auto"/>
              <w:rPr>
                <w:rFonts w:cs="Times New Roman"/>
                <w:snapToGrid/>
                <w:color w:val="auto"/>
                <w:sz w:val="20"/>
                <w:szCs w:val="20"/>
                <w:lang w:eastAsia="zh-CN"/>
              </w:rPr>
            </w:pPr>
          </w:p>
        </w:tc>
        <w:tc>
          <w:tcPr>
            <w:tcW w:w="46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52"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348"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321"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129.03</w:t>
            </w:r>
          </w:p>
        </w:tc>
        <w:tc>
          <w:tcPr>
            <w:tcW w:w="374" w:type="pct"/>
            <w:shd w:val="clear" w:color="auto" w:fill="auto"/>
            <w:vAlign w:val="center"/>
          </w:tcPr>
          <w:p>
            <w:pPr>
              <w:kinsoku/>
              <w:autoSpaceDE/>
              <w:autoSpaceDN/>
              <w:adjustRightInd/>
              <w:snapToGrid/>
              <w:spacing w:line="240" w:lineRule="auto"/>
              <w:ind w:left="-50" w:right="-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243.77 </w:t>
            </w:r>
          </w:p>
        </w:tc>
        <w:tc>
          <w:tcPr>
            <w:tcW w:w="37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114.74 </w:t>
            </w:r>
          </w:p>
        </w:tc>
        <w:tc>
          <w:tcPr>
            <w:tcW w:w="334" w:type="pct"/>
            <w:shd w:val="clear" w:color="auto" w:fill="auto"/>
            <w:vAlign w:val="center"/>
          </w:tcPr>
          <w:p>
            <w:pPr>
              <w:spacing w:line="240" w:lineRule="auto"/>
              <w:ind w:left="-50" w:right="-50" w:firstLine="0" w:firstLineChars="0"/>
              <w:jc w:val="center"/>
              <w:rPr>
                <w:rFonts w:cs="Times New Roman"/>
                <w:snapToGrid/>
                <w:color w:val="auto"/>
                <w:sz w:val="20"/>
                <w:szCs w:val="20"/>
                <w:lang w:eastAsia="zh-CN"/>
              </w:rPr>
            </w:pPr>
            <w:r>
              <w:rPr>
                <w:rFonts w:cs="Times New Roman"/>
                <w:color w:val="auto"/>
                <w:sz w:val="20"/>
                <w:szCs w:val="20"/>
              </w:rPr>
              <w:t xml:space="preserve">100 </w:t>
            </w:r>
          </w:p>
        </w:tc>
      </w:tr>
    </w:tbl>
    <w:p>
      <w:pPr>
        <w:widowControl w:val="0"/>
        <w:kinsoku/>
        <w:topLinePunct/>
        <w:autoSpaceDE/>
        <w:autoSpaceDN/>
        <w:spacing w:line="300" w:lineRule="exact"/>
        <w:ind w:firstLine="482"/>
        <w:jc w:val="center"/>
        <w:rPr>
          <w:rFonts w:cs="Times New Roman"/>
          <w:b/>
          <w:bCs/>
          <w:color w:val="auto"/>
          <w:lang w:eastAsia="zh-CN"/>
        </w:rPr>
      </w:pPr>
    </w:p>
    <w:p>
      <w:pPr>
        <w:keepNext/>
        <w:keepLines/>
        <w:widowControl w:val="0"/>
        <w:kinsoku/>
        <w:topLinePunct/>
        <w:autoSpaceDE/>
        <w:autoSpaceDN/>
        <w:spacing w:before="120" w:after="120" w:line="360" w:lineRule="auto"/>
        <w:ind w:firstLine="602"/>
        <w:outlineLvl w:val="1"/>
        <w:rPr>
          <w:rFonts w:cs="Times New Roman"/>
          <w:b/>
          <w:bCs/>
          <w:color w:val="auto"/>
          <w:sz w:val="30"/>
          <w:szCs w:val="30"/>
          <w:lang w:eastAsia="zh-CN"/>
        </w:rPr>
        <w:sectPr>
          <w:headerReference r:id="rId22" w:type="default"/>
          <w:footerReference r:id="rId23" w:type="default"/>
          <w:pgSz w:w="16838" w:h="11906" w:orient="landscape"/>
          <w:pgMar w:top="1440" w:right="1797" w:bottom="1440" w:left="1797" w:header="851" w:footer="992" w:gutter="0"/>
          <w:cols w:space="425" w:num="1"/>
          <w:docGrid w:linePitch="326" w:charSpace="0"/>
        </w:sectPr>
      </w:pPr>
    </w:p>
    <w:p>
      <w:pPr>
        <w:keepNext/>
        <w:keepLines/>
        <w:widowControl w:val="0"/>
        <w:kinsoku/>
        <w:topLinePunct/>
        <w:autoSpaceDE/>
        <w:autoSpaceDN/>
        <w:spacing w:before="120" w:after="120" w:line="360" w:lineRule="auto"/>
        <w:ind w:firstLine="0" w:firstLineChars="0"/>
        <w:outlineLvl w:val="1"/>
        <w:rPr>
          <w:rFonts w:cs="Times New Roman"/>
          <w:b/>
          <w:bCs/>
          <w:color w:val="auto"/>
          <w:sz w:val="30"/>
          <w:szCs w:val="30"/>
          <w:lang w:eastAsia="zh-CN"/>
        </w:rPr>
      </w:pPr>
      <w:bookmarkStart w:id="57" w:name="_Toc171533295"/>
      <w:r>
        <w:rPr>
          <w:rFonts w:cs="Times New Roman"/>
          <w:b/>
          <w:bCs/>
          <w:color w:val="auto"/>
          <w:sz w:val="30"/>
          <w:szCs w:val="30"/>
          <w:lang w:eastAsia="zh-CN"/>
        </w:rPr>
        <w:t>4.4 水土流失危害分析</w:t>
      </w:r>
      <w:bookmarkEnd w:id="57"/>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本项目建设过程中，项目用地范围内的地表将受到不同程度的破坏，局部地貌将发生较大的改变，具有影响范围及时段集中的特点，如不采取水土保持措施，开挖形成裸露地面和松散堆土产生的水土流失，很容易对区域土地生产力，区域生态环境、工程本身等造成不同程度的危害，其具体表现为以下几个方面:</w:t>
      </w:r>
    </w:p>
    <w:p>
      <w:pPr>
        <w:keepNext/>
        <w:keepLines/>
        <w:widowControl w:val="0"/>
        <w:kinsoku/>
        <w:topLinePunct/>
        <w:autoSpaceDE/>
        <w:autoSpaceDN/>
        <w:spacing w:before="120" w:after="120" w:line="360" w:lineRule="auto"/>
        <w:ind w:firstLine="0" w:firstLineChars="0"/>
        <w:outlineLvl w:val="2"/>
        <w:rPr>
          <w:rFonts w:cs="Times New Roman"/>
          <w:b/>
          <w:bCs/>
          <w:color w:val="auto"/>
          <w:sz w:val="28"/>
          <w:szCs w:val="28"/>
          <w:lang w:eastAsia="zh-CN"/>
        </w:rPr>
      </w:pPr>
      <w:r>
        <w:rPr>
          <w:rFonts w:cs="Times New Roman"/>
          <w:b/>
          <w:bCs/>
          <w:color w:val="auto"/>
          <w:sz w:val="28"/>
          <w:szCs w:val="28"/>
          <w:lang w:eastAsia="zh-CN"/>
        </w:rPr>
        <w:t>4.4.1 对区域生态环境的影响</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输变电工程水土流失的危害集中表现在原地表植被遭到破坏，由于植被附着的土层被直接剥离、压埋，使得土地肥力和生产力下降。同时，变电站场地平整、塔基和平台等处开挖、填筑形成的裸露边坡，可能造成局部的崩塌、滑坡等水土流失形式发生，本工程余土堆放在塔基范围内汛期容易受径流和降雨影响而发生坍塌，破坏了生态平衡，致使生态环境恶化。主要表现在以下几个方面:</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（1）对土地资源和土地生产力的影响分析</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线路工程除了塔基立柱外，其余占地施工结束后均可恢复原状，恢复原有土地生产施工过程中若不注意规范施工，乱堆弃渣、乱修临时建筑物，也会造成土地资源的浪费，因此应加强施工建设管理。</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（2）对河流行洪、防洪影响分析</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本工程线路跨越了河流，工程在跨越河流时虽未占用河流的行洪断面，但施工时需提前做好防护措施，避免工程建设产生的临时开挖土、弃土进入河流内，导致河流泥沙含量增加，造成洪涝灾害。线路工程中一般弃土全部在塔基范围内堆放处理，主体工程设计了挡墙护坡等工程措施，一定程度上可减轻弃土产生的水土流失。施工中对产生的弃土应遵循先拦后弃原则。</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（3）对可能出现地面塌陷等危害的分析</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输变电工程不同于煤炭、采矿、冶金等工程，不会形成大的采空区，所需砂石料均从有开采许可证的采石、采砂场购买，水土流失防治责任由开采商承担，因此不会造成地面塌陷、地裂缝等现象。</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（4）对周边环境可能造成的影响分析</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建设中若不做好水土保持工作将不可避免的破坏地表植被，影响周边景观。（5）对水资源的影响分析</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总体来说，输变电工程用水量不大，不涉及地下水开采因变电站站区及塔基立柱等硬化地表，使原有的水土保持功能降低或丧失，地表的硬化或覆盖，使降雨不能下渗，土壤渗流系数减小，地表径流系数增大，地下水源的涵养和补给受到阻碍，地表径流汇流时间缩短，强度增大，在产生强地表径流的同时，加剧对裸露地表土壤的侵蚀。</w:t>
      </w:r>
    </w:p>
    <w:p>
      <w:pPr>
        <w:keepNext/>
        <w:keepLines/>
        <w:widowControl w:val="0"/>
        <w:kinsoku/>
        <w:topLinePunct/>
        <w:autoSpaceDE/>
        <w:autoSpaceDN/>
        <w:spacing w:before="120" w:after="120" w:line="360" w:lineRule="auto"/>
        <w:ind w:firstLine="0" w:firstLineChars="0"/>
        <w:outlineLvl w:val="2"/>
        <w:rPr>
          <w:rFonts w:cs="Times New Roman"/>
          <w:b/>
          <w:bCs/>
          <w:color w:val="auto"/>
          <w:sz w:val="28"/>
          <w:szCs w:val="28"/>
          <w:lang w:eastAsia="zh-CN"/>
        </w:rPr>
      </w:pPr>
      <w:r>
        <w:rPr>
          <w:rFonts w:cs="Times New Roman"/>
          <w:b/>
          <w:bCs/>
          <w:color w:val="auto"/>
          <w:sz w:val="28"/>
          <w:szCs w:val="28"/>
          <w:lang w:eastAsia="zh-CN"/>
        </w:rPr>
        <w:t>4.4.2 对工程本身可能造成的危害</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项目的土石方工程有变电站站区、塔基基础、护坡墙、排水沟、施工便道和电缆沟道的开挖回填，机械碾压等施工行为将影响这些单元土层的稳定性，为水土流失的加剧创造了条件。如果不及时做好相应治理，极易对工程周边植被产生影响，造成原地表形态的改变，对工程的正常运行造成影响。</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综上所述，工程建设产生的水土流失可能对周边社会、经济、生态环境造成一定的影响，应严格按照水土保持“三同时”制度落实水土保持防护措施，以减少因工程建设造成的水土流失。</w:t>
      </w:r>
    </w:p>
    <w:p>
      <w:pPr>
        <w:keepNext/>
        <w:keepLines/>
        <w:widowControl w:val="0"/>
        <w:kinsoku/>
        <w:topLinePunct/>
        <w:autoSpaceDE/>
        <w:autoSpaceDN/>
        <w:spacing w:before="120" w:after="120" w:line="360" w:lineRule="auto"/>
        <w:ind w:firstLine="0" w:firstLineChars="0"/>
        <w:outlineLvl w:val="1"/>
        <w:rPr>
          <w:rFonts w:cs="Times New Roman"/>
          <w:b/>
          <w:bCs/>
          <w:color w:val="auto"/>
          <w:sz w:val="30"/>
          <w:szCs w:val="30"/>
          <w:lang w:eastAsia="zh-CN"/>
        </w:rPr>
      </w:pPr>
      <w:bookmarkStart w:id="58" w:name="_Toc171533296"/>
      <w:r>
        <w:rPr>
          <w:rFonts w:cs="Times New Roman"/>
          <w:b/>
          <w:bCs/>
          <w:color w:val="auto"/>
          <w:sz w:val="30"/>
          <w:szCs w:val="30"/>
          <w:lang w:eastAsia="zh-CN"/>
        </w:rPr>
        <w:t>4.5 指导性意见</w:t>
      </w:r>
      <w:bookmarkEnd w:id="58"/>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为确保本项目在施工过程中产生的水土流失在可控及允许范围内，针对上述分析提出如下指导性意见：</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（1）防治重点区域的指导性意见</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根据调查、预测结果，本项目防治重点区域为变电站站区、塔基及临时施工区区、施工便道区和电缆工程区。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（2）防治重点时段的指导性意见</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根据调查、预测结果，本项目的重点防治时段为施工期，因此，在措施体系防治方面，重点加强施工期间的临时防护措施体系，同时，结合工程措施和植物措施，确保施工结束后自然恢复期内施工扰动地面的水土流失得到有效治理。</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（3）防治措施的指导性意见</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水土保持措施采用植物措施、工程措施和临时措施相结合的方式。永久工程排水措施已由主体工程进行设计。本方案将通过对主体工程设计中具有水土保持功能的措施进行评价，将具有水土保持功能的各项措施纳入水土保持总体布局中，按水土保持要求对主体工程施工提出补充和完善措施，补充临时水土保持措施，充分发挥保障项目建设安全、减少水土流失的目的。</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（4）施工进度安排的指导性意见</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水土保持措施的进度安排应和主体工程进度相配合。本项目的水土流失绝大部分发生在建设期。因此施工过程中水土保持措施进度安排对于减少本项目水土流失量非常重要，水土保持措施的功能必须在主体工程的施工过程中发挥作用。所以，水土保持工程实施与进度必须与主体工程一致，防止水土流失防治措施与主体工程脱节。</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（5）水土保持监测工作安排的指导性意见</w:t>
      </w:r>
    </w:p>
    <w:p>
      <w:pPr>
        <w:widowControl w:val="0"/>
        <w:kinsoku/>
        <w:topLinePunct/>
        <w:autoSpaceDE/>
        <w:autoSpaceDN/>
        <w:spacing w:line="360" w:lineRule="auto"/>
        <w:ind w:firstLine="480"/>
        <w:rPr>
          <w:rFonts w:cs="Times New Roman"/>
          <w:color w:val="auto"/>
          <w:szCs w:val="24"/>
          <w:lang w:eastAsia="zh-CN"/>
        </w:rPr>
        <w:sectPr>
          <w:headerReference r:id="rId24" w:type="default"/>
          <w:footerReference r:id="rId25" w:type="default"/>
          <w:pgSz w:w="11906" w:h="16838"/>
          <w:pgMar w:top="1440" w:right="1797" w:bottom="1440" w:left="1797" w:header="851" w:footer="992" w:gutter="0"/>
          <w:cols w:space="425" w:num="1"/>
          <w:docGrid w:linePitch="312" w:charSpace="0"/>
        </w:sectPr>
      </w:pPr>
      <w:r>
        <w:rPr>
          <w:rFonts w:cs="Times New Roman"/>
          <w:color w:val="auto"/>
          <w:szCs w:val="24"/>
          <w:lang w:eastAsia="zh-CN"/>
        </w:rPr>
        <w:t>水土流失监测地段和时段的选择要体现本项目建设的水土流失特点。从前面的调查、预测结果可以看出，工程施工扰动，使工程区内水土流失迅速增加，施工结束后，工程防护和植物防护都已完成，水土流失得到有效控制，各项水土保持措施开始发挥功效。到了植被恢复期，水土保持的工程措施和植物措施都已完备，工程区的水土流失逐渐达到新的平衡状态，周边的生态环境得到改善。</w:t>
      </w:r>
    </w:p>
    <w:p>
      <w:pPr>
        <w:pStyle w:val="2"/>
        <w:widowControl w:val="0"/>
        <w:kinsoku/>
        <w:topLinePunct/>
        <w:autoSpaceDE/>
        <w:autoSpaceDN/>
        <w:spacing w:before="120" w:after="120" w:line="300" w:lineRule="auto"/>
        <w:ind w:firstLine="0" w:firstLineChars="0"/>
        <w:jc w:val="center"/>
        <w:rPr>
          <w:rFonts w:cs="Times New Roman"/>
          <w:color w:val="auto"/>
          <w:sz w:val="32"/>
          <w:szCs w:val="32"/>
          <w:lang w:eastAsia="zh-CN"/>
        </w:rPr>
      </w:pPr>
      <w:bookmarkStart w:id="59" w:name="_Toc171533297"/>
      <w:r>
        <w:rPr>
          <w:rFonts w:cs="Times New Roman"/>
          <w:color w:val="auto"/>
          <w:sz w:val="32"/>
          <w:szCs w:val="32"/>
          <w:lang w:eastAsia="zh-CN"/>
        </w:rPr>
        <w:t>5  水土保持措施</w:t>
      </w:r>
      <w:bookmarkEnd w:id="59"/>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60" w:name="_Toc171533298"/>
      <w:r>
        <w:rPr>
          <w:rFonts w:ascii="Times New Roman" w:hAnsi="Times New Roman" w:eastAsia="仿宋_GB2312" w:cs="Times New Roman"/>
          <w:color w:val="auto"/>
          <w:sz w:val="30"/>
          <w:szCs w:val="30"/>
          <w:lang w:eastAsia="zh-CN"/>
        </w:rPr>
        <w:t>5.1 防治区划分</w:t>
      </w:r>
      <w:bookmarkEnd w:id="60"/>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5.1.1 分区原则</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本方案防治分区根据项目建设区的气候特点、地形地貌类型、新增水土流失的特点及项目主体工程布局及建设时序进行划分。同时分区的划定遵循以下原则：</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（1）各区之间应具有显著差异性。</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（2）同一区内造成水土流失的主导因子和防治措施应相近或相似。</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（3）根据项目的繁简程度和项目区自然情况，防治分区可划分为一级或多级。</w:t>
      </w:r>
    </w:p>
    <w:p>
      <w:pPr>
        <w:widowControl w:val="0"/>
        <w:kinsoku/>
        <w:topLinePunct/>
        <w:autoSpaceDE/>
        <w:autoSpaceDN/>
        <w:adjustRightInd/>
        <w:spacing w:line="360" w:lineRule="auto"/>
        <w:ind w:firstLine="480"/>
        <w:jc w:val="both"/>
        <w:rPr>
          <w:rFonts w:cs="Times New Roman"/>
          <w:color w:val="auto"/>
          <w:szCs w:val="24"/>
          <w:lang w:eastAsia="zh-CN"/>
        </w:rPr>
      </w:pPr>
      <w:r>
        <w:rPr>
          <w:rFonts w:cs="Times New Roman"/>
          <w:color w:val="auto"/>
          <w:szCs w:val="24"/>
          <w:lang w:eastAsia="zh-CN"/>
        </w:rPr>
        <w:t>（4）一级区应具有控制性、整体性、全局性、线性工程应按土壤侵蚀类型、地形地貌、气候类型等因素划分一级区、二级区及其以下分区应结合工程布局、占地性质、项目组成核扰动特点进行逐级分区。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（5）各级分区应层次分明，具有关联性和系统性。</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5.1.2 分区依据和方法</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依据主体工程布局、施工扰动特点、建设时序、地貌特征、自然属性、水土流失影响进行分区。分区的划定遵循以下方法：</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1、分区内气象水文、地形地貌特征、土壤植被等生态特征具有相似性；</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2、分区与地方水土保持规划中水土流失防治分区的划分相协调和一致；</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3、分区内各工程建设时序以及工程建设新增水土流失特点相似。</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5.1.3 分区结果</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根据分区依据和方法将本项目分为三级分区，具体分区如下表。一级分区：按工程性质划分为变电站工程区和线路工程区。二级分区按照项目由四个分项工程组成分为玛瑙500kV变电站220kV间隔扩建工程、芭蕉220kV变电站220kV间隔扩建工程、玛瑙-正达凯220kV线路工程、芭蕉-正达凯220kV线路工程共4个二级分区。三级分区按照各施工区的空间位置的不同及施工扰动特点等，将玛瑙500kV变电站220kV间隔扩建工程分为玛瑙变电站站区1个防治分区；将芭蕉220kV变电站220kV间隔扩建工程分为芭蕉变电站站区1个防治分区；将玛瑙-正达凯220kV线路工程区划分为玛瑙塔基及施工临时占地区、玛瑙施工便道区、玛瑙牵张场区和玛瑙跨越场区共4个防治分区；将芭蕉-正达凯220kV线路工程区划分为芭蕉塔基及施工临时占地区、芭蕉施工便道区、芭蕉牵张场区、芭蕉跨越场区和芭蕉电缆工程区共5个防治分区。</w:t>
      </w:r>
    </w:p>
    <w:p>
      <w:pPr>
        <w:widowControl w:val="0"/>
        <w:kinsoku/>
        <w:topLinePunct/>
        <w:autoSpaceDE/>
        <w:autoSpaceDN/>
        <w:spacing w:line="300" w:lineRule="auto"/>
        <w:ind w:firstLine="482"/>
        <w:jc w:val="center"/>
        <w:rPr>
          <w:rFonts w:cs="Times New Roman"/>
          <w:b/>
          <w:bCs/>
          <w:color w:val="auto"/>
          <w:lang w:eastAsia="zh-CN"/>
        </w:rPr>
      </w:pPr>
      <w:r>
        <w:rPr>
          <w:rFonts w:cs="Times New Roman"/>
          <w:b/>
          <w:bCs/>
          <w:color w:val="auto"/>
          <w:lang w:eastAsia="zh-CN"/>
        </w:rPr>
        <w:t>表 5.1-1 水土流失防治责任面积汇总</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950"/>
        <w:gridCol w:w="1160"/>
        <w:gridCol w:w="861"/>
        <w:gridCol w:w="993"/>
        <w:gridCol w:w="993"/>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1" w:type="pct"/>
            <w:gridSpan w:val="3"/>
            <w:vAlign w:val="center"/>
          </w:tcPr>
          <w:p>
            <w:pPr>
              <w:pStyle w:val="13"/>
              <w:spacing w:line="280" w:lineRule="exact"/>
              <w:ind w:left="-84" w:leftChars="-35" w:right="-84" w:rightChars="-35"/>
              <w:rPr>
                <w:rFonts w:cs="Times New Roman"/>
                <w:sz w:val="20"/>
                <w:szCs w:val="20"/>
              </w:rPr>
            </w:pPr>
            <w:r>
              <w:rPr>
                <w:rFonts w:cs="Times New Roman"/>
                <w:sz w:val="20"/>
                <w:szCs w:val="20"/>
              </w:rPr>
              <w:t>项目分区</w:t>
            </w:r>
          </w:p>
        </w:tc>
        <w:tc>
          <w:tcPr>
            <w:tcW w:w="1669" w:type="pct"/>
            <w:gridSpan w:val="3"/>
            <w:vAlign w:val="center"/>
          </w:tcPr>
          <w:p>
            <w:pPr>
              <w:pStyle w:val="13"/>
              <w:spacing w:line="280" w:lineRule="exact"/>
              <w:ind w:left="-84" w:leftChars="-35" w:right="-84" w:rightChars="-35"/>
              <w:rPr>
                <w:rFonts w:cs="Times New Roman"/>
                <w:sz w:val="20"/>
                <w:szCs w:val="20"/>
              </w:rPr>
            </w:pPr>
            <w:r>
              <w:rPr>
                <w:rFonts w:cs="Times New Roman"/>
                <w:sz w:val="20"/>
                <w:szCs w:val="20"/>
              </w:rPr>
              <w:t>防治责任范围（</w:t>
            </w:r>
            <w:r>
              <w:rPr>
                <w:rFonts w:hint="eastAsia" w:cs="Times New Roman"/>
                <w:sz w:val="20"/>
                <w:szCs w:val="20"/>
              </w:rPr>
              <w:t>h</w:t>
            </w:r>
            <w:r>
              <w:rPr>
                <w:rFonts w:cs="Times New Roman"/>
                <w:sz w:val="20"/>
                <w:szCs w:val="20"/>
              </w:rPr>
              <w:t>m</w:t>
            </w:r>
            <w:r>
              <w:rPr>
                <w:rFonts w:cs="Times New Roman"/>
                <w:sz w:val="20"/>
                <w:szCs w:val="20"/>
                <w:vertAlign w:val="superscript"/>
              </w:rPr>
              <w:t>2</w:t>
            </w:r>
            <w:r>
              <w:rPr>
                <w:rFonts w:cs="Times New Roman"/>
                <w:sz w:val="20"/>
                <w:szCs w:val="20"/>
              </w:rPr>
              <w:t>）</w:t>
            </w:r>
          </w:p>
        </w:tc>
        <w:tc>
          <w:tcPr>
            <w:tcW w:w="1030" w:type="pct"/>
            <w:vMerge w:val="restart"/>
            <w:vAlign w:val="center"/>
          </w:tcPr>
          <w:p>
            <w:pPr>
              <w:pStyle w:val="13"/>
              <w:spacing w:line="280" w:lineRule="exact"/>
              <w:ind w:left="-84" w:leftChars="-35" w:right="-84" w:rightChars="-35"/>
              <w:rPr>
                <w:rFonts w:cs="Times New Roman"/>
                <w:sz w:val="20"/>
                <w:szCs w:val="20"/>
              </w:rPr>
            </w:pPr>
            <w:r>
              <w:rPr>
                <w:rFonts w:cs="Times New Roman"/>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Align w:val="center"/>
          </w:tcPr>
          <w:p>
            <w:pPr>
              <w:pStyle w:val="13"/>
              <w:spacing w:line="280" w:lineRule="exact"/>
              <w:ind w:left="-84" w:leftChars="-35" w:right="-84" w:rightChars="-35"/>
              <w:rPr>
                <w:rFonts w:cs="Times New Roman"/>
                <w:sz w:val="20"/>
                <w:szCs w:val="20"/>
              </w:rPr>
            </w:pPr>
            <w:r>
              <w:rPr>
                <w:rFonts w:cs="Times New Roman"/>
                <w:sz w:val="20"/>
                <w:szCs w:val="20"/>
              </w:rPr>
              <w:t>一级</w:t>
            </w:r>
          </w:p>
          <w:p>
            <w:pPr>
              <w:pStyle w:val="13"/>
              <w:spacing w:line="280" w:lineRule="exact"/>
              <w:ind w:left="-84" w:leftChars="-35" w:right="-84" w:rightChars="-35"/>
              <w:rPr>
                <w:rFonts w:cs="Times New Roman"/>
                <w:sz w:val="20"/>
                <w:szCs w:val="20"/>
              </w:rPr>
            </w:pPr>
            <w:r>
              <w:rPr>
                <w:rFonts w:cs="Times New Roman"/>
                <w:sz w:val="20"/>
                <w:szCs w:val="20"/>
              </w:rPr>
              <w:t>分区</w:t>
            </w:r>
          </w:p>
        </w:tc>
        <w:tc>
          <w:tcPr>
            <w:tcW w:w="1143" w:type="pct"/>
            <w:vAlign w:val="center"/>
          </w:tcPr>
          <w:p>
            <w:pPr>
              <w:pStyle w:val="13"/>
              <w:spacing w:line="280" w:lineRule="exact"/>
              <w:ind w:left="-84" w:leftChars="-35" w:right="-84" w:rightChars="-35"/>
              <w:rPr>
                <w:rFonts w:cs="Times New Roman"/>
                <w:sz w:val="20"/>
                <w:szCs w:val="20"/>
              </w:rPr>
            </w:pPr>
            <w:r>
              <w:rPr>
                <w:rFonts w:cs="Times New Roman"/>
                <w:sz w:val="20"/>
                <w:szCs w:val="20"/>
              </w:rPr>
              <w:t>二级分区</w:t>
            </w:r>
          </w:p>
        </w:tc>
        <w:tc>
          <w:tcPr>
            <w:tcW w:w="680" w:type="pct"/>
            <w:vAlign w:val="center"/>
          </w:tcPr>
          <w:p>
            <w:pPr>
              <w:pStyle w:val="13"/>
              <w:spacing w:line="280" w:lineRule="exact"/>
              <w:ind w:left="-84" w:leftChars="-35" w:right="-84" w:rightChars="-35"/>
              <w:rPr>
                <w:rFonts w:cs="Times New Roman"/>
                <w:sz w:val="20"/>
                <w:szCs w:val="20"/>
              </w:rPr>
            </w:pPr>
            <w:r>
              <w:rPr>
                <w:rFonts w:cs="Times New Roman"/>
                <w:sz w:val="20"/>
                <w:szCs w:val="20"/>
              </w:rPr>
              <w:t>三级分区</w:t>
            </w:r>
          </w:p>
        </w:tc>
        <w:tc>
          <w:tcPr>
            <w:tcW w:w="505" w:type="pct"/>
            <w:vAlign w:val="center"/>
          </w:tcPr>
          <w:p>
            <w:pPr>
              <w:pStyle w:val="13"/>
              <w:spacing w:line="280" w:lineRule="exact"/>
              <w:ind w:left="-84" w:leftChars="-35" w:right="-84" w:rightChars="-35"/>
              <w:rPr>
                <w:rFonts w:cs="Times New Roman"/>
                <w:sz w:val="20"/>
                <w:szCs w:val="20"/>
              </w:rPr>
            </w:pPr>
            <w:r>
              <w:rPr>
                <w:rFonts w:cs="Times New Roman"/>
                <w:sz w:val="20"/>
                <w:szCs w:val="20"/>
              </w:rPr>
              <w:t>永久</w:t>
            </w:r>
          </w:p>
          <w:p>
            <w:pPr>
              <w:pStyle w:val="13"/>
              <w:spacing w:line="280" w:lineRule="exact"/>
              <w:ind w:left="-84" w:leftChars="-35" w:right="-84" w:rightChars="-35"/>
              <w:rPr>
                <w:rFonts w:cs="Times New Roman"/>
                <w:sz w:val="20"/>
                <w:szCs w:val="20"/>
              </w:rPr>
            </w:pPr>
            <w:r>
              <w:rPr>
                <w:rFonts w:cs="Times New Roman"/>
                <w:sz w:val="20"/>
                <w:szCs w:val="20"/>
              </w:rPr>
              <w:t>占地</w:t>
            </w: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临时</w:t>
            </w:r>
          </w:p>
          <w:p>
            <w:pPr>
              <w:pStyle w:val="13"/>
              <w:spacing w:line="280" w:lineRule="exact"/>
              <w:ind w:left="-84" w:leftChars="-35" w:right="-84" w:rightChars="-35"/>
              <w:rPr>
                <w:rFonts w:cs="Times New Roman"/>
                <w:sz w:val="20"/>
                <w:szCs w:val="20"/>
              </w:rPr>
            </w:pPr>
            <w:r>
              <w:rPr>
                <w:rFonts w:cs="Times New Roman"/>
                <w:sz w:val="20"/>
                <w:szCs w:val="20"/>
              </w:rPr>
              <w:t>占地</w:t>
            </w: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小计</w:t>
            </w:r>
          </w:p>
        </w:tc>
        <w:tc>
          <w:tcPr>
            <w:tcW w:w="1030" w:type="pct"/>
            <w:vMerge w:val="continue"/>
            <w:vAlign w:val="center"/>
          </w:tcPr>
          <w:p>
            <w:pPr>
              <w:pStyle w:val="13"/>
              <w:spacing w:line="280" w:lineRule="exact"/>
              <w:ind w:left="-84" w:leftChars="-35" w:right="-84" w:rightChars="-35"/>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Merge w:val="restart"/>
            <w:vAlign w:val="center"/>
          </w:tcPr>
          <w:p>
            <w:pPr>
              <w:pStyle w:val="13"/>
              <w:spacing w:line="280" w:lineRule="exact"/>
              <w:ind w:left="-84" w:leftChars="-35" w:right="-84" w:rightChars="-35"/>
              <w:rPr>
                <w:rFonts w:cs="Times New Roman"/>
                <w:sz w:val="20"/>
                <w:szCs w:val="20"/>
              </w:rPr>
            </w:pPr>
            <w:r>
              <w:rPr>
                <w:rFonts w:cs="Times New Roman"/>
                <w:sz w:val="20"/>
                <w:szCs w:val="20"/>
              </w:rPr>
              <w:t>变电站</w:t>
            </w:r>
          </w:p>
          <w:p>
            <w:pPr>
              <w:pStyle w:val="13"/>
              <w:spacing w:line="280" w:lineRule="exact"/>
              <w:ind w:left="-84" w:leftChars="-35" w:right="-84" w:rightChars="-35"/>
              <w:rPr>
                <w:rFonts w:cs="Times New Roman"/>
                <w:sz w:val="20"/>
                <w:szCs w:val="20"/>
              </w:rPr>
            </w:pPr>
            <w:r>
              <w:rPr>
                <w:rFonts w:cs="Times New Roman"/>
                <w:sz w:val="20"/>
                <w:szCs w:val="20"/>
              </w:rPr>
              <w:t>工程</w:t>
            </w:r>
          </w:p>
        </w:tc>
        <w:tc>
          <w:tcPr>
            <w:tcW w:w="1143" w:type="pct"/>
            <w:vAlign w:val="center"/>
          </w:tcPr>
          <w:p>
            <w:pPr>
              <w:pStyle w:val="13"/>
              <w:spacing w:line="280" w:lineRule="exact"/>
              <w:ind w:left="-84" w:leftChars="-35" w:right="-84" w:rightChars="-35"/>
              <w:rPr>
                <w:rFonts w:cs="Times New Roman"/>
                <w:sz w:val="20"/>
                <w:szCs w:val="20"/>
              </w:rPr>
            </w:pPr>
            <w:r>
              <w:rPr>
                <w:rFonts w:cs="Times New Roman"/>
                <w:sz w:val="20"/>
                <w:szCs w:val="20"/>
              </w:rPr>
              <w:t>玛瑙500kV变电站220kV间隔扩建工程</w:t>
            </w:r>
          </w:p>
        </w:tc>
        <w:tc>
          <w:tcPr>
            <w:tcW w:w="680" w:type="pct"/>
            <w:vAlign w:val="center"/>
          </w:tcPr>
          <w:p>
            <w:pPr>
              <w:pStyle w:val="13"/>
              <w:spacing w:line="280" w:lineRule="exact"/>
              <w:ind w:left="-84" w:leftChars="-35" w:right="-84" w:rightChars="-35"/>
              <w:rPr>
                <w:rFonts w:cs="Times New Roman"/>
                <w:sz w:val="20"/>
                <w:szCs w:val="20"/>
              </w:rPr>
            </w:pPr>
            <w:r>
              <w:rPr>
                <w:rFonts w:cs="Times New Roman"/>
                <w:sz w:val="20"/>
                <w:szCs w:val="20"/>
              </w:rPr>
              <w:t>玛瑙变电站站区</w:t>
            </w:r>
          </w:p>
        </w:tc>
        <w:tc>
          <w:tcPr>
            <w:tcW w:w="505" w:type="pct"/>
            <w:vAlign w:val="center"/>
          </w:tcPr>
          <w:p>
            <w:pPr>
              <w:pStyle w:val="13"/>
              <w:spacing w:line="280" w:lineRule="exact"/>
              <w:ind w:left="-84" w:leftChars="-35" w:right="-84" w:rightChars="-35"/>
              <w:rPr>
                <w:rFonts w:cs="Times New Roman"/>
                <w:sz w:val="20"/>
                <w:szCs w:val="20"/>
              </w:rPr>
            </w:pPr>
            <w:r>
              <w:rPr>
                <w:rFonts w:hint="eastAsia" w:cs="Times New Roman"/>
                <w:sz w:val="20"/>
                <w:szCs w:val="20"/>
              </w:rPr>
              <w:t>0</w:t>
            </w:r>
            <w:r>
              <w:rPr>
                <w:rFonts w:cs="Times New Roman"/>
                <w:sz w:val="20"/>
                <w:szCs w:val="20"/>
              </w:rPr>
              <w:t>.003</w:t>
            </w: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0.004</w:t>
            </w: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0.01</w:t>
            </w:r>
          </w:p>
        </w:tc>
        <w:tc>
          <w:tcPr>
            <w:tcW w:w="1030" w:type="pct"/>
            <w:vAlign w:val="center"/>
          </w:tcPr>
          <w:p>
            <w:pPr>
              <w:pStyle w:val="13"/>
              <w:spacing w:line="280" w:lineRule="exact"/>
              <w:ind w:left="-84" w:leftChars="-35" w:right="-84" w:rightChars="-35"/>
              <w:rPr>
                <w:rFonts w:cs="Times New Roman"/>
                <w:sz w:val="20"/>
                <w:szCs w:val="20"/>
              </w:rPr>
            </w:pPr>
            <w:r>
              <w:rPr>
                <w:rFonts w:cs="Times New Roman"/>
                <w:sz w:val="20"/>
                <w:szCs w:val="20"/>
              </w:rPr>
              <w:t>设备基础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pct"/>
            <w:vMerge w:val="continue"/>
            <w:vAlign w:val="center"/>
          </w:tcPr>
          <w:p>
            <w:pPr>
              <w:pStyle w:val="13"/>
              <w:spacing w:line="280" w:lineRule="exact"/>
              <w:ind w:left="-84" w:leftChars="-35" w:right="-84" w:rightChars="-35"/>
              <w:rPr>
                <w:rFonts w:cs="Times New Roman"/>
                <w:sz w:val="20"/>
                <w:szCs w:val="20"/>
              </w:rPr>
            </w:pPr>
          </w:p>
        </w:tc>
        <w:tc>
          <w:tcPr>
            <w:tcW w:w="1143" w:type="pct"/>
            <w:vAlign w:val="center"/>
          </w:tcPr>
          <w:p>
            <w:pPr>
              <w:pStyle w:val="13"/>
              <w:spacing w:line="280" w:lineRule="exact"/>
              <w:ind w:left="-84" w:leftChars="-35" w:right="-84" w:rightChars="-35"/>
              <w:rPr>
                <w:rFonts w:cs="Times New Roman"/>
                <w:sz w:val="20"/>
                <w:szCs w:val="20"/>
              </w:rPr>
            </w:pPr>
            <w:r>
              <w:rPr>
                <w:rFonts w:cs="Times New Roman"/>
                <w:sz w:val="20"/>
                <w:szCs w:val="20"/>
              </w:rPr>
              <w:t>芭蕉220kV变电站220kV间隔扩建工程</w:t>
            </w:r>
          </w:p>
        </w:tc>
        <w:tc>
          <w:tcPr>
            <w:tcW w:w="680" w:type="pct"/>
            <w:vAlign w:val="center"/>
          </w:tcPr>
          <w:p>
            <w:pPr>
              <w:pStyle w:val="13"/>
              <w:spacing w:line="280" w:lineRule="exact"/>
              <w:ind w:left="-84" w:leftChars="-35" w:right="-84" w:rightChars="-35"/>
              <w:rPr>
                <w:rFonts w:cs="Times New Roman"/>
                <w:sz w:val="20"/>
                <w:szCs w:val="20"/>
              </w:rPr>
            </w:pPr>
            <w:r>
              <w:rPr>
                <w:rFonts w:cs="Times New Roman"/>
                <w:sz w:val="20"/>
                <w:szCs w:val="20"/>
              </w:rPr>
              <w:t>芭蕉变电站站区</w:t>
            </w:r>
          </w:p>
        </w:tc>
        <w:tc>
          <w:tcPr>
            <w:tcW w:w="505" w:type="pct"/>
            <w:vAlign w:val="center"/>
          </w:tcPr>
          <w:p>
            <w:pPr>
              <w:pStyle w:val="13"/>
              <w:spacing w:line="280" w:lineRule="exact"/>
              <w:ind w:left="-84" w:leftChars="-35" w:right="-84" w:rightChars="-35"/>
              <w:rPr>
                <w:rFonts w:cs="Times New Roman"/>
                <w:sz w:val="20"/>
                <w:szCs w:val="20"/>
              </w:rPr>
            </w:pPr>
            <w:r>
              <w:rPr>
                <w:rFonts w:hint="eastAsia" w:cs="Times New Roman"/>
                <w:sz w:val="20"/>
                <w:szCs w:val="20"/>
              </w:rPr>
              <w:t>0</w:t>
            </w:r>
            <w:r>
              <w:rPr>
                <w:rFonts w:cs="Times New Roman"/>
                <w:sz w:val="20"/>
                <w:szCs w:val="20"/>
              </w:rPr>
              <w:t>.003</w:t>
            </w: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0.03</w:t>
            </w: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0.03</w:t>
            </w:r>
          </w:p>
        </w:tc>
        <w:tc>
          <w:tcPr>
            <w:tcW w:w="1030" w:type="pct"/>
            <w:vAlign w:val="center"/>
          </w:tcPr>
          <w:p>
            <w:pPr>
              <w:pStyle w:val="13"/>
              <w:spacing w:line="280" w:lineRule="exact"/>
              <w:ind w:left="-84" w:leftChars="-35" w:right="-84" w:rightChars="-35"/>
              <w:rPr>
                <w:rFonts w:cs="Times New Roman"/>
                <w:sz w:val="20"/>
                <w:szCs w:val="20"/>
              </w:rPr>
            </w:pPr>
            <w:r>
              <w:rPr>
                <w:rFonts w:cs="Times New Roman"/>
                <w:sz w:val="20"/>
                <w:szCs w:val="20"/>
              </w:rPr>
              <w:t>设备基础、排水管道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Merge w:val="restart"/>
            <w:vAlign w:val="center"/>
          </w:tcPr>
          <w:p>
            <w:pPr>
              <w:pStyle w:val="13"/>
              <w:spacing w:line="280" w:lineRule="exact"/>
              <w:ind w:left="-84" w:leftChars="-35" w:right="-84" w:rightChars="-35"/>
              <w:rPr>
                <w:rFonts w:cs="Times New Roman"/>
                <w:sz w:val="20"/>
                <w:szCs w:val="20"/>
              </w:rPr>
            </w:pPr>
            <w:r>
              <w:rPr>
                <w:rFonts w:cs="Times New Roman"/>
                <w:sz w:val="20"/>
                <w:szCs w:val="20"/>
              </w:rPr>
              <w:t>线路</w:t>
            </w:r>
          </w:p>
          <w:p>
            <w:pPr>
              <w:pStyle w:val="13"/>
              <w:spacing w:line="280" w:lineRule="exact"/>
              <w:ind w:left="-84" w:leftChars="-35" w:right="-84" w:rightChars="-35"/>
              <w:rPr>
                <w:rFonts w:cs="Times New Roman"/>
                <w:sz w:val="20"/>
                <w:szCs w:val="20"/>
              </w:rPr>
            </w:pPr>
            <w:r>
              <w:rPr>
                <w:rFonts w:cs="Times New Roman"/>
                <w:sz w:val="20"/>
                <w:szCs w:val="20"/>
              </w:rPr>
              <w:t>工程</w:t>
            </w:r>
          </w:p>
        </w:tc>
        <w:tc>
          <w:tcPr>
            <w:tcW w:w="1143" w:type="pct"/>
            <w:vMerge w:val="restart"/>
            <w:vAlign w:val="center"/>
          </w:tcPr>
          <w:p>
            <w:pPr>
              <w:pStyle w:val="13"/>
              <w:spacing w:line="280" w:lineRule="exact"/>
              <w:ind w:left="-84" w:leftChars="-35" w:right="-84" w:rightChars="-35"/>
              <w:rPr>
                <w:rFonts w:cs="Times New Roman"/>
                <w:sz w:val="20"/>
                <w:szCs w:val="20"/>
              </w:rPr>
            </w:pPr>
            <w:r>
              <w:rPr>
                <w:rFonts w:cs="Times New Roman"/>
                <w:sz w:val="20"/>
                <w:szCs w:val="20"/>
              </w:rPr>
              <w:t>玛瑙-正达凯220kV</w:t>
            </w:r>
          </w:p>
          <w:p>
            <w:pPr>
              <w:pStyle w:val="13"/>
              <w:spacing w:line="280" w:lineRule="exact"/>
              <w:ind w:left="-84" w:leftChars="-35" w:right="-84" w:rightChars="-35"/>
              <w:rPr>
                <w:rFonts w:cs="Times New Roman"/>
                <w:sz w:val="20"/>
                <w:szCs w:val="20"/>
              </w:rPr>
            </w:pPr>
            <w:r>
              <w:rPr>
                <w:rFonts w:cs="Times New Roman"/>
                <w:sz w:val="20"/>
                <w:szCs w:val="20"/>
              </w:rPr>
              <w:t>线路工程</w:t>
            </w:r>
          </w:p>
        </w:tc>
        <w:tc>
          <w:tcPr>
            <w:tcW w:w="680" w:type="pct"/>
            <w:vAlign w:val="center"/>
          </w:tcPr>
          <w:p>
            <w:pPr>
              <w:pStyle w:val="13"/>
              <w:spacing w:line="280" w:lineRule="exact"/>
              <w:ind w:left="-84" w:leftChars="-35" w:right="-84" w:rightChars="-35"/>
              <w:rPr>
                <w:rFonts w:cs="Times New Roman"/>
                <w:sz w:val="20"/>
                <w:szCs w:val="20"/>
              </w:rPr>
            </w:pPr>
            <w:r>
              <w:rPr>
                <w:rFonts w:cs="Times New Roman"/>
                <w:sz w:val="20"/>
                <w:szCs w:val="20"/>
              </w:rPr>
              <w:t>玛瑙塔基及临时施工区</w:t>
            </w:r>
          </w:p>
        </w:tc>
        <w:tc>
          <w:tcPr>
            <w:tcW w:w="505" w:type="pct"/>
            <w:vAlign w:val="center"/>
          </w:tcPr>
          <w:p>
            <w:pPr>
              <w:pStyle w:val="13"/>
              <w:spacing w:line="280" w:lineRule="exact"/>
              <w:ind w:left="-84" w:leftChars="-35" w:right="-84" w:rightChars="-35"/>
              <w:rPr>
                <w:rFonts w:cs="Times New Roman"/>
                <w:sz w:val="20"/>
                <w:szCs w:val="20"/>
              </w:rPr>
            </w:pPr>
            <w:r>
              <w:rPr>
                <w:rFonts w:cs="Times New Roman"/>
                <w:sz w:val="20"/>
                <w:szCs w:val="20"/>
              </w:rPr>
              <w:t>0.26</w:t>
            </w: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0.37</w:t>
            </w: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0.63</w:t>
            </w:r>
          </w:p>
        </w:tc>
        <w:tc>
          <w:tcPr>
            <w:tcW w:w="1030" w:type="pct"/>
            <w:vAlign w:val="center"/>
          </w:tcPr>
          <w:p>
            <w:pPr>
              <w:pStyle w:val="13"/>
              <w:spacing w:line="280" w:lineRule="exact"/>
              <w:ind w:left="-84" w:leftChars="-35" w:right="-84" w:rightChars="-35"/>
              <w:rPr>
                <w:rFonts w:cs="Times New Roman"/>
                <w:sz w:val="20"/>
                <w:szCs w:val="20"/>
              </w:rPr>
            </w:pPr>
            <w:r>
              <w:rPr>
                <w:rFonts w:cs="Times New Roman"/>
                <w:sz w:val="20"/>
                <w:szCs w:val="20"/>
              </w:rPr>
              <w:t>塔基开挖、电塔修建、护坡墙及排水沟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Merge w:val="continue"/>
            <w:vAlign w:val="center"/>
          </w:tcPr>
          <w:p>
            <w:pPr>
              <w:pStyle w:val="13"/>
              <w:spacing w:line="280" w:lineRule="exact"/>
              <w:ind w:left="-84" w:leftChars="-35" w:right="-84" w:rightChars="-35"/>
              <w:rPr>
                <w:rFonts w:cs="Times New Roman"/>
                <w:sz w:val="20"/>
                <w:szCs w:val="20"/>
              </w:rPr>
            </w:pPr>
          </w:p>
        </w:tc>
        <w:tc>
          <w:tcPr>
            <w:tcW w:w="1143" w:type="pct"/>
            <w:vMerge w:val="continue"/>
            <w:vAlign w:val="center"/>
          </w:tcPr>
          <w:p>
            <w:pPr>
              <w:pStyle w:val="13"/>
              <w:spacing w:line="280" w:lineRule="exact"/>
              <w:ind w:left="-84" w:leftChars="-35" w:right="-84" w:rightChars="-35"/>
              <w:rPr>
                <w:rFonts w:cs="Times New Roman"/>
                <w:sz w:val="20"/>
                <w:szCs w:val="20"/>
              </w:rPr>
            </w:pPr>
          </w:p>
        </w:tc>
        <w:tc>
          <w:tcPr>
            <w:tcW w:w="680" w:type="pct"/>
            <w:vAlign w:val="center"/>
          </w:tcPr>
          <w:p>
            <w:pPr>
              <w:pStyle w:val="13"/>
              <w:spacing w:line="280" w:lineRule="exact"/>
              <w:ind w:left="-84" w:leftChars="-35" w:right="-84" w:rightChars="-35"/>
              <w:rPr>
                <w:rFonts w:cs="Times New Roman"/>
                <w:sz w:val="20"/>
                <w:szCs w:val="20"/>
              </w:rPr>
            </w:pPr>
            <w:r>
              <w:rPr>
                <w:rFonts w:cs="Times New Roman"/>
                <w:sz w:val="20"/>
                <w:szCs w:val="20"/>
              </w:rPr>
              <w:t>玛瑙施工便道区</w:t>
            </w:r>
          </w:p>
        </w:tc>
        <w:tc>
          <w:tcPr>
            <w:tcW w:w="505" w:type="pct"/>
            <w:vAlign w:val="center"/>
          </w:tcPr>
          <w:p>
            <w:pPr>
              <w:pStyle w:val="13"/>
              <w:spacing w:line="280" w:lineRule="exact"/>
              <w:ind w:left="-84" w:leftChars="-35" w:right="-84" w:rightChars="-35"/>
              <w:rPr>
                <w:rFonts w:cs="Times New Roman"/>
                <w:sz w:val="20"/>
                <w:szCs w:val="20"/>
              </w:rPr>
            </w:pP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0.40</w:t>
            </w: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0.40</w:t>
            </w:r>
          </w:p>
        </w:tc>
        <w:tc>
          <w:tcPr>
            <w:tcW w:w="1030" w:type="pct"/>
            <w:vAlign w:val="center"/>
          </w:tcPr>
          <w:p>
            <w:pPr>
              <w:pStyle w:val="13"/>
              <w:spacing w:line="280" w:lineRule="exact"/>
              <w:ind w:left="-84" w:leftChars="-35" w:right="-84" w:rightChars="-35"/>
              <w:rPr>
                <w:rFonts w:cs="Times New Roman"/>
                <w:sz w:val="20"/>
                <w:szCs w:val="20"/>
              </w:rPr>
            </w:pPr>
            <w:r>
              <w:rPr>
                <w:rFonts w:cs="Times New Roman"/>
                <w:sz w:val="20"/>
                <w:szCs w:val="20"/>
              </w:rPr>
              <w:t>搬运材料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Merge w:val="continue"/>
            <w:vAlign w:val="center"/>
          </w:tcPr>
          <w:p>
            <w:pPr>
              <w:pStyle w:val="13"/>
              <w:spacing w:line="280" w:lineRule="exact"/>
              <w:ind w:left="-84" w:leftChars="-35" w:right="-84" w:rightChars="-35"/>
              <w:rPr>
                <w:rFonts w:cs="Times New Roman"/>
                <w:sz w:val="20"/>
                <w:szCs w:val="20"/>
              </w:rPr>
            </w:pPr>
          </w:p>
        </w:tc>
        <w:tc>
          <w:tcPr>
            <w:tcW w:w="1143" w:type="pct"/>
            <w:vMerge w:val="continue"/>
            <w:vAlign w:val="center"/>
          </w:tcPr>
          <w:p>
            <w:pPr>
              <w:pStyle w:val="13"/>
              <w:spacing w:line="280" w:lineRule="exact"/>
              <w:ind w:left="-84" w:leftChars="-35" w:right="-84" w:rightChars="-35"/>
              <w:rPr>
                <w:rFonts w:cs="Times New Roman"/>
                <w:sz w:val="20"/>
                <w:szCs w:val="20"/>
              </w:rPr>
            </w:pPr>
          </w:p>
        </w:tc>
        <w:tc>
          <w:tcPr>
            <w:tcW w:w="680" w:type="pct"/>
            <w:vAlign w:val="center"/>
          </w:tcPr>
          <w:p>
            <w:pPr>
              <w:pStyle w:val="13"/>
              <w:spacing w:line="280" w:lineRule="exact"/>
              <w:ind w:left="-84" w:leftChars="-35" w:right="-84" w:rightChars="-35"/>
              <w:rPr>
                <w:rFonts w:cs="Times New Roman"/>
                <w:sz w:val="20"/>
                <w:szCs w:val="20"/>
              </w:rPr>
            </w:pPr>
            <w:r>
              <w:rPr>
                <w:rFonts w:cs="Times New Roman"/>
                <w:sz w:val="20"/>
                <w:szCs w:val="20"/>
              </w:rPr>
              <w:t>玛瑙牵张场区</w:t>
            </w:r>
          </w:p>
        </w:tc>
        <w:tc>
          <w:tcPr>
            <w:tcW w:w="505" w:type="pct"/>
            <w:vAlign w:val="center"/>
          </w:tcPr>
          <w:p>
            <w:pPr>
              <w:pStyle w:val="13"/>
              <w:spacing w:line="280" w:lineRule="exact"/>
              <w:ind w:left="-84" w:leftChars="-35" w:right="-84" w:rightChars="-35"/>
              <w:rPr>
                <w:rFonts w:cs="Times New Roman"/>
                <w:sz w:val="20"/>
                <w:szCs w:val="20"/>
              </w:rPr>
            </w:pP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0.12</w:t>
            </w: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0.12</w:t>
            </w:r>
          </w:p>
        </w:tc>
        <w:tc>
          <w:tcPr>
            <w:tcW w:w="1030" w:type="pct"/>
            <w:vAlign w:val="center"/>
          </w:tcPr>
          <w:p>
            <w:pPr>
              <w:pStyle w:val="13"/>
              <w:spacing w:line="280" w:lineRule="exact"/>
              <w:ind w:left="-84" w:leftChars="-35" w:right="-84" w:rightChars="-35"/>
              <w:rPr>
                <w:rFonts w:cs="Times New Roman"/>
                <w:sz w:val="20"/>
                <w:szCs w:val="20"/>
              </w:rPr>
            </w:pPr>
            <w:r>
              <w:rPr>
                <w:rFonts w:cs="Times New Roman"/>
                <w:sz w:val="20"/>
                <w:szCs w:val="20"/>
              </w:rPr>
              <w:t>临时压占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pct"/>
            <w:vMerge w:val="continue"/>
            <w:vAlign w:val="center"/>
          </w:tcPr>
          <w:p>
            <w:pPr>
              <w:pStyle w:val="13"/>
              <w:spacing w:line="280" w:lineRule="exact"/>
              <w:ind w:left="-84" w:leftChars="-35" w:right="-84" w:rightChars="-35"/>
              <w:rPr>
                <w:rFonts w:cs="Times New Roman"/>
                <w:sz w:val="20"/>
                <w:szCs w:val="20"/>
              </w:rPr>
            </w:pPr>
          </w:p>
        </w:tc>
        <w:tc>
          <w:tcPr>
            <w:tcW w:w="1143" w:type="pct"/>
            <w:vMerge w:val="continue"/>
            <w:vAlign w:val="center"/>
          </w:tcPr>
          <w:p>
            <w:pPr>
              <w:pStyle w:val="13"/>
              <w:spacing w:line="280" w:lineRule="exact"/>
              <w:ind w:left="-84" w:leftChars="-35" w:right="-84" w:rightChars="-35"/>
              <w:rPr>
                <w:rFonts w:cs="Times New Roman"/>
                <w:sz w:val="20"/>
                <w:szCs w:val="20"/>
              </w:rPr>
            </w:pPr>
          </w:p>
        </w:tc>
        <w:tc>
          <w:tcPr>
            <w:tcW w:w="680" w:type="pct"/>
            <w:vAlign w:val="center"/>
          </w:tcPr>
          <w:p>
            <w:pPr>
              <w:pStyle w:val="13"/>
              <w:spacing w:line="280" w:lineRule="exact"/>
              <w:ind w:left="-84" w:leftChars="-35" w:right="-84" w:rightChars="-35"/>
              <w:rPr>
                <w:rFonts w:cs="Times New Roman"/>
                <w:sz w:val="20"/>
                <w:szCs w:val="20"/>
              </w:rPr>
            </w:pPr>
            <w:r>
              <w:rPr>
                <w:rFonts w:cs="Times New Roman"/>
                <w:sz w:val="20"/>
                <w:szCs w:val="20"/>
              </w:rPr>
              <w:t>玛瑙跨越场区</w:t>
            </w:r>
          </w:p>
        </w:tc>
        <w:tc>
          <w:tcPr>
            <w:tcW w:w="505" w:type="pct"/>
            <w:vAlign w:val="center"/>
          </w:tcPr>
          <w:p>
            <w:pPr>
              <w:pStyle w:val="13"/>
              <w:spacing w:line="280" w:lineRule="exact"/>
              <w:ind w:left="-84" w:leftChars="-35" w:right="-84" w:rightChars="-35"/>
              <w:rPr>
                <w:rFonts w:cs="Times New Roman"/>
                <w:sz w:val="20"/>
                <w:szCs w:val="20"/>
              </w:rPr>
            </w:pP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0.05</w:t>
            </w: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0.05</w:t>
            </w:r>
          </w:p>
        </w:tc>
        <w:tc>
          <w:tcPr>
            <w:tcW w:w="1030" w:type="pct"/>
            <w:vAlign w:val="center"/>
          </w:tcPr>
          <w:p>
            <w:pPr>
              <w:pStyle w:val="13"/>
              <w:spacing w:line="280" w:lineRule="exact"/>
              <w:ind w:left="-84" w:leftChars="-35" w:right="-84" w:rightChars="-35"/>
              <w:rPr>
                <w:rFonts w:cs="Times New Roman"/>
                <w:sz w:val="20"/>
                <w:szCs w:val="20"/>
              </w:rPr>
            </w:pPr>
            <w:r>
              <w:rPr>
                <w:rFonts w:cs="Times New Roman"/>
                <w:sz w:val="20"/>
                <w:szCs w:val="20"/>
              </w:rPr>
              <w:t>临时压占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Merge w:val="continue"/>
            <w:vAlign w:val="center"/>
          </w:tcPr>
          <w:p>
            <w:pPr>
              <w:pStyle w:val="13"/>
              <w:spacing w:line="280" w:lineRule="exact"/>
              <w:ind w:left="-84" w:leftChars="-35" w:right="-84" w:rightChars="-35"/>
              <w:rPr>
                <w:rFonts w:cs="Times New Roman"/>
                <w:sz w:val="20"/>
                <w:szCs w:val="20"/>
              </w:rPr>
            </w:pPr>
          </w:p>
        </w:tc>
        <w:tc>
          <w:tcPr>
            <w:tcW w:w="1143" w:type="pct"/>
            <w:vMerge w:val="restart"/>
            <w:vAlign w:val="center"/>
          </w:tcPr>
          <w:p>
            <w:pPr>
              <w:pStyle w:val="13"/>
              <w:spacing w:line="280" w:lineRule="exact"/>
              <w:ind w:left="-84" w:leftChars="-35" w:right="-84" w:rightChars="-35"/>
              <w:rPr>
                <w:rFonts w:cs="Times New Roman"/>
                <w:sz w:val="20"/>
                <w:szCs w:val="20"/>
              </w:rPr>
            </w:pPr>
            <w:r>
              <w:rPr>
                <w:rFonts w:cs="Times New Roman"/>
                <w:sz w:val="20"/>
                <w:szCs w:val="20"/>
              </w:rPr>
              <w:t>芭蕉-正达凯220kV</w:t>
            </w:r>
          </w:p>
          <w:p>
            <w:pPr>
              <w:pStyle w:val="13"/>
              <w:spacing w:line="280" w:lineRule="exact"/>
              <w:ind w:left="-84" w:leftChars="-35" w:right="-84" w:rightChars="-35"/>
              <w:rPr>
                <w:rFonts w:cs="Times New Roman"/>
                <w:sz w:val="20"/>
                <w:szCs w:val="20"/>
              </w:rPr>
            </w:pPr>
            <w:r>
              <w:rPr>
                <w:rFonts w:cs="Times New Roman"/>
                <w:sz w:val="20"/>
                <w:szCs w:val="20"/>
              </w:rPr>
              <w:t>线路工程</w:t>
            </w:r>
          </w:p>
        </w:tc>
        <w:tc>
          <w:tcPr>
            <w:tcW w:w="680" w:type="pct"/>
            <w:vAlign w:val="center"/>
          </w:tcPr>
          <w:p>
            <w:pPr>
              <w:pStyle w:val="13"/>
              <w:spacing w:line="280" w:lineRule="exact"/>
              <w:ind w:left="-84" w:leftChars="-35" w:right="-84" w:rightChars="-35"/>
              <w:rPr>
                <w:rFonts w:cs="Times New Roman"/>
                <w:sz w:val="20"/>
                <w:szCs w:val="20"/>
              </w:rPr>
            </w:pPr>
            <w:r>
              <w:rPr>
                <w:rFonts w:cs="Times New Roman"/>
                <w:sz w:val="20"/>
                <w:szCs w:val="20"/>
              </w:rPr>
              <w:t>芭蕉塔基及临时施工区</w:t>
            </w:r>
          </w:p>
        </w:tc>
        <w:tc>
          <w:tcPr>
            <w:tcW w:w="505" w:type="pct"/>
            <w:vAlign w:val="center"/>
          </w:tcPr>
          <w:p>
            <w:pPr>
              <w:pStyle w:val="13"/>
              <w:spacing w:line="280" w:lineRule="exact"/>
              <w:ind w:left="-84" w:leftChars="-35" w:right="-84" w:rightChars="-35"/>
              <w:rPr>
                <w:rFonts w:cs="Times New Roman"/>
                <w:sz w:val="20"/>
                <w:szCs w:val="20"/>
              </w:rPr>
            </w:pPr>
            <w:r>
              <w:rPr>
                <w:rFonts w:cs="Times New Roman"/>
                <w:sz w:val="20"/>
                <w:szCs w:val="20"/>
              </w:rPr>
              <w:t>0.69</w:t>
            </w: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0.73</w:t>
            </w: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1.42</w:t>
            </w:r>
          </w:p>
        </w:tc>
        <w:tc>
          <w:tcPr>
            <w:tcW w:w="1030" w:type="pct"/>
            <w:vAlign w:val="center"/>
          </w:tcPr>
          <w:p>
            <w:pPr>
              <w:pStyle w:val="13"/>
              <w:spacing w:line="280" w:lineRule="exact"/>
              <w:ind w:left="-84" w:leftChars="-35" w:right="-84" w:rightChars="-35"/>
              <w:rPr>
                <w:rFonts w:cs="Times New Roman"/>
                <w:sz w:val="20"/>
                <w:szCs w:val="20"/>
              </w:rPr>
            </w:pPr>
            <w:r>
              <w:rPr>
                <w:rFonts w:cs="Times New Roman"/>
                <w:sz w:val="20"/>
                <w:szCs w:val="20"/>
              </w:rPr>
              <w:t>塔基开挖、电塔修建、护坡墙及排水沟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Merge w:val="continue"/>
            <w:vAlign w:val="center"/>
          </w:tcPr>
          <w:p>
            <w:pPr>
              <w:pStyle w:val="13"/>
              <w:spacing w:line="280" w:lineRule="exact"/>
              <w:ind w:left="-84" w:leftChars="-35" w:right="-84" w:rightChars="-35"/>
              <w:rPr>
                <w:rFonts w:cs="Times New Roman"/>
                <w:sz w:val="20"/>
                <w:szCs w:val="20"/>
              </w:rPr>
            </w:pPr>
          </w:p>
        </w:tc>
        <w:tc>
          <w:tcPr>
            <w:tcW w:w="1143" w:type="pct"/>
            <w:vMerge w:val="continue"/>
            <w:vAlign w:val="center"/>
          </w:tcPr>
          <w:p>
            <w:pPr>
              <w:pStyle w:val="13"/>
              <w:spacing w:line="280" w:lineRule="exact"/>
              <w:ind w:left="-84" w:leftChars="-35" w:right="-84" w:rightChars="-35"/>
              <w:rPr>
                <w:rFonts w:cs="Times New Roman"/>
                <w:sz w:val="20"/>
                <w:szCs w:val="20"/>
              </w:rPr>
            </w:pPr>
          </w:p>
        </w:tc>
        <w:tc>
          <w:tcPr>
            <w:tcW w:w="680" w:type="pct"/>
            <w:vAlign w:val="center"/>
          </w:tcPr>
          <w:p>
            <w:pPr>
              <w:pStyle w:val="13"/>
              <w:spacing w:line="280" w:lineRule="exact"/>
              <w:ind w:left="-84" w:leftChars="-35" w:right="-84" w:rightChars="-35"/>
              <w:rPr>
                <w:rFonts w:cs="Times New Roman"/>
                <w:sz w:val="20"/>
                <w:szCs w:val="20"/>
              </w:rPr>
            </w:pPr>
            <w:r>
              <w:rPr>
                <w:rFonts w:cs="Times New Roman"/>
                <w:sz w:val="20"/>
                <w:szCs w:val="20"/>
              </w:rPr>
              <w:t>芭蕉施工便道区</w:t>
            </w:r>
          </w:p>
        </w:tc>
        <w:tc>
          <w:tcPr>
            <w:tcW w:w="505" w:type="pct"/>
            <w:vAlign w:val="center"/>
          </w:tcPr>
          <w:p>
            <w:pPr>
              <w:pStyle w:val="13"/>
              <w:spacing w:line="280" w:lineRule="exact"/>
              <w:ind w:left="-84" w:leftChars="-35" w:right="-84" w:rightChars="-35"/>
              <w:rPr>
                <w:rFonts w:cs="Times New Roman"/>
                <w:sz w:val="20"/>
                <w:szCs w:val="20"/>
              </w:rPr>
            </w:pP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0.76</w:t>
            </w: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0.76</w:t>
            </w:r>
          </w:p>
        </w:tc>
        <w:tc>
          <w:tcPr>
            <w:tcW w:w="1030" w:type="pct"/>
            <w:vAlign w:val="center"/>
          </w:tcPr>
          <w:p>
            <w:pPr>
              <w:pStyle w:val="13"/>
              <w:spacing w:line="280" w:lineRule="exact"/>
              <w:ind w:left="-84" w:leftChars="-35" w:right="-84" w:rightChars="-35"/>
              <w:rPr>
                <w:rFonts w:cs="Times New Roman"/>
                <w:sz w:val="20"/>
                <w:szCs w:val="20"/>
              </w:rPr>
            </w:pPr>
            <w:r>
              <w:rPr>
                <w:rFonts w:cs="Times New Roman"/>
                <w:sz w:val="20"/>
                <w:szCs w:val="20"/>
              </w:rPr>
              <w:t>搬运材料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Merge w:val="continue"/>
            <w:vAlign w:val="center"/>
          </w:tcPr>
          <w:p>
            <w:pPr>
              <w:pStyle w:val="13"/>
              <w:spacing w:line="280" w:lineRule="exact"/>
              <w:ind w:left="-84" w:leftChars="-35" w:right="-84" w:rightChars="-35"/>
              <w:rPr>
                <w:rFonts w:cs="Times New Roman"/>
                <w:sz w:val="20"/>
                <w:szCs w:val="20"/>
              </w:rPr>
            </w:pPr>
          </w:p>
        </w:tc>
        <w:tc>
          <w:tcPr>
            <w:tcW w:w="1143" w:type="pct"/>
            <w:vMerge w:val="continue"/>
            <w:vAlign w:val="center"/>
          </w:tcPr>
          <w:p>
            <w:pPr>
              <w:pStyle w:val="13"/>
              <w:spacing w:line="280" w:lineRule="exact"/>
              <w:ind w:left="-84" w:leftChars="-35" w:right="-84" w:rightChars="-35"/>
              <w:rPr>
                <w:rFonts w:cs="Times New Roman"/>
                <w:sz w:val="20"/>
                <w:szCs w:val="20"/>
              </w:rPr>
            </w:pPr>
          </w:p>
        </w:tc>
        <w:tc>
          <w:tcPr>
            <w:tcW w:w="680" w:type="pct"/>
            <w:vAlign w:val="center"/>
          </w:tcPr>
          <w:p>
            <w:pPr>
              <w:pStyle w:val="13"/>
              <w:spacing w:line="280" w:lineRule="exact"/>
              <w:ind w:left="-84" w:leftChars="-35" w:right="-84" w:rightChars="-35"/>
              <w:rPr>
                <w:rFonts w:cs="Times New Roman"/>
                <w:sz w:val="20"/>
                <w:szCs w:val="20"/>
              </w:rPr>
            </w:pPr>
            <w:r>
              <w:rPr>
                <w:rFonts w:cs="Times New Roman"/>
                <w:sz w:val="20"/>
                <w:szCs w:val="20"/>
              </w:rPr>
              <w:t>芭蕉牵张场区</w:t>
            </w:r>
          </w:p>
        </w:tc>
        <w:tc>
          <w:tcPr>
            <w:tcW w:w="505" w:type="pct"/>
            <w:vAlign w:val="center"/>
          </w:tcPr>
          <w:p>
            <w:pPr>
              <w:pStyle w:val="13"/>
              <w:spacing w:line="280" w:lineRule="exact"/>
              <w:ind w:left="-84" w:leftChars="-35" w:right="-84" w:rightChars="-35"/>
              <w:rPr>
                <w:rFonts w:cs="Times New Roman"/>
                <w:sz w:val="20"/>
                <w:szCs w:val="20"/>
              </w:rPr>
            </w:pP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0.28</w:t>
            </w: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0.28</w:t>
            </w:r>
          </w:p>
        </w:tc>
        <w:tc>
          <w:tcPr>
            <w:tcW w:w="1030" w:type="pct"/>
            <w:vAlign w:val="center"/>
          </w:tcPr>
          <w:p>
            <w:pPr>
              <w:pStyle w:val="13"/>
              <w:spacing w:line="280" w:lineRule="exact"/>
              <w:ind w:left="-84" w:leftChars="-35" w:right="-84" w:rightChars="-35"/>
              <w:rPr>
                <w:rFonts w:cs="Times New Roman"/>
                <w:sz w:val="20"/>
                <w:szCs w:val="20"/>
              </w:rPr>
            </w:pPr>
            <w:r>
              <w:rPr>
                <w:rFonts w:cs="Times New Roman"/>
                <w:sz w:val="20"/>
                <w:szCs w:val="20"/>
              </w:rPr>
              <w:t>临时压占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pct"/>
            <w:vMerge w:val="continue"/>
            <w:vAlign w:val="center"/>
          </w:tcPr>
          <w:p>
            <w:pPr>
              <w:pStyle w:val="13"/>
              <w:spacing w:line="280" w:lineRule="exact"/>
              <w:ind w:left="-84" w:leftChars="-35" w:right="-84" w:rightChars="-35"/>
              <w:rPr>
                <w:rFonts w:cs="Times New Roman"/>
                <w:sz w:val="20"/>
                <w:szCs w:val="20"/>
              </w:rPr>
            </w:pPr>
          </w:p>
        </w:tc>
        <w:tc>
          <w:tcPr>
            <w:tcW w:w="1143" w:type="pct"/>
            <w:vMerge w:val="continue"/>
            <w:vAlign w:val="center"/>
          </w:tcPr>
          <w:p>
            <w:pPr>
              <w:pStyle w:val="13"/>
              <w:spacing w:line="280" w:lineRule="exact"/>
              <w:ind w:left="-84" w:leftChars="-35" w:right="-84" w:rightChars="-35"/>
              <w:rPr>
                <w:rFonts w:cs="Times New Roman"/>
                <w:sz w:val="20"/>
                <w:szCs w:val="20"/>
              </w:rPr>
            </w:pPr>
          </w:p>
        </w:tc>
        <w:tc>
          <w:tcPr>
            <w:tcW w:w="680" w:type="pct"/>
            <w:vAlign w:val="center"/>
          </w:tcPr>
          <w:p>
            <w:pPr>
              <w:pStyle w:val="13"/>
              <w:spacing w:line="280" w:lineRule="exact"/>
              <w:ind w:left="-84" w:leftChars="-35" w:right="-84" w:rightChars="-35"/>
              <w:rPr>
                <w:rFonts w:cs="Times New Roman"/>
                <w:sz w:val="20"/>
                <w:szCs w:val="20"/>
              </w:rPr>
            </w:pPr>
            <w:r>
              <w:rPr>
                <w:rFonts w:cs="Times New Roman"/>
                <w:sz w:val="20"/>
                <w:szCs w:val="20"/>
              </w:rPr>
              <w:t>芭蕉跨越场区</w:t>
            </w:r>
          </w:p>
        </w:tc>
        <w:tc>
          <w:tcPr>
            <w:tcW w:w="505" w:type="pct"/>
            <w:vAlign w:val="center"/>
          </w:tcPr>
          <w:p>
            <w:pPr>
              <w:pStyle w:val="13"/>
              <w:spacing w:line="280" w:lineRule="exact"/>
              <w:ind w:left="-84" w:leftChars="-35" w:right="-84" w:rightChars="-35"/>
              <w:rPr>
                <w:rFonts w:cs="Times New Roman"/>
                <w:sz w:val="20"/>
                <w:szCs w:val="20"/>
              </w:rPr>
            </w:pP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0.07</w:t>
            </w:r>
          </w:p>
        </w:tc>
        <w:tc>
          <w:tcPr>
            <w:tcW w:w="582" w:type="pct"/>
            <w:vAlign w:val="center"/>
          </w:tcPr>
          <w:p>
            <w:pPr>
              <w:pStyle w:val="13"/>
              <w:spacing w:line="280" w:lineRule="exact"/>
              <w:ind w:left="-84" w:leftChars="-35" w:right="-84" w:rightChars="-35"/>
              <w:rPr>
                <w:rFonts w:cs="Times New Roman"/>
                <w:sz w:val="20"/>
                <w:szCs w:val="20"/>
              </w:rPr>
            </w:pPr>
            <w:r>
              <w:rPr>
                <w:rFonts w:cs="Times New Roman"/>
                <w:sz w:val="20"/>
                <w:szCs w:val="20"/>
              </w:rPr>
              <w:t>0.07</w:t>
            </w:r>
          </w:p>
        </w:tc>
        <w:tc>
          <w:tcPr>
            <w:tcW w:w="1030" w:type="pct"/>
            <w:vAlign w:val="center"/>
          </w:tcPr>
          <w:p>
            <w:pPr>
              <w:pStyle w:val="13"/>
              <w:spacing w:line="280" w:lineRule="exact"/>
              <w:ind w:left="-84" w:leftChars="-35" w:right="-84" w:rightChars="-35"/>
              <w:rPr>
                <w:rFonts w:cs="Times New Roman"/>
                <w:sz w:val="20"/>
                <w:szCs w:val="20"/>
              </w:rPr>
            </w:pPr>
            <w:r>
              <w:rPr>
                <w:rFonts w:cs="Times New Roman"/>
                <w:sz w:val="20"/>
                <w:szCs w:val="20"/>
              </w:rPr>
              <w:t>临时压占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Merge w:val="continue"/>
            <w:vAlign w:val="center"/>
          </w:tcPr>
          <w:p>
            <w:pPr>
              <w:pStyle w:val="13"/>
              <w:spacing w:line="280" w:lineRule="exact"/>
              <w:ind w:left="-84" w:leftChars="-35" w:right="-84" w:rightChars="-35"/>
              <w:rPr>
                <w:rFonts w:cs="Times New Roman"/>
                <w:sz w:val="20"/>
                <w:szCs w:val="20"/>
              </w:rPr>
            </w:pPr>
          </w:p>
        </w:tc>
        <w:tc>
          <w:tcPr>
            <w:tcW w:w="1143" w:type="pct"/>
            <w:vMerge w:val="continue"/>
            <w:vAlign w:val="center"/>
          </w:tcPr>
          <w:p>
            <w:pPr>
              <w:pStyle w:val="13"/>
              <w:spacing w:line="280" w:lineRule="exact"/>
              <w:ind w:left="-84" w:leftChars="-35" w:right="-84" w:rightChars="-35"/>
              <w:rPr>
                <w:rFonts w:cs="Times New Roman"/>
                <w:sz w:val="20"/>
                <w:szCs w:val="20"/>
              </w:rPr>
            </w:pPr>
          </w:p>
        </w:tc>
        <w:tc>
          <w:tcPr>
            <w:tcW w:w="680" w:type="pct"/>
            <w:vAlign w:val="center"/>
          </w:tcPr>
          <w:p>
            <w:pPr>
              <w:pStyle w:val="13"/>
              <w:spacing w:line="280" w:lineRule="exact"/>
              <w:ind w:left="-84" w:leftChars="-35" w:right="-84" w:rightChars="-35"/>
              <w:rPr>
                <w:rFonts w:cs="Times New Roman"/>
                <w:sz w:val="20"/>
                <w:szCs w:val="20"/>
              </w:rPr>
            </w:pPr>
            <w:r>
              <w:rPr>
                <w:rFonts w:cs="Times New Roman"/>
                <w:sz w:val="20"/>
                <w:szCs w:val="20"/>
              </w:rPr>
              <w:t>芭蕉电缆工程区</w:t>
            </w:r>
          </w:p>
        </w:tc>
        <w:tc>
          <w:tcPr>
            <w:tcW w:w="505" w:type="pct"/>
            <w:tcBorders>
              <w:bottom w:val="single" w:color="auto" w:sz="4" w:space="0"/>
            </w:tcBorders>
            <w:vAlign w:val="center"/>
          </w:tcPr>
          <w:p>
            <w:pPr>
              <w:pStyle w:val="13"/>
              <w:spacing w:line="280" w:lineRule="exact"/>
              <w:ind w:left="-84" w:leftChars="-35" w:right="-84" w:rightChars="-35"/>
              <w:rPr>
                <w:rFonts w:cs="Times New Roman"/>
                <w:sz w:val="20"/>
                <w:szCs w:val="20"/>
              </w:rPr>
            </w:pPr>
          </w:p>
        </w:tc>
        <w:tc>
          <w:tcPr>
            <w:tcW w:w="582" w:type="pct"/>
            <w:tcBorders>
              <w:bottom w:val="single" w:color="auto" w:sz="4" w:space="0"/>
            </w:tcBorders>
            <w:vAlign w:val="center"/>
          </w:tcPr>
          <w:p>
            <w:pPr>
              <w:pStyle w:val="13"/>
              <w:spacing w:line="280" w:lineRule="exact"/>
              <w:ind w:left="-84" w:leftChars="-35" w:right="-84" w:rightChars="-35"/>
              <w:rPr>
                <w:rFonts w:cs="Times New Roman"/>
                <w:sz w:val="20"/>
                <w:szCs w:val="20"/>
              </w:rPr>
            </w:pPr>
            <w:r>
              <w:rPr>
                <w:rFonts w:cs="Times New Roman"/>
                <w:sz w:val="20"/>
                <w:szCs w:val="20"/>
              </w:rPr>
              <w:t>0.04</w:t>
            </w:r>
          </w:p>
        </w:tc>
        <w:tc>
          <w:tcPr>
            <w:tcW w:w="582" w:type="pct"/>
            <w:tcBorders>
              <w:bottom w:val="single" w:color="auto" w:sz="4" w:space="0"/>
            </w:tcBorders>
            <w:vAlign w:val="center"/>
          </w:tcPr>
          <w:p>
            <w:pPr>
              <w:pStyle w:val="13"/>
              <w:spacing w:line="280" w:lineRule="exact"/>
              <w:ind w:left="-84" w:leftChars="-35" w:right="-84" w:rightChars="-35"/>
              <w:rPr>
                <w:rFonts w:cs="Times New Roman"/>
                <w:sz w:val="20"/>
                <w:szCs w:val="20"/>
              </w:rPr>
            </w:pPr>
            <w:r>
              <w:rPr>
                <w:rFonts w:cs="Times New Roman"/>
                <w:sz w:val="20"/>
                <w:szCs w:val="20"/>
              </w:rPr>
              <w:t>0.04</w:t>
            </w:r>
          </w:p>
        </w:tc>
        <w:tc>
          <w:tcPr>
            <w:tcW w:w="1030" w:type="pct"/>
            <w:tcBorders>
              <w:bottom w:val="single" w:color="auto" w:sz="4" w:space="0"/>
            </w:tcBorders>
            <w:vAlign w:val="center"/>
          </w:tcPr>
          <w:p>
            <w:pPr>
              <w:pStyle w:val="13"/>
              <w:spacing w:line="280" w:lineRule="exact"/>
              <w:ind w:left="-84" w:leftChars="-35" w:right="-84" w:rightChars="-35"/>
              <w:rPr>
                <w:rFonts w:cs="Times New Roman"/>
                <w:sz w:val="20"/>
                <w:szCs w:val="20"/>
              </w:rPr>
            </w:pPr>
            <w:r>
              <w:rPr>
                <w:rFonts w:cs="Times New Roman"/>
                <w:sz w:val="20"/>
                <w:szCs w:val="20"/>
              </w:rPr>
              <w:t>电缆沟道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1" w:type="pct"/>
            <w:gridSpan w:val="3"/>
            <w:vAlign w:val="center"/>
          </w:tcPr>
          <w:p>
            <w:pPr>
              <w:pStyle w:val="13"/>
              <w:spacing w:line="280" w:lineRule="exact"/>
              <w:ind w:left="-84" w:leftChars="-35" w:right="-84" w:rightChars="-35"/>
              <w:rPr>
                <w:rFonts w:cs="Times New Roman"/>
                <w:sz w:val="20"/>
                <w:szCs w:val="20"/>
              </w:rPr>
            </w:pPr>
            <w:r>
              <w:rPr>
                <w:rFonts w:cs="Times New Roman"/>
                <w:sz w:val="20"/>
                <w:szCs w:val="20"/>
              </w:rPr>
              <w:t>合计</w:t>
            </w:r>
          </w:p>
        </w:tc>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spacing w:line="280" w:lineRule="exact"/>
              <w:ind w:left="-84" w:leftChars="-35" w:right="-84" w:rightChars="-35"/>
              <w:rPr>
                <w:rFonts w:cs="Times New Roman"/>
                <w:sz w:val="20"/>
                <w:szCs w:val="20"/>
              </w:rPr>
            </w:pPr>
            <w:r>
              <w:rPr>
                <w:rFonts w:cs="Times New Roman"/>
                <w:sz w:val="20"/>
                <w:szCs w:val="20"/>
              </w:rPr>
              <w:t>0.95</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spacing w:line="280" w:lineRule="exact"/>
              <w:ind w:left="-84" w:leftChars="-35" w:right="-84" w:rightChars="-35"/>
              <w:rPr>
                <w:rFonts w:cs="Times New Roman"/>
                <w:sz w:val="20"/>
                <w:szCs w:val="20"/>
              </w:rPr>
            </w:pPr>
            <w:r>
              <w:rPr>
                <w:rFonts w:cs="Times New Roman"/>
                <w:sz w:val="20"/>
                <w:szCs w:val="20"/>
              </w:rPr>
              <w:t>2.86</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spacing w:line="280" w:lineRule="exact"/>
              <w:ind w:left="-84" w:leftChars="-35" w:right="-84" w:rightChars="-35"/>
              <w:rPr>
                <w:rFonts w:cs="Times New Roman"/>
                <w:sz w:val="20"/>
                <w:szCs w:val="20"/>
              </w:rPr>
            </w:pPr>
            <w:r>
              <w:rPr>
                <w:rFonts w:cs="Times New Roman"/>
                <w:sz w:val="20"/>
                <w:szCs w:val="20"/>
              </w:rPr>
              <w:t>3.81</w:t>
            </w:r>
          </w:p>
        </w:tc>
        <w:tc>
          <w:tcPr>
            <w:tcW w:w="1030" w:type="pct"/>
            <w:tcBorders>
              <w:top w:val="single" w:color="auto" w:sz="4" w:space="0"/>
              <w:left w:val="single" w:color="auto" w:sz="4" w:space="0"/>
              <w:bottom w:val="single" w:color="auto" w:sz="4" w:space="0"/>
              <w:right w:val="single" w:color="auto" w:sz="4" w:space="0"/>
            </w:tcBorders>
            <w:vAlign w:val="center"/>
          </w:tcPr>
          <w:p>
            <w:pPr>
              <w:pStyle w:val="13"/>
              <w:spacing w:line="280" w:lineRule="exact"/>
              <w:ind w:left="-84" w:leftChars="-35" w:right="-84" w:rightChars="-35"/>
              <w:rPr>
                <w:rFonts w:cs="Times New Roman"/>
                <w:sz w:val="20"/>
                <w:szCs w:val="20"/>
              </w:rPr>
            </w:pPr>
          </w:p>
        </w:tc>
      </w:tr>
    </w:tbl>
    <w:p>
      <w:pPr>
        <w:pStyle w:val="3"/>
        <w:widowControl w:val="0"/>
        <w:kinsoku/>
        <w:topLinePunct/>
        <w:autoSpaceDE/>
        <w:autoSpaceDN/>
        <w:spacing w:before="240" w:after="120" w:line="300" w:lineRule="auto"/>
        <w:ind w:firstLine="0" w:firstLineChars="0"/>
        <w:rPr>
          <w:rFonts w:ascii="Times New Roman" w:hAnsi="Times New Roman" w:eastAsia="仿宋_GB2312" w:cs="Times New Roman"/>
          <w:color w:val="auto"/>
          <w:sz w:val="30"/>
          <w:szCs w:val="30"/>
          <w:lang w:eastAsia="zh-CN"/>
        </w:rPr>
      </w:pPr>
      <w:bookmarkStart w:id="61" w:name="_Toc171533299"/>
      <w:r>
        <w:rPr>
          <w:rFonts w:ascii="Times New Roman" w:hAnsi="Times New Roman" w:eastAsia="仿宋_GB2312" w:cs="Times New Roman"/>
          <w:color w:val="auto"/>
          <w:sz w:val="30"/>
          <w:szCs w:val="30"/>
          <w:lang w:eastAsia="zh-CN"/>
        </w:rPr>
        <w:t>5.2 措施总体布局</w:t>
      </w:r>
      <w:bookmarkEnd w:id="61"/>
    </w:p>
    <w:p>
      <w:pPr>
        <w:spacing w:line="360" w:lineRule="auto"/>
        <w:ind w:firstLine="480"/>
        <w:rPr>
          <w:rFonts w:cs="Times New Roman"/>
          <w:color w:val="auto"/>
          <w:lang w:eastAsia="zh-CN"/>
        </w:rPr>
      </w:pPr>
      <w:r>
        <w:rPr>
          <w:rFonts w:cs="Times New Roman"/>
          <w:color w:val="auto"/>
          <w:lang w:eastAsia="zh-CN"/>
        </w:rPr>
        <w:t>水土保持措施设计应符合国家、地方水土保持的有关政策法规，遵循科学合 理、注重实际、效果显著、便于实施的原则，与主体工程相互协调，避免冲突。对于不能满足水土保持要求的， 进行补充设计，计列增加部分的投资。</w:t>
      </w:r>
    </w:p>
    <w:p>
      <w:pPr>
        <w:spacing w:line="360" w:lineRule="auto"/>
        <w:ind w:firstLine="480"/>
        <w:rPr>
          <w:rFonts w:cs="Times New Roman"/>
          <w:color w:val="auto"/>
          <w:lang w:eastAsia="zh-CN"/>
        </w:rPr>
      </w:pPr>
      <w:r>
        <w:rPr>
          <w:rFonts w:cs="Times New Roman"/>
          <w:color w:val="auto"/>
          <w:lang w:eastAsia="zh-CN"/>
        </w:rPr>
        <w:t>本工程的水土流失防治体系总体布局详见表5.2-1。</w:t>
      </w:r>
    </w:p>
    <w:p>
      <w:pPr>
        <w:spacing w:line="360" w:lineRule="auto"/>
        <w:ind w:firstLine="480"/>
        <w:rPr>
          <w:rFonts w:cs="Times New Roman"/>
          <w:color w:val="auto"/>
          <w:lang w:eastAsia="zh-CN"/>
        </w:rPr>
      </w:pPr>
    </w:p>
    <w:p>
      <w:pPr>
        <w:spacing w:line="360" w:lineRule="auto"/>
        <w:ind w:firstLine="480"/>
        <w:rPr>
          <w:rFonts w:cs="Times New Roman"/>
          <w:color w:val="auto"/>
          <w:lang w:eastAsia="zh-CN"/>
        </w:rPr>
      </w:pPr>
    </w:p>
    <w:p>
      <w:pPr>
        <w:spacing w:line="300" w:lineRule="auto"/>
        <w:ind w:firstLine="470"/>
        <w:jc w:val="center"/>
        <w:rPr>
          <w:rFonts w:cs="Times New Roman"/>
          <w:b/>
          <w:bCs/>
          <w:color w:val="auto"/>
          <w:spacing w:val="-3"/>
          <w:lang w:eastAsia="zh-CN"/>
        </w:rPr>
      </w:pPr>
      <w:r>
        <w:rPr>
          <w:rFonts w:cs="Times New Roman"/>
          <w:b/>
          <w:bCs/>
          <w:color w:val="auto"/>
          <w:spacing w:val="-3"/>
          <w:lang w:eastAsia="zh-CN"/>
        </w:rPr>
        <w:t>表</w:t>
      </w:r>
      <w:r>
        <w:rPr>
          <w:rFonts w:cs="Times New Roman"/>
          <w:b/>
          <w:bCs/>
          <w:color w:val="auto"/>
          <w:spacing w:val="-46"/>
          <w:lang w:eastAsia="zh-CN"/>
        </w:rPr>
        <w:t xml:space="preserve"> </w:t>
      </w:r>
      <w:r>
        <w:rPr>
          <w:rFonts w:cs="Times New Roman"/>
          <w:b/>
          <w:bCs/>
          <w:color w:val="auto"/>
          <w:spacing w:val="-3"/>
          <w:lang w:eastAsia="zh-CN"/>
        </w:rPr>
        <w:t>5.2-1  水土流失防治措施体系表</w:t>
      </w:r>
    </w:p>
    <w:tbl>
      <w:tblPr>
        <w:tblStyle w:val="26"/>
        <w:tblW w:w="86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080"/>
        <w:gridCol w:w="1080"/>
        <w:gridCol w:w="1080"/>
        <w:gridCol w:w="1120"/>
        <w:gridCol w:w="1160"/>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80" w:type="dxa"/>
            <w:gridSpan w:val="3"/>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防治分区</w:t>
            </w:r>
          </w:p>
        </w:tc>
        <w:tc>
          <w:tcPr>
            <w:tcW w:w="108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措施类型</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措施内容</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阶段</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布设位置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2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变电站</w:t>
            </w: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w:t>
            </w:r>
            <w:r>
              <w:rPr>
                <w:rFonts w:eastAsia="仿宋" w:cs="Times New Roman"/>
                <w:snapToGrid/>
                <w:color w:val="auto"/>
                <w:sz w:val="20"/>
                <w:szCs w:val="20"/>
                <w:lang w:eastAsia="zh-CN"/>
              </w:rPr>
              <w:t>500kV</w:t>
            </w:r>
            <w:r>
              <w:rPr>
                <w:rFonts w:hint="eastAsia" w:ascii="仿宋" w:hAnsi="仿宋" w:eastAsia="仿宋" w:cs="宋体"/>
                <w:snapToGrid/>
                <w:color w:val="auto"/>
                <w:sz w:val="20"/>
                <w:szCs w:val="20"/>
                <w:lang w:eastAsia="zh-CN"/>
              </w:rPr>
              <w:t>变电站</w:t>
            </w:r>
            <w:r>
              <w:rPr>
                <w:rFonts w:eastAsia="仿宋" w:cs="Times New Roman"/>
                <w:snapToGrid/>
                <w:color w:val="auto"/>
                <w:sz w:val="20"/>
                <w:szCs w:val="20"/>
                <w:lang w:eastAsia="zh-CN"/>
              </w:rPr>
              <w:t>220kV</w:t>
            </w:r>
            <w:r>
              <w:rPr>
                <w:rFonts w:hint="eastAsia" w:ascii="仿宋" w:hAnsi="仿宋" w:eastAsia="仿宋" w:cs="宋体"/>
                <w:snapToGrid/>
                <w:color w:val="auto"/>
                <w:sz w:val="20"/>
                <w:szCs w:val="20"/>
                <w:lang w:eastAsia="zh-CN"/>
              </w:rPr>
              <w:t>间隔扩建工程</w:t>
            </w: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玛瑙变电站站区</w:t>
            </w: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表土剥离</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玛瑙变电站北侧开挖区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玛瑙变电站北侧开挖区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表土回覆</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玛瑙变电站北侧后期回覆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植被措施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绿化草坪恢复</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玛瑙变电站扩建开挖区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临时措施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土袋拦挡</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玛瑙变电站开挖区与裸露区域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临时遮盖</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玛瑙变电站临时堆土区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w:t>
            </w:r>
            <w:r>
              <w:rPr>
                <w:rFonts w:eastAsia="仿宋" w:cs="Times New Roman"/>
                <w:snapToGrid/>
                <w:color w:val="auto"/>
                <w:sz w:val="20"/>
                <w:szCs w:val="20"/>
                <w:lang w:eastAsia="zh-CN"/>
              </w:rPr>
              <w:t>220kV</w:t>
            </w:r>
            <w:r>
              <w:rPr>
                <w:rFonts w:hint="eastAsia" w:ascii="仿宋" w:hAnsi="仿宋" w:eastAsia="仿宋" w:cs="宋体"/>
                <w:snapToGrid/>
                <w:color w:val="auto"/>
                <w:sz w:val="20"/>
                <w:szCs w:val="20"/>
                <w:lang w:eastAsia="zh-CN"/>
              </w:rPr>
              <w:t>变电站</w:t>
            </w:r>
            <w:r>
              <w:rPr>
                <w:rFonts w:eastAsia="仿宋" w:cs="Times New Roman"/>
                <w:snapToGrid/>
                <w:color w:val="auto"/>
                <w:sz w:val="20"/>
                <w:szCs w:val="20"/>
                <w:lang w:eastAsia="zh-CN"/>
              </w:rPr>
              <w:t>220kV</w:t>
            </w:r>
            <w:r>
              <w:rPr>
                <w:rFonts w:hint="eastAsia" w:ascii="仿宋" w:hAnsi="仿宋" w:eastAsia="仿宋" w:cs="宋体"/>
                <w:snapToGrid/>
                <w:color w:val="auto"/>
                <w:sz w:val="20"/>
                <w:szCs w:val="20"/>
                <w:lang w:eastAsia="zh-CN"/>
              </w:rPr>
              <w:t>间隔扩建工程</w:t>
            </w: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芭蕉变电站站区</w:t>
            </w: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排水管道</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芭蕉变电站南侧至出入口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雨水检查井</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芭蕉变电站南侧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雨水口</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芭蕉变电站南侧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表土剥离</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芭蕉变电站南侧开挖区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芭蕉变电站南侧开挖区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表土回覆</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芭蕉变电站南侧后期回覆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植被措施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播撒草籽</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芭蕉变电站南侧开挖区回填区域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临时措施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土袋拦挡</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芭蕉变电站临时堆土区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临时遮盖</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芭蕉变电站开挖区与裸露区域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20" w:type="dxa"/>
            <w:vMerge w:val="restart"/>
            <w:shd w:val="clear" w:color="auto" w:fill="auto"/>
            <w:noWrap/>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线路</w:t>
            </w: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w:t>
            </w:r>
            <w:r>
              <w:rPr>
                <w:rFonts w:eastAsia="仿宋" w:cs="Times New Roman"/>
                <w:snapToGrid/>
                <w:color w:val="auto"/>
                <w:sz w:val="20"/>
                <w:szCs w:val="20"/>
                <w:lang w:eastAsia="zh-CN"/>
              </w:rPr>
              <w:t>-</w:t>
            </w:r>
            <w:r>
              <w:rPr>
                <w:rFonts w:hint="eastAsia" w:ascii="仿宋" w:hAnsi="仿宋" w:eastAsia="仿宋" w:cs="宋体"/>
                <w:snapToGrid/>
                <w:color w:val="auto"/>
                <w:sz w:val="20"/>
                <w:szCs w:val="20"/>
                <w:lang w:eastAsia="zh-CN"/>
              </w:rPr>
              <w:t>正达凯</w:t>
            </w:r>
            <w:r>
              <w:rPr>
                <w:rFonts w:eastAsia="仿宋" w:cs="Times New Roman"/>
                <w:snapToGrid/>
                <w:color w:val="auto"/>
                <w:sz w:val="20"/>
                <w:szCs w:val="20"/>
                <w:lang w:eastAsia="zh-CN"/>
              </w:rPr>
              <w:t>220kV</w:t>
            </w:r>
            <w:r>
              <w:rPr>
                <w:rFonts w:hint="eastAsia" w:ascii="仿宋" w:hAnsi="仿宋" w:eastAsia="仿宋" w:cs="宋体"/>
                <w:snapToGrid/>
                <w:color w:val="auto"/>
                <w:sz w:val="20"/>
                <w:szCs w:val="20"/>
                <w:lang w:eastAsia="zh-CN"/>
              </w:rPr>
              <w:t>线路工程</w:t>
            </w: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玛瑙塔基及临时施工区</w:t>
            </w: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排洪沟</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w:t>
            </w:r>
            <w:r>
              <w:rPr>
                <w:rFonts w:eastAsia="仿宋" w:cs="Times New Roman"/>
                <w:snapToGrid/>
                <w:color w:val="auto"/>
                <w:sz w:val="20"/>
                <w:szCs w:val="20"/>
                <w:lang w:eastAsia="zh-CN"/>
              </w:rPr>
              <w:t>-</w:t>
            </w:r>
            <w:r>
              <w:rPr>
                <w:rFonts w:hint="eastAsia" w:ascii="仿宋" w:hAnsi="仿宋" w:eastAsia="仿宋" w:cs="宋体"/>
                <w:snapToGrid/>
                <w:color w:val="auto"/>
                <w:sz w:val="20"/>
                <w:szCs w:val="20"/>
                <w:lang w:eastAsia="zh-CN"/>
              </w:rPr>
              <w:t>正达凯</w:t>
            </w:r>
            <w:r>
              <w:rPr>
                <w:rFonts w:eastAsia="仿宋" w:cs="Times New Roman"/>
                <w:snapToGrid/>
                <w:color w:val="auto"/>
                <w:sz w:val="20"/>
                <w:szCs w:val="20"/>
                <w:lang w:eastAsia="zh-CN"/>
              </w:rPr>
              <w:t>220kV</w:t>
            </w:r>
            <w:r>
              <w:rPr>
                <w:rFonts w:hint="eastAsia" w:ascii="仿宋" w:hAnsi="仿宋" w:eastAsia="仿宋" w:cs="宋体"/>
                <w:snapToGrid/>
                <w:color w:val="auto"/>
                <w:sz w:val="20"/>
                <w:szCs w:val="20"/>
                <w:lang w:eastAsia="zh-CN"/>
              </w:rPr>
              <w:t>线路</w:t>
            </w:r>
            <w:r>
              <w:rPr>
                <w:rFonts w:eastAsia="仿宋" w:cs="Times New Roman"/>
                <w:snapToGrid/>
                <w:color w:val="auto"/>
                <w:sz w:val="20"/>
                <w:szCs w:val="20"/>
                <w:lang w:eastAsia="zh-CN"/>
              </w:rPr>
              <w:t>2</w:t>
            </w:r>
            <w:r>
              <w:rPr>
                <w:rFonts w:hint="eastAsia" w:ascii="仿宋" w:hAnsi="仿宋" w:eastAsia="仿宋" w:cs="宋体"/>
                <w:snapToGrid/>
                <w:color w:val="auto"/>
                <w:sz w:val="20"/>
                <w:szCs w:val="20"/>
                <w:lang w:eastAsia="zh-CN"/>
              </w:rPr>
              <w:t>处塔位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护坡墙</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w:t>
            </w:r>
            <w:r>
              <w:rPr>
                <w:rFonts w:eastAsia="仿宋" w:cs="Times New Roman"/>
                <w:snapToGrid/>
                <w:color w:val="auto"/>
                <w:sz w:val="20"/>
                <w:szCs w:val="20"/>
                <w:lang w:eastAsia="zh-CN"/>
              </w:rPr>
              <w:t>-</w:t>
            </w:r>
            <w:r>
              <w:rPr>
                <w:rFonts w:hint="eastAsia" w:ascii="仿宋" w:hAnsi="仿宋" w:eastAsia="仿宋" w:cs="宋体"/>
                <w:snapToGrid/>
                <w:color w:val="auto"/>
                <w:sz w:val="20"/>
                <w:szCs w:val="20"/>
                <w:lang w:eastAsia="zh-CN"/>
              </w:rPr>
              <w:t>正达凯</w:t>
            </w:r>
            <w:r>
              <w:rPr>
                <w:rFonts w:eastAsia="仿宋" w:cs="Times New Roman"/>
                <w:snapToGrid/>
                <w:color w:val="auto"/>
                <w:sz w:val="20"/>
                <w:szCs w:val="20"/>
                <w:lang w:eastAsia="zh-CN"/>
              </w:rPr>
              <w:t>220kV</w:t>
            </w:r>
            <w:r>
              <w:rPr>
                <w:rFonts w:hint="eastAsia" w:ascii="仿宋" w:hAnsi="仿宋" w:eastAsia="仿宋" w:cs="宋体"/>
                <w:snapToGrid/>
                <w:color w:val="auto"/>
                <w:sz w:val="20"/>
                <w:szCs w:val="20"/>
                <w:lang w:eastAsia="zh-CN"/>
              </w:rPr>
              <w:t>线路</w:t>
            </w:r>
            <w:r>
              <w:rPr>
                <w:rFonts w:eastAsia="仿宋" w:cs="Times New Roman"/>
                <w:snapToGrid/>
                <w:color w:val="auto"/>
                <w:sz w:val="20"/>
                <w:szCs w:val="20"/>
                <w:lang w:eastAsia="zh-CN"/>
              </w:rPr>
              <w:t>4</w:t>
            </w:r>
            <w:r>
              <w:rPr>
                <w:rFonts w:hint="eastAsia" w:ascii="仿宋" w:hAnsi="仿宋" w:eastAsia="仿宋" w:cs="宋体"/>
                <w:snapToGrid/>
                <w:color w:val="auto"/>
                <w:sz w:val="20"/>
                <w:szCs w:val="20"/>
                <w:lang w:eastAsia="zh-CN"/>
              </w:rPr>
              <w:t>处塔位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表土剥离</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塔位可剥离表土区域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塔基永久占地及施工临时占地区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表土回覆</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塔位后期回覆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植被措施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林区植被恢复</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塔基永久及施工临时占地区域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临时措施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土袋拦挡</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塔位表土临时堆场四周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防雨布遮盖</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塔位表土临时堆场上方及其他裸露区域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玛瑙施工便道区</w:t>
            </w: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表土剥离</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机械施工便道可剥离区域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机械施工便道及骡马搬运便道临时占地区域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表土回覆</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机械施工便道后期回覆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植物措施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种植桤木</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机械施工便道及骡马搬运便道临时占地区域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临时措施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土袋拦挡</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机械施工便道临时堆场四周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防雨布遮盖</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表土临时堆场上方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玛瑙牵张场区</w:t>
            </w:r>
          </w:p>
        </w:tc>
        <w:tc>
          <w:tcPr>
            <w:tcW w:w="108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牵张场临时占地区域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玛瑙跨越场区</w:t>
            </w:r>
          </w:p>
        </w:tc>
        <w:tc>
          <w:tcPr>
            <w:tcW w:w="108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跨越场临时占地区域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植物措施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播撒灌草</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跨越场临时占林地区域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w:t>
            </w:r>
            <w:r>
              <w:rPr>
                <w:rFonts w:eastAsia="仿宋" w:cs="Times New Roman"/>
                <w:snapToGrid/>
                <w:color w:val="auto"/>
                <w:sz w:val="20"/>
                <w:szCs w:val="20"/>
                <w:lang w:eastAsia="zh-CN"/>
              </w:rPr>
              <w:t>-</w:t>
            </w:r>
            <w:r>
              <w:rPr>
                <w:rFonts w:hint="eastAsia" w:ascii="仿宋" w:hAnsi="仿宋" w:eastAsia="仿宋" w:cs="宋体"/>
                <w:snapToGrid/>
                <w:color w:val="auto"/>
                <w:sz w:val="20"/>
                <w:szCs w:val="20"/>
                <w:lang w:eastAsia="zh-CN"/>
              </w:rPr>
              <w:t>正达凯</w:t>
            </w:r>
            <w:r>
              <w:rPr>
                <w:rFonts w:eastAsia="仿宋" w:cs="Times New Roman"/>
                <w:snapToGrid/>
                <w:color w:val="auto"/>
                <w:sz w:val="20"/>
                <w:szCs w:val="20"/>
                <w:lang w:eastAsia="zh-CN"/>
              </w:rPr>
              <w:t>220kV</w:t>
            </w:r>
            <w:r>
              <w:rPr>
                <w:rFonts w:hint="eastAsia" w:ascii="仿宋" w:hAnsi="仿宋" w:eastAsia="仿宋" w:cs="宋体"/>
                <w:snapToGrid/>
                <w:color w:val="auto"/>
                <w:sz w:val="20"/>
                <w:szCs w:val="20"/>
                <w:lang w:eastAsia="zh-CN"/>
              </w:rPr>
              <w:t>线路工程</w:t>
            </w: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芭蕉塔基及临时施工区</w:t>
            </w: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排洪沟</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w:t>
            </w:r>
            <w:r>
              <w:rPr>
                <w:rFonts w:eastAsia="仿宋" w:cs="Times New Roman"/>
                <w:snapToGrid/>
                <w:color w:val="auto"/>
                <w:sz w:val="20"/>
                <w:szCs w:val="20"/>
                <w:lang w:eastAsia="zh-CN"/>
              </w:rPr>
              <w:t>-</w:t>
            </w:r>
            <w:r>
              <w:rPr>
                <w:rFonts w:hint="eastAsia" w:ascii="仿宋" w:hAnsi="仿宋" w:eastAsia="仿宋" w:cs="宋体"/>
                <w:snapToGrid/>
                <w:color w:val="auto"/>
                <w:sz w:val="20"/>
                <w:szCs w:val="20"/>
                <w:lang w:eastAsia="zh-CN"/>
              </w:rPr>
              <w:t>正达凯</w:t>
            </w:r>
            <w:r>
              <w:rPr>
                <w:rFonts w:eastAsia="仿宋" w:cs="Times New Roman"/>
                <w:snapToGrid/>
                <w:color w:val="auto"/>
                <w:sz w:val="20"/>
                <w:szCs w:val="20"/>
                <w:lang w:eastAsia="zh-CN"/>
              </w:rPr>
              <w:t>220kV</w:t>
            </w:r>
            <w:r>
              <w:rPr>
                <w:rFonts w:hint="eastAsia" w:ascii="仿宋" w:hAnsi="仿宋" w:eastAsia="仿宋" w:cs="宋体"/>
                <w:snapToGrid/>
                <w:color w:val="auto"/>
                <w:sz w:val="20"/>
                <w:szCs w:val="20"/>
                <w:lang w:eastAsia="zh-CN"/>
              </w:rPr>
              <w:t>线路</w:t>
            </w:r>
            <w:r>
              <w:rPr>
                <w:rFonts w:eastAsia="仿宋" w:cs="Times New Roman"/>
                <w:snapToGrid/>
                <w:color w:val="auto"/>
                <w:sz w:val="20"/>
                <w:szCs w:val="20"/>
                <w:lang w:eastAsia="zh-CN"/>
              </w:rPr>
              <w:t>3</w:t>
            </w:r>
            <w:r>
              <w:rPr>
                <w:rFonts w:hint="eastAsia" w:ascii="仿宋" w:hAnsi="仿宋" w:eastAsia="仿宋" w:cs="宋体"/>
                <w:snapToGrid/>
                <w:color w:val="auto"/>
                <w:sz w:val="20"/>
                <w:szCs w:val="20"/>
                <w:lang w:eastAsia="zh-CN"/>
              </w:rPr>
              <w:t>处塔位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护坡墙</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w:t>
            </w:r>
            <w:r>
              <w:rPr>
                <w:rFonts w:eastAsia="仿宋" w:cs="Times New Roman"/>
                <w:snapToGrid/>
                <w:color w:val="auto"/>
                <w:sz w:val="20"/>
                <w:szCs w:val="20"/>
                <w:lang w:eastAsia="zh-CN"/>
              </w:rPr>
              <w:t>-</w:t>
            </w:r>
            <w:r>
              <w:rPr>
                <w:rFonts w:hint="eastAsia" w:ascii="仿宋" w:hAnsi="仿宋" w:eastAsia="仿宋" w:cs="宋体"/>
                <w:snapToGrid/>
                <w:color w:val="auto"/>
                <w:sz w:val="20"/>
                <w:szCs w:val="20"/>
                <w:lang w:eastAsia="zh-CN"/>
              </w:rPr>
              <w:t>正达凯</w:t>
            </w:r>
            <w:r>
              <w:rPr>
                <w:rFonts w:eastAsia="仿宋" w:cs="Times New Roman"/>
                <w:snapToGrid/>
                <w:color w:val="auto"/>
                <w:sz w:val="20"/>
                <w:szCs w:val="20"/>
                <w:lang w:eastAsia="zh-CN"/>
              </w:rPr>
              <w:t>220kV</w:t>
            </w:r>
            <w:r>
              <w:rPr>
                <w:rFonts w:hint="eastAsia" w:ascii="仿宋" w:hAnsi="仿宋" w:eastAsia="仿宋" w:cs="宋体"/>
                <w:snapToGrid/>
                <w:color w:val="auto"/>
                <w:sz w:val="20"/>
                <w:szCs w:val="20"/>
                <w:lang w:eastAsia="zh-CN"/>
              </w:rPr>
              <w:t>线路</w:t>
            </w:r>
            <w:r>
              <w:rPr>
                <w:rFonts w:eastAsia="仿宋" w:cs="Times New Roman"/>
                <w:snapToGrid/>
                <w:color w:val="auto"/>
                <w:sz w:val="20"/>
                <w:szCs w:val="20"/>
                <w:lang w:eastAsia="zh-CN"/>
              </w:rPr>
              <w:t>6</w:t>
            </w:r>
            <w:r>
              <w:rPr>
                <w:rFonts w:hint="eastAsia" w:ascii="仿宋" w:hAnsi="仿宋" w:eastAsia="仿宋" w:cs="宋体"/>
                <w:snapToGrid/>
                <w:color w:val="auto"/>
                <w:sz w:val="20"/>
                <w:szCs w:val="20"/>
                <w:lang w:eastAsia="zh-CN"/>
              </w:rPr>
              <w:t>处塔位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表土剥离</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塔位可剥离表土区域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塔基永久占地及施工临时占地区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表土回覆</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塔位后期回覆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植被措施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林区植被恢复</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塔基永久及施工临时占地区域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临时措施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土袋拦挡</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塔位表土临时堆场四周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防雨布遮盖</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塔位表土临时堆场上方及其他裸露区域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芭蕉施工便道区</w:t>
            </w:r>
          </w:p>
        </w:tc>
        <w:tc>
          <w:tcPr>
            <w:tcW w:w="108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骡马搬运便道临时占地区域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植物措施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种植桤木</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骡马搬运便道临时占地区域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芭蕉牵张场区</w:t>
            </w:r>
          </w:p>
        </w:tc>
        <w:tc>
          <w:tcPr>
            <w:tcW w:w="108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牵张场临时占地区域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芭蕉跨越场</w:t>
            </w:r>
          </w:p>
        </w:tc>
        <w:tc>
          <w:tcPr>
            <w:tcW w:w="108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跨越场临时占地区域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植物措施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播撒灌草</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跨越场临时占林地区域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芭蕉电缆工程区</w:t>
            </w: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表土剥离</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电缆沟及施工作业带临时占耕地区域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表土回覆</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电缆沟及施工作业带临时占耕地区域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电缆沟及施工作业带临时占耕地区域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临时措施</w:t>
            </w: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土袋拦挡</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表土临时堆存区域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080" w:type="dxa"/>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112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防雨布遮盖</w:t>
            </w:r>
          </w:p>
        </w:tc>
        <w:tc>
          <w:tcPr>
            <w:tcW w:w="116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c>
          <w:tcPr>
            <w:tcW w:w="2300" w:type="dxa"/>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电缆沟开挖后裸露区域及表土临时堆场上部</w:t>
            </w:r>
          </w:p>
        </w:tc>
      </w:tr>
    </w:tbl>
    <w:p>
      <w:pPr>
        <w:spacing w:line="300" w:lineRule="auto"/>
        <w:ind w:firstLine="470"/>
        <w:jc w:val="center"/>
        <w:rPr>
          <w:rFonts w:cs="Times New Roman"/>
          <w:b/>
          <w:bCs/>
          <w:color w:val="auto"/>
          <w:spacing w:val="-3"/>
          <w:lang w:eastAsia="zh-CN"/>
        </w:rPr>
      </w:pPr>
    </w:p>
    <w:p>
      <w:pPr>
        <w:pStyle w:val="3"/>
        <w:widowControl w:val="0"/>
        <w:kinsoku/>
        <w:topLinePunct/>
        <w:autoSpaceDE/>
        <w:autoSpaceDN/>
        <w:spacing w:before="240" w:after="120" w:line="300" w:lineRule="auto"/>
        <w:ind w:firstLine="0" w:firstLineChars="0"/>
        <w:rPr>
          <w:rFonts w:ascii="Times New Roman" w:hAnsi="Times New Roman" w:eastAsia="仿宋_GB2312" w:cs="Times New Roman"/>
          <w:color w:val="auto"/>
          <w:sz w:val="30"/>
          <w:szCs w:val="30"/>
          <w:lang w:eastAsia="zh-CN"/>
        </w:rPr>
      </w:pPr>
      <w:bookmarkStart w:id="62" w:name="_Toc171533300"/>
      <w:r>
        <w:rPr>
          <w:rFonts w:ascii="Times New Roman" w:hAnsi="Times New Roman" w:eastAsia="仿宋_GB2312" w:cs="Times New Roman"/>
          <w:color w:val="auto"/>
          <w:sz w:val="30"/>
          <w:szCs w:val="30"/>
          <w:lang w:eastAsia="zh-CN"/>
        </w:rPr>
        <w:t>5.3 分区措施布设</w:t>
      </w:r>
      <w:bookmarkEnd w:id="62"/>
    </w:p>
    <w:p>
      <w:pPr>
        <w:widowControl w:val="0"/>
        <w:kinsoku/>
        <w:topLinePunct/>
        <w:autoSpaceDE/>
        <w:autoSpaceDN/>
        <w:spacing w:before="91" w:after="139" w:afterLines="58" w:line="221" w:lineRule="auto"/>
        <w:ind w:firstLine="0" w:firstLineChars="0"/>
        <w:rPr>
          <w:rFonts w:cs="Times New Roman"/>
          <w:b/>
          <w:bCs/>
          <w:color w:val="auto"/>
          <w:spacing w:val="-2"/>
          <w:sz w:val="28"/>
          <w:szCs w:val="28"/>
          <w:lang w:eastAsia="zh-CN"/>
        </w:rPr>
      </w:pPr>
      <w:r>
        <w:rPr>
          <w:rFonts w:cs="Times New Roman"/>
          <w:b/>
          <w:bCs/>
          <w:color w:val="auto"/>
          <w:spacing w:val="-2"/>
          <w:sz w:val="28"/>
          <w:szCs w:val="28"/>
          <w:lang w:eastAsia="zh-CN"/>
        </w:rPr>
        <w:t>5.3.1 设计标准</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1、工程措施</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（1）土地整治工程：根据《水土保持工程设计规范》（GB 51018-2014）， 本工程位于西南紫色土区，考虑项目区表土厚度及施工条件等因素，表土剥离的厚度按</w:t>
      </w:r>
      <w:r>
        <w:rPr>
          <w:rFonts w:hint="eastAsia" w:cs="Times New Roman"/>
          <w:color w:val="auto"/>
          <w:szCs w:val="24"/>
          <w:lang w:eastAsia="zh-CN"/>
        </w:rPr>
        <w:t>20</w:t>
      </w:r>
      <w:r>
        <w:rPr>
          <w:rFonts w:cs="Times New Roman"/>
          <w:color w:val="auto"/>
          <w:szCs w:val="24"/>
          <w:lang w:eastAsia="zh-CN"/>
        </w:rPr>
        <w:t>cm</w:t>
      </w:r>
      <w:r>
        <w:rPr>
          <w:rFonts w:hint="eastAsia" w:cs="Times New Roman"/>
          <w:color w:val="auto"/>
          <w:szCs w:val="24"/>
          <w:lang w:eastAsia="zh-CN"/>
        </w:rPr>
        <w:t>~</w:t>
      </w:r>
      <w:r>
        <w:rPr>
          <w:rFonts w:cs="Times New Roman"/>
          <w:color w:val="auto"/>
          <w:szCs w:val="24"/>
          <w:lang w:eastAsia="zh-CN"/>
        </w:rPr>
        <w:t>30cm，根据原占地类型、立地条件及环境绿化等需要，土地平整后表土回填厚度</w:t>
      </w:r>
      <w:r>
        <w:rPr>
          <w:rFonts w:hint="eastAsia" w:cs="Times New Roman"/>
          <w:color w:val="auto"/>
          <w:szCs w:val="24"/>
          <w:lang w:eastAsia="zh-CN"/>
        </w:rPr>
        <w:t>20</w:t>
      </w:r>
      <w:r>
        <w:rPr>
          <w:rFonts w:cs="Times New Roman"/>
          <w:color w:val="auto"/>
          <w:szCs w:val="24"/>
          <w:lang w:eastAsia="zh-CN"/>
        </w:rPr>
        <w:t>cm</w:t>
      </w:r>
      <w:r>
        <w:rPr>
          <w:rFonts w:hint="eastAsia" w:cs="Times New Roman"/>
          <w:color w:val="auto"/>
          <w:szCs w:val="24"/>
          <w:lang w:eastAsia="zh-CN"/>
        </w:rPr>
        <w:t>~</w:t>
      </w:r>
      <w:r>
        <w:rPr>
          <w:rFonts w:cs="Times New Roman"/>
          <w:color w:val="auto"/>
          <w:szCs w:val="24"/>
          <w:lang w:eastAsia="zh-CN"/>
        </w:rPr>
        <w:t>30cm。</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2、植物措施</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本项目由于主体工程未进行植物措施设计，本项目植物措施主要为临时工程的迹地恢复，因此迹地植被恢复与建设工程级别采用 3 级标准。</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撒播草籽：草籽采用巴茅和狗牙根混合草籽，根据项目区沿线各地水热条件的实际情况，</w:t>
      </w:r>
      <w:r>
        <w:rPr>
          <w:rFonts w:hint="eastAsia" w:cs="Times New Roman"/>
          <w:color w:val="auto"/>
          <w:szCs w:val="24"/>
          <w:lang w:eastAsia="zh-CN"/>
        </w:rPr>
        <w:t>植</w:t>
      </w:r>
      <w:r>
        <w:rPr>
          <w:rFonts w:cs="Times New Roman"/>
          <w:color w:val="auto"/>
          <w:szCs w:val="24"/>
          <w:lang w:eastAsia="zh-CN"/>
        </w:rPr>
        <w:t>草撒播密度为100kg/hm</w:t>
      </w:r>
      <w:r>
        <w:rPr>
          <w:rFonts w:cs="Times New Roman"/>
          <w:color w:val="auto"/>
          <w:szCs w:val="24"/>
          <w:vertAlign w:val="superscript"/>
          <w:lang w:eastAsia="zh-CN"/>
        </w:rPr>
        <w:t>2</w:t>
      </w:r>
      <w:r>
        <w:rPr>
          <w:rFonts w:cs="Times New Roman"/>
          <w:color w:val="auto"/>
          <w:szCs w:val="24"/>
          <w:lang w:eastAsia="zh-CN"/>
        </w:rPr>
        <w:t>，</w:t>
      </w:r>
      <w:bookmarkStart w:id="63" w:name="_Hlk171526918"/>
      <w:r>
        <w:rPr>
          <w:rFonts w:cs="Times New Roman"/>
          <w:color w:val="auto"/>
          <w:szCs w:val="24"/>
          <w:lang w:eastAsia="zh-CN"/>
        </w:rPr>
        <w:t>种子级别为一级，发芽率不低于85%。</w:t>
      </w:r>
      <w:bookmarkEnd w:id="63"/>
      <w:r>
        <w:rPr>
          <w:rFonts w:cs="Times New Roman"/>
          <w:color w:val="auto"/>
          <w:szCs w:val="24"/>
          <w:lang w:eastAsia="zh-CN"/>
        </w:rPr>
        <w:t>播深2～3cm，撒播后覆土1～2cm，并轻微压实，以保持土壤水分，达到固土、绿化的效果。</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撒播灌草：草种选择适宜当地生长的狗牙根，灌木种选用紫穗槐+刺槐，采用巴茅和狗牙根+紫穗槐+刺槐混合种子，根据项目区沿线各地水热条件的实际情况，撒播密度120kg/m</w:t>
      </w:r>
      <w:r>
        <w:rPr>
          <w:rFonts w:hint="eastAsia" w:cs="Times New Roman"/>
          <w:color w:val="auto"/>
          <w:szCs w:val="24"/>
          <w:vertAlign w:val="superscript"/>
          <w:lang w:eastAsia="zh-CN"/>
        </w:rPr>
        <w:t>2</w:t>
      </w:r>
      <w:r>
        <w:rPr>
          <w:rFonts w:hint="eastAsia" w:cs="Times New Roman"/>
          <w:color w:val="auto"/>
          <w:szCs w:val="24"/>
          <w:lang w:eastAsia="zh-CN"/>
        </w:rPr>
        <w:t>，种子级别为一级，发芽率不低于85%。</w:t>
      </w:r>
      <w:r>
        <w:rPr>
          <w:rFonts w:cs="Times New Roman"/>
          <w:color w:val="auto"/>
          <w:szCs w:val="24"/>
          <w:lang w:eastAsia="zh-CN"/>
        </w:rPr>
        <w:t>播深</w:t>
      </w:r>
      <w:r>
        <w:rPr>
          <w:rFonts w:hint="eastAsia" w:cs="Times New Roman"/>
          <w:color w:val="auto"/>
          <w:szCs w:val="24"/>
          <w:lang w:eastAsia="zh-CN"/>
        </w:rPr>
        <w:t>3</w:t>
      </w:r>
      <w:r>
        <w:rPr>
          <w:rFonts w:cs="Times New Roman"/>
          <w:color w:val="auto"/>
          <w:szCs w:val="24"/>
          <w:lang w:eastAsia="zh-CN"/>
        </w:rPr>
        <w:t>～</w:t>
      </w:r>
      <w:r>
        <w:rPr>
          <w:rFonts w:hint="eastAsia" w:cs="Times New Roman"/>
          <w:color w:val="auto"/>
          <w:szCs w:val="24"/>
          <w:lang w:eastAsia="zh-CN"/>
        </w:rPr>
        <w:t>5</w:t>
      </w:r>
      <w:r>
        <w:rPr>
          <w:rFonts w:cs="Times New Roman"/>
          <w:color w:val="auto"/>
          <w:szCs w:val="24"/>
          <w:lang w:eastAsia="zh-CN"/>
        </w:rPr>
        <w:t>cm，撒播后覆土</w:t>
      </w:r>
      <w:r>
        <w:rPr>
          <w:rFonts w:hint="eastAsia" w:cs="Times New Roman"/>
          <w:color w:val="auto"/>
          <w:szCs w:val="24"/>
          <w:lang w:eastAsia="zh-CN"/>
        </w:rPr>
        <w:t>2</w:t>
      </w:r>
      <w:r>
        <w:rPr>
          <w:rFonts w:cs="Times New Roman"/>
          <w:color w:val="auto"/>
          <w:szCs w:val="24"/>
          <w:lang w:eastAsia="zh-CN"/>
        </w:rPr>
        <w:t>～</w:t>
      </w:r>
      <w:r>
        <w:rPr>
          <w:rFonts w:hint="eastAsia" w:cs="Times New Roman"/>
          <w:color w:val="auto"/>
          <w:szCs w:val="24"/>
          <w:lang w:eastAsia="zh-CN"/>
        </w:rPr>
        <w:t>3</w:t>
      </w:r>
      <w:r>
        <w:rPr>
          <w:rFonts w:cs="Times New Roman"/>
          <w:color w:val="auto"/>
          <w:szCs w:val="24"/>
          <w:lang w:eastAsia="zh-CN"/>
        </w:rPr>
        <w:t>cm，并轻微压实，以保持土壤水分，达到固土、绿化的效果。</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种植桤木：施工结束后，需对施工便道区占用林地区域进行迹地恢复，进行穴状整地后种植桤木，采用1-2年苗，选择苗高30～50cm，栽种时需带土球播种，种植穴规格长宽深为50cm*50cm*40cm，种植株行距为2m*2m，密度为2500株/hm</w:t>
      </w:r>
      <w:r>
        <w:rPr>
          <w:rFonts w:hint="eastAsia" w:cs="Times New Roman"/>
          <w:color w:val="auto"/>
          <w:szCs w:val="24"/>
          <w:vertAlign w:val="superscript"/>
          <w:lang w:eastAsia="zh-CN"/>
        </w:rPr>
        <w:t>2</w:t>
      </w:r>
      <w:r>
        <w:rPr>
          <w:rFonts w:hint="eastAsia" w:cs="Times New Roman"/>
          <w:color w:val="auto"/>
          <w:szCs w:val="24"/>
          <w:lang w:eastAsia="zh-CN"/>
        </w:rPr>
        <w:t>；栽植时间以3月底4月初、早春花前为最佳，切记在土壤冻结的严寒时节栽植</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3、临时措施</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本方案临时措施设计主要依据《水土保持工程设计规范》（GB51018-2014）、《水利水电工程水土保持技术规范》（SL 575-2012）中的相关规定</w:t>
      </w:r>
      <w:r>
        <w:rPr>
          <w:rFonts w:cs="Times New Roman"/>
          <w:color w:val="auto"/>
          <w:lang w:eastAsia="zh-CN"/>
        </w:rPr>
        <w:t>，本项目临时排水沟排水标准按</w:t>
      </w:r>
      <w:r>
        <w:rPr>
          <w:rFonts w:hint="eastAsia" w:cs="Times New Roman"/>
          <w:color w:val="auto"/>
          <w:lang w:eastAsia="zh-CN"/>
        </w:rPr>
        <w:t>5</w:t>
      </w:r>
      <w:r>
        <w:rPr>
          <w:rFonts w:cs="Times New Roman"/>
          <w:color w:val="auto"/>
          <w:lang w:eastAsia="zh-CN"/>
        </w:rPr>
        <w:t>年一遇10min暴雨标准进行设计</w:t>
      </w:r>
      <w:r>
        <w:rPr>
          <w:rFonts w:cs="Times New Roman"/>
          <w:color w:val="auto"/>
          <w:szCs w:val="24"/>
          <w:lang w:eastAsia="zh-CN"/>
        </w:rPr>
        <w:t>。</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5.3.2 分区防治措施及典型设计</w:t>
      </w:r>
    </w:p>
    <w:p>
      <w:pPr>
        <w:spacing w:line="25" w:lineRule="exact"/>
        <w:ind w:firstLine="456"/>
        <w:rPr>
          <w:rFonts w:cs="Times New Roman"/>
          <w:color w:val="auto"/>
          <w:spacing w:val="-6"/>
          <w:position w:val="18"/>
          <w:szCs w:val="24"/>
          <w:lang w:eastAsia="zh-CN"/>
        </w:rPr>
      </w:pPr>
      <w:r>
        <w:rPr>
          <w:rFonts w:cs="Times New Roman"/>
          <w:color w:val="auto"/>
          <w:spacing w:val="-6"/>
          <w:position w:val="18"/>
          <w:szCs w:val="24"/>
          <w:lang w:eastAsia="zh-CN"/>
        </w:rPr>
        <w:t>1、变电站间隔扩建工程</w:t>
      </w:r>
    </w:p>
    <w:p>
      <w:pPr>
        <w:keepNext/>
        <w:keepLines/>
        <w:widowControl w:val="0"/>
        <w:kinsoku/>
        <w:topLinePunct/>
        <w:autoSpaceDE/>
        <w:autoSpaceDN/>
        <w:spacing w:line="360" w:lineRule="auto"/>
        <w:ind w:firstLine="0" w:firstLineChars="0"/>
        <w:outlineLvl w:val="3"/>
        <w:rPr>
          <w:rFonts w:cs="Times New Roman"/>
          <w:b/>
          <w:bCs/>
          <w:color w:val="auto"/>
          <w:szCs w:val="24"/>
          <w:lang w:eastAsia="zh-CN"/>
        </w:rPr>
      </w:pPr>
      <w:bookmarkStart w:id="64" w:name="_Hlk171004916"/>
      <w:r>
        <w:rPr>
          <w:rFonts w:hint="eastAsia" w:cs="Times New Roman"/>
          <w:b/>
          <w:bCs/>
          <w:color w:val="auto"/>
          <w:szCs w:val="24"/>
          <w:lang w:eastAsia="zh-CN"/>
        </w:rPr>
        <w:t>5</w:t>
      </w:r>
      <w:r>
        <w:rPr>
          <w:rFonts w:cs="Times New Roman"/>
          <w:b/>
          <w:bCs/>
          <w:color w:val="auto"/>
          <w:szCs w:val="24"/>
          <w:lang w:eastAsia="zh-CN"/>
        </w:rPr>
        <w:t>.3.</w:t>
      </w:r>
      <w:r>
        <w:rPr>
          <w:rFonts w:hint="eastAsia" w:cs="Times New Roman"/>
          <w:b/>
          <w:bCs/>
          <w:color w:val="auto"/>
          <w:szCs w:val="24"/>
          <w:lang w:eastAsia="zh-CN"/>
        </w:rPr>
        <w:t>2</w:t>
      </w:r>
      <w:r>
        <w:rPr>
          <w:rFonts w:cs="Times New Roman"/>
          <w:b/>
          <w:bCs/>
          <w:color w:val="auto"/>
          <w:szCs w:val="24"/>
          <w:lang w:eastAsia="zh-CN"/>
        </w:rPr>
        <w:t>.1 变电站工程区</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1、</w:t>
      </w:r>
      <w:r>
        <w:rPr>
          <w:rFonts w:cs="Times New Roman"/>
          <w:color w:val="auto"/>
          <w:szCs w:val="24"/>
          <w:lang w:eastAsia="zh-CN"/>
        </w:rPr>
        <w:t>玛瑙500kV变电站220kV间隔扩建工程</w:t>
      </w:r>
      <w:r>
        <w:rPr>
          <w:rFonts w:cs="Times New Roman"/>
          <w:bCs/>
          <w:color w:val="auto"/>
          <w:szCs w:val="24"/>
          <w:lang w:eastAsia="zh-CN"/>
        </w:rPr>
        <w:t>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（1）玛瑙变电站站区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1）工程措施</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①表土剥离（</w:t>
      </w:r>
      <w:r>
        <w:rPr>
          <w:rFonts w:cs="Times New Roman"/>
          <w:color w:val="auto"/>
          <w:szCs w:val="24"/>
          <w:lang w:eastAsia="zh-CN"/>
        </w:rPr>
        <w:t>主体已有</w:t>
      </w:r>
      <w:r>
        <w:rPr>
          <w:rFonts w:hint="eastAsia"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施工前对变电站可剥离表土处进行剥离，剥离面积约25m</w:t>
      </w:r>
      <w:r>
        <w:rPr>
          <w:rFonts w:hint="eastAsia" w:cs="Times New Roman"/>
          <w:color w:val="auto"/>
          <w:szCs w:val="24"/>
          <w:vertAlign w:val="superscript"/>
          <w:lang w:eastAsia="zh-CN"/>
        </w:rPr>
        <w:t>2</w:t>
      </w:r>
      <w:r>
        <w:rPr>
          <w:rFonts w:hint="eastAsia" w:cs="Times New Roman"/>
          <w:color w:val="auto"/>
          <w:szCs w:val="24"/>
          <w:lang w:eastAsia="zh-CN"/>
        </w:rPr>
        <w:t>，剥离厚度约0.20m，共计剥离表土约5m</w:t>
      </w:r>
      <w:r>
        <w:rPr>
          <w:rFonts w:hint="eastAsia" w:cs="Times New Roman"/>
          <w:color w:val="auto"/>
          <w:szCs w:val="24"/>
          <w:vertAlign w:val="superscript"/>
          <w:lang w:eastAsia="zh-CN"/>
        </w:rPr>
        <w:t>3</w:t>
      </w:r>
      <w:r>
        <w:rPr>
          <w:rFonts w:hint="eastAsia" w:cs="Times New Roman"/>
          <w:color w:val="auto"/>
          <w:szCs w:val="24"/>
          <w:lang w:eastAsia="zh-CN"/>
        </w:rPr>
        <w:t>，集中堆放在站外施工临时场地内，用于施工后期植被恢复。</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②土平整（方案新增）</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根据后期土地利用的需要，方案将对后期绿化区域进行土地平整，翻地以秋翻为主，翻地宜深，多在15～20cm，并在施工结束后施工单位应及时清理杂物，便于后期迹地恢复，本区域除去间隔基脚硬化区域外，需土地整治面积约为25m</w:t>
      </w:r>
      <w:r>
        <w:rPr>
          <w:rFonts w:hint="eastAsia" w:cs="Times New Roman"/>
          <w:color w:val="auto"/>
          <w:szCs w:val="24"/>
          <w:vertAlign w:val="superscript"/>
          <w:lang w:eastAsia="zh-CN"/>
        </w:rPr>
        <w:t>2</w:t>
      </w:r>
      <w:r>
        <w:rPr>
          <w:rFonts w:hint="eastAsia"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③表回覆（方案新增）</w:t>
      </w:r>
    </w:p>
    <w:p>
      <w:pPr>
        <w:widowControl w:val="0"/>
        <w:kinsoku/>
        <w:topLinePunct/>
        <w:autoSpaceDE/>
        <w:autoSpaceDN/>
        <w:spacing w:line="360" w:lineRule="auto"/>
        <w:ind w:firstLine="480"/>
        <w:rPr>
          <w:rFonts w:cs="Times New Roman"/>
          <w:color w:val="auto"/>
          <w:szCs w:val="24"/>
          <w:lang w:eastAsia="zh-CN"/>
        </w:rPr>
      </w:pPr>
      <w:r>
        <w:rPr>
          <w:color w:val="auto"/>
          <w:lang w:eastAsia="zh-CN"/>
        </w:rPr>
        <w:t>为创造植物生长的立地条件，</w:t>
      </w:r>
      <w:r>
        <w:rPr>
          <w:rFonts w:hint="eastAsia" w:cs="Times New Roman"/>
          <w:color w:val="auto"/>
          <w:szCs w:val="24"/>
          <w:lang w:eastAsia="zh-CN"/>
        </w:rPr>
        <w:t>保证后期植被存活率，本次方案新增在植物措施实施前进行表土回覆，回覆面积25m</w:t>
      </w:r>
      <w:r>
        <w:rPr>
          <w:rFonts w:hint="eastAsia" w:cs="Times New Roman"/>
          <w:color w:val="auto"/>
          <w:szCs w:val="24"/>
          <w:vertAlign w:val="superscript"/>
          <w:lang w:eastAsia="zh-CN"/>
        </w:rPr>
        <w:t>2</w:t>
      </w:r>
      <w:r>
        <w:rPr>
          <w:rFonts w:hint="eastAsia" w:cs="Times New Roman"/>
          <w:color w:val="auto"/>
          <w:szCs w:val="24"/>
          <w:lang w:eastAsia="zh-CN"/>
        </w:rPr>
        <w:t>，覆土厚度0.20m，覆土量约5m</w:t>
      </w:r>
      <w:r>
        <w:rPr>
          <w:rFonts w:hint="eastAsia" w:cs="Times New Roman"/>
          <w:color w:val="auto"/>
          <w:szCs w:val="24"/>
          <w:vertAlign w:val="superscript"/>
          <w:lang w:eastAsia="zh-CN"/>
        </w:rPr>
        <w:t>3</w:t>
      </w:r>
      <w:r>
        <w:rPr>
          <w:rFonts w:hint="eastAsia" w:cs="Times New Roman"/>
          <w:color w:val="auto"/>
          <w:szCs w:val="24"/>
          <w:lang w:eastAsia="zh-CN"/>
        </w:rPr>
        <w:t>。表土来源于施工前期剥离的表土。</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2</w:t>
      </w:r>
      <w:r>
        <w:rPr>
          <w:rFonts w:cs="Times New Roman"/>
          <w:color w:val="auto"/>
          <w:szCs w:val="24"/>
          <w:lang w:eastAsia="zh-CN"/>
        </w:rPr>
        <w:t>）</w:t>
      </w:r>
      <w:r>
        <w:rPr>
          <w:rFonts w:hint="eastAsia" w:cs="Times New Roman"/>
          <w:color w:val="auto"/>
          <w:szCs w:val="24"/>
          <w:lang w:eastAsia="zh-CN"/>
        </w:rPr>
        <w:t>植</w:t>
      </w:r>
      <w:r>
        <w:rPr>
          <w:rFonts w:cs="Times New Roman"/>
          <w:color w:val="auto"/>
          <w:szCs w:val="24"/>
          <w:lang w:eastAsia="zh-CN"/>
        </w:rPr>
        <w:t>物措施</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①播撒草籽绿化</w:t>
      </w:r>
      <w:r>
        <w:rPr>
          <w:rFonts w:cs="Times New Roman"/>
          <w:color w:val="auto"/>
          <w:szCs w:val="24"/>
          <w:lang w:eastAsia="zh-CN"/>
        </w:rPr>
        <w:t>（主体已有）</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施工后期对玛瑙变电站间隔基脚外保护范围撒播灌</w:t>
      </w:r>
      <w:r>
        <w:rPr>
          <w:rFonts w:cs="Times New Roman"/>
          <w:color w:val="auto"/>
          <w:szCs w:val="24"/>
          <w:lang w:eastAsia="zh-CN"/>
        </w:rPr>
        <w:t>草绿化</w:t>
      </w:r>
      <w:r>
        <w:rPr>
          <w:rFonts w:hint="eastAsia" w:cs="Times New Roman"/>
          <w:color w:val="auto"/>
          <w:szCs w:val="24"/>
          <w:lang w:eastAsia="zh-CN"/>
        </w:rPr>
        <w:t>，</w:t>
      </w:r>
      <w:r>
        <w:rPr>
          <w:rFonts w:cs="Times New Roman"/>
          <w:color w:val="auto"/>
          <w:szCs w:val="24"/>
          <w:lang w:eastAsia="zh-CN"/>
        </w:rPr>
        <w:t>恢复</w:t>
      </w:r>
      <w:r>
        <w:rPr>
          <w:rFonts w:hint="eastAsia" w:cs="Times New Roman"/>
          <w:color w:val="auto"/>
          <w:szCs w:val="24"/>
          <w:lang w:eastAsia="zh-CN"/>
        </w:rPr>
        <w:t>迹地面积</w:t>
      </w:r>
      <w:r>
        <w:rPr>
          <w:rFonts w:cs="Times New Roman"/>
          <w:color w:val="auto"/>
          <w:szCs w:val="24"/>
          <w:lang w:eastAsia="zh-CN"/>
        </w:rPr>
        <w:t>25m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3）临时措施</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①</w:t>
      </w:r>
      <w:r>
        <w:rPr>
          <w:rFonts w:cs="Times New Roman"/>
          <w:color w:val="auto"/>
          <w:szCs w:val="24"/>
          <w:lang w:eastAsia="zh-CN"/>
        </w:rPr>
        <w:t>土袋拦挡拆除</w:t>
      </w:r>
      <w:r>
        <w:rPr>
          <w:rFonts w:hint="eastAsia" w:cs="Times New Roman"/>
          <w:color w:val="auto"/>
          <w:szCs w:val="24"/>
          <w:lang w:eastAsia="zh-CN"/>
        </w:rPr>
        <w:t>（方案新增）</w:t>
      </w:r>
    </w:p>
    <w:p>
      <w:pPr>
        <w:widowControl w:val="0"/>
        <w:kinsoku/>
        <w:topLinePunct/>
        <w:autoSpaceDE/>
        <w:autoSpaceDN/>
        <w:spacing w:line="360" w:lineRule="auto"/>
        <w:ind w:firstLine="480"/>
        <w:rPr>
          <w:color w:val="auto"/>
          <w:lang w:eastAsia="zh-CN"/>
        </w:rPr>
      </w:pPr>
      <w:r>
        <w:rPr>
          <w:color w:val="auto"/>
          <w:lang w:eastAsia="zh-CN"/>
        </w:rPr>
        <w:t>表土在堆放期间，为防止土体滚落，坡脚应采取土袋挡墙挡护。土袋挡墙断面为矩形，宽</w:t>
      </w:r>
      <w:r>
        <w:rPr>
          <w:rFonts w:hint="eastAsia"/>
          <w:color w:val="auto"/>
          <w:lang w:eastAsia="zh-CN"/>
        </w:rPr>
        <w:t>0.8</w:t>
      </w:r>
      <w:r>
        <w:rPr>
          <w:color w:val="auto"/>
          <w:lang w:eastAsia="zh-CN"/>
        </w:rPr>
        <w:t>m，高</w:t>
      </w:r>
      <w:r>
        <w:rPr>
          <w:rFonts w:hint="eastAsia"/>
          <w:color w:val="auto"/>
          <w:lang w:eastAsia="zh-CN"/>
        </w:rPr>
        <w:t>0.4</w:t>
      </w:r>
      <w:r>
        <w:rPr>
          <w:color w:val="auto"/>
          <w:lang w:eastAsia="zh-CN"/>
        </w:rPr>
        <w:t>m。表土堆场使用完毕后，应对土袋挡墙进行拆除。经统计，表土堆场区需布设土袋挡墙</w:t>
      </w:r>
      <w:r>
        <w:rPr>
          <w:rFonts w:hint="eastAsia"/>
          <w:color w:val="auto"/>
          <w:lang w:eastAsia="zh-CN"/>
        </w:rPr>
        <w:t>10</w:t>
      </w:r>
      <w:r>
        <w:rPr>
          <w:color w:val="auto"/>
          <w:lang w:eastAsia="zh-CN"/>
        </w:rPr>
        <w:t>m</w:t>
      </w:r>
      <w:r>
        <w:rPr>
          <w:rFonts w:hint="eastAsia"/>
          <w:color w:val="auto"/>
          <w:lang w:eastAsia="zh-CN"/>
        </w:rPr>
        <w:t>（0.32</w:t>
      </w:r>
      <w:r>
        <w:rPr>
          <w:rFonts w:cs="Times New Roman"/>
          <w:color w:val="auto"/>
          <w:szCs w:val="24"/>
          <w:lang w:eastAsia="zh-CN"/>
        </w:rPr>
        <w:t>m</w:t>
      </w:r>
      <w:r>
        <w:rPr>
          <w:rFonts w:hint="eastAsia" w:cs="Times New Roman"/>
          <w:color w:val="auto"/>
          <w:szCs w:val="24"/>
          <w:vertAlign w:val="superscript"/>
          <w:lang w:eastAsia="zh-CN"/>
        </w:rPr>
        <w:t>3</w:t>
      </w:r>
      <w:r>
        <w:rPr>
          <w:rFonts w:hint="eastAsia"/>
          <w:color w:val="auto"/>
          <w:lang w:eastAsia="zh-CN"/>
        </w:rPr>
        <w:t>）</w:t>
      </w:r>
      <w:r>
        <w:rPr>
          <w:color w:val="auto"/>
          <w:lang w:eastAsia="zh-CN"/>
        </w:rPr>
        <w:t>，后期拆除土袋挡墙</w:t>
      </w:r>
      <w:r>
        <w:rPr>
          <w:rFonts w:hint="eastAsia"/>
          <w:color w:val="auto"/>
          <w:lang w:eastAsia="zh-CN"/>
        </w:rPr>
        <w:t>10</w:t>
      </w:r>
      <w:r>
        <w:rPr>
          <w:color w:val="auto"/>
          <w:lang w:eastAsia="zh-CN"/>
        </w:rPr>
        <w:t>m。</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②防雨布临时遮盖（方案新增）</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主体工程设计未考虑对表土堆场及场地内的裸露区域进行临时覆盖，本方案对该区增加施工过程中的临时遮盖，采用防雨布临时遮盖，防雨布量40m</w:t>
      </w:r>
      <w:r>
        <w:rPr>
          <w:rFonts w:hint="eastAsia" w:cs="Times New Roman"/>
          <w:color w:val="auto"/>
          <w:szCs w:val="24"/>
          <w:vertAlign w:val="superscript"/>
          <w:lang w:eastAsia="zh-CN"/>
        </w:rPr>
        <w:t>2</w:t>
      </w:r>
      <w:r>
        <w:rPr>
          <w:rFonts w:hint="eastAsia"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2、</w:t>
      </w:r>
      <w:r>
        <w:rPr>
          <w:rFonts w:cs="Times New Roman"/>
          <w:color w:val="auto"/>
          <w:szCs w:val="24"/>
          <w:lang w:eastAsia="zh-CN"/>
        </w:rPr>
        <w:t>玛瑙500kV变电站220kV间隔扩建工程</w:t>
      </w:r>
      <w:r>
        <w:rPr>
          <w:rFonts w:hint="eastAsia" w:cs="Times New Roman"/>
          <w:b/>
          <w:color w:val="auto"/>
          <w:szCs w:val="24"/>
          <w:lang w:eastAsia="zh-CN"/>
        </w:rPr>
        <w:t>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w:t>
      </w:r>
      <w:r>
        <w:rPr>
          <w:rFonts w:hint="eastAsia" w:cs="Times New Roman"/>
          <w:color w:val="auto"/>
          <w:szCs w:val="24"/>
          <w:lang w:eastAsia="zh-CN"/>
        </w:rPr>
        <w:t>1</w:t>
      </w:r>
      <w:r>
        <w:rPr>
          <w:rFonts w:cs="Times New Roman"/>
          <w:color w:val="auto"/>
          <w:szCs w:val="24"/>
          <w:lang w:eastAsia="zh-CN"/>
        </w:rPr>
        <w:t>）</w:t>
      </w:r>
      <w:r>
        <w:rPr>
          <w:rFonts w:hint="eastAsia" w:cs="Times New Roman"/>
          <w:color w:val="auto"/>
          <w:szCs w:val="24"/>
          <w:lang w:eastAsia="zh-CN"/>
        </w:rPr>
        <w:t>芭蕉变电站站区</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1</w:t>
      </w:r>
      <w:r>
        <w:rPr>
          <w:rFonts w:cs="Times New Roman"/>
          <w:color w:val="auto"/>
          <w:szCs w:val="24"/>
          <w:lang w:eastAsia="zh-CN"/>
        </w:rPr>
        <w:t>）工程措施</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①表土剥离（</w:t>
      </w:r>
      <w:r>
        <w:rPr>
          <w:rFonts w:cs="Times New Roman"/>
          <w:color w:val="auto"/>
          <w:szCs w:val="24"/>
          <w:lang w:eastAsia="zh-CN"/>
        </w:rPr>
        <w:t>主体已有</w:t>
      </w:r>
      <w:r>
        <w:rPr>
          <w:rFonts w:hint="eastAsia"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施工前对变电站可剥离表土处进行剥离，剥离面积约115m</w:t>
      </w:r>
      <w:r>
        <w:rPr>
          <w:rFonts w:hint="eastAsia" w:cs="Times New Roman"/>
          <w:color w:val="auto"/>
          <w:szCs w:val="24"/>
          <w:vertAlign w:val="superscript"/>
          <w:lang w:eastAsia="zh-CN"/>
        </w:rPr>
        <w:t>2</w:t>
      </w:r>
      <w:r>
        <w:rPr>
          <w:rFonts w:hint="eastAsia" w:cs="Times New Roman"/>
          <w:color w:val="auto"/>
          <w:szCs w:val="24"/>
          <w:lang w:eastAsia="zh-CN"/>
        </w:rPr>
        <w:t>，剥离厚度约0.20m，共计剥离表土约5m</w:t>
      </w:r>
      <w:r>
        <w:rPr>
          <w:rFonts w:hint="eastAsia" w:cs="Times New Roman"/>
          <w:color w:val="auto"/>
          <w:szCs w:val="24"/>
          <w:vertAlign w:val="superscript"/>
          <w:lang w:eastAsia="zh-CN"/>
        </w:rPr>
        <w:t>3</w:t>
      </w:r>
      <w:r>
        <w:rPr>
          <w:rFonts w:hint="eastAsia" w:cs="Times New Roman"/>
          <w:color w:val="auto"/>
          <w:szCs w:val="24"/>
          <w:lang w:eastAsia="zh-CN"/>
        </w:rPr>
        <w:t>，集中堆放在施工临时场地内，用于施工后期植被恢复。</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②排水管道与雨水检查井</w:t>
      </w:r>
      <w:r>
        <w:rPr>
          <w:rFonts w:cs="Times New Roman"/>
          <w:color w:val="auto"/>
          <w:szCs w:val="24"/>
          <w:lang w:eastAsia="zh-CN"/>
        </w:rPr>
        <w:t>（主体已有）</w:t>
      </w:r>
    </w:p>
    <w:p>
      <w:pPr>
        <w:widowControl w:val="0"/>
        <w:kinsoku/>
        <w:topLinePunct/>
        <w:autoSpaceDE/>
        <w:autoSpaceDN/>
        <w:spacing w:line="360" w:lineRule="auto"/>
        <w:ind w:firstLine="480"/>
        <w:rPr>
          <w:color w:val="auto"/>
          <w:szCs w:val="24"/>
          <w:lang w:eastAsia="zh-CN"/>
        </w:rPr>
      </w:pPr>
      <w:r>
        <w:rPr>
          <w:rFonts w:hint="eastAsia" w:cs="Times New Roman"/>
          <w:color w:val="auto"/>
          <w:szCs w:val="24"/>
          <w:lang w:eastAsia="zh-CN"/>
        </w:rPr>
        <w:t>芭蕉变电站</w:t>
      </w:r>
      <w:r>
        <w:rPr>
          <w:color w:val="auto"/>
          <w:szCs w:val="24"/>
          <w:lang w:eastAsia="zh-CN"/>
        </w:rPr>
        <w:t>雨水经收集后通过雨水管排入</w:t>
      </w:r>
      <w:r>
        <w:rPr>
          <w:rFonts w:hint="eastAsia"/>
          <w:color w:val="auto"/>
          <w:szCs w:val="24"/>
          <w:lang w:eastAsia="zh-CN"/>
        </w:rPr>
        <w:t>自然沟</w:t>
      </w:r>
      <w:r>
        <w:rPr>
          <w:color w:val="auto"/>
          <w:szCs w:val="24"/>
          <w:lang w:eastAsia="zh-CN"/>
        </w:rPr>
        <w:t>；雨水管采用</w:t>
      </w:r>
      <w:r>
        <w:rPr>
          <w:rFonts w:hint="eastAsia"/>
          <w:color w:val="auto"/>
          <w:szCs w:val="24"/>
          <w:lang w:eastAsia="zh-CN"/>
        </w:rPr>
        <w:t>HDPE双壁波纹</w:t>
      </w:r>
      <w:r>
        <w:rPr>
          <w:color w:val="auto"/>
          <w:szCs w:val="24"/>
          <w:lang w:eastAsia="zh-CN"/>
        </w:rPr>
        <w:t>管，管径DN</w:t>
      </w:r>
      <w:r>
        <w:rPr>
          <w:rFonts w:hint="eastAsia"/>
          <w:color w:val="auto"/>
          <w:szCs w:val="24"/>
          <w:lang w:eastAsia="zh-CN"/>
        </w:rPr>
        <w:t>400</w:t>
      </w:r>
      <w:r>
        <w:rPr>
          <w:color w:val="auto"/>
          <w:szCs w:val="24"/>
          <w:lang w:eastAsia="zh-CN"/>
        </w:rPr>
        <w:t>；经统计，本项目共计布设雨水管</w:t>
      </w:r>
      <w:r>
        <w:rPr>
          <w:rFonts w:hint="eastAsia"/>
          <w:color w:val="auto"/>
          <w:szCs w:val="24"/>
          <w:lang w:eastAsia="zh-CN"/>
        </w:rPr>
        <w:t>90</w:t>
      </w:r>
      <w:r>
        <w:rPr>
          <w:color w:val="auto"/>
          <w:szCs w:val="24"/>
          <w:lang w:eastAsia="zh-CN"/>
        </w:rPr>
        <w:t>m，雨水口</w:t>
      </w:r>
      <w:r>
        <w:rPr>
          <w:rFonts w:hint="eastAsia"/>
          <w:color w:val="auto"/>
          <w:szCs w:val="24"/>
          <w:lang w:eastAsia="zh-CN"/>
        </w:rPr>
        <w:t>10</w:t>
      </w:r>
      <w:r>
        <w:rPr>
          <w:color w:val="auto"/>
          <w:szCs w:val="24"/>
          <w:lang w:eastAsia="zh-CN"/>
        </w:rPr>
        <w:t>个。</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③土地平整（方案新增）</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根据后期土地利用的需要，方案将对后期绿化区域进行土地平整，翻地以秋翻为主，翻地宜深，多在15～20cm，并在施工结束后施工单位应及时清理杂物，便于后期迹地恢复，需土地整治面积约为115m</w:t>
      </w:r>
      <w:r>
        <w:rPr>
          <w:rFonts w:hint="eastAsia" w:cs="Times New Roman"/>
          <w:color w:val="auto"/>
          <w:szCs w:val="24"/>
          <w:vertAlign w:val="superscript"/>
          <w:lang w:eastAsia="zh-CN"/>
        </w:rPr>
        <w:t>2</w:t>
      </w:r>
      <w:r>
        <w:rPr>
          <w:rFonts w:hint="eastAsia"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④表土回覆（方案新增）</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为保证后期植被存活率，本次方案新增在植物措施实施前进行表土回覆，回覆面积为115m</w:t>
      </w:r>
      <w:r>
        <w:rPr>
          <w:rFonts w:hint="eastAsia" w:cs="Times New Roman"/>
          <w:color w:val="auto"/>
          <w:szCs w:val="24"/>
          <w:vertAlign w:val="superscript"/>
          <w:lang w:eastAsia="zh-CN"/>
        </w:rPr>
        <w:t>2</w:t>
      </w:r>
      <w:r>
        <w:rPr>
          <w:rFonts w:hint="eastAsia" w:cs="Times New Roman"/>
          <w:color w:val="auto"/>
          <w:szCs w:val="24"/>
          <w:lang w:eastAsia="zh-CN"/>
        </w:rPr>
        <w:t>，覆土厚度为0.20m，覆土量为23m</w:t>
      </w:r>
      <w:r>
        <w:rPr>
          <w:rFonts w:hint="eastAsia" w:cs="Times New Roman"/>
          <w:color w:val="auto"/>
          <w:szCs w:val="24"/>
          <w:vertAlign w:val="superscript"/>
          <w:lang w:eastAsia="zh-CN"/>
        </w:rPr>
        <w:t>3</w:t>
      </w:r>
      <w:r>
        <w:rPr>
          <w:rFonts w:hint="eastAsia" w:cs="Times New Roman"/>
          <w:color w:val="auto"/>
          <w:szCs w:val="24"/>
          <w:lang w:eastAsia="zh-CN"/>
        </w:rPr>
        <w:t>。表土来源于施工前期剥离的表土。</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2）</w:t>
      </w:r>
      <w:r>
        <w:rPr>
          <w:rFonts w:cs="Times New Roman"/>
          <w:color w:val="auto"/>
          <w:szCs w:val="24"/>
          <w:lang w:eastAsia="zh-CN"/>
        </w:rPr>
        <w:t>植物措施</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①植草绿化</w:t>
      </w:r>
      <w:r>
        <w:rPr>
          <w:rFonts w:cs="Times New Roman"/>
          <w:color w:val="auto"/>
          <w:szCs w:val="24"/>
          <w:lang w:eastAsia="zh-CN"/>
        </w:rPr>
        <w:t>（</w:t>
      </w:r>
      <w:r>
        <w:rPr>
          <w:rFonts w:hint="eastAsia" w:cs="Times New Roman"/>
          <w:color w:val="auto"/>
          <w:szCs w:val="24"/>
          <w:lang w:eastAsia="zh-CN"/>
        </w:rPr>
        <w:t>方案新增</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施工结束后，需对本区域进行迹地恢复， 采用撒播草籽方式进行绿化，根据 项目区气候及土壤特点，草种选择适宜当地生长的巴茅和狗牙根，草籽撒播密度100kg/hm</w:t>
      </w:r>
      <w:r>
        <w:rPr>
          <w:rFonts w:hint="eastAsia" w:cs="Times New Roman"/>
          <w:color w:val="auto"/>
          <w:szCs w:val="24"/>
          <w:vertAlign w:val="superscript"/>
          <w:lang w:eastAsia="zh-CN"/>
        </w:rPr>
        <w:t>2</w:t>
      </w:r>
      <w:r>
        <w:rPr>
          <w:rFonts w:hint="eastAsia" w:cs="Times New Roman"/>
          <w:color w:val="auto"/>
          <w:szCs w:val="24"/>
          <w:lang w:eastAsia="zh-CN"/>
        </w:rPr>
        <w:t>。经计算撒播草籽面积共115m</w:t>
      </w:r>
      <w:r>
        <w:rPr>
          <w:rFonts w:hint="eastAsia" w:cs="Times New Roman"/>
          <w:color w:val="auto"/>
          <w:szCs w:val="24"/>
          <w:vertAlign w:val="superscript"/>
          <w:lang w:eastAsia="zh-CN"/>
        </w:rPr>
        <w:t>2</w:t>
      </w:r>
      <w:r>
        <w:rPr>
          <w:rFonts w:hint="eastAsia" w:cs="Times New Roman"/>
          <w:color w:val="auto"/>
          <w:szCs w:val="24"/>
          <w:lang w:eastAsia="zh-CN"/>
        </w:rPr>
        <w:t>，撒播草种1.15kg</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3）临时措施</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①</w:t>
      </w:r>
      <w:r>
        <w:rPr>
          <w:rFonts w:cs="Times New Roman"/>
          <w:color w:val="auto"/>
          <w:szCs w:val="24"/>
          <w:lang w:eastAsia="zh-CN"/>
        </w:rPr>
        <w:t>土袋拦挡拆除</w:t>
      </w:r>
      <w:r>
        <w:rPr>
          <w:rFonts w:hint="eastAsia" w:cs="Times New Roman"/>
          <w:color w:val="auto"/>
          <w:szCs w:val="24"/>
          <w:lang w:eastAsia="zh-CN"/>
        </w:rPr>
        <w:t>（方案新增）</w:t>
      </w:r>
    </w:p>
    <w:p>
      <w:pPr>
        <w:widowControl w:val="0"/>
        <w:kinsoku/>
        <w:topLinePunct/>
        <w:autoSpaceDE/>
        <w:autoSpaceDN/>
        <w:spacing w:line="360" w:lineRule="auto"/>
        <w:ind w:firstLine="480"/>
        <w:rPr>
          <w:color w:val="auto"/>
          <w:lang w:eastAsia="zh-CN"/>
        </w:rPr>
      </w:pPr>
      <w:r>
        <w:rPr>
          <w:color w:val="auto"/>
          <w:lang w:eastAsia="zh-CN"/>
        </w:rPr>
        <w:t>表土在堆放期间，为防止土体滚落，坡脚应采取土袋挡墙挡护。土袋挡墙断面为矩形，宽</w:t>
      </w:r>
      <w:r>
        <w:rPr>
          <w:rFonts w:hint="eastAsia"/>
          <w:color w:val="auto"/>
          <w:lang w:eastAsia="zh-CN"/>
        </w:rPr>
        <w:t>0.8</w:t>
      </w:r>
      <w:r>
        <w:rPr>
          <w:color w:val="auto"/>
          <w:lang w:eastAsia="zh-CN"/>
        </w:rPr>
        <w:t>m，高</w:t>
      </w:r>
      <w:r>
        <w:rPr>
          <w:rFonts w:hint="eastAsia"/>
          <w:color w:val="auto"/>
          <w:lang w:eastAsia="zh-CN"/>
        </w:rPr>
        <w:t>0.4</w:t>
      </w:r>
      <w:r>
        <w:rPr>
          <w:color w:val="auto"/>
          <w:lang w:eastAsia="zh-CN"/>
        </w:rPr>
        <w:t>m。表土堆场使用完毕后，应对土袋挡墙进行拆除。经统计，表土堆场区需布设土袋挡墙</w:t>
      </w:r>
      <w:r>
        <w:rPr>
          <w:rFonts w:hint="eastAsia"/>
          <w:color w:val="auto"/>
          <w:lang w:eastAsia="zh-CN"/>
        </w:rPr>
        <w:t>30</w:t>
      </w:r>
      <w:r>
        <w:rPr>
          <w:color w:val="auto"/>
          <w:lang w:eastAsia="zh-CN"/>
        </w:rPr>
        <w:t>m</w:t>
      </w:r>
      <w:r>
        <w:rPr>
          <w:rFonts w:hint="eastAsia"/>
          <w:color w:val="auto"/>
          <w:lang w:eastAsia="zh-CN"/>
        </w:rPr>
        <w:t>（9.6</w:t>
      </w:r>
      <w:r>
        <w:rPr>
          <w:rFonts w:cs="Times New Roman"/>
          <w:color w:val="auto"/>
          <w:szCs w:val="24"/>
          <w:lang w:eastAsia="zh-CN"/>
        </w:rPr>
        <w:t>m</w:t>
      </w:r>
      <w:r>
        <w:rPr>
          <w:rFonts w:hint="eastAsia" w:cs="Times New Roman"/>
          <w:color w:val="auto"/>
          <w:szCs w:val="24"/>
          <w:vertAlign w:val="superscript"/>
          <w:lang w:eastAsia="zh-CN"/>
        </w:rPr>
        <w:t>3</w:t>
      </w:r>
      <w:r>
        <w:rPr>
          <w:rFonts w:hint="eastAsia"/>
          <w:color w:val="auto"/>
          <w:lang w:eastAsia="zh-CN"/>
        </w:rPr>
        <w:t>）</w:t>
      </w:r>
      <w:r>
        <w:rPr>
          <w:color w:val="auto"/>
          <w:lang w:eastAsia="zh-CN"/>
        </w:rPr>
        <w:t>，后期拆除土袋挡墙</w:t>
      </w:r>
      <w:r>
        <w:rPr>
          <w:rFonts w:hint="eastAsia"/>
          <w:color w:val="auto"/>
          <w:lang w:eastAsia="zh-CN"/>
        </w:rPr>
        <w:t>30</w:t>
      </w:r>
      <w:r>
        <w:rPr>
          <w:color w:val="auto"/>
          <w:lang w:eastAsia="zh-CN"/>
        </w:rPr>
        <w:t>m。</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②防雨布临时遮盖（方案新增）</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主体工程设计未考虑对表土堆场及场地内的裸露区域进行临时覆盖，本方案对该区增加施工过程中的临时遮盖，采用防雨布临时遮盖，防雨布量220m</w:t>
      </w:r>
      <w:r>
        <w:rPr>
          <w:rFonts w:hint="eastAsia" w:cs="Times New Roman"/>
          <w:color w:val="auto"/>
          <w:szCs w:val="24"/>
          <w:vertAlign w:val="superscript"/>
          <w:lang w:eastAsia="zh-CN"/>
        </w:rPr>
        <w:t>2</w:t>
      </w:r>
      <w:r>
        <w:rPr>
          <w:rFonts w:hint="eastAsia" w:cs="Times New Roman"/>
          <w:color w:val="auto"/>
          <w:szCs w:val="24"/>
          <w:lang w:eastAsia="zh-CN"/>
        </w:rPr>
        <w:t>。</w:t>
      </w:r>
    </w:p>
    <w:p>
      <w:pPr>
        <w:keepNext/>
        <w:keepLines/>
        <w:widowControl w:val="0"/>
        <w:kinsoku/>
        <w:topLinePunct/>
        <w:autoSpaceDE/>
        <w:autoSpaceDN/>
        <w:spacing w:line="360" w:lineRule="auto"/>
        <w:ind w:firstLine="0" w:firstLineChars="0"/>
        <w:outlineLvl w:val="3"/>
        <w:rPr>
          <w:rFonts w:cs="Times New Roman"/>
          <w:b/>
          <w:bCs/>
          <w:color w:val="auto"/>
          <w:szCs w:val="24"/>
          <w:lang w:eastAsia="zh-CN"/>
        </w:rPr>
      </w:pPr>
      <w:r>
        <w:rPr>
          <w:rFonts w:hint="eastAsia" w:cs="Times New Roman"/>
          <w:b/>
          <w:bCs/>
          <w:color w:val="auto"/>
          <w:szCs w:val="24"/>
          <w:lang w:eastAsia="zh-CN"/>
        </w:rPr>
        <w:t>5</w:t>
      </w:r>
      <w:r>
        <w:rPr>
          <w:rFonts w:cs="Times New Roman"/>
          <w:b/>
          <w:bCs/>
          <w:color w:val="auto"/>
          <w:szCs w:val="24"/>
          <w:lang w:eastAsia="zh-CN"/>
        </w:rPr>
        <w:t>.3.</w:t>
      </w:r>
      <w:r>
        <w:rPr>
          <w:rFonts w:hint="eastAsia" w:cs="Times New Roman"/>
          <w:b/>
          <w:bCs/>
          <w:color w:val="auto"/>
          <w:szCs w:val="24"/>
          <w:lang w:eastAsia="zh-CN"/>
        </w:rPr>
        <w:t>2</w:t>
      </w:r>
      <w:r>
        <w:rPr>
          <w:rFonts w:cs="Times New Roman"/>
          <w:b/>
          <w:bCs/>
          <w:color w:val="auto"/>
          <w:szCs w:val="24"/>
          <w:lang w:eastAsia="zh-CN"/>
        </w:rPr>
        <w:t>.</w:t>
      </w:r>
      <w:r>
        <w:rPr>
          <w:rFonts w:hint="eastAsia" w:cs="Times New Roman"/>
          <w:b/>
          <w:bCs/>
          <w:color w:val="auto"/>
          <w:szCs w:val="24"/>
          <w:lang w:eastAsia="zh-CN"/>
        </w:rPr>
        <w:t xml:space="preserve">2 </w:t>
      </w:r>
      <w:r>
        <w:rPr>
          <w:rFonts w:cs="Times New Roman"/>
          <w:b/>
          <w:bCs/>
          <w:color w:val="auto"/>
          <w:szCs w:val="24"/>
          <w:lang w:eastAsia="zh-CN"/>
        </w:rPr>
        <w:t>线路工程区</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1、玛瑙-正达凯220kV线路工程区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w:t>
      </w:r>
      <w:r>
        <w:rPr>
          <w:rFonts w:hint="eastAsia" w:cs="Times New Roman"/>
          <w:color w:val="auto"/>
          <w:szCs w:val="24"/>
          <w:lang w:eastAsia="zh-CN"/>
        </w:rPr>
        <w:t>玛瑙塔基及临时施工区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1）工程措施</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①</w:t>
      </w:r>
      <w:r>
        <w:rPr>
          <w:rFonts w:cs="Times New Roman"/>
          <w:color w:val="auto"/>
          <w:szCs w:val="24"/>
          <w:lang w:eastAsia="zh-CN"/>
        </w:rPr>
        <w:t>表土剥离（方案新增）</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施工前对变电站可剥离表土处进行剥离，剥离面积约2517m</w:t>
      </w:r>
      <w:r>
        <w:rPr>
          <w:rFonts w:hint="eastAsia" w:cs="Times New Roman"/>
          <w:color w:val="auto"/>
          <w:szCs w:val="24"/>
          <w:vertAlign w:val="superscript"/>
          <w:lang w:eastAsia="zh-CN"/>
        </w:rPr>
        <w:t>2</w:t>
      </w:r>
      <w:r>
        <w:rPr>
          <w:rFonts w:hint="eastAsia" w:cs="Times New Roman"/>
          <w:color w:val="auto"/>
          <w:szCs w:val="24"/>
          <w:lang w:eastAsia="zh-CN"/>
        </w:rPr>
        <w:t>，剥离厚度约0.20m，共计剥离表土约387m</w:t>
      </w:r>
      <w:r>
        <w:rPr>
          <w:rFonts w:hint="eastAsia" w:cs="Times New Roman"/>
          <w:color w:val="auto"/>
          <w:szCs w:val="24"/>
          <w:vertAlign w:val="superscript"/>
          <w:lang w:eastAsia="zh-CN"/>
        </w:rPr>
        <w:t>3</w:t>
      </w:r>
      <w:r>
        <w:rPr>
          <w:rFonts w:hint="eastAsia" w:cs="Times New Roman"/>
          <w:color w:val="auto"/>
          <w:szCs w:val="24"/>
          <w:lang w:eastAsia="zh-CN"/>
        </w:rPr>
        <w:t>，集中堆放在</w:t>
      </w:r>
      <w:r>
        <w:rPr>
          <w:rFonts w:cs="Times New Roman"/>
          <w:color w:val="auto"/>
          <w:szCs w:val="24"/>
          <w:lang w:eastAsia="zh-CN"/>
        </w:rPr>
        <w:t>塔基</w:t>
      </w:r>
      <w:r>
        <w:rPr>
          <w:rFonts w:hint="eastAsia" w:cs="Times New Roman"/>
          <w:color w:val="auto"/>
          <w:szCs w:val="24"/>
          <w:lang w:eastAsia="zh-CN"/>
        </w:rPr>
        <w:t>防护范围</w:t>
      </w:r>
      <w:r>
        <w:rPr>
          <w:rFonts w:cs="Times New Roman"/>
          <w:color w:val="auto"/>
          <w:szCs w:val="24"/>
          <w:lang w:eastAsia="zh-CN"/>
        </w:rPr>
        <w:t>内，</w:t>
      </w:r>
      <w:r>
        <w:rPr>
          <w:rFonts w:hint="eastAsia" w:cs="Times New Roman"/>
          <w:color w:val="auto"/>
          <w:szCs w:val="24"/>
          <w:lang w:eastAsia="zh-CN"/>
        </w:rPr>
        <w:t>用于施工后期植被恢复。</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②</w:t>
      </w:r>
      <w:r>
        <w:rPr>
          <w:rFonts w:cs="Times New Roman"/>
          <w:color w:val="auto"/>
          <w:szCs w:val="24"/>
          <w:lang w:eastAsia="zh-CN"/>
        </w:rPr>
        <w:t>排洪沟（主体已</w:t>
      </w:r>
      <w:r>
        <w:rPr>
          <w:rFonts w:hint="eastAsia" w:cs="Times New Roman"/>
          <w:color w:val="auto"/>
          <w:szCs w:val="24"/>
          <w:lang w:eastAsia="zh-CN"/>
        </w:rPr>
        <w:t>有</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主体设计在高陡处</w:t>
      </w:r>
      <w:r>
        <w:rPr>
          <w:rFonts w:hint="eastAsia" w:cs="Times New Roman"/>
          <w:color w:val="auto"/>
          <w:szCs w:val="24"/>
          <w:lang w:eastAsia="zh-CN"/>
        </w:rPr>
        <w:t>的2处</w:t>
      </w:r>
      <w:r>
        <w:rPr>
          <w:rFonts w:cs="Times New Roman"/>
          <w:color w:val="auto"/>
          <w:szCs w:val="24"/>
          <w:lang w:eastAsia="zh-CN"/>
        </w:rPr>
        <w:t>电塔四周布置散水沟总长约</w:t>
      </w:r>
      <w:r>
        <w:rPr>
          <w:rFonts w:hint="eastAsia" w:cs="Times New Roman"/>
          <w:color w:val="auto"/>
          <w:szCs w:val="24"/>
          <w:lang w:eastAsia="zh-CN"/>
        </w:rPr>
        <w:t>6</w:t>
      </w:r>
      <w:r>
        <w:rPr>
          <w:rFonts w:cs="Times New Roman"/>
          <w:color w:val="auto"/>
          <w:szCs w:val="24"/>
          <w:lang w:eastAsia="zh-CN"/>
        </w:rPr>
        <w:t>5m，</w:t>
      </w:r>
      <w:r>
        <w:rPr>
          <w:color w:val="auto"/>
          <w:lang w:eastAsia="zh-CN"/>
        </w:rPr>
        <w:t>断面</w:t>
      </w:r>
      <w:r>
        <w:rPr>
          <w:rFonts w:cs="Times New Roman"/>
          <w:color w:val="auto"/>
          <w:szCs w:val="24"/>
          <w:lang w:eastAsia="zh-CN"/>
        </w:rPr>
        <w:t>为梯形，上口宽0.5m，下口宽0.4m、深0.5m，为沟壁、沟底厚0.2m的浆砌块石，并采用1.5cm的C15厚素混凝土抹面。排水沟采用浆砌块石砌筑，主要用于截断水源，减少汇水对塔基的冲刷。</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③</w:t>
      </w:r>
      <w:r>
        <w:rPr>
          <w:rFonts w:cs="Times New Roman"/>
          <w:color w:val="auto"/>
          <w:szCs w:val="24"/>
          <w:lang w:eastAsia="zh-CN"/>
        </w:rPr>
        <w:t>护坡墙（主体已</w:t>
      </w:r>
      <w:r>
        <w:rPr>
          <w:rFonts w:hint="eastAsia" w:cs="Times New Roman"/>
          <w:color w:val="auto"/>
          <w:szCs w:val="24"/>
          <w:lang w:eastAsia="zh-CN"/>
        </w:rPr>
        <w:t>有</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主体在</w:t>
      </w:r>
      <w:r>
        <w:rPr>
          <w:rFonts w:hint="eastAsia" w:cs="Times New Roman"/>
          <w:color w:val="auto"/>
          <w:szCs w:val="24"/>
          <w:lang w:eastAsia="zh-CN"/>
        </w:rPr>
        <w:t>4处</w:t>
      </w:r>
      <w:r>
        <w:rPr>
          <w:rFonts w:cs="Times New Roman"/>
          <w:color w:val="auto"/>
          <w:szCs w:val="24"/>
          <w:lang w:eastAsia="zh-CN"/>
        </w:rPr>
        <w:t>塔位修建电塔布置护坡墙总长约</w:t>
      </w:r>
      <w:r>
        <w:rPr>
          <w:rFonts w:hint="eastAsia" w:cs="Times New Roman"/>
          <w:color w:val="auto"/>
          <w:szCs w:val="24"/>
          <w:lang w:eastAsia="zh-CN"/>
        </w:rPr>
        <w:t>7</w:t>
      </w:r>
      <w:r>
        <w:rPr>
          <w:rFonts w:cs="Times New Roman"/>
          <w:color w:val="auto"/>
          <w:szCs w:val="24"/>
          <w:lang w:eastAsia="zh-CN"/>
        </w:rPr>
        <w:t>0m，主要为防止土基边坡，残积、坡积层边坡的土体流失，分两种结构：总高2.6m，墙顶宽0.5m，底宽1m，埋深0.6m，设计总长约30m为梯形，上口宽0.5m，下口宽0.4m、深0.5m，为沟壁、沟底厚0.2m的浆砌块石，采用浆砌块石砌筑。</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④</w:t>
      </w:r>
      <w:r>
        <w:rPr>
          <w:rFonts w:cs="Times New Roman"/>
          <w:color w:val="auto"/>
          <w:szCs w:val="24"/>
          <w:lang w:eastAsia="zh-CN"/>
        </w:rPr>
        <w:t>土地平整（方案新增）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后期土地利用的需要，方案将对后期绿化区域进行土地平整，翻地以秋翻为主，翻地宜深，多在15～20cm，并在施工结束后施工单位应及时清理杂物，便于后期迹地恢复，本区域除去塔基基脚硬化区域外，需土地整治面积约为6</w:t>
      </w:r>
      <w:r>
        <w:rPr>
          <w:rFonts w:hint="eastAsia" w:cs="Times New Roman"/>
          <w:color w:val="auto"/>
          <w:szCs w:val="24"/>
          <w:lang w:eastAsia="zh-CN"/>
        </w:rPr>
        <w:t>315</w:t>
      </w:r>
      <w:r>
        <w:rPr>
          <w:rFonts w:cs="Times New Roman"/>
          <w:color w:val="auto"/>
          <w:szCs w:val="24"/>
          <w:lang w:eastAsia="zh-CN"/>
        </w:rPr>
        <w:t>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⑤</w:t>
      </w:r>
      <w:r>
        <w:rPr>
          <w:rFonts w:cs="Times New Roman"/>
          <w:color w:val="auto"/>
          <w:szCs w:val="24"/>
          <w:lang w:eastAsia="zh-CN"/>
        </w:rPr>
        <w:t>表土回覆（方案新增）</w:t>
      </w:r>
    </w:p>
    <w:p>
      <w:pPr>
        <w:widowControl w:val="0"/>
        <w:kinsoku/>
        <w:topLinePunct/>
        <w:autoSpaceDE/>
        <w:autoSpaceDN/>
        <w:spacing w:line="360" w:lineRule="auto"/>
        <w:ind w:firstLine="480"/>
        <w:jc w:val="both"/>
        <w:rPr>
          <w:rFonts w:cs="Times New Roman"/>
          <w:color w:val="auto"/>
          <w:szCs w:val="24"/>
          <w:lang w:eastAsia="zh-CN"/>
        </w:rPr>
      </w:pPr>
      <w:r>
        <w:rPr>
          <w:color w:val="auto"/>
          <w:lang w:eastAsia="zh-CN"/>
        </w:rPr>
        <w:t>为创造植物生长的立地条件，</w:t>
      </w:r>
      <w:r>
        <w:rPr>
          <w:rFonts w:cs="Times New Roman"/>
          <w:color w:val="auto"/>
          <w:szCs w:val="24"/>
          <w:lang w:eastAsia="zh-CN"/>
        </w:rPr>
        <w:t>为保证后期植被存活率，本次方案新增在植物措施实施前进行表土回覆，回覆面积为</w:t>
      </w:r>
      <w:r>
        <w:rPr>
          <w:rFonts w:hint="eastAsia" w:cs="Times New Roman"/>
          <w:color w:val="auto"/>
          <w:szCs w:val="24"/>
          <w:lang w:eastAsia="zh-CN"/>
        </w:rPr>
        <w:t>2517</w:t>
      </w:r>
      <w:r>
        <w:rPr>
          <w:rFonts w:cs="Times New Roman"/>
          <w:color w:val="auto"/>
          <w:szCs w:val="24"/>
          <w:lang w:eastAsia="zh-CN"/>
        </w:rPr>
        <w:t>m</w:t>
      </w:r>
      <w:r>
        <w:rPr>
          <w:rFonts w:cs="Times New Roman"/>
          <w:color w:val="auto"/>
          <w:szCs w:val="24"/>
          <w:vertAlign w:val="superscript"/>
          <w:lang w:eastAsia="zh-CN"/>
        </w:rPr>
        <w:t>2</w:t>
      </w:r>
      <w:r>
        <w:rPr>
          <w:rFonts w:cs="Times New Roman"/>
          <w:color w:val="auto"/>
          <w:szCs w:val="24"/>
          <w:lang w:eastAsia="zh-CN"/>
        </w:rPr>
        <w:t>，覆土厚度为0.</w:t>
      </w:r>
      <w:r>
        <w:rPr>
          <w:rFonts w:hint="eastAsia" w:cs="Times New Roman"/>
          <w:color w:val="auto"/>
          <w:szCs w:val="24"/>
          <w:lang w:eastAsia="zh-CN"/>
        </w:rPr>
        <w:t>20</w:t>
      </w:r>
      <w:r>
        <w:rPr>
          <w:rFonts w:cs="Times New Roman"/>
          <w:color w:val="auto"/>
          <w:szCs w:val="24"/>
          <w:lang w:eastAsia="zh-CN"/>
        </w:rPr>
        <w:t>m，覆土量</w:t>
      </w:r>
      <w:r>
        <w:rPr>
          <w:rFonts w:hint="eastAsia" w:cs="Times New Roman"/>
          <w:color w:val="auto"/>
          <w:szCs w:val="24"/>
          <w:lang w:eastAsia="zh-CN"/>
        </w:rPr>
        <w:t>387</w:t>
      </w:r>
      <w:r>
        <w:rPr>
          <w:rFonts w:cs="Times New Roman"/>
          <w:color w:val="auto"/>
          <w:szCs w:val="24"/>
          <w:lang w:eastAsia="zh-CN"/>
        </w:rPr>
        <w:t>m</w:t>
      </w:r>
      <w:r>
        <w:rPr>
          <w:rFonts w:cs="Times New Roman"/>
          <w:color w:val="auto"/>
          <w:szCs w:val="24"/>
          <w:vertAlign w:val="superscript"/>
          <w:lang w:eastAsia="zh-CN"/>
        </w:rPr>
        <w:t>3</w:t>
      </w:r>
      <w:r>
        <w:rPr>
          <w:rFonts w:cs="Times New Roman"/>
          <w:color w:val="auto"/>
          <w:szCs w:val="24"/>
          <w:lang w:eastAsia="zh-CN"/>
        </w:rPr>
        <w:t>。表土来源于施工前期剥离的表土。</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2</w:t>
      </w:r>
      <w:r>
        <w:rPr>
          <w:rFonts w:cs="Times New Roman"/>
          <w:color w:val="auto"/>
          <w:szCs w:val="24"/>
          <w:lang w:eastAsia="zh-CN"/>
        </w:rPr>
        <w:t>）植物措施</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①播撒灌草</w:t>
      </w:r>
      <w:r>
        <w:rPr>
          <w:rFonts w:cs="Times New Roman"/>
          <w:color w:val="auto"/>
          <w:szCs w:val="24"/>
          <w:lang w:eastAsia="zh-CN"/>
        </w:rPr>
        <w:t>（主体已</w:t>
      </w:r>
      <w:r>
        <w:rPr>
          <w:rFonts w:hint="eastAsia" w:cs="Times New Roman"/>
          <w:color w:val="auto"/>
          <w:szCs w:val="24"/>
          <w:lang w:eastAsia="zh-CN"/>
        </w:rPr>
        <w:t>有</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施工后期对塔基保护范围播撒灌草</w:t>
      </w:r>
      <w:r>
        <w:rPr>
          <w:rFonts w:cs="Times New Roman"/>
          <w:color w:val="auto"/>
          <w:szCs w:val="24"/>
          <w:lang w:eastAsia="zh-CN"/>
        </w:rPr>
        <w:t>绿化</w:t>
      </w:r>
      <w:r>
        <w:rPr>
          <w:rFonts w:hint="eastAsia" w:cs="Times New Roman"/>
          <w:color w:val="auto"/>
          <w:szCs w:val="24"/>
          <w:lang w:eastAsia="zh-CN"/>
        </w:rPr>
        <w:t>，</w:t>
      </w:r>
      <w:r>
        <w:rPr>
          <w:rFonts w:cs="Times New Roman"/>
          <w:color w:val="auto"/>
          <w:szCs w:val="24"/>
          <w:lang w:eastAsia="zh-CN"/>
        </w:rPr>
        <w:t>恢复</w:t>
      </w:r>
      <w:r>
        <w:rPr>
          <w:rFonts w:hint="eastAsia" w:cs="Times New Roman"/>
          <w:color w:val="auto"/>
          <w:szCs w:val="24"/>
          <w:lang w:eastAsia="zh-CN"/>
        </w:rPr>
        <w:t>迹地面积6315</w:t>
      </w:r>
      <w:r>
        <w:rPr>
          <w:rFonts w:cs="Times New Roman"/>
          <w:color w:val="auto"/>
          <w:szCs w:val="24"/>
          <w:lang w:eastAsia="zh-CN"/>
        </w:rPr>
        <w:t>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3</w:t>
      </w:r>
      <w:r>
        <w:rPr>
          <w:rFonts w:cs="Times New Roman"/>
          <w:color w:val="auto"/>
          <w:szCs w:val="24"/>
          <w:lang w:eastAsia="zh-CN"/>
        </w:rPr>
        <w:t>）临时措施</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①</w:t>
      </w:r>
      <w:r>
        <w:rPr>
          <w:rFonts w:cs="Times New Roman"/>
          <w:color w:val="auto"/>
          <w:szCs w:val="24"/>
          <w:lang w:eastAsia="zh-CN"/>
        </w:rPr>
        <w:t>土袋拦挡（方案新增）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由于本工程区表土临时堆存在本工程区内，但主体设计中未设计对表土堆场进行防护，因此本方案补充土袋临时拦挡，采用双层双排土袋0.8m×0.4m，长度</w:t>
      </w:r>
      <w:r>
        <w:rPr>
          <w:rFonts w:hint="eastAsia" w:cs="Times New Roman"/>
          <w:color w:val="auto"/>
          <w:szCs w:val="24"/>
          <w:lang w:eastAsia="zh-CN"/>
        </w:rPr>
        <w:t>15</w:t>
      </w:r>
      <w:r>
        <w:rPr>
          <w:rFonts w:cs="Times New Roman"/>
          <w:color w:val="auto"/>
          <w:szCs w:val="24"/>
          <w:lang w:eastAsia="zh-CN"/>
        </w:rPr>
        <w:t>0m</w:t>
      </w:r>
      <w:r>
        <w:rPr>
          <w:rFonts w:hint="eastAsia" w:cs="Times New Roman"/>
          <w:color w:val="auto"/>
          <w:szCs w:val="24"/>
          <w:lang w:eastAsia="zh-CN"/>
        </w:rPr>
        <w:t>（48m</w:t>
      </w:r>
      <w:r>
        <w:rPr>
          <w:rFonts w:hint="eastAsia" w:cs="Times New Roman"/>
          <w:color w:val="auto"/>
          <w:szCs w:val="24"/>
          <w:vertAlign w:val="superscript"/>
          <w:lang w:eastAsia="zh-CN"/>
        </w:rPr>
        <w:t>3</w:t>
      </w:r>
      <w:r>
        <w:rPr>
          <w:rFonts w:hint="eastAsia" w:cs="Times New Roman"/>
          <w:color w:val="auto"/>
          <w:szCs w:val="24"/>
          <w:lang w:eastAsia="zh-CN"/>
        </w:rPr>
        <w:t>），表土堆场使用完毕后，应对土袋挡墙进行拆除，后期拆除土袋挡墙150m</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②</w:t>
      </w:r>
      <w:r>
        <w:rPr>
          <w:rFonts w:cs="Times New Roman"/>
          <w:color w:val="auto"/>
          <w:szCs w:val="24"/>
          <w:lang w:eastAsia="zh-CN"/>
        </w:rPr>
        <w:t>防雨布遮盖（方案新增）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主体工程设计未考虑对</w:t>
      </w:r>
      <w:r>
        <w:rPr>
          <w:rFonts w:hint="eastAsia" w:cs="Times New Roman"/>
          <w:color w:val="auto"/>
          <w:szCs w:val="24"/>
          <w:lang w:eastAsia="zh-CN"/>
        </w:rPr>
        <w:t>塔位表土临时堆场上方及其他裸露区域</w:t>
      </w:r>
      <w:r>
        <w:rPr>
          <w:rFonts w:cs="Times New Roman"/>
          <w:color w:val="auto"/>
          <w:szCs w:val="24"/>
          <w:lang w:eastAsia="zh-CN"/>
        </w:rPr>
        <w:t>，本方案对该区增加施工过程中的临时遮盖，遮盖方式为防雨布遮盖，共计</w:t>
      </w:r>
      <w:r>
        <w:rPr>
          <w:rFonts w:hint="eastAsia" w:cs="Times New Roman"/>
          <w:color w:val="auto"/>
          <w:szCs w:val="24"/>
          <w:lang w:eastAsia="zh-CN"/>
        </w:rPr>
        <w:t>12</w:t>
      </w:r>
      <w:r>
        <w:rPr>
          <w:rFonts w:cs="Times New Roman"/>
          <w:color w:val="auto"/>
          <w:szCs w:val="24"/>
          <w:lang w:eastAsia="zh-CN"/>
        </w:rPr>
        <w:t>00m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（2</w:t>
      </w:r>
      <w:r>
        <w:rPr>
          <w:rFonts w:cs="Times New Roman"/>
          <w:color w:val="auto"/>
          <w:szCs w:val="24"/>
          <w:lang w:eastAsia="zh-CN"/>
        </w:rPr>
        <w:t>）</w:t>
      </w:r>
      <w:r>
        <w:rPr>
          <w:rFonts w:hint="eastAsia" w:cs="Times New Roman"/>
          <w:color w:val="auto"/>
          <w:szCs w:val="24"/>
          <w:lang w:eastAsia="zh-CN"/>
        </w:rPr>
        <w:t>玛瑙施工便道区</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1</w:t>
      </w:r>
      <w:r>
        <w:rPr>
          <w:rFonts w:cs="Times New Roman"/>
          <w:color w:val="auto"/>
          <w:szCs w:val="24"/>
          <w:lang w:eastAsia="zh-CN"/>
        </w:rPr>
        <w:t>）工程措施</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①</w:t>
      </w:r>
      <w:r>
        <w:rPr>
          <w:rFonts w:cs="Times New Roman"/>
          <w:color w:val="auto"/>
          <w:szCs w:val="24"/>
          <w:lang w:eastAsia="zh-CN"/>
        </w:rPr>
        <w:t>表土剥离（方案新增）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主体设计中未考需要机械施工处</w:t>
      </w:r>
      <w:r>
        <w:rPr>
          <w:rFonts w:hint="eastAsia" w:cs="Times New Roman"/>
          <w:color w:val="auto"/>
          <w:szCs w:val="24"/>
          <w:lang w:eastAsia="zh-CN"/>
        </w:rPr>
        <w:t>便道</w:t>
      </w:r>
      <w:r>
        <w:rPr>
          <w:rFonts w:cs="Times New Roman"/>
          <w:color w:val="auto"/>
          <w:szCs w:val="24"/>
          <w:lang w:eastAsia="zh-CN"/>
        </w:rPr>
        <w:t>开挖的表土剥离，此区域内可剥离表土面积约为480m</w:t>
      </w:r>
      <w:r>
        <w:rPr>
          <w:rFonts w:cs="Times New Roman"/>
          <w:color w:val="auto"/>
          <w:szCs w:val="24"/>
          <w:vertAlign w:val="superscript"/>
          <w:lang w:eastAsia="zh-CN"/>
        </w:rPr>
        <w:t>2</w:t>
      </w:r>
      <w:r>
        <w:rPr>
          <w:rFonts w:cs="Times New Roman"/>
          <w:color w:val="auto"/>
          <w:szCs w:val="24"/>
          <w:lang w:eastAsia="zh-CN"/>
        </w:rPr>
        <w:t>，平均剥离厚度为30cm，剥离量约144m</w:t>
      </w:r>
      <w:r>
        <w:rPr>
          <w:rFonts w:cs="Times New Roman"/>
          <w:color w:val="auto"/>
          <w:szCs w:val="24"/>
          <w:vertAlign w:val="superscript"/>
          <w:lang w:eastAsia="zh-CN"/>
        </w:rPr>
        <w:t>3</w:t>
      </w:r>
      <w:r>
        <w:rPr>
          <w:rFonts w:cs="Times New Roman"/>
          <w:color w:val="auto"/>
          <w:szCs w:val="24"/>
          <w:lang w:eastAsia="zh-CN"/>
        </w:rPr>
        <w:t>，剥离表土临时堆存于施工便道两侧，用于施工后期植被恢复。</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②</w:t>
      </w:r>
      <w:r>
        <w:rPr>
          <w:rFonts w:cs="Times New Roman"/>
          <w:color w:val="auto"/>
          <w:szCs w:val="24"/>
          <w:lang w:eastAsia="zh-CN"/>
        </w:rPr>
        <w:t>土地平整（方案新增）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根据后期土地利用的需要，方案将对后期绿化区域进行土地平整，翻地以秋翻为主，翻地宜深，多在15～20cm，并在施工结束后施工单位应及时清理杂物，便于后期迹地恢复，本区主要机械施工处便道与骡马搬运处</w:t>
      </w:r>
      <w:r>
        <w:rPr>
          <w:rFonts w:hint="eastAsia" w:cs="Times New Roman"/>
          <w:color w:val="auto"/>
          <w:szCs w:val="24"/>
          <w:lang w:eastAsia="zh-CN"/>
        </w:rPr>
        <w:t>便道</w:t>
      </w:r>
      <w:r>
        <w:rPr>
          <w:rFonts w:cs="Times New Roman"/>
          <w:color w:val="auto"/>
          <w:szCs w:val="24"/>
          <w:lang w:eastAsia="zh-CN"/>
        </w:rPr>
        <w:t>，需土地整治面积约为</w:t>
      </w:r>
      <w:r>
        <w:rPr>
          <w:rFonts w:hint="eastAsia" w:cs="Times New Roman"/>
          <w:color w:val="auto"/>
          <w:szCs w:val="24"/>
          <w:lang w:eastAsia="zh-CN"/>
        </w:rPr>
        <w:t>3960</w:t>
      </w:r>
      <w:r>
        <w:rPr>
          <w:rFonts w:cs="Times New Roman"/>
          <w:color w:val="auto"/>
          <w:szCs w:val="24"/>
          <w:lang w:eastAsia="zh-CN"/>
        </w:rPr>
        <w:t>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③</w:t>
      </w:r>
      <w:r>
        <w:rPr>
          <w:rFonts w:cs="Times New Roman"/>
          <w:color w:val="auto"/>
          <w:szCs w:val="24"/>
          <w:lang w:eastAsia="zh-CN"/>
        </w:rPr>
        <w:t>表土回覆（方案新增）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为保证后期植被存活率，本次方案新增在植物措施实施前进行表土回覆，对机械施工处</w:t>
      </w:r>
      <w:r>
        <w:rPr>
          <w:rFonts w:hint="eastAsia" w:cs="Times New Roman"/>
          <w:color w:val="auto"/>
          <w:szCs w:val="24"/>
          <w:lang w:eastAsia="zh-CN"/>
        </w:rPr>
        <w:t>便</w:t>
      </w:r>
      <w:r>
        <w:rPr>
          <w:rFonts w:cs="Times New Roman"/>
          <w:color w:val="auto"/>
          <w:szCs w:val="24"/>
          <w:lang w:eastAsia="zh-CN"/>
        </w:rPr>
        <w:t>道开挖处回覆面积为480m</w:t>
      </w:r>
      <w:r>
        <w:rPr>
          <w:rFonts w:cs="Times New Roman"/>
          <w:color w:val="auto"/>
          <w:szCs w:val="24"/>
          <w:vertAlign w:val="superscript"/>
          <w:lang w:eastAsia="zh-CN"/>
        </w:rPr>
        <w:t>2</w:t>
      </w:r>
      <w:r>
        <w:rPr>
          <w:rFonts w:cs="Times New Roman"/>
          <w:color w:val="auto"/>
          <w:szCs w:val="24"/>
          <w:lang w:eastAsia="zh-CN"/>
        </w:rPr>
        <w:t>，覆土厚度为30cm，覆土量为144m</w:t>
      </w:r>
      <w:r>
        <w:rPr>
          <w:rFonts w:cs="Times New Roman"/>
          <w:color w:val="auto"/>
          <w:szCs w:val="24"/>
          <w:vertAlign w:val="superscript"/>
          <w:lang w:eastAsia="zh-CN"/>
        </w:rPr>
        <w:t>3</w:t>
      </w:r>
      <w:r>
        <w:rPr>
          <w:rFonts w:cs="Times New Roman"/>
          <w:color w:val="auto"/>
          <w:szCs w:val="24"/>
          <w:lang w:eastAsia="zh-CN"/>
        </w:rPr>
        <w:t>。表土来源于施工前期剥离的表土。</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2</w:t>
      </w:r>
      <w:r>
        <w:rPr>
          <w:rFonts w:cs="Times New Roman"/>
          <w:color w:val="auto"/>
          <w:szCs w:val="24"/>
          <w:lang w:eastAsia="zh-CN"/>
        </w:rPr>
        <w:t>）植物措施</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①种植桤木</w:t>
      </w:r>
      <w:r>
        <w:rPr>
          <w:rFonts w:cs="Times New Roman"/>
          <w:color w:val="auto"/>
          <w:szCs w:val="24"/>
          <w:lang w:eastAsia="zh-CN"/>
        </w:rPr>
        <w:t>（方案新增）</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施工结束后，需对施工便道区占用林地区域进行迹地恢复，进行穴状整地后种植桤木，采用1-2年苗，选择苗高30～50cm，栽种时需带土球播种，种植穴规格长宽为50cm*50cm，种植株行距为2m*2m，为2500株/hm</w:t>
      </w:r>
      <w:r>
        <w:rPr>
          <w:rFonts w:hint="eastAsia" w:cs="Times New Roman"/>
          <w:color w:val="auto"/>
          <w:szCs w:val="24"/>
          <w:vertAlign w:val="superscript"/>
          <w:lang w:eastAsia="zh-CN"/>
        </w:rPr>
        <w:t>2</w:t>
      </w:r>
      <w:r>
        <w:rPr>
          <w:rFonts w:hint="eastAsia" w:cs="Times New Roman"/>
          <w:color w:val="auto"/>
          <w:szCs w:val="24"/>
          <w:lang w:eastAsia="zh-CN"/>
        </w:rPr>
        <w:t>；栽植时间以3月底4月初、早春花前为最佳，切记在土壤冻结的严寒时节栽植，经计算撒播灌草面积共3960m</w:t>
      </w:r>
      <w:r>
        <w:rPr>
          <w:rFonts w:hint="eastAsia" w:cs="Times New Roman"/>
          <w:color w:val="auto"/>
          <w:szCs w:val="24"/>
          <w:vertAlign w:val="superscript"/>
          <w:lang w:eastAsia="zh-CN"/>
        </w:rPr>
        <w:t>2</w:t>
      </w:r>
      <w:r>
        <w:rPr>
          <w:rFonts w:hint="eastAsia" w:cs="Times New Roman"/>
          <w:color w:val="auto"/>
          <w:szCs w:val="24"/>
          <w:lang w:eastAsia="zh-CN"/>
        </w:rPr>
        <w:t>，种植桤木900株</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3</w:t>
      </w:r>
      <w:r>
        <w:rPr>
          <w:rFonts w:cs="Times New Roman"/>
          <w:color w:val="auto"/>
          <w:szCs w:val="24"/>
          <w:lang w:eastAsia="zh-CN"/>
        </w:rPr>
        <w:t>）临时措施</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①</w:t>
      </w:r>
      <w:r>
        <w:rPr>
          <w:rFonts w:cs="Times New Roman"/>
          <w:color w:val="auto"/>
          <w:szCs w:val="24"/>
          <w:lang w:eastAsia="zh-CN"/>
        </w:rPr>
        <w:t>土袋拦挡（方案新增）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由于本工程区剥离的表土临时堆存在施工便道两侧，但主体设计中未设计对表土堆场进行防护，因此本方案补充土袋临时拦挡，采用双层双排土袋0.8m×0.4m，长度</w:t>
      </w:r>
      <w:r>
        <w:rPr>
          <w:rFonts w:hint="eastAsia" w:cs="Times New Roman"/>
          <w:color w:val="auto"/>
          <w:szCs w:val="24"/>
          <w:lang w:eastAsia="zh-CN"/>
        </w:rPr>
        <w:t>80</w:t>
      </w:r>
      <w:r>
        <w:rPr>
          <w:rFonts w:cs="Times New Roman"/>
          <w:color w:val="auto"/>
          <w:szCs w:val="24"/>
          <w:lang w:eastAsia="zh-CN"/>
        </w:rPr>
        <w:t>m</w:t>
      </w:r>
      <w:r>
        <w:rPr>
          <w:rFonts w:hint="eastAsia" w:cs="Times New Roman"/>
          <w:color w:val="auto"/>
          <w:szCs w:val="24"/>
          <w:lang w:eastAsia="zh-CN"/>
        </w:rPr>
        <w:t>（25.6m</w:t>
      </w:r>
      <w:r>
        <w:rPr>
          <w:rFonts w:hint="eastAsia" w:cs="Times New Roman"/>
          <w:color w:val="auto"/>
          <w:szCs w:val="24"/>
          <w:vertAlign w:val="superscript"/>
          <w:lang w:eastAsia="zh-CN"/>
        </w:rPr>
        <w:t>3</w:t>
      </w:r>
      <w:r>
        <w:rPr>
          <w:rFonts w:hint="eastAsia" w:cs="Times New Roman"/>
          <w:color w:val="auto"/>
          <w:szCs w:val="24"/>
          <w:lang w:eastAsia="zh-CN"/>
        </w:rPr>
        <w:t>），表土堆场使用完毕后，应对土袋挡墙进行拆除，后期拆除土袋挡墙80m</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②</w:t>
      </w:r>
      <w:r>
        <w:rPr>
          <w:rFonts w:cs="Times New Roman"/>
          <w:color w:val="auto"/>
          <w:szCs w:val="24"/>
          <w:lang w:eastAsia="zh-CN"/>
        </w:rPr>
        <w:t>防雨布遮盖（方案新增）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主体工程设计未考虑对场地内的表土临时堆场进行临时覆盖，本方案对该区增加施工过程中的临时遮盖，遮盖方式为防雨布遮盖，共计</w:t>
      </w:r>
      <w:r>
        <w:rPr>
          <w:rFonts w:hint="eastAsia" w:cs="Times New Roman"/>
          <w:color w:val="auto"/>
          <w:szCs w:val="24"/>
          <w:lang w:eastAsia="zh-CN"/>
        </w:rPr>
        <w:t>28</w:t>
      </w:r>
      <w:r>
        <w:rPr>
          <w:rFonts w:cs="Times New Roman"/>
          <w:color w:val="auto"/>
          <w:szCs w:val="24"/>
          <w:lang w:eastAsia="zh-CN"/>
        </w:rPr>
        <w:t>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w:t>
      </w:r>
      <w:r>
        <w:rPr>
          <w:rFonts w:cs="Times New Roman"/>
          <w:color w:val="auto"/>
          <w:szCs w:val="24"/>
          <w:lang w:eastAsia="zh-CN"/>
        </w:rPr>
        <w:t>3）</w:t>
      </w:r>
      <w:r>
        <w:rPr>
          <w:rFonts w:hint="eastAsia" w:cs="Times New Roman"/>
          <w:color w:val="auto"/>
          <w:szCs w:val="24"/>
          <w:lang w:eastAsia="zh-CN"/>
        </w:rPr>
        <w:t>玛瑙</w:t>
      </w:r>
      <w:r>
        <w:rPr>
          <w:rFonts w:cs="Times New Roman"/>
          <w:color w:val="auto"/>
          <w:szCs w:val="24"/>
          <w:lang w:eastAsia="zh-CN"/>
        </w:rPr>
        <w:t>牵张场区</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1</w:t>
      </w:r>
      <w:r>
        <w:rPr>
          <w:rFonts w:cs="Times New Roman"/>
          <w:color w:val="auto"/>
          <w:szCs w:val="24"/>
          <w:lang w:eastAsia="zh-CN"/>
        </w:rPr>
        <w:t>）工程措施</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①</w:t>
      </w:r>
      <w:r>
        <w:rPr>
          <w:rFonts w:cs="Times New Roman"/>
          <w:color w:val="auto"/>
          <w:szCs w:val="24"/>
          <w:lang w:eastAsia="zh-CN"/>
        </w:rPr>
        <w:t>土地平整（方案新增）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根据后期土地利用的需要，方案将对后期区域进行土地平整，翻地以秋翻为主，</w:t>
      </w:r>
      <w:r>
        <w:rPr>
          <w:rFonts w:hint="eastAsia" w:cs="Times New Roman"/>
          <w:color w:val="auto"/>
          <w:szCs w:val="24"/>
          <w:lang w:eastAsia="zh-CN"/>
        </w:rPr>
        <w:t>该区域占用耕地翻地宜深，翻地在30cm，</w:t>
      </w:r>
      <w:r>
        <w:rPr>
          <w:rFonts w:cs="Times New Roman"/>
          <w:color w:val="auto"/>
          <w:szCs w:val="24"/>
          <w:lang w:eastAsia="zh-CN"/>
        </w:rPr>
        <w:t>并在施工结束后施工单位应及时清理杂物，便于</w:t>
      </w:r>
      <w:r>
        <w:rPr>
          <w:rFonts w:hint="eastAsia" w:cs="Times New Roman"/>
          <w:color w:val="auto"/>
          <w:szCs w:val="24"/>
          <w:lang w:eastAsia="zh-CN"/>
        </w:rPr>
        <w:t>复耕</w:t>
      </w:r>
      <w:r>
        <w:rPr>
          <w:rFonts w:cs="Times New Roman"/>
          <w:color w:val="auto"/>
          <w:szCs w:val="24"/>
          <w:lang w:eastAsia="zh-CN"/>
        </w:rPr>
        <w:t>，需土地整治面积约为</w:t>
      </w:r>
      <w:r>
        <w:rPr>
          <w:rFonts w:hint="eastAsia" w:cs="Times New Roman"/>
          <w:color w:val="auto"/>
          <w:szCs w:val="24"/>
          <w:lang w:eastAsia="zh-CN"/>
        </w:rPr>
        <w:t>12</w:t>
      </w:r>
      <w:r>
        <w:rPr>
          <w:rFonts w:cs="Times New Roman"/>
          <w:color w:val="auto"/>
          <w:szCs w:val="24"/>
          <w:lang w:eastAsia="zh-CN"/>
        </w:rPr>
        <w:t>00m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w:t>
      </w:r>
      <w:r>
        <w:rPr>
          <w:rFonts w:cs="Times New Roman"/>
          <w:color w:val="auto"/>
          <w:szCs w:val="24"/>
          <w:lang w:eastAsia="zh-CN"/>
        </w:rPr>
        <w:t>4）</w:t>
      </w:r>
      <w:r>
        <w:rPr>
          <w:rFonts w:hint="eastAsia" w:cs="Times New Roman"/>
          <w:color w:val="auto"/>
          <w:szCs w:val="24"/>
          <w:lang w:eastAsia="zh-CN"/>
        </w:rPr>
        <w:t>玛瑙</w:t>
      </w:r>
      <w:r>
        <w:rPr>
          <w:rFonts w:cs="Times New Roman"/>
          <w:color w:val="auto"/>
          <w:szCs w:val="24"/>
          <w:lang w:eastAsia="zh-CN"/>
        </w:rPr>
        <w:t>跨越场区</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1</w:t>
      </w:r>
      <w:r>
        <w:rPr>
          <w:rFonts w:cs="Times New Roman"/>
          <w:color w:val="auto"/>
          <w:szCs w:val="24"/>
          <w:lang w:eastAsia="zh-CN"/>
        </w:rPr>
        <w:t>）工程措施</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①</w:t>
      </w:r>
      <w:r>
        <w:rPr>
          <w:rFonts w:cs="Times New Roman"/>
          <w:color w:val="auto"/>
          <w:szCs w:val="24"/>
          <w:lang w:eastAsia="zh-CN"/>
        </w:rPr>
        <w:t>土地平整（方案新增）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根据后期土地利用的需要，方案将对后期绿化区域进行土地平整，翻地以秋翻为主，</w:t>
      </w:r>
      <w:r>
        <w:rPr>
          <w:rFonts w:hint="eastAsia" w:cs="Times New Roman"/>
          <w:color w:val="auto"/>
          <w:szCs w:val="24"/>
          <w:lang w:eastAsia="zh-CN"/>
        </w:rPr>
        <w:t>针对占用耕地翻地宜30cm深（240m</w:t>
      </w:r>
      <w:r>
        <w:rPr>
          <w:rFonts w:hint="eastAsia" w:cs="Times New Roman"/>
          <w:color w:val="auto"/>
          <w:szCs w:val="24"/>
          <w:vertAlign w:val="superscript"/>
          <w:lang w:eastAsia="zh-CN"/>
        </w:rPr>
        <w:t>2</w:t>
      </w:r>
      <w:r>
        <w:rPr>
          <w:rFonts w:hint="eastAsia" w:cs="Times New Roman"/>
          <w:color w:val="auto"/>
          <w:szCs w:val="24"/>
          <w:lang w:eastAsia="zh-CN"/>
        </w:rPr>
        <w:t>）</w:t>
      </w:r>
      <w:r>
        <w:rPr>
          <w:rFonts w:cs="Times New Roman"/>
          <w:color w:val="auto"/>
          <w:szCs w:val="24"/>
          <w:lang w:eastAsia="zh-CN"/>
        </w:rPr>
        <w:t>，</w:t>
      </w:r>
      <w:r>
        <w:rPr>
          <w:rFonts w:hint="eastAsia" w:cs="Times New Roman"/>
          <w:color w:val="auto"/>
          <w:szCs w:val="24"/>
          <w:lang w:eastAsia="zh-CN"/>
        </w:rPr>
        <w:t>针对占用林地区翻宜</w:t>
      </w:r>
      <w:r>
        <w:rPr>
          <w:rFonts w:cs="Times New Roman"/>
          <w:color w:val="auto"/>
          <w:szCs w:val="24"/>
          <w:lang w:eastAsia="zh-CN"/>
        </w:rPr>
        <w:t>在15～20cm</w:t>
      </w:r>
      <w:r>
        <w:rPr>
          <w:rFonts w:hint="eastAsia" w:cs="Times New Roman"/>
          <w:color w:val="auto"/>
          <w:szCs w:val="24"/>
          <w:lang w:eastAsia="zh-CN"/>
        </w:rPr>
        <w:t>（240m</w:t>
      </w:r>
      <w:r>
        <w:rPr>
          <w:rFonts w:hint="eastAsia" w:cs="Times New Roman"/>
          <w:color w:val="auto"/>
          <w:szCs w:val="24"/>
          <w:vertAlign w:val="superscript"/>
          <w:lang w:eastAsia="zh-CN"/>
        </w:rPr>
        <w:t>2</w:t>
      </w:r>
      <w:r>
        <w:rPr>
          <w:rFonts w:hint="eastAsia" w:cs="Times New Roman"/>
          <w:color w:val="auto"/>
          <w:szCs w:val="24"/>
          <w:lang w:eastAsia="zh-CN"/>
        </w:rPr>
        <w:t>）</w:t>
      </w:r>
      <w:r>
        <w:rPr>
          <w:rFonts w:cs="Times New Roman"/>
          <w:color w:val="auto"/>
          <w:szCs w:val="24"/>
          <w:lang w:eastAsia="zh-CN"/>
        </w:rPr>
        <w:t>，并在施工结束后施工单位应及时清理杂物，便于后期迹地恢复</w:t>
      </w:r>
      <w:r>
        <w:rPr>
          <w:rFonts w:hint="eastAsia" w:cs="Times New Roman"/>
          <w:color w:val="auto"/>
          <w:szCs w:val="24"/>
          <w:lang w:eastAsia="zh-CN"/>
        </w:rPr>
        <w:t>与复耕</w:t>
      </w:r>
      <w:r>
        <w:rPr>
          <w:rFonts w:cs="Times New Roman"/>
          <w:color w:val="auto"/>
          <w:szCs w:val="24"/>
          <w:lang w:eastAsia="zh-CN"/>
        </w:rPr>
        <w:t>，需土地整治面积约为</w:t>
      </w:r>
      <w:r>
        <w:rPr>
          <w:rFonts w:hint="eastAsia" w:cs="Times New Roman"/>
          <w:color w:val="auto"/>
          <w:szCs w:val="24"/>
          <w:lang w:eastAsia="zh-CN"/>
        </w:rPr>
        <w:t>48</w:t>
      </w:r>
      <w:r>
        <w:rPr>
          <w:rFonts w:cs="Times New Roman"/>
          <w:color w:val="auto"/>
          <w:szCs w:val="24"/>
          <w:lang w:eastAsia="zh-CN"/>
        </w:rPr>
        <w:t>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2</w:t>
      </w:r>
      <w:r>
        <w:rPr>
          <w:rFonts w:cs="Times New Roman"/>
          <w:color w:val="auto"/>
          <w:szCs w:val="24"/>
          <w:lang w:eastAsia="zh-CN"/>
        </w:rPr>
        <w:t>）植物措施</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①</w:t>
      </w:r>
      <w:r>
        <w:rPr>
          <w:rFonts w:cs="Times New Roman"/>
          <w:color w:val="auto"/>
          <w:szCs w:val="24"/>
          <w:lang w:eastAsia="zh-CN"/>
        </w:rPr>
        <w:t>撒播灌草（方案新增）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施工结束后，需对</w:t>
      </w:r>
      <w:r>
        <w:rPr>
          <w:rFonts w:hint="eastAsia" w:cs="Times New Roman"/>
          <w:color w:val="auto"/>
          <w:szCs w:val="24"/>
          <w:lang w:eastAsia="zh-CN"/>
        </w:rPr>
        <w:t>跨越场区</w:t>
      </w:r>
      <w:r>
        <w:rPr>
          <w:rFonts w:cs="Times New Roman"/>
          <w:color w:val="auto"/>
          <w:szCs w:val="24"/>
          <w:lang w:eastAsia="zh-CN"/>
        </w:rPr>
        <w:t>占用林地区域进行迹地恢复，</w:t>
      </w:r>
      <w:r>
        <w:rPr>
          <w:rFonts w:hint="eastAsia" w:cs="Times New Roman"/>
          <w:color w:val="auto"/>
          <w:szCs w:val="24"/>
          <w:lang w:eastAsia="zh-CN"/>
        </w:rPr>
        <w:t>由于跨越场区位于高压线下方不宜植树，故</w:t>
      </w:r>
      <w:r>
        <w:rPr>
          <w:rFonts w:cs="Times New Roman"/>
          <w:color w:val="auto"/>
          <w:szCs w:val="24"/>
          <w:lang w:eastAsia="zh-CN"/>
        </w:rPr>
        <w:t>绿化方式采用撒播灌草方式进行绿化，根据项目区气候及土壤特点，草种选择适宜当地生长的狗牙根</w:t>
      </w:r>
      <w:r>
        <w:rPr>
          <w:rFonts w:hint="eastAsia" w:cs="Times New Roman"/>
          <w:color w:val="auto"/>
          <w:szCs w:val="24"/>
          <w:lang w:eastAsia="zh-CN"/>
        </w:rPr>
        <w:t>，灌木</w:t>
      </w:r>
      <w:r>
        <w:rPr>
          <w:rFonts w:cs="Times New Roman"/>
          <w:color w:val="auto"/>
          <w:szCs w:val="24"/>
          <w:lang w:eastAsia="zh-CN"/>
        </w:rPr>
        <w:t>种选用</w:t>
      </w:r>
      <w:r>
        <w:rPr>
          <w:rFonts w:hint="eastAsia" w:cs="Times New Roman"/>
          <w:color w:val="auto"/>
          <w:szCs w:val="24"/>
          <w:lang w:eastAsia="zh-CN"/>
        </w:rPr>
        <w:t>紫穗槐+刺槐</w:t>
      </w:r>
      <w:r>
        <w:rPr>
          <w:rFonts w:cs="Times New Roman"/>
          <w:color w:val="auto"/>
          <w:szCs w:val="24"/>
          <w:lang w:eastAsia="zh-CN"/>
        </w:rPr>
        <w:t>，种子撒播密度1</w:t>
      </w:r>
      <w:r>
        <w:rPr>
          <w:rFonts w:hint="eastAsia" w:cs="Times New Roman"/>
          <w:color w:val="auto"/>
          <w:szCs w:val="24"/>
          <w:lang w:eastAsia="zh-CN"/>
        </w:rPr>
        <w:t>20k</w:t>
      </w:r>
      <w:r>
        <w:rPr>
          <w:rFonts w:cs="Times New Roman"/>
          <w:color w:val="auto"/>
          <w:szCs w:val="24"/>
          <w:lang w:eastAsia="zh-CN"/>
        </w:rPr>
        <w:t>g/m</w:t>
      </w:r>
      <w:r>
        <w:rPr>
          <w:rFonts w:cs="Times New Roman"/>
          <w:color w:val="auto"/>
          <w:szCs w:val="24"/>
          <w:vertAlign w:val="superscript"/>
          <w:lang w:eastAsia="zh-CN"/>
        </w:rPr>
        <w:t>2</w:t>
      </w:r>
      <w:r>
        <w:rPr>
          <w:rFonts w:cs="Times New Roman"/>
          <w:color w:val="auto"/>
          <w:szCs w:val="24"/>
          <w:lang w:eastAsia="zh-CN"/>
        </w:rPr>
        <w:t>。经计算撒播灌草面积共</w:t>
      </w:r>
      <w:r>
        <w:rPr>
          <w:rFonts w:hint="eastAsia" w:cs="Times New Roman"/>
          <w:color w:val="auto"/>
          <w:szCs w:val="24"/>
          <w:lang w:eastAsia="zh-CN"/>
        </w:rPr>
        <w:t>24</w:t>
      </w:r>
      <w:r>
        <w:rPr>
          <w:rFonts w:cs="Times New Roman"/>
          <w:color w:val="auto"/>
          <w:szCs w:val="24"/>
          <w:lang w:eastAsia="zh-CN"/>
        </w:rPr>
        <w:t>0m</w:t>
      </w:r>
      <w:r>
        <w:rPr>
          <w:rFonts w:cs="Times New Roman"/>
          <w:color w:val="auto"/>
          <w:szCs w:val="24"/>
          <w:vertAlign w:val="superscript"/>
          <w:lang w:eastAsia="zh-CN"/>
        </w:rPr>
        <w:t>2</w:t>
      </w:r>
      <w:r>
        <w:rPr>
          <w:rFonts w:cs="Times New Roman"/>
          <w:color w:val="auto"/>
          <w:szCs w:val="24"/>
          <w:lang w:eastAsia="zh-CN"/>
        </w:rPr>
        <w:t>，撒播种子</w:t>
      </w:r>
      <w:r>
        <w:rPr>
          <w:rFonts w:hint="eastAsia" w:cs="Times New Roman"/>
          <w:color w:val="auto"/>
          <w:szCs w:val="24"/>
          <w:lang w:eastAsia="zh-CN"/>
        </w:rPr>
        <w:t>2.88</w:t>
      </w:r>
      <w:r>
        <w:rPr>
          <w:rFonts w:cs="Times New Roman"/>
          <w:color w:val="auto"/>
          <w:szCs w:val="24"/>
          <w:lang w:eastAsia="zh-CN"/>
        </w:rPr>
        <w:t>kg。</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2、芭蕉-正达凯220kV线路工程区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w:t>
      </w:r>
      <w:r>
        <w:rPr>
          <w:rFonts w:hint="eastAsia" w:cs="Times New Roman"/>
          <w:color w:val="auto"/>
          <w:szCs w:val="24"/>
          <w:lang w:eastAsia="zh-CN"/>
        </w:rPr>
        <w:t>芭蕉塔基及临时施工区</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1）工程措施</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①</w:t>
      </w:r>
      <w:r>
        <w:rPr>
          <w:rFonts w:cs="Times New Roman"/>
          <w:color w:val="auto"/>
          <w:szCs w:val="24"/>
          <w:lang w:eastAsia="zh-CN"/>
        </w:rPr>
        <w:t>排洪沟（主体已有）</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主体设计在高陡处</w:t>
      </w:r>
      <w:r>
        <w:rPr>
          <w:rFonts w:hint="eastAsia" w:cs="Times New Roman"/>
          <w:color w:val="auto"/>
          <w:szCs w:val="24"/>
          <w:lang w:eastAsia="zh-CN"/>
        </w:rPr>
        <w:t>的3处</w:t>
      </w:r>
      <w:r>
        <w:rPr>
          <w:rFonts w:cs="Times New Roman"/>
          <w:color w:val="auto"/>
          <w:szCs w:val="24"/>
          <w:lang w:eastAsia="zh-CN"/>
        </w:rPr>
        <w:t>电塔四周布置散水沟总长约</w:t>
      </w:r>
      <w:r>
        <w:rPr>
          <w:rFonts w:hint="eastAsia" w:cs="Times New Roman"/>
          <w:color w:val="auto"/>
          <w:szCs w:val="24"/>
          <w:lang w:eastAsia="zh-CN"/>
        </w:rPr>
        <w:t>100</w:t>
      </w:r>
      <w:r>
        <w:rPr>
          <w:rFonts w:cs="Times New Roman"/>
          <w:color w:val="auto"/>
          <w:szCs w:val="24"/>
          <w:lang w:eastAsia="zh-CN"/>
        </w:rPr>
        <w:t>m，为梯形，上口宽0.5m，下口宽0.4m、深0.5m，为沟壁、沟底厚0.2m的浆砌块石，并采用1.5cm的C15厚素混凝土抹面。排水沟采用浆砌块石砌筑，主要用于截断水源，减少汇水对塔基的冲刷。</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②</w:t>
      </w:r>
      <w:r>
        <w:rPr>
          <w:rFonts w:cs="Times New Roman"/>
          <w:color w:val="auto"/>
          <w:szCs w:val="24"/>
          <w:lang w:eastAsia="zh-CN"/>
        </w:rPr>
        <w:t>护坡墙（主体已有）</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主体在</w:t>
      </w:r>
      <w:r>
        <w:rPr>
          <w:rFonts w:hint="eastAsia" w:cs="Times New Roman"/>
          <w:color w:val="auto"/>
          <w:szCs w:val="24"/>
          <w:lang w:eastAsia="zh-CN"/>
        </w:rPr>
        <w:t>6处</w:t>
      </w:r>
      <w:r>
        <w:rPr>
          <w:rFonts w:cs="Times New Roman"/>
          <w:color w:val="auto"/>
          <w:szCs w:val="24"/>
          <w:lang w:eastAsia="zh-CN"/>
        </w:rPr>
        <w:t>塔位修建电塔布置护坡墙总长约</w:t>
      </w:r>
      <w:r>
        <w:rPr>
          <w:rFonts w:hint="eastAsia" w:cs="Times New Roman"/>
          <w:color w:val="auto"/>
          <w:szCs w:val="24"/>
          <w:lang w:eastAsia="zh-CN"/>
        </w:rPr>
        <w:t>130</w:t>
      </w:r>
      <w:r>
        <w:rPr>
          <w:rFonts w:cs="Times New Roman"/>
          <w:color w:val="auto"/>
          <w:szCs w:val="24"/>
          <w:lang w:eastAsia="zh-CN"/>
        </w:rPr>
        <w:t>m，主要为防止土基边坡，残积、坡积层边坡的土体流失，总高2.6m，墙顶宽0.5m，底宽1m，埋深0.6m，设计总长约30m为梯形，上口宽0.5m，下口宽0.4m、深0.5m，为沟壁、沟底厚0.2m的浆砌块石，采用浆砌块石砌筑。</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③</w:t>
      </w:r>
      <w:r>
        <w:rPr>
          <w:rFonts w:cs="Times New Roman"/>
          <w:color w:val="auto"/>
          <w:szCs w:val="24"/>
          <w:lang w:eastAsia="zh-CN"/>
        </w:rPr>
        <w:t>表土剥离（方案新增）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施工前已对塔基开挖处及材料压占用表土进行剥离，剥离面积约</w:t>
      </w:r>
      <w:r>
        <w:rPr>
          <w:rFonts w:hint="eastAsia" w:cs="Times New Roman"/>
          <w:color w:val="auto"/>
          <w:szCs w:val="24"/>
          <w:lang w:eastAsia="zh-CN"/>
        </w:rPr>
        <w:t>6833</w:t>
      </w:r>
      <w:r>
        <w:rPr>
          <w:rFonts w:cs="Times New Roman"/>
          <w:color w:val="auto"/>
          <w:szCs w:val="24"/>
          <w:lang w:eastAsia="zh-CN"/>
        </w:rPr>
        <w:t>m</w:t>
      </w:r>
      <w:r>
        <w:rPr>
          <w:rFonts w:cs="Times New Roman"/>
          <w:color w:val="auto"/>
          <w:szCs w:val="24"/>
          <w:vertAlign w:val="superscript"/>
          <w:lang w:eastAsia="zh-CN"/>
        </w:rPr>
        <w:t>2</w:t>
      </w:r>
      <w:r>
        <w:rPr>
          <w:rFonts w:cs="Times New Roman"/>
          <w:color w:val="auto"/>
          <w:szCs w:val="24"/>
          <w:lang w:eastAsia="zh-CN"/>
        </w:rPr>
        <w:t>，剥离厚度约0.1-0.3m，共计剥离表土约</w:t>
      </w:r>
      <w:r>
        <w:rPr>
          <w:rFonts w:hint="eastAsia" w:cs="Times New Roman"/>
          <w:color w:val="auto"/>
          <w:szCs w:val="24"/>
          <w:lang w:eastAsia="zh-CN"/>
        </w:rPr>
        <w:t>1025</w:t>
      </w:r>
      <w:r>
        <w:rPr>
          <w:rFonts w:cs="Times New Roman"/>
          <w:color w:val="auto"/>
          <w:szCs w:val="24"/>
          <w:lang w:eastAsia="zh-CN"/>
        </w:rPr>
        <w:t>m</w:t>
      </w:r>
      <w:r>
        <w:rPr>
          <w:rFonts w:cs="Times New Roman"/>
          <w:color w:val="auto"/>
          <w:szCs w:val="24"/>
          <w:vertAlign w:val="superscript"/>
          <w:lang w:eastAsia="zh-CN"/>
        </w:rPr>
        <w:t>3</w:t>
      </w:r>
      <w:r>
        <w:rPr>
          <w:rFonts w:cs="Times New Roman"/>
          <w:color w:val="auto"/>
          <w:szCs w:val="24"/>
          <w:lang w:eastAsia="zh-CN"/>
        </w:rPr>
        <w:t>。剥离表土临时堆存塔基占地区内，用于施工后期植被恢复。</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④</w:t>
      </w:r>
      <w:r>
        <w:rPr>
          <w:rFonts w:cs="Times New Roman"/>
          <w:color w:val="auto"/>
          <w:szCs w:val="24"/>
          <w:lang w:eastAsia="zh-CN"/>
        </w:rPr>
        <w:t>土地平整（方案新增）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后期土地利用的需要，方案将对后期绿化区域进行土地平整，翻地以秋翻为主，翻地宜深，多在15～20cm，并在施工结束后施工单位应及时清理杂物，便于后期迹地恢复，本区域除去塔基基脚硬化区域外，需土地整治面积约为</w:t>
      </w:r>
      <w:r>
        <w:rPr>
          <w:rFonts w:hint="eastAsia" w:cs="Times New Roman"/>
          <w:color w:val="auto"/>
          <w:szCs w:val="24"/>
          <w:lang w:eastAsia="zh-CN"/>
        </w:rPr>
        <w:t>14240</w:t>
      </w:r>
      <w:r>
        <w:rPr>
          <w:rFonts w:cs="Times New Roman"/>
          <w:color w:val="auto"/>
          <w:szCs w:val="24"/>
          <w:lang w:eastAsia="zh-CN"/>
        </w:rPr>
        <w:t>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⑤</w:t>
      </w:r>
      <w:r>
        <w:rPr>
          <w:rFonts w:cs="Times New Roman"/>
          <w:color w:val="auto"/>
          <w:szCs w:val="24"/>
          <w:lang w:eastAsia="zh-CN"/>
        </w:rPr>
        <w:t>表土回覆（方案新增）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为保证后期植被存活率，本次方案新增在植物措施实施前进行表土回覆，回覆面积为</w:t>
      </w:r>
      <w:r>
        <w:rPr>
          <w:rFonts w:hint="eastAsia" w:cs="Times New Roman"/>
          <w:color w:val="auto"/>
          <w:szCs w:val="24"/>
          <w:lang w:eastAsia="zh-CN"/>
        </w:rPr>
        <w:t>6833</w:t>
      </w:r>
      <w:r>
        <w:rPr>
          <w:rFonts w:cs="Times New Roman"/>
          <w:color w:val="auto"/>
          <w:szCs w:val="24"/>
          <w:lang w:eastAsia="zh-CN"/>
        </w:rPr>
        <w:t>m</w:t>
      </w:r>
      <w:r>
        <w:rPr>
          <w:rFonts w:cs="Times New Roman"/>
          <w:color w:val="auto"/>
          <w:szCs w:val="24"/>
          <w:vertAlign w:val="superscript"/>
          <w:lang w:eastAsia="zh-CN"/>
        </w:rPr>
        <w:t>2</w:t>
      </w:r>
      <w:r>
        <w:rPr>
          <w:rFonts w:cs="Times New Roman"/>
          <w:color w:val="auto"/>
          <w:szCs w:val="24"/>
          <w:lang w:eastAsia="zh-CN"/>
        </w:rPr>
        <w:t>，覆土厚度为0.1-0.3m，覆土量为</w:t>
      </w:r>
      <w:r>
        <w:rPr>
          <w:rFonts w:hint="eastAsia" w:cs="Times New Roman"/>
          <w:color w:val="auto"/>
          <w:szCs w:val="24"/>
          <w:lang w:eastAsia="zh-CN"/>
        </w:rPr>
        <w:t>1025</w:t>
      </w:r>
      <w:r>
        <w:rPr>
          <w:rFonts w:cs="Times New Roman"/>
          <w:color w:val="auto"/>
          <w:szCs w:val="24"/>
          <w:lang w:eastAsia="zh-CN"/>
        </w:rPr>
        <w:t>m</w:t>
      </w:r>
      <w:r>
        <w:rPr>
          <w:rFonts w:cs="Times New Roman"/>
          <w:color w:val="auto"/>
          <w:szCs w:val="24"/>
          <w:vertAlign w:val="superscript"/>
          <w:lang w:eastAsia="zh-CN"/>
        </w:rPr>
        <w:t>3</w:t>
      </w:r>
      <w:r>
        <w:rPr>
          <w:rFonts w:cs="Times New Roman"/>
          <w:color w:val="auto"/>
          <w:szCs w:val="24"/>
          <w:lang w:eastAsia="zh-CN"/>
        </w:rPr>
        <w:t>。表土来源于施工前期剥离的表土。</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2</w:t>
      </w:r>
      <w:r>
        <w:rPr>
          <w:rFonts w:cs="Times New Roman"/>
          <w:color w:val="auto"/>
          <w:szCs w:val="24"/>
          <w:lang w:eastAsia="zh-CN"/>
        </w:rPr>
        <w:t>）植物措施</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①播撒灌草</w:t>
      </w:r>
      <w:r>
        <w:rPr>
          <w:rFonts w:cs="Times New Roman"/>
          <w:color w:val="auto"/>
          <w:szCs w:val="24"/>
          <w:lang w:eastAsia="zh-CN"/>
        </w:rPr>
        <w:t>（主体已</w:t>
      </w:r>
      <w:r>
        <w:rPr>
          <w:rFonts w:hint="eastAsia" w:cs="Times New Roman"/>
          <w:color w:val="auto"/>
          <w:szCs w:val="24"/>
          <w:lang w:eastAsia="zh-CN"/>
        </w:rPr>
        <w:t>有</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施工后期对塔基保护范围播撒灌草</w:t>
      </w:r>
      <w:r>
        <w:rPr>
          <w:rFonts w:cs="Times New Roman"/>
          <w:color w:val="auto"/>
          <w:szCs w:val="24"/>
          <w:lang w:eastAsia="zh-CN"/>
        </w:rPr>
        <w:t>绿化</w:t>
      </w:r>
      <w:r>
        <w:rPr>
          <w:rFonts w:hint="eastAsia" w:cs="Times New Roman"/>
          <w:color w:val="auto"/>
          <w:szCs w:val="24"/>
          <w:lang w:eastAsia="zh-CN"/>
        </w:rPr>
        <w:t>，</w:t>
      </w:r>
      <w:r>
        <w:rPr>
          <w:rFonts w:cs="Times New Roman"/>
          <w:color w:val="auto"/>
          <w:szCs w:val="24"/>
          <w:lang w:eastAsia="zh-CN"/>
        </w:rPr>
        <w:t>总面积</w:t>
      </w:r>
      <w:r>
        <w:rPr>
          <w:rFonts w:hint="eastAsia" w:cs="Times New Roman"/>
          <w:color w:val="auto"/>
          <w:szCs w:val="24"/>
          <w:lang w:eastAsia="zh-CN"/>
        </w:rPr>
        <w:t>14240</w:t>
      </w:r>
      <w:r>
        <w:rPr>
          <w:rFonts w:cs="Times New Roman"/>
          <w:color w:val="auto"/>
          <w:szCs w:val="24"/>
          <w:lang w:eastAsia="zh-CN"/>
        </w:rPr>
        <w:t>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3</w:t>
      </w:r>
      <w:r>
        <w:rPr>
          <w:rFonts w:cs="Times New Roman"/>
          <w:color w:val="auto"/>
          <w:szCs w:val="24"/>
          <w:lang w:eastAsia="zh-CN"/>
        </w:rPr>
        <w:t>）临时措施</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①</w:t>
      </w:r>
      <w:r>
        <w:rPr>
          <w:rFonts w:cs="Times New Roman"/>
          <w:color w:val="auto"/>
          <w:szCs w:val="24"/>
          <w:lang w:eastAsia="zh-CN"/>
        </w:rPr>
        <w:t>土袋拦挡（方案新增）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由于本工程区剥离的表土临时堆存在本工程区内，但主体设计中未设计对表 土堆场进行防护，因此本方案补充土袋临时拦挡，采用双层双排土袋0.8m×0.4m，长度</w:t>
      </w:r>
      <w:r>
        <w:rPr>
          <w:rFonts w:hint="eastAsia" w:cs="Times New Roman"/>
          <w:color w:val="auto"/>
          <w:szCs w:val="24"/>
          <w:lang w:eastAsia="zh-CN"/>
        </w:rPr>
        <w:t>290</w:t>
      </w:r>
      <w:r>
        <w:rPr>
          <w:rFonts w:cs="Times New Roman"/>
          <w:color w:val="auto"/>
          <w:szCs w:val="24"/>
          <w:lang w:eastAsia="zh-CN"/>
        </w:rPr>
        <w:t>m</w:t>
      </w:r>
      <w:r>
        <w:rPr>
          <w:rFonts w:hint="eastAsia" w:cs="Times New Roman"/>
          <w:color w:val="auto"/>
          <w:szCs w:val="24"/>
          <w:lang w:eastAsia="zh-CN"/>
        </w:rPr>
        <w:t>（48m</w:t>
      </w:r>
      <w:r>
        <w:rPr>
          <w:rFonts w:hint="eastAsia" w:cs="Times New Roman"/>
          <w:color w:val="auto"/>
          <w:szCs w:val="24"/>
          <w:vertAlign w:val="superscript"/>
          <w:lang w:eastAsia="zh-CN"/>
        </w:rPr>
        <w:t>3</w:t>
      </w:r>
      <w:r>
        <w:rPr>
          <w:rFonts w:hint="eastAsia" w:cs="Times New Roman"/>
          <w:color w:val="auto"/>
          <w:szCs w:val="24"/>
          <w:lang w:eastAsia="zh-CN"/>
        </w:rPr>
        <w:t>），表土堆场使用完毕后，应对土袋挡墙进行拆除，后期拆除土袋挡墙290m</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②</w:t>
      </w:r>
      <w:r>
        <w:rPr>
          <w:rFonts w:cs="Times New Roman"/>
          <w:color w:val="auto"/>
          <w:szCs w:val="24"/>
          <w:lang w:eastAsia="zh-CN"/>
        </w:rPr>
        <w:t>防雨布遮盖（方案新增）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主体工程设计未考虑对</w:t>
      </w:r>
      <w:r>
        <w:rPr>
          <w:rFonts w:hint="eastAsia" w:cs="Times New Roman"/>
          <w:color w:val="auto"/>
          <w:szCs w:val="24"/>
          <w:lang w:eastAsia="zh-CN"/>
        </w:rPr>
        <w:t>塔位表土临时堆场上方及其他裸露区域</w:t>
      </w:r>
      <w:r>
        <w:rPr>
          <w:rFonts w:cs="Times New Roman"/>
          <w:color w:val="auto"/>
          <w:szCs w:val="24"/>
          <w:lang w:eastAsia="zh-CN"/>
        </w:rPr>
        <w:t>，本方案对该区增加施工过程中的临时遮盖，遮盖方式为防雨布遮盖，共计</w:t>
      </w:r>
      <w:r>
        <w:rPr>
          <w:rFonts w:hint="eastAsia" w:cs="Times New Roman"/>
          <w:color w:val="auto"/>
          <w:szCs w:val="24"/>
          <w:lang w:eastAsia="zh-CN"/>
        </w:rPr>
        <w:t>25</w:t>
      </w:r>
      <w:r>
        <w:rPr>
          <w:rFonts w:cs="Times New Roman"/>
          <w:color w:val="auto"/>
          <w:szCs w:val="24"/>
          <w:lang w:eastAsia="zh-CN"/>
        </w:rPr>
        <w:t>00m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（2</w:t>
      </w:r>
      <w:r>
        <w:rPr>
          <w:rFonts w:cs="Times New Roman"/>
          <w:color w:val="auto"/>
          <w:szCs w:val="24"/>
          <w:lang w:eastAsia="zh-CN"/>
        </w:rPr>
        <w:t>）</w:t>
      </w:r>
      <w:r>
        <w:rPr>
          <w:rFonts w:hint="eastAsia" w:cs="Times New Roman"/>
          <w:color w:val="auto"/>
          <w:szCs w:val="24"/>
          <w:lang w:eastAsia="zh-CN"/>
        </w:rPr>
        <w:t>芭蕉施工便道区</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1</w:t>
      </w:r>
      <w:r>
        <w:rPr>
          <w:rFonts w:cs="Times New Roman"/>
          <w:color w:val="auto"/>
          <w:szCs w:val="24"/>
          <w:lang w:eastAsia="zh-CN"/>
        </w:rPr>
        <w:t>）工程措施</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①</w:t>
      </w:r>
      <w:r>
        <w:rPr>
          <w:rFonts w:cs="Times New Roman"/>
          <w:color w:val="auto"/>
          <w:szCs w:val="24"/>
          <w:lang w:eastAsia="zh-CN"/>
        </w:rPr>
        <w:t>土地平整（方案新增）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根据后期土地利用的需要，方案将对后期绿化区域进行土地平整，翻地以秋翻为主，翻地宜深，多在15～20cm，并在施工结束后施工单位应及时清理杂物，便于后期迹地恢复，本区主</w:t>
      </w:r>
      <w:r>
        <w:rPr>
          <w:rFonts w:hint="eastAsia" w:cs="Times New Roman"/>
          <w:color w:val="auto"/>
          <w:szCs w:val="24"/>
          <w:lang w:eastAsia="zh-CN"/>
        </w:rPr>
        <w:t>为</w:t>
      </w:r>
      <w:r>
        <w:rPr>
          <w:rFonts w:cs="Times New Roman"/>
          <w:color w:val="auto"/>
          <w:szCs w:val="24"/>
          <w:lang w:eastAsia="zh-CN"/>
        </w:rPr>
        <w:t>骡马搬运处</w:t>
      </w:r>
      <w:r>
        <w:rPr>
          <w:rFonts w:hint="eastAsia" w:cs="Times New Roman"/>
          <w:color w:val="auto"/>
          <w:szCs w:val="24"/>
          <w:lang w:eastAsia="zh-CN"/>
        </w:rPr>
        <w:t>便道</w:t>
      </w:r>
      <w:r>
        <w:rPr>
          <w:rFonts w:cs="Times New Roman"/>
          <w:color w:val="auto"/>
          <w:szCs w:val="24"/>
          <w:lang w:eastAsia="zh-CN"/>
        </w:rPr>
        <w:t>，需土地整治面积约为</w:t>
      </w:r>
      <w:r>
        <w:rPr>
          <w:rFonts w:hint="eastAsia" w:cs="Times New Roman"/>
          <w:color w:val="auto"/>
          <w:szCs w:val="24"/>
          <w:lang w:eastAsia="zh-CN"/>
        </w:rPr>
        <w:t>7644</w:t>
      </w:r>
      <w:r>
        <w:rPr>
          <w:rFonts w:cs="Times New Roman"/>
          <w:color w:val="auto"/>
          <w:szCs w:val="24"/>
          <w:lang w:eastAsia="zh-CN"/>
        </w:rPr>
        <w:t>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2</w:t>
      </w:r>
      <w:r>
        <w:rPr>
          <w:rFonts w:cs="Times New Roman"/>
          <w:color w:val="auto"/>
          <w:szCs w:val="24"/>
          <w:lang w:eastAsia="zh-CN"/>
        </w:rPr>
        <w:t>）植物措施</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①种植桤木</w:t>
      </w:r>
      <w:r>
        <w:rPr>
          <w:rFonts w:cs="Times New Roman"/>
          <w:color w:val="auto"/>
          <w:szCs w:val="24"/>
          <w:lang w:eastAsia="zh-CN"/>
        </w:rPr>
        <w:t>（方案新增）</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施工结束后，需对施工便道区占用林地区域进行迹地恢复，进行穴状整地后种植桤木，采用1-2年苗，选择苗高30～50cm，栽种时需带土球播种，种植穴规格长宽为50cm*50cm，种植株行距为2m*2m，为2500株/hm</w:t>
      </w:r>
      <w:r>
        <w:rPr>
          <w:rFonts w:hint="eastAsia" w:cs="Times New Roman"/>
          <w:color w:val="auto"/>
          <w:szCs w:val="24"/>
          <w:vertAlign w:val="superscript"/>
          <w:lang w:eastAsia="zh-CN"/>
        </w:rPr>
        <w:t>2</w:t>
      </w:r>
      <w:r>
        <w:rPr>
          <w:rFonts w:hint="eastAsia" w:cs="Times New Roman"/>
          <w:color w:val="auto"/>
          <w:szCs w:val="24"/>
          <w:lang w:eastAsia="zh-CN"/>
        </w:rPr>
        <w:t>；栽植时间以3月底4月初、早春花前为最佳，切记在土壤冻结的严寒时节栽植，经计算撒播灌草面积共7644m</w:t>
      </w:r>
      <w:r>
        <w:rPr>
          <w:rFonts w:hint="eastAsia" w:cs="Times New Roman"/>
          <w:color w:val="auto"/>
          <w:szCs w:val="24"/>
          <w:vertAlign w:val="superscript"/>
          <w:lang w:eastAsia="zh-CN"/>
        </w:rPr>
        <w:t>2</w:t>
      </w:r>
      <w:r>
        <w:rPr>
          <w:rFonts w:hint="eastAsia" w:cs="Times New Roman"/>
          <w:color w:val="auto"/>
          <w:szCs w:val="24"/>
          <w:lang w:eastAsia="zh-CN"/>
        </w:rPr>
        <w:t>，种植桤木1911株</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w:t>
      </w:r>
      <w:r>
        <w:rPr>
          <w:rFonts w:cs="Times New Roman"/>
          <w:color w:val="auto"/>
          <w:szCs w:val="24"/>
          <w:lang w:eastAsia="zh-CN"/>
        </w:rPr>
        <w:t>3）</w:t>
      </w:r>
      <w:r>
        <w:rPr>
          <w:rFonts w:hint="eastAsia" w:cs="Times New Roman"/>
          <w:color w:val="auto"/>
          <w:szCs w:val="24"/>
          <w:lang w:eastAsia="zh-CN"/>
        </w:rPr>
        <w:t>芭蕉</w:t>
      </w:r>
      <w:r>
        <w:rPr>
          <w:rFonts w:cs="Times New Roman"/>
          <w:color w:val="auto"/>
          <w:szCs w:val="24"/>
          <w:lang w:eastAsia="zh-CN"/>
        </w:rPr>
        <w:t>牵张场区</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1</w:t>
      </w:r>
      <w:r>
        <w:rPr>
          <w:rFonts w:cs="Times New Roman"/>
          <w:color w:val="auto"/>
          <w:szCs w:val="24"/>
          <w:lang w:eastAsia="zh-CN"/>
        </w:rPr>
        <w:t>）工程措施</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①</w:t>
      </w:r>
      <w:r>
        <w:rPr>
          <w:rFonts w:cs="Times New Roman"/>
          <w:color w:val="auto"/>
          <w:szCs w:val="24"/>
          <w:lang w:eastAsia="zh-CN"/>
        </w:rPr>
        <w:t>土地平整（方案新增）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根据后期土地利用的需要，方案将对后期区域进行土地平整，翻地以秋翻为主，</w:t>
      </w:r>
      <w:r>
        <w:rPr>
          <w:rFonts w:hint="eastAsia" w:cs="Times New Roman"/>
          <w:color w:val="auto"/>
          <w:szCs w:val="24"/>
          <w:lang w:eastAsia="zh-CN"/>
        </w:rPr>
        <w:t>该区域占用耕地翻地宜深，翻地在30cm</w:t>
      </w:r>
      <w:r>
        <w:rPr>
          <w:rFonts w:cs="Times New Roman"/>
          <w:color w:val="auto"/>
          <w:szCs w:val="24"/>
          <w:lang w:eastAsia="zh-CN"/>
        </w:rPr>
        <w:t>，并在施工结束后施工单位应及时清理杂物，便于</w:t>
      </w:r>
      <w:r>
        <w:rPr>
          <w:rFonts w:hint="eastAsia" w:cs="Times New Roman"/>
          <w:color w:val="auto"/>
          <w:szCs w:val="24"/>
          <w:lang w:eastAsia="zh-CN"/>
        </w:rPr>
        <w:t>复耕</w:t>
      </w:r>
      <w:r>
        <w:rPr>
          <w:rFonts w:cs="Times New Roman"/>
          <w:color w:val="auto"/>
          <w:szCs w:val="24"/>
          <w:lang w:eastAsia="zh-CN"/>
        </w:rPr>
        <w:t>，需土地整治面积约为</w:t>
      </w:r>
      <w:r>
        <w:rPr>
          <w:rFonts w:hint="eastAsia" w:cs="Times New Roman"/>
          <w:color w:val="auto"/>
          <w:szCs w:val="24"/>
          <w:lang w:eastAsia="zh-CN"/>
        </w:rPr>
        <w:t>28</w:t>
      </w:r>
      <w:r>
        <w:rPr>
          <w:rFonts w:cs="Times New Roman"/>
          <w:color w:val="auto"/>
          <w:szCs w:val="24"/>
          <w:lang w:eastAsia="zh-CN"/>
        </w:rPr>
        <w:t>00m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w:t>
      </w:r>
      <w:r>
        <w:rPr>
          <w:rFonts w:cs="Times New Roman"/>
          <w:color w:val="auto"/>
          <w:szCs w:val="24"/>
          <w:lang w:eastAsia="zh-CN"/>
        </w:rPr>
        <w:t>4）</w:t>
      </w:r>
      <w:r>
        <w:rPr>
          <w:rFonts w:hint="eastAsia" w:cs="Times New Roman"/>
          <w:color w:val="auto"/>
          <w:szCs w:val="24"/>
          <w:lang w:eastAsia="zh-CN"/>
        </w:rPr>
        <w:t>芭蕉</w:t>
      </w:r>
      <w:r>
        <w:rPr>
          <w:rFonts w:cs="Times New Roman"/>
          <w:color w:val="auto"/>
          <w:szCs w:val="24"/>
          <w:lang w:eastAsia="zh-CN"/>
        </w:rPr>
        <w:t>跨越场区</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1</w:t>
      </w:r>
      <w:r>
        <w:rPr>
          <w:rFonts w:cs="Times New Roman"/>
          <w:color w:val="auto"/>
          <w:szCs w:val="24"/>
          <w:lang w:eastAsia="zh-CN"/>
        </w:rPr>
        <w:t>）工程措施</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①</w:t>
      </w:r>
      <w:r>
        <w:rPr>
          <w:rFonts w:cs="Times New Roman"/>
          <w:color w:val="auto"/>
          <w:szCs w:val="24"/>
          <w:lang w:eastAsia="zh-CN"/>
        </w:rPr>
        <w:t>土地平整（方案新增）</w:t>
      </w:r>
    </w:p>
    <w:p>
      <w:pPr>
        <w:widowControl w:val="0"/>
        <w:kinsoku/>
        <w:topLinePunct/>
        <w:autoSpaceDE/>
        <w:autoSpaceDN/>
        <w:spacing w:line="360" w:lineRule="auto"/>
        <w:ind w:firstLine="480"/>
        <w:rPr>
          <w:rFonts w:cs="Times New Roman"/>
          <w:color w:val="auto"/>
          <w:szCs w:val="24"/>
          <w:lang w:eastAsia="zh-CN"/>
        </w:rPr>
      </w:pPr>
      <w:r>
        <w:rPr>
          <w:rFonts w:cs="Times New Roman"/>
          <w:color w:val="auto"/>
          <w:szCs w:val="24"/>
          <w:lang w:eastAsia="zh-CN"/>
        </w:rPr>
        <w:t>根据后期土地利用的需要，方案将对后期绿化区域进行土地平整，翻地以秋翻为主，翻地宜深，多在15～20cm，并在施工结束后施工单位应及时清理杂物，便于后期迹地恢复，需土地整治面积约为</w:t>
      </w:r>
      <w:r>
        <w:rPr>
          <w:rFonts w:hint="eastAsia" w:cs="Times New Roman"/>
          <w:color w:val="auto"/>
          <w:szCs w:val="24"/>
          <w:lang w:eastAsia="zh-CN"/>
        </w:rPr>
        <w:t>72</w:t>
      </w:r>
      <w:r>
        <w:rPr>
          <w:rFonts w:cs="Times New Roman"/>
          <w:color w:val="auto"/>
          <w:szCs w:val="24"/>
          <w:lang w:eastAsia="zh-CN"/>
        </w:rPr>
        <w:t>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2</w:t>
      </w:r>
      <w:r>
        <w:rPr>
          <w:rFonts w:cs="Times New Roman"/>
          <w:color w:val="auto"/>
          <w:szCs w:val="24"/>
          <w:lang w:eastAsia="zh-CN"/>
        </w:rPr>
        <w:t>）植物措施</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①</w:t>
      </w:r>
      <w:r>
        <w:rPr>
          <w:rFonts w:cs="Times New Roman"/>
          <w:color w:val="auto"/>
          <w:szCs w:val="24"/>
          <w:lang w:eastAsia="zh-CN"/>
        </w:rPr>
        <w:t>撒播灌草（方案新增）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施工结束后，需对</w:t>
      </w:r>
      <w:r>
        <w:rPr>
          <w:rFonts w:hint="eastAsia" w:cs="Times New Roman"/>
          <w:color w:val="auto"/>
          <w:szCs w:val="24"/>
          <w:lang w:eastAsia="zh-CN"/>
        </w:rPr>
        <w:t>跨越场区</w:t>
      </w:r>
      <w:r>
        <w:rPr>
          <w:rFonts w:cs="Times New Roman"/>
          <w:color w:val="auto"/>
          <w:szCs w:val="24"/>
          <w:lang w:eastAsia="zh-CN"/>
        </w:rPr>
        <w:t>占用林地区域进行迹地恢复，</w:t>
      </w:r>
      <w:r>
        <w:rPr>
          <w:rFonts w:hint="eastAsia" w:cs="Times New Roman"/>
          <w:color w:val="auto"/>
          <w:szCs w:val="24"/>
          <w:lang w:eastAsia="zh-CN"/>
        </w:rPr>
        <w:t>由于跨越场区位于高压线下方不宜植树，故</w:t>
      </w:r>
      <w:r>
        <w:rPr>
          <w:rFonts w:cs="Times New Roman"/>
          <w:color w:val="auto"/>
          <w:szCs w:val="24"/>
          <w:lang w:eastAsia="zh-CN"/>
        </w:rPr>
        <w:t>绿化方式采用撒播灌草方式进行绿化，根据项目区气候及土壤特点，草种选择适宜当地生长的狗牙根</w:t>
      </w:r>
      <w:r>
        <w:rPr>
          <w:rFonts w:hint="eastAsia" w:cs="Times New Roman"/>
          <w:color w:val="auto"/>
          <w:szCs w:val="24"/>
          <w:lang w:eastAsia="zh-CN"/>
        </w:rPr>
        <w:t>，灌木</w:t>
      </w:r>
      <w:r>
        <w:rPr>
          <w:rFonts w:cs="Times New Roman"/>
          <w:color w:val="auto"/>
          <w:szCs w:val="24"/>
          <w:lang w:eastAsia="zh-CN"/>
        </w:rPr>
        <w:t>种选用</w:t>
      </w:r>
      <w:r>
        <w:rPr>
          <w:rFonts w:hint="eastAsia" w:cs="Times New Roman"/>
          <w:color w:val="auto"/>
          <w:szCs w:val="24"/>
          <w:lang w:eastAsia="zh-CN"/>
        </w:rPr>
        <w:t>紫穗槐+刺槐</w:t>
      </w:r>
      <w:r>
        <w:rPr>
          <w:rFonts w:cs="Times New Roman"/>
          <w:color w:val="auto"/>
          <w:szCs w:val="24"/>
          <w:lang w:eastAsia="zh-CN"/>
        </w:rPr>
        <w:t>，种子撒播密度1</w:t>
      </w:r>
      <w:r>
        <w:rPr>
          <w:rFonts w:hint="eastAsia" w:cs="Times New Roman"/>
          <w:color w:val="auto"/>
          <w:szCs w:val="24"/>
          <w:lang w:eastAsia="zh-CN"/>
        </w:rPr>
        <w:t>20k</w:t>
      </w:r>
      <w:r>
        <w:rPr>
          <w:rFonts w:cs="Times New Roman"/>
          <w:color w:val="auto"/>
          <w:szCs w:val="24"/>
          <w:lang w:eastAsia="zh-CN"/>
        </w:rPr>
        <w:t>g/m</w:t>
      </w:r>
      <w:r>
        <w:rPr>
          <w:rFonts w:cs="Times New Roman"/>
          <w:color w:val="auto"/>
          <w:szCs w:val="24"/>
          <w:vertAlign w:val="superscript"/>
          <w:lang w:eastAsia="zh-CN"/>
        </w:rPr>
        <w:t>2</w:t>
      </w:r>
      <w:r>
        <w:rPr>
          <w:rFonts w:cs="Times New Roman"/>
          <w:color w:val="auto"/>
          <w:szCs w:val="24"/>
          <w:lang w:eastAsia="zh-CN"/>
        </w:rPr>
        <w:t>。经计算撒播灌草面积共</w:t>
      </w:r>
      <w:r>
        <w:rPr>
          <w:rFonts w:hint="eastAsia" w:cs="Times New Roman"/>
          <w:color w:val="auto"/>
          <w:szCs w:val="24"/>
          <w:lang w:eastAsia="zh-CN"/>
        </w:rPr>
        <w:t>72</w:t>
      </w:r>
      <w:r>
        <w:rPr>
          <w:rFonts w:cs="Times New Roman"/>
          <w:color w:val="auto"/>
          <w:szCs w:val="24"/>
          <w:lang w:eastAsia="zh-CN"/>
        </w:rPr>
        <w:t>0m</w:t>
      </w:r>
      <w:r>
        <w:rPr>
          <w:rFonts w:cs="Times New Roman"/>
          <w:color w:val="auto"/>
          <w:szCs w:val="24"/>
          <w:vertAlign w:val="superscript"/>
          <w:lang w:eastAsia="zh-CN"/>
        </w:rPr>
        <w:t>2</w:t>
      </w:r>
      <w:r>
        <w:rPr>
          <w:rFonts w:cs="Times New Roman"/>
          <w:color w:val="auto"/>
          <w:szCs w:val="24"/>
          <w:lang w:eastAsia="zh-CN"/>
        </w:rPr>
        <w:t>，撒播种子</w:t>
      </w:r>
      <w:r>
        <w:rPr>
          <w:rFonts w:hint="eastAsia" w:cs="Times New Roman"/>
          <w:color w:val="auto"/>
          <w:szCs w:val="24"/>
          <w:lang w:eastAsia="zh-CN"/>
        </w:rPr>
        <w:t>8.64</w:t>
      </w:r>
      <w:r>
        <w:rPr>
          <w:rFonts w:cs="Times New Roman"/>
          <w:color w:val="auto"/>
          <w:szCs w:val="24"/>
          <w:lang w:eastAsia="zh-CN"/>
        </w:rPr>
        <w:t>kg。</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w:t>
      </w:r>
      <w:r>
        <w:rPr>
          <w:rFonts w:cs="Times New Roman"/>
          <w:color w:val="auto"/>
          <w:szCs w:val="24"/>
          <w:lang w:eastAsia="zh-CN"/>
        </w:rPr>
        <w:t>5）电缆工程区</w:t>
      </w:r>
    </w:p>
    <w:p>
      <w:pPr>
        <w:widowControl w:val="0"/>
        <w:kinsoku/>
        <w:topLinePunct/>
        <w:autoSpaceDE/>
        <w:autoSpaceDN/>
        <w:spacing w:line="360" w:lineRule="auto"/>
        <w:ind w:firstLine="480"/>
        <w:jc w:val="both"/>
        <w:rPr>
          <w:rFonts w:eastAsia="宋体" w:cs="Times New Roman"/>
          <w:color w:val="auto"/>
          <w:szCs w:val="24"/>
          <w:lang w:eastAsia="zh-CN"/>
        </w:rPr>
      </w:pPr>
      <w:r>
        <w:rPr>
          <w:rFonts w:hint="eastAsia" w:cs="Times New Roman"/>
          <w:color w:val="auto"/>
          <w:szCs w:val="24"/>
          <w:lang w:eastAsia="zh-CN"/>
        </w:rPr>
        <w:t>1</w:t>
      </w:r>
      <w:r>
        <w:rPr>
          <w:rFonts w:cs="Times New Roman"/>
          <w:color w:val="auto"/>
          <w:szCs w:val="24"/>
          <w:lang w:eastAsia="zh-CN"/>
        </w:rPr>
        <w:t>）工程措施</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①</w:t>
      </w:r>
      <w:r>
        <w:rPr>
          <w:rFonts w:cs="Times New Roman"/>
          <w:color w:val="auto"/>
          <w:szCs w:val="24"/>
          <w:lang w:eastAsia="zh-CN"/>
        </w:rPr>
        <w:t>表土剥离（方案新增）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主体设计中未考</w:t>
      </w:r>
      <w:r>
        <w:rPr>
          <w:rFonts w:hint="eastAsia" w:cs="Times New Roman"/>
          <w:color w:val="auto"/>
          <w:szCs w:val="24"/>
          <w:lang w:eastAsia="zh-CN"/>
        </w:rPr>
        <w:t>电缆沟及施工作业带临时占耕地区域开挖</w:t>
      </w:r>
      <w:r>
        <w:rPr>
          <w:rFonts w:cs="Times New Roman"/>
          <w:color w:val="auto"/>
          <w:szCs w:val="24"/>
          <w:lang w:eastAsia="zh-CN"/>
        </w:rPr>
        <w:t>的表土剥离，此区域内可剥离表土面积约为240m</w:t>
      </w:r>
      <w:r>
        <w:rPr>
          <w:rFonts w:cs="Times New Roman"/>
          <w:color w:val="auto"/>
          <w:szCs w:val="24"/>
          <w:vertAlign w:val="superscript"/>
          <w:lang w:eastAsia="zh-CN"/>
        </w:rPr>
        <w:t>2</w:t>
      </w:r>
      <w:r>
        <w:rPr>
          <w:rFonts w:cs="Times New Roman"/>
          <w:color w:val="auto"/>
          <w:szCs w:val="24"/>
          <w:lang w:eastAsia="zh-CN"/>
        </w:rPr>
        <w:t>，平均剥离厚度为30cm，剥离量约72m</w:t>
      </w:r>
      <w:r>
        <w:rPr>
          <w:rFonts w:cs="Times New Roman"/>
          <w:color w:val="auto"/>
          <w:szCs w:val="24"/>
          <w:vertAlign w:val="superscript"/>
          <w:lang w:eastAsia="zh-CN"/>
        </w:rPr>
        <w:t>3</w:t>
      </w:r>
      <w:r>
        <w:rPr>
          <w:rFonts w:cs="Times New Roman"/>
          <w:color w:val="auto"/>
          <w:szCs w:val="24"/>
          <w:lang w:eastAsia="zh-CN"/>
        </w:rPr>
        <w:t>，剥离表土临时堆存于临时施工区，用于施工后期植被恢复。</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②</w:t>
      </w:r>
      <w:r>
        <w:rPr>
          <w:rFonts w:cs="Times New Roman"/>
          <w:color w:val="auto"/>
          <w:szCs w:val="24"/>
          <w:lang w:eastAsia="zh-CN"/>
        </w:rPr>
        <w:t>土地平整（方案新增）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根据后期土地利用的需要，方案将对后期绿化区域进行土地平整，翻地以秋翻为主，</w:t>
      </w:r>
      <w:r>
        <w:rPr>
          <w:rFonts w:hint="eastAsia" w:cs="Times New Roman"/>
          <w:color w:val="auto"/>
          <w:szCs w:val="24"/>
          <w:lang w:eastAsia="zh-CN"/>
        </w:rPr>
        <w:t>该区域占用耕地</w:t>
      </w:r>
      <w:r>
        <w:rPr>
          <w:rFonts w:cs="Times New Roman"/>
          <w:color w:val="auto"/>
          <w:szCs w:val="24"/>
          <w:lang w:eastAsia="zh-CN"/>
        </w:rPr>
        <w:t>翻地宜深，</w:t>
      </w:r>
      <w:r>
        <w:rPr>
          <w:rFonts w:hint="eastAsia" w:cs="Times New Roman"/>
          <w:color w:val="auto"/>
          <w:szCs w:val="24"/>
          <w:lang w:eastAsia="zh-CN"/>
        </w:rPr>
        <w:t>翻地</w:t>
      </w:r>
      <w:r>
        <w:rPr>
          <w:rFonts w:cs="Times New Roman"/>
          <w:color w:val="auto"/>
          <w:szCs w:val="24"/>
          <w:lang w:eastAsia="zh-CN"/>
        </w:rPr>
        <w:t>在</w:t>
      </w:r>
      <w:r>
        <w:rPr>
          <w:rFonts w:hint="eastAsia" w:cs="Times New Roman"/>
          <w:color w:val="auto"/>
          <w:szCs w:val="24"/>
          <w:lang w:eastAsia="zh-CN"/>
        </w:rPr>
        <w:t>3</w:t>
      </w:r>
      <w:r>
        <w:rPr>
          <w:rFonts w:cs="Times New Roman"/>
          <w:color w:val="auto"/>
          <w:szCs w:val="24"/>
          <w:lang w:eastAsia="zh-CN"/>
        </w:rPr>
        <w:t>0cm，并在施工结束后施工单位应及时清理杂物，便于后期</w:t>
      </w:r>
      <w:r>
        <w:rPr>
          <w:rFonts w:hint="eastAsia" w:cs="Times New Roman"/>
          <w:color w:val="auto"/>
          <w:szCs w:val="24"/>
          <w:lang w:eastAsia="zh-CN"/>
        </w:rPr>
        <w:t>复耕</w:t>
      </w:r>
      <w:r>
        <w:rPr>
          <w:rFonts w:cs="Times New Roman"/>
          <w:color w:val="auto"/>
          <w:szCs w:val="24"/>
          <w:lang w:eastAsia="zh-CN"/>
        </w:rPr>
        <w:t>，需土地整治面积约为240m</w:t>
      </w:r>
      <w:r>
        <w:rPr>
          <w:rFonts w:cs="Times New Roman"/>
          <w:color w:val="auto"/>
          <w:szCs w:val="24"/>
          <w:vertAlign w:val="superscript"/>
          <w:lang w:eastAsia="zh-CN"/>
        </w:rPr>
        <w:t>2</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③</w:t>
      </w:r>
      <w:r>
        <w:rPr>
          <w:rFonts w:cs="Times New Roman"/>
          <w:color w:val="auto"/>
          <w:szCs w:val="24"/>
          <w:lang w:eastAsia="zh-CN"/>
        </w:rPr>
        <w:t>表土回覆（方案新增）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为保证后期</w:t>
      </w:r>
      <w:r>
        <w:rPr>
          <w:rFonts w:hint="eastAsia" w:cs="Times New Roman"/>
          <w:color w:val="auto"/>
          <w:szCs w:val="24"/>
          <w:lang w:eastAsia="zh-CN"/>
        </w:rPr>
        <w:t>土地利用</w:t>
      </w:r>
      <w:r>
        <w:rPr>
          <w:rFonts w:cs="Times New Roman"/>
          <w:color w:val="auto"/>
          <w:szCs w:val="24"/>
          <w:lang w:eastAsia="zh-CN"/>
        </w:rPr>
        <w:t>，</w:t>
      </w:r>
      <w:r>
        <w:rPr>
          <w:rFonts w:hint="eastAsia" w:cs="Times New Roman"/>
          <w:color w:val="auto"/>
          <w:szCs w:val="24"/>
          <w:lang w:eastAsia="zh-CN"/>
        </w:rPr>
        <w:t>在电缆沟及施工作业带临时占耕地区域进行</w:t>
      </w:r>
      <w:r>
        <w:rPr>
          <w:rFonts w:cs="Times New Roman"/>
          <w:color w:val="auto"/>
          <w:szCs w:val="24"/>
          <w:lang w:eastAsia="zh-CN"/>
        </w:rPr>
        <w:t>表土回覆，对机械施工处通道局部开挖处回覆面积为</w:t>
      </w:r>
      <w:r>
        <w:rPr>
          <w:rFonts w:hint="eastAsia" w:cs="Times New Roman"/>
          <w:color w:val="auto"/>
          <w:szCs w:val="24"/>
          <w:lang w:eastAsia="zh-CN"/>
        </w:rPr>
        <w:t>24</w:t>
      </w:r>
      <w:r>
        <w:rPr>
          <w:rFonts w:cs="Times New Roman"/>
          <w:color w:val="auto"/>
          <w:szCs w:val="24"/>
          <w:lang w:eastAsia="zh-CN"/>
        </w:rPr>
        <w:t>0m</w:t>
      </w:r>
      <w:r>
        <w:rPr>
          <w:rFonts w:cs="Times New Roman"/>
          <w:color w:val="auto"/>
          <w:szCs w:val="24"/>
          <w:vertAlign w:val="superscript"/>
          <w:lang w:eastAsia="zh-CN"/>
        </w:rPr>
        <w:t>2</w:t>
      </w:r>
      <w:r>
        <w:rPr>
          <w:rFonts w:cs="Times New Roman"/>
          <w:color w:val="auto"/>
          <w:szCs w:val="24"/>
          <w:lang w:eastAsia="zh-CN"/>
        </w:rPr>
        <w:t>，覆土厚度为30cm，覆土量为</w:t>
      </w:r>
      <w:r>
        <w:rPr>
          <w:rFonts w:hint="eastAsia" w:cs="Times New Roman"/>
          <w:color w:val="auto"/>
          <w:szCs w:val="24"/>
          <w:lang w:eastAsia="zh-CN"/>
        </w:rPr>
        <w:t>72</w:t>
      </w:r>
      <w:r>
        <w:rPr>
          <w:rFonts w:cs="Times New Roman"/>
          <w:color w:val="auto"/>
          <w:szCs w:val="24"/>
          <w:lang w:eastAsia="zh-CN"/>
        </w:rPr>
        <w:t>m</w:t>
      </w:r>
      <w:r>
        <w:rPr>
          <w:rFonts w:cs="Times New Roman"/>
          <w:color w:val="auto"/>
          <w:szCs w:val="24"/>
          <w:vertAlign w:val="superscript"/>
          <w:lang w:eastAsia="zh-CN"/>
        </w:rPr>
        <w:t>3</w:t>
      </w:r>
      <w:r>
        <w:rPr>
          <w:rFonts w:cs="Times New Roman"/>
          <w:color w:val="auto"/>
          <w:szCs w:val="24"/>
          <w:lang w:eastAsia="zh-CN"/>
        </w:rPr>
        <w:t>。表土来源于施工前期剥离的表土。</w:t>
      </w:r>
    </w:p>
    <w:p>
      <w:pPr>
        <w:widowControl w:val="0"/>
        <w:kinsoku/>
        <w:topLinePunct/>
        <w:autoSpaceDE/>
        <w:autoSpaceDN/>
        <w:spacing w:line="360" w:lineRule="auto"/>
        <w:ind w:firstLine="480"/>
        <w:rPr>
          <w:rFonts w:cs="Times New Roman"/>
          <w:color w:val="auto"/>
          <w:szCs w:val="24"/>
          <w:lang w:eastAsia="zh-CN"/>
        </w:rPr>
      </w:pPr>
      <w:r>
        <w:rPr>
          <w:rFonts w:hint="eastAsia" w:cs="Times New Roman"/>
          <w:color w:val="auto"/>
          <w:szCs w:val="24"/>
          <w:lang w:eastAsia="zh-CN"/>
        </w:rPr>
        <w:t>3</w:t>
      </w:r>
      <w:r>
        <w:rPr>
          <w:rFonts w:cs="Times New Roman"/>
          <w:color w:val="auto"/>
          <w:szCs w:val="24"/>
          <w:lang w:eastAsia="zh-CN"/>
        </w:rPr>
        <w:t>）临时措施</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①</w:t>
      </w:r>
      <w:r>
        <w:rPr>
          <w:rFonts w:cs="Times New Roman"/>
          <w:color w:val="auto"/>
          <w:szCs w:val="24"/>
          <w:lang w:eastAsia="zh-CN"/>
        </w:rPr>
        <w:t>土袋拦挡（方案新增）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由于本工程区剥离的表土临时堆存在临时施工区，但主体设计中未设计对表土堆场进行防护，因此本方案补充土袋临时拦挡，采用双层双排土袋0.8m×0.4m，长度</w:t>
      </w:r>
      <w:r>
        <w:rPr>
          <w:rFonts w:hint="eastAsia" w:cs="Times New Roman"/>
          <w:color w:val="auto"/>
          <w:szCs w:val="24"/>
          <w:lang w:eastAsia="zh-CN"/>
        </w:rPr>
        <w:t>40</w:t>
      </w:r>
      <w:r>
        <w:rPr>
          <w:rFonts w:cs="Times New Roman"/>
          <w:color w:val="auto"/>
          <w:szCs w:val="24"/>
          <w:lang w:eastAsia="zh-CN"/>
        </w:rPr>
        <w:t>m</w:t>
      </w:r>
      <w:r>
        <w:rPr>
          <w:rFonts w:hint="eastAsia" w:cs="Times New Roman"/>
          <w:color w:val="auto"/>
          <w:szCs w:val="24"/>
          <w:lang w:eastAsia="zh-CN"/>
        </w:rPr>
        <w:t>（12.8m</w:t>
      </w:r>
      <w:r>
        <w:rPr>
          <w:rFonts w:hint="eastAsia" w:cs="Times New Roman"/>
          <w:color w:val="auto"/>
          <w:szCs w:val="24"/>
          <w:vertAlign w:val="superscript"/>
          <w:lang w:eastAsia="zh-CN"/>
        </w:rPr>
        <w:t>3</w:t>
      </w:r>
      <w:r>
        <w:rPr>
          <w:rFonts w:hint="eastAsia" w:cs="Times New Roman"/>
          <w:color w:val="auto"/>
          <w:szCs w:val="24"/>
          <w:lang w:eastAsia="zh-CN"/>
        </w:rPr>
        <w:t>），表土堆场使用完毕后，应对土袋挡墙进行拆除，后期拆除土袋挡墙40m</w:t>
      </w:r>
      <w:r>
        <w:rPr>
          <w:rFonts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②</w:t>
      </w:r>
      <w:r>
        <w:rPr>
          <w:rFonts w:cs="Times New Roman"/>
          <w:color w:val="auto"/>
          <w:szCs w:val="24"/>
          <w:lang w:eastAsia="zh-CN"/>
        </w:rPr>
        <w:t>防雨布遮盖（方案新增）</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主体工程设计未考虑对场地内的表土临时堆场</w:t>
      </w:r>
      <w:r>
        <w:rPr>
          <w:rFonts w:hint="eastAsia" w:cs="Times New Roman"/>
          <w:color w:val="auto"/>
          <w:szCs w:val="24"/>
          <w:lang w:eastAsia="zh-CN"/>
        </w:rPr>
        <w:t>与挖后裸露区域</w:t>
      </w:r>
      <w:r>
        <w:rPr>
          <w:rFonts w:cs="Times New Roman"/>
          <w:color w:val="auto"/>
          <w:szCs w:val="24"/>
          <w:lang w:eastAsia="zh-CN"/>
        </w:rPr>
        <w:t>进行临时覆盖，本方案对该区增加施工过程中的临时遮盖，遮盖方式为防雨布遮盖，共计300m</w:t>
      </w:r>
      <w:r>
        <w:rPr>
          <w:rFonts w:cs="Times New Roman"/>
          <w:color w:val="auto"/>
          <w:szCs w:val="24"/>
          <w:vertAlign w:val="superscript"/>
          <w:lang w:eastAsia="zh-CN"/>
        </w:rPr>
        <w:t>2</w:t>
      </w:r>
      <w:r>
        <w:rPr>
          <w:rFonts w:cs="Times New Roman"/>
          <w:color w:val="auto"/>
          <w:szCs w:val="24"/>
          <w:lang w:eastAsia="zh-CN"/>
        </w:rPr>
        <w:t>。</w:t>
      </w:r>
    </w:p>
    <w:bookmarkEnd w:id="64"/>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5.3.3 防治措施工程量汇总</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本项目水土流失防治措施数量汇总见表5.3-1。</w:t>
      </w:r>
    </w:p>
    <w:p>
      <w:pPr>
        <w:widowControl w:val="0"/>
        <w:kinsoku/>
        <w:topLinePunct/>
        <w:autoSpaceDE/>
        <w:autoSpaceDN/>
        <w:spacing w:line="300" w:lineRule="auto"/>
        <w:ind w:firstLine="474"/>
        <w:jc w:val="center"/>
        <w:rPr>
          <w:rFonts w:cs="Times New Roman"/>
          <w:b/>
          <w:bCs/>
          <w:color w:val="auto"/>
          <w:spacing w:val="-2"/>
          <w:lang w:eastAsia="zh-CN"/>
        </w:rPr>
      </w:pPr>
    </w:p>
    <w:p>
      <w:pPr>
        <w:widowControl w:val="0"/>
        <w:kinsoku/>
        <w:topLinePunct/>
        <w:autoSpaceDE/>
        <w:autoSpaceDN/>
        <w:spacing w:line="300" w:lineRule="auto"/>
        <w:ind w:firstLine="474"/>
        <w:jc w:val="center"/>
        <w:rPr>
          <w:rFonts w:cs="Times New Roman"/>
          <w:b/>
          <w:bCs/>
          <w:color w:val="auto"/>
          <w:spacing w:val="-2"/>
          <w:lang w:eastAsia="zh-CN"/>
        </w:rPr>
      </w:pPr>
    </w:p>
    <w:p>
      <w:pPr>
        <w:widowControl w:val="0"/>
        <w:kinsoku/>
        <w:topLinePunct/>
        <w:autoSpaceDE/>
        <w:autoSpaceDN/>
        <w:spacing w:line="300" w:lineRule="auto"/>
        <w:ind w:firstLine="474"/>
        <w:jc w:val="center"/>
        <w:rPr>
          <w:rFonts w:cs="Times New Roman"/>
          <w:b/>
          <w:bCs/>
          <w:color w:val="auto"/>
          <w:spacing w:val="-2"/>
          <w:lang w:eastAsia="zh-CN"/>
        </w:rPr>
      </w:pPr>
      <w:r>
        <w:rPr>
          <w:rFonts w:cs="Times New Roman"/>
          <w:b/>
          <w:bCs/>
          <w:color w:val="auto"/>
          <w:spacing w:val="-2"/>
          <w:lang w:eastAsia="zh-CN"/>
        </w:rPr>
        <w:t>表</w:t>
      </w:r>
      <w:r>
        <w:rPr>
          <w:rFonts w:cs="Times New Roman"/>
          <w:b/>
          <w:bCs/>
          <w:color w:val="auto"/>
          <w:spacing w:val="-35"/>
          <w:lang w:eastAsia="zh-CN"/>
        </w:rPr>
        <w:t xml:space="preserve"> </w:t>
      </w:r>
      <w:r>
        <w:rPr>
          <w:rFonts w:cs="Times New Roman"/>
          <w:b/>
          <w:bCs/>
          <w:color w:val="auto"/>
          <w:spacing w:val="-2"/>
          <w:lang w:eastAsia="zh-CN"/>
        </w:rPr>
        <w:t>5.3-1  水土流失防治措施数量汇总表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1180"/>
        <w:gridCol w:w="1180"/>
        <w:gridCol w:w="1180"/>
        <w:gridCol w:w="1225"/>
        <w:gridCol w:w="657"/>
        <w:gridCol w:w="940"/>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10" w:type="pct"/>
            <w:gridSpan w:val="3"/>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防治分区</w:t>
            </w:r>
          </w:p>
        </w:tc>
        <w:tc>
          <w:tcPr>
            <w:tcW w:w="692"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措施类型</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措施内容</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单位</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工程量</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变电站</w:t>
            </w:r>
          </w:p>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工程区</w:t>
            </w: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w:t>
            </w:r>
            <w:r>
              <w:rPr>
                <w:rFonts w:eastAsia="仿宋" w:cs="Times New Roman"/>
                <w:snapToGrid/>
                <w:color w:val="auto"/>
                <w:sz w:val="20"/>
                <w:szCs w:val="20"/>
                <w:lang w:eastAsia="zh-CN"/>
              </w:rPr>
              <w:t>500kV</w:t>
            </w:r>
            <w:r>
              <w:rPr>
                <w:rFonts w:hint="eastAsia" w:ascii="仿宋" w:hAnsi="仿宋" w:eastAsia="仿宋" w:cs="宋体"/>
                <w:snapToGrid/>
                <w:color w:val="auto"/>
                <w:sz w:val="20"/>
                <w:szCs w:val="20"/>
                <w:lang w:eastAsia="zh-CN"/>
              </w:rPr>
              <w:t>变电站</w:t>
            </w:r>
            <w:r>
              <w:rPr>
                <w:rFonts w:eastAsia="仿宋" w:cs="Times New Roman"/>
                <w:snapToGrid/>
                <w:color w:val="auto"/>
                <w:sz w:val="20"/>
                <w:szCs w:val="20"/>
                <w:lang w:eastAsia="zh-CN"/>
              </w:rPr>
              <w:t>220kV</w:t>
            </w:r>
            <w:r>
              <w:rPr>
                <w:rFonts w:hint="eastAsia" w:ascii="仿宋" w:hAnsi="仿宋" w:eastAsia="仿宋" w:cs="宋体"/>
                <w:snapToGrid/>
                <w:color w:val="auto"/>
                <w:sz w:val="20"/>
                <w:szCs w:val="20"/>
                <w:lang w:eastAsia="zh-CN"/>
              </w:rPr>
              <w:t>间隔扩建工程区</w:t>
            </w: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玛瑙变电站站区</w:t>
            </w: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表土剥离</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5</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25</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表土回覆</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5</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植被措施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绿化草坪恢复</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25</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临时措施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土袋拦挡</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临时遮盖</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40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w:t>
            </w:r>
            <w:r>
              <w:rPr>
                <w:rFonts w:eastAsia="仿宋" w:cs="Times New Roman"/>
                <w:snapToGrid/>
                <w:color w:val="auto"/>
                <w:sz w:val="20"/>
                <w:szCs w:val="20"/>
                <w:lang w:eastAsia="zh-CN"/>
              </w:rPr>
              <w:t>220kV</w:t>
            </w:r>
            <w:r>
              <w:rPr>
                <w:rFonts w:hint="eastAsia" w:ascii="仿宋" w:hAnsi="仿宋" w:eastAsia="仿宋" w:cs="宋体"/>
                <w:snapToGrid/>
                <w:color w:val="auto"/>
                <w:sz w:val="20"/>
                <w:szCs w:val="20"/>
                <w:lang w:eastAsia="zh-CN"/>
              </w:rPr>
              <w:t>变电站</w:t>
            </w:r>
            <w:r>
              <w:rPr>
                <w:rFonts w:eastAsia="仿宋" w:cs="Times New Roman"/>
                <w:snapToGrid/>
                <w:color w:val="auto"/>
                <w:sz w:val="20"/>
                <w:szCs w:val="20"/>
                <w:lang w:eastAsia="zh-CN"/>
              </w:rPr>
              <w:t>220kV</w:t>
            </w:r>
            <w:r>
              <w:rPr>
                <w:rFonts w:hint="eastAsia" w:ascii="仿宋" w:hAnsi="仿宋" w:eastAsia="仿宋" w:cs="宋体"/>
                <w:snapToGrid/>
                <w:color w:val="auto"/>
                <w:sz w:val="20"/>
                <w:szCs w:val="20"/>
                <w:lang w:eastAsia="zh-CN"/>
              </w:rPr>
              <w:t>间隔扩建工程区</w:t>
            </w: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芭蕉变电站站区</w:t>
            </w: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排水管道</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90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雨水检查井</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ascii="Yu Gothic" w:hAnsi="Yu Gothic" w:eastAsia="Yu Gothic" w:cs="宋体"/>
                <w:snapToGrid/>
                <w:color w:val="auto"/>
                <w:sz w:val="20"/>
                <w:szCs w:val="20"/>
                <w:lang w:eastAsia="zh-CN"/>
              </w:rPr>
            </w:pPr>
            <w:r>
              <w:rPr>
                <w:rFonts w:hint="eastAsia" w:ascii="Yu Gothic" w:hAnsi="Yu Gothic" w:eastAsia="Yu Gothic" w:cs="宋体"/>
                <w:snapToGrid/>
                <w:color w:val="auto"/>
                <w:sz w:val="20"/>
                <w:szCs w:val="20"/>
                <w:lang w:eastAsia="zh-CN"/>
              </w:rPr>
              <w:t>座</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雨水口</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座</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表土剥离</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23</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115</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表土回覆</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23</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植被措施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播撒草籽</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115</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临时措施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土袋拦挡</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临时遮盖</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220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restart"/>
            <w:shd w:val="clear" w:color="auto" w:fill="auto"/>
            <w:noWrap/>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线路</w:t>
            </w:r>
          </w:p>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工程区</w:t>
            </w: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w:t>
            </w:r>
            <w:r>
              <w:rPr>
                <w:rFonts w:eastAsia="仿宋" w:cs="Times New Roman"/>
                <w:snapToGrid/>
                <w:color w:val="auto"/>
                <w:sz w:val="20"/>
                <w:szCs w:val="20"/>
                <w:lang w:eastAsia="zh-CN"/>
              </w:rPr>
              <w:t>-</w:t>
            </w:r>
            <w:r>
              <w:rPr>
                <w:rFonts w:hint="eastAsia" w:ascii="仿宋" w:hAnsi="仿宋" w:eastAsia="仿宋" w:cs="宋体"/>
                <w:snapToGrid/>
                <w:color w:val="auto"/>
                <w:sz w:val="20"/>
                <w:szCs w:val="20"/>
                <w:lang w:eastAsia="zh-CN"/>
              </w:rPr>
              <w:t>正达凯</w:t>
            </w:r>
            <w:r>
              <w:rPr>
                <w:rFonts w:eastAsia="仿宋" w:cs="Times New Roman"/>
                <w:snapToGrid/>
                <w:color w:val="auto"/>
                <w:sz w:val="20"/>
                <w:szCs w:val="20"/>
                <w:lang w:eastAsia="zh-CN"/>
              </w:rPr>
              <w:t>220kV</w:t>
            </w:r>
            <w:r>
              <w:rPr>
                <w:rFonts w:hint="eastAsia" w:ascii="仿宋" w:hAnsi="仿宋" w:eastAsia="仿宋" w:cs="宋体"/>
                <w:snapToGrid/>
                <w:color w:val="auto"/>
                <w:sz w:val="20"/>
                <w:szCs w:val="20"/>
                <w:lang w:eastAsia="zh-CN"/>
              </w:rPr>
              <w:t>线路工程区</w:t>
            </w: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玛瑙塔基及临时施工区</w:t>
            </w: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排洪沟</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65</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护坡墙</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70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表土剥离</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387</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6315</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表土回覆</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387</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植被措施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林区植被恢复</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6315</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临时措施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土袋拦挡</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150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防雨布遮盖</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1200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玛瑙施工便道区</w:t>
            </w: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表土剥离</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144</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3960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表土回覆</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144</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植物措施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种植桤木</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3960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临时措施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土袋拦挡</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80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防雨布遮盖</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280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玛瑙牵张场区</w:t>
            </w:r>
          </w:p>
        </w:tc>
        <w:tc>
          <w:tcPr>
            <w:tcW w:w="692"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1200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玛瑙跨越场区</w:t>
            </w:r>
          </w:p>
        </w:tc>
        <w:tc>
          <w:tcPr>
            <w:tcW w:w="692"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480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植物措施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播撒灌草</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240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w:t>
            </w:r>
            <w:r>
              <w:rPr>
                <w:rFonts w:eastAsia="仿宋" w:cs="Times New Roman"/>
                <w:snapToGrid/>
                <w:color w:val="auto"/>
                <w:sz w:val="20"/>
                <w:szCs w:val="20"/>
                <w:lang w:eastAsia="zh-CN"/>
              </w:rPr>
              <w:t>-</w:t>
            </w:r>
            <w:r>
              <w:rPr>
                <w:rFonts w:hint="eastAsia" w:ascii="仿宋" w:hAnsi="仿宋" w:eastAsia="仿宋" w:cs="宋体"/>
                <w:snapToGrid/>
                <w:color w:val="auto"/>
                <w:sz w:val="20"/>
                <w:szCs w:val="20"/>
                <w:lang w:eastAsia="zh-CN"/>
              </w:rPr>
              <w:t>正达凯</w:t>
            </w:r>
            <w:r>
              <w:rPr>
                <w:rFonts w:eastAsia="仿宋" w:cs="Times New Roman"/>
                <w:snapToGrid/>
                <w:color w:val="auto"/>
                <w:sz w:val="20"/>
                <w:szCs w:val="20"/>
                <w:lang w:eastAsia="zh-CN"/>
              </w:rPr>
              <w:t>220kV</w:t>
            </w:r>
            <w:r>
              <w:rPr>
                <w:rFonts w:hint="eastAsia" w:ascii="仿宋" w:hAnsi="仿宋" w:eastAsia="仿宋" w:cs="宋体"/>
                <w:snapToGrid/>
                <w:color w:val="auto"/>
                <w:sz w:val="20"/>
                <w:szCs w:val="20"/>
                <w:lang w:eastAsia="zh-CN"/>
              </w:rPr>
              <w:t>线路工程区</w:t>
            </w: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芭蕉塔基及临时施工区</w:t>
            </w: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排洪沟</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100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护坡墙</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130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表土剥离</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1025</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14240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表土回覆</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1025</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植被措施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林区植被恢复</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14240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主体已有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临时措施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土袋拦挡</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290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防雨布遮盖</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2500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芭蕉施工便道区</w:t>
            </w:r>
          </w:p>
        </w:tc>
        <w:tc>
          <w:tcPr>
            <w:tcW w:w="692"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7644</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植物措施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种植桤木</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7644</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芭蕉牵张场区</w:t>
            </w:r>
          </w:p>
        </w:tc>
        <w:tc>
          <w:tcPr>
            <w:tcW w:w="692"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2800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芭蕉跨越场区</w:t>
            </w:r>
          </w:p>
        </w:tc>
        <w:tc>
          <w:tcPr>
            <w:tcW w:w="692"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720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植物措施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播撒灌草</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720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芭蕉电缆工程区</w:t>
            </w: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工程措施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表土剥离</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72</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表土回覆</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72</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土地平整</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240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restar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临时措施</w:t>
            </w: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土袋拦挡</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40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6"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692" w:type="pct"/>
            <w:vMerge w:val="continue"/>
            <w:vAlign w:val="center"/>
          </w:tcPr>
          <w:p>
            <w:pPr>
              <w:kinsoku/>
              <w:autoSpaceDE/>
              <w:autoSpaceDN/>
              <w:adjustRightInd/>
              <w:snapToGrid/>
              <w:spacing w:line="240" w:lineRule="auto"/>
              <w:ind w:firstLine="0" w:firstLineChars="0"/>
              <w:textAlignment w:val="auto"/>
              <w:rPr>
                <w:rFonts w:ascii="仿宋" w:hAnsi="仿宋" w:eastAsia="仿宋" w:cs="宋体"/>
                <w:snapToGrid/>
                <w:color w:val="auto"/>
                <w:sz w:val="20"/>
                <w:szCs w:val="20"/>
                <w:lang w:eastAsia="zh-CN"/>
              </w:rPr>
            </w:pPr>
          </w:p>
        </w:tc>
        <w:tc>
          <w:tcPr>
            <w:tcW w:w="718"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防雨布遮盖</w:t>
            </w:r>
          </w:p>
        </w:tc>
        <w:tc>
          <w:tcPr>
            <w:tcW w:w="385"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51" w:type="pct"/>
            <w:shd w:val="clear" w:color="auto" w:fill="auto"/>
            <w:vAlign w:val="center"/>
          </w:tcPr>
          <w:p>
            <w:pPr>
              <w:kinsoku/>
              <w:autoSpaceDE/>
              <w:autoSpaceDN/>
              <w:adjustRightInd/>
              <w:snapToGrid/>
              <w:spacing w:line="240" w:lineRule="auto"/>
              <w:ind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300</w:t>
            </w:r>
          </w:p>
        </w:tc>
        <w:tc>
          <w:tcPr>
            <w:tcW w:w="744" w:type="pct"/>
            <w:shd w:val="clear" w:color="auto" w:fill="auto"/>
            <w:vAlign w:val="center"/>
          </w:tcPr>
          <w:p>
            <w:pPr>
              <w:kinsoku/>
              <w:autoSpaceDE/>
              <w:autoSpaceDN/>
              <w:adjustRightInd/>
              <w:snapToGrid/>
              <w:spacing w:line="240" w:lineRule="auto"/>
              <w:ind w:firstLine="0" w:firstLineChars="0"/>
              <w:jc w:val="center"/>
              <w:textAlignment w:val="auto"/>
              <w:rPr>
                <w:rFonts w:ascii="仿宋" w:hAnsi="仿宋" w:eastAsia="仿宋" w:cs="宋体"/>
                <w:snapToGrid/>
                <w:color w:val="auto"/>
                <w:sz w:val="20"/>
                <w:szCs w:val="20"/>
                <w:lang w:eastAsia="zh-CN"/>
              </w:rPr>
            </w:pPr>
            <w:r>
              <w:rPr>
                <w:rFonts w:hint="eastAsia" w:ascii="仿宋" w:hAnsi="仿宋" w:eastAsia="仿宋" w:cs="宋体"/>
                <w:snapToGrid/>
                <w:color w:val="auto"/>
                <w:sz w:val="20"/>
                <w:szCs w:val="20"/>
                <w:lang w:eastAsia="zh-CN"/>
              </w:rPr>
              <w:t>方案新增</w:t>
            </w:r>
          </w:p>
        </w:tc>
      </w:tr>
    </w:tbl>
    <w:p>
      <w:pPr>
        <w:widowControl w:val="0"/>
        <w:kinsoku/>
        <w:topLinePunct/>
        <w:autoSpaceDE/>
        <w:autoSpaceDN/>
        <w:spacing w:line="300" w:lineRule="auto"/>
        <w:ind w:firstLine="474"/>
        <w:jc w:val="center"/>
        <w:rPr>
          <w:rFonts w:cs="Times New Roman"/>
          <w:b/>
          <w:bCs/>
          <w:color w:val="auto"/>
          <w:spacing w:val="-2"/>
          <w:lang w:eastAsia="zh-CN"/>
        </w:rPr>
      </w:pPr>
    </w:p>
    <w:p>
      <w:pPr>
        <w:pStyle w:val="3"/>
        <w:widowControl w:val="0"/>
        <w:kinsoku/>
        <w:topLinePunct/>
        <w:autoSpaceDE/>
        <w:autoSpaceDN/>
        <w:spacing w:before="240" w:after="120" w:line="300" w:lineRule="auto"/>
        <w:ind w:firstLine="0" w:firstLineChars="0"/>
        <w:rPr>
          <w:rFonts w:ascii="Times New Roman" w:hAnsi="Times New Roman" w:eastAsia="仿宋_GB2312" w:cs="Times New Roman"/>
          <w:color w:val="auto"/>
          <w:sz w:val="30"/>
          <w:szCs w:val="30"/>
          <w:lang w:eastAsia="zh-CN"/>
        </w:rPr>
      </w:pPr>
      <w:bookmarkStart w:id="65" w:name="_Toc171533301"/>
      <w:r>
        <w:rPr>
          <w:rFonts w:ascii="Times New Roman" w:hAnsi="Times New Roman" w:eastAsia="仿宋_GB2312" w:cs="Times New Roman"/>
          <w:color w:val="auto"/>
          <w:sz w:val="30"/>
          <w:szCs w:val="30"/>
          <w:lang w:eastAsia="zh-CN"/>
        </w:rPr>
        <w:t>5.4 施工要求</w:t>
      </w:r>
      <w:bookmarkEnd w:id="65"/>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水土保持工程是主体工程的一部分，应与主体工程“同时设计、同时施工、同时投产使用”，水土保持工程可纳入主体工程一并实施。与主体工程相互配合、协调，在不影响主体施工进度的前提下，尽可能利用主体工程已有的水、电、交通等施工条件，减少施工辅助设施工程量。</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按照“三同时”的原则，水土保持实施进度要与主体工程建设进度相适应，及时防治新增水土流失。施工安排坚持“保护优先”的原则，及时布设临时措施和植物措施。</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加强施工组织管理与临时防护措施，严格控制施工用地，严禁随意扩大占压、扰动面积和损坏地貌、植被，开挖土石方必须及时清运，禁止随意堆放，严格控制施工过程中可能造成的水土流失。</w:t>
      </w:r>
    </w:p>
    <w:p>
      <w:pPr>
        <w:pStyle w:val="91"/>
        <w:spacing w:line="300" w:lineRule="auto"/>
        <w:ind w:firstLine="480"/>
        <w:sectPr>
          <w:pgSz w:w="11906" w:h="16838"/>
          <w:pgMar w:top="1440" w:right="1797" w:bottom="1440" w:left="1797" w:header="851" w:footer="992" w:gutter="0"/>
          <w:cols w:space="425" w:num="1"/>
          <w:docGrid w:linePitch="312" w:charSpace="0"/>
        </w:sectPr>
      </w:pPr>
      <w:r>
        <w:t>水土流失防治措施施工进度详见表</w:t>
      </w:r>
      <w:r>
        <w:rPr>
          <w:rFonts w:hint="eastAsia"/>
        </w:rPr>
        <w:t>5.4</w:t>
      </w:r>
      <w:r>
        <w:t>-</w:t>
      </w:r>
      <w:r>
        <w:rPr>
          <w:rFonts w:hint="eastAsia"/>
        </w:rPr>
        <w:t>1</w:t>
      </w:r>
      <w:r>
        <w:t>。</w:t>
      </w:r>
    </w:p>
    <w:p>
      <w:pPr>
        <w:widowControl w:val="0"/>
        <w:kinsoku/>
        <w:topLinePunct/>
        <w:autoSpaceDE/>
        <w:autoSpaceDN/>
        <w:spacing w:line="300" w:lineRule="auto"/>
        <w:ind w:firstLine="474"/>
        <w:jc w:val="center"/>
        <w:rPr>
          <w:rFonts w:cs="Times New Roman"/>
          <w:b/>
          <w:bCs/>
          <w:color w:val="auto"/>
          <w:spacing w:val="-2"/>
          <w:lang w:eastAsia="zh-CN"/>
        </w:rPr>
      </w:pPr>
      <w:r>
        <w:rPr>
          <w:rFonts w:cs="Times New Roman"/>
          <w:b/>
          <w:bCs/>
          <w:color w:val="auto"/>
          <w:spacing w:val="-2"/>
          <w:lang w:eastAsia="zh-CN"/>
        </w:rPr>
        <w:t>表</w:t>
      </w:r>
      <w:r>
        <w:rPr>
          <w:rFonts w:cs="Times New Roman"/>
          <w:b/>
          <w:bCs/>
          <w:color w:val="auto"/>
          <w:spacing w:val="-35"/>
          <w:lang w:eastAsia="zh-CN"/>
        </w:rPr>
        <w:t xml:space="preserve"> </w:t>
      </w:r>
      <w:r>
        <w:rPr>
          <w:rFonts w:cs="Times New Roman"/>
          <w:b/>
          <w:bCs/>
          <w:color w:val="auto"/>
          <w:spacing w:val="-2"/>
          <w:lang w:eastAsia="zh-CN"/>
        </w:rPr>
        <w:t>5.</w:t>
      </w:r>
      <w:r>
        <w:rPr>
          <w:rFonts w:hint="eastAsia" w:cs="Times New Roman"/>
          <w:b/>
          <w:bCs/>
          <w:color w:val="auto"/>
          <w:spacing w:val="-2"/>
          <w:lang w:eastAsia="zh-CN"/>
        </w:rPr>
        <w:t xml:space="preserve"> 4</w:t>
      </w:r>
      <w:r>
        <w:rPr>
          <w:rFonts w:cs="Times New Roman"/>
          <w:b/>
          <w:bCs/>
          <w:color w:val="auto"/>
          <w:spacing w:val="-2"/>
          <w:lang w:eastAsia="zh-CN"/>
        </w:rPr>
        <w:t>-1  水土流失防治措施施工进度表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120"/>
        <w:gridCol w:w="1420"/>
        <w:gridCol w:w="500"/>
        <w:gridCol w:w="500"/>
        <w:gridCol w:w="500"/>
        <w:gridCol w:w="500"/>
        <w:gridCol w:w="500"/>
        <w:gridCol w:w="500"/>
        <w:gridCol w:w="500"/>
        <w:gridCol w:w="500"/>
        <w:gridCol w:w="500"/>
        <w:gridCol w:w="500"/>
        <w:gridCol w:w="500"/>
        <w:gridCol w:w="500"/>
        <w:gridCol w:w="500"/>
        <w:gridCol w:w="500"/>
        <w:gridCol w:w="500"/>
        <w:gridCol w:w="500"/>
        <w:gridCol w:w="500"/>
        <w:gridCol w:w="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restart"/>
            <w:vAlign w:val="center"/>
          </w:tcPr>
          <w:p>
            <w:pPr>
              <w:pStyle w:val="93"/>
              <w:spacing w:line="300" w:lineRule="exact"/>
              <w:rPr>
                <w:rFonts w:eastAsia="仿宋_GB2312" w:cs="Times New Roman"/>
                <w:b/>
                <w:bCs/>
              </w:rPr>
            </w:pPr>
            <w:r>
              <w:rPr>
                <w:rFonts w:eastAsia="仿宋_GB2312" w:cs="Times New Roman"/>
                <w:b/>
                <w:bCs/>
              </w:rPr>
              <w:t>防治分区</w:t>
            </w:r>
          </w:p>
        </w:tc>
        <w:tc>
          <w:tcPr>
            <w:tcW w:w="1120" w:type="dxa"/>
            <w:vMerge w:val="restart"/>
            <w:vAlign w:val="center"/>
          </w:tcPr>
          <w:p>
            <w:pPr>
              <w:pStyle w:val="93"/>
              <w:spacing w:line="300" w:lineRule="exact"/>
              <w:rPr>
                <w:rFonts w:eastAsia="仿宋_GB2312" w:cs="Times New Roman"/>
                <w:b/>
                <w:bCs/>
              </w:rPr>
            </w:pPr>
            <w:r>
              <w:rPr>
                <w:rFonts w:eastAsia="仿宋_GB2312" w:cs="Times New Roman"/>
                <w:b/>
                <w:bCs/>
              </w:rPr>
              <w:t>措施类型</w:t>
            </w:r>
          </w:p>
        </w:tc>
        <w:tc>
          <w:tcPr>
            <w:tcW w:w="1420" w:type="dxa"/>
            <w:vMerge w:val="restart"/>
            <w:vAlign w:val="center"/>
          </w:tcPr>
          <w:p>
            <w:pPr>
              <w:pStyle w:val="93"/>
              <w:spacing w:line="300" w:lineRule="exact"/>
              <w:rPr>
                <w:rFonts w:eastAsia="仿宋_GB2312" w:cs="Times New Roman"/>
                <w:b/>
                <w:bCs/>
              </w:rPr>
            </w:pPr>
            <w:r>
              <w:rPr>
                <w:rFonts w:eastAsia="仿宋_GB2312" w:cs="Times New Roman"/>
                <w:b/>
                <w:bCs/>
              </w:rPr>
              <w:t>措施名称</w:t>
            </w:r>
          </w:p>
        </w:tc>
        <w:tc>
          <w:tcPr>
            <w:tcW w:w="9000" w:type="dxa"/>
            <w:gridSpan w:val="18"/>
            <w:vAlign w:val="center"/>
          </w:tcPr>
          <w:p>
            <w:pPr>
              <w:pStyle w:val="93"/>
              <w:spacing w:line="300" w:lineRule="exact"/>
              <w:rPr>
                <w:rFonts w:eastAsia="仿宋_GB2312" w:cs="Times New Roman"/>
                <w:b/>
                <w:bCs/>
              </w:rPr>
            </w:pPr>
            <w:r>
              <w:rPr>
                <w:rFonts w:eastAsia="仿宋_GB2312" w:cs="Times New Roman"/>
                <w:b/>
                <w:bCs/>
              </w:rPr>
              <w:t>2024年~2025年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b/>
                <w:bCs/>
              </w:rPr>
            </w:pPr>
          </w:p>
        </w:tc>
        <w:tc>
          <w:tcPr>
            <w:tcW w:w="1120" w:type="dxa"/>
            <w:vMerge w:val="continue"/>
            <w:vAlign w:val="center"/>
          </w:tcPr>
          <w:p>
            <w:pPr>
              <w:pStyle w:val="93"/>
              <w:spacing w:line="300" w:lineRule="exact"/>
              <w:rPr>
                <w:rFonts w:eastAsia="仿宋_GB2312" w:cs="Times New Roman"/>
                <w:b/>
                <w:bCs/>
              </w:rPr>
            </w:pPr>
          </w:p>
        </w:tc>
        <w:tc>
          <w:tcPr>
            <w:tcW w:w="1420" w:type="dxa"/>
            <w:vMerge w:val="continue"/>
            <w:vAlign w:val="center"/>
          </w:tcPr>
          <w:p>
            <w:pPr>
              <w:pStyle w:val="93"/>
              <w:spacing w:line="300" w:lineRule="exact"/>
              <w:rPr>
                <w:rFonts w:eastAsia="仿宋_GB2312" w:cs="Times New Roman"/>
                <w:b/>
                <w:bCs/>
              </w:rPr>
            </w:pPr>
          </w:p>
        </w:tc>
        <w:tc>
          <w:tcPr>
            <w:tcW w:w="1000" w:type="dxa"/>
            <w:gridSpan w:val="2"/>
            <w:vAlign w:val="center"/>
          </w:tcPr>
          <w:p>
            <w:pPr>
              <w:pStyle w:val="93"/>
              <w:spacing w:line="300" w:lineRule="exact"/>
              <w:rPr>
                <w:rFonts w:eastAsia="仿宋_GB2312" w:cs="Times New Roman"/>
                <w:b/>
                <w:bCs/>
              </w:rPr>
            </w:pPr>
            <w:r>
              <w:rPr>
                <w:rFonts w:eastAsia="仿宋_GB2312" w:cs="Times New Roman"/>
                <w:b/>
                <w:bCs/>
              </w:rPr>
              <w:t>8</w:t>
            </w:r>
          </w:p>
        </w:tc>
        <w:tc>
          <w:tcPr>
            <w:tcW w:w="1000" w:type="dxa"/>
            <w:gridSpan w:val="2"/>
            <w:vAlign w:val="center"/>
          </w:tcPr>
          <w:p>
            <w:pPr>
              <w:pStyle w:val="93"/>
              <w:spacing w:line="300" w:lineRule="exact"/>
              <w:rPr>
                <w:rFonts w:eastAsia="仿宋_GB2312" w:cs="Times New Roman"/>
                <w:b/>
                <w:bCs/>
              </w:rPr>
            </w:pPr>
            <w:r>
              <w:rPr>
                <w:rFonts w:eastAsia="仿宋_GB2312" w:cs="Times New Roman"/>
                <w:b/>
                <w:bCs/>
              </w:rPr>
              <w:t>9</w:t>
            </w:r>
          </w:p>
        </w:tc>
        <w:tc>
          <w:tcPr>
            <w:tcW w:w="1000" w:type="dxa"/>
            <w:gridSpan w:val="2"/>
            <w:vAlign w:val="center"/>
          </w:tcPr>
          <w:p>
            <w:pPr>
              <w:pStyle w:val="93"/>
              <w:spacing w:line="300" w:lineRule="exact"/>
              <w:rPr>
                <w:rFonts w:eastAsia="仿宋_GB2312" w:cs="Times New Roman"/>
                <w:b/>
                <w:bCs/>
              </w:rPr>
            </w:pPr>
            <w:r>
              <w:rPr>
                <w:rFonts w:eastAsia="仿宋_GB2312" w:cs="Times New Roman"/>
                <w:b/>
                <w:bCs/>
              </w:rPr>
              <w:t>10</w:t>
            </w:r>
          </w:p>
        </w:tc>
        <w:tc>
          <w:tcPr>
            <w:tcW w:w="1000" w:type="dxa"/>
            <w:gridSpan w:val="2"/>
            <w:vAlign w:val="center"/>
          </w:tcPr>
          <w:p>
            <w:pPr>
              <w:pStyle w:val="93"/>
              <w:spacing w:line="300" w:lineRule="exact"/>
              <w:rPr>
                <w:rFonts w:eastAsia="仿宋_GB2312" w:cs="Times New Roman"/>
                <w:b/>
                <w:bCs/>
              </w:rPr>
            </w:pPr>
            <w:r>
              <w:rPr>
                <w:rFonts w:eastAsia="仿宋_GB2312" w:cs="Times New Roman"/>
                <w:b/>
                <w:bCs/>
              </w:rPr>
              <w:t>11</w:t>
            </w:r>
          </w:p>
        </w:tc>
        <w:tc>
          <w:tcPr>
            <w:tcW w:w="1000" w:type="dxa"/>
            <w:gridSpan w:val="2"/>
            <w:vAlign w:val="center"/>
          </w:tcPr>
          <w:p>
            <w:pPr>
              <w:pStyle w:val="93"/>
              <w:spacing w:line="300" w:lineRule="exact"/>
              <w:rPr>
                <w:rFonts w:eastAsia="仿宋_GB2312" w:cs="Times New Roman"/>
                <w:b/>
                <w:bCs/>
              </w:rPr>
            </w:pPr>
            <w:r>
              <w:rPr>
                <w:rFonts w:eastAsia="仿宋_GB2312" w:cs="Times New Roman"/>
                <w:b/>
                <w:bCs/>
              </w:rPr>
              <w:t>12</w:t>
            </w:r>
          </w:p>
        </w:tc>
        <w:tc>
          <w:tcPr>
            <w:tcW w:w="1000" w:type="dxa"/>
            <w:gridSpan w:val="2"/>
            <w:vAlign w:val="center"/>
          </w:tcPr>
          <w:p>
            <w:pPr>
              <w:pStyle w:val="93"/>
              <w:spacing w:line="300" w:lineRule="exact"/>
              <w:rPr>
                <w:rFonts w:eastAsia="仿宋_GB2312" w:cs="Times New Roman"/>
                <w:b/>
                <w:bCs/>
              </w:rPr>
            </w:pPr>
            <w:r>
              <w:rPr>
                <w:rFonts w:eastAsia="仿宋_GB2312" w:cs="Times New Roman"/>
                <w:b/>
                <w:bCs/>
              </w:rPr>
              <w:t>1</w:t>
            </w:r>
          </w:p>
        </w:tc>
        <w:tc>
          <w:tcPr>
            <w:tcW w:w="1000" w:type="dxa"/>
            <w:gridSpan w:val="2"/>
            <w:vAlign w:val="center"/>
          </w:tcPr>
          <w:p>
            <w:pPr>
              <w:pStyle w:val="93"/>
              <w:spacing w:line="300" w:lineRule="exact"/>
              <w:rPr>
                <w:rFonts w:eastAsia="仿宋_GB2312" w:cs="Times New Roman"/>
                <w:b/>
                <w:bCs/>
              </w:rPr>
            </w:pPr>
            <w:r>
              <w:rPr>
                <w:rFonts w:eastAsia="仿宋_GB2312" w:cs="Times New Roman"/>
                <w:b/>
                <w:bCs/>
              </w:rPr>
              <w:t>2</w:t>
            </w:r>
          </w:p>
        </w:tc>
        <w:tc>
          <w:tcPr>
            <w:tcW w:w="1000" w:type="dxa"/>
            <w:gridSpan w:val="2"/>
            <w:vAlign w:val="center"/>
          </w:tcPr>
          <w:p>
            <w:pPr>
              <w:pStyle w:val="93"/>
              <w:spacing w:line="300" w:lineRule="exact"/>
              <w:rPr>
                <w:rFonts w:eastAsia="仿宋_GB2312" w:cs="Times New Roman"/>
                <w:b/>
                <w:bCs/>
              </w:rPr>
            </w:pPr>
            <w:r>
              <w:rPr>
                <w:rFonts w:eastAsia="仿宋_GB2312" w:cs="Times New Roman"/>
                <w:b/>
                <w:bCs/>
              </w:rPr>
              <w:t>3</w:t>
            </w:r>
          </w:p>
        </w:tc>
        <w:tc>
          <w:tcPr>
            <w:tcW w:w="1000" w:type="dxa"/>
            <w:gridSpan w:val="2"/>
            <w:vAlign w:val="center"/>
          </w:tcPr>
          <w:p>
            <w:pPr>
              <w:pStyle w:val="93"/>
              <w:spacing w:line="300" w:lineRule="exact"/>
              <w:rPr>
                <w:rFonts w:eastAsia="仿宋_GB2312" w:cs="Times New Roman"/>
                <w:b/>
                <w:bCs/>
              </w:rPr>
            </w:pPr>
            <w:r>
              <w:rPr>
                <w:rFonts w:eastAsia="仿宋_GB2312" w:cs="Times New Roman"/>
                <w:b/>
                <w:bC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0" w:type="dxa"/>
            <w:gridSpan w:val="3"/>
            <w:vAlign w:val="center"/>
          </w:tcPr>
          <w:p>
            <w:pPr>
              <w:pStyle w:val="93"/>
              <w:spacing w:line="300" w:lineRule="exact"/>
              <w:rPr>
                <w:rFonts w:eastAsia="仿宋_GB2312" w:cs="Times New Roman"/>
              </w:rPr>
            </w:pPr>
            <w:r>
              <w:rPr>
                <w:rFonts w:eastAsia="仿宋_GB2312" w:cs="Times New Roman"/>
              </w:rPr>
              <w:t>主体该处</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03296" behindDoc="0" locked="0" layoutInCell="1" allowOverlap="1">
                      <wp:simplePos x="0" y="0"/>
                      <wp:positionH relativeFrom="column">
                        <wp:posOffset>125095</wp:posOffset>
                      </wp:positionH>
                      <wp:positionV relativeFrom="paragraph">
                        <wp:posOffset>78105</wp:posOffset>
                      </wp:positionV>
                      <wp:extent cx="5282565" cy="0"/>
                      <wp:effectExtent l="0" t="19050" r="13335" b="0"/>
                      <wp:wrapNone/>
                      <wp:docPr id="392008658" name="直接连接符 123"/>
                      <wp:cNvGraphicFramePr/>
                      <a:graphic xmlns:a="http://schemas.openxmlformats.org/drawingml/2006/main">
                        <a:graphicData uri="http://schemas.microsoft.com/office/word/2010/wordprocessingShape">
                          <wps:wsp>
                            <wps:cNvCnPr>
                              <a:cxnSpLocks noChangeShapeType="true"/>
                            </wps:cNvCnPr>
                            <wps:spPr bwMode="auto">
                              <a:xfrm>
                                <a:off x="0" y="0"/>
                                <a:ext cx="5282565" cy="0"/>
                              </a:xfrm>
                              <a:prstGeom prst="line">
                                <a:avLst/>
                              </a:prstGeom>
                              <a:noFill/>
                              <a:ln w="28575">
                                <a:solidFill>
                                  <a:srgbClr val="FF0000"/>
                                </a:solidFill>
                                <a:prstDash val="dash"/>
                                <a:round/>
                              </a:ln>
                            </wps:spPr>
                            <wps:bodyPr/>
                          </wps:wsp>
                        </a:graphicData>
                      </a:graphic>
                    </wp:anchor>
                  </w:drawing>
                </mc:Choice>
                <mc:Fallback>
                  <w:pict>
                    <v:line id="直接连接符 123" o:spid="_x0000_s1026" o:spt="20" style="position:absolute;left:0pt;margin-left:9.85pt;margin-top:6.15pt;height:0pt;width:415.95pt;z-index:251703296;mso-width-relative:page;mso-height-relative:page;" filled="f" stroked="t" coordsize="21600,21600" o:gfxdata="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PlagnzXAAAACAEAAA8AAAAAAAAAAQAgAAAAOAAAAGRycy9kb3ducmV2LnhtbFBL&#10;AQIUABQAAAAIAIdO4kAEvbBZ4QEAAIIDAAAOAAAAAAAAAAEAIAAAADwBAABkcnMvZTJvRG9jLnht&#10;bFBLBQYAAAAABgAGAFkBAACPBQAAAAA=&#10;">
                      <v:fill on="f" focussize="0,0"/>
                      <v:stroke weight="2.25pt" color="#FF0000" joinstyle="round" dashstyle="dash"/>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restart"/>
            <w:vAlign w:val="center"/>
          </w:tcPr>
          <w:p>
            <w:pPr>
              <w:pStyle w:val="93"/>
              <w:spacing w:line="300" w:lineRule="exact"/>
              <w:rPr>
                <w:rFonts w:eastAsia="仿宋_GB2312" w:cs="Times New Roman"/>
              </w:rPr>
            </w:pPr>
            <w:r>
              <w:rPr>
                <w:rFonts w:eastAsia="仿宋_GB2312" w:cs="Times New Roman"/>
              </w:rPr>
              <w:t>玛瑙变电站站区</w:t>
            </w:r>
          </w:p>
        </w:tc>
        <w:tc>
          <w:tcPr>
            <w:tcW w:w="1120" w:type="dxa"/>
            <w:vMerge w:val="restart"/>
            <w:vAlign w:val="center"/>
          </w:tcPr>
          <w:p>
            <w:pPr>
              <w:pStyle w:val="93"/>
              <w:spacing w:line="300" w:lineRule="exact"/>
              <w:rPr>
                <w:rFonts w:eastAsia="仿宋_GB2312" w:cs="Times New Roman"/>
              </w:rPr>
            </w:pPr>
            <w:r>
              <w:rPr>
                <w:rFonts w:eastAsia="仿宋_GB2312" w:cs="Times New Roman"/>
              </w:rPr>
              <w:t>工程措施</w:t>
            </w:r>
          </w:p>
        </w:tc>
        <w:tc>
          <w:tcPr>
            <w:tcW w:w="1420" w:type="dxa"/>
            <w:vAlign w:val="center"/>
          </w:tcPr>
          <w:p>
            <w:pPr>
              <w:pStyle w:val="93"/>
              <w:spacing w:line="300" w:lineRule="exact"/>
              <w:rPr>
                <w:rFonts w:eastAsia="仿宋_GB2312" w:cs="Times New Roman"/>
              </w:rPr>
            </w:pPr>
            <w:r>
              <w:rPr>
                <w:rFonts w:eastAsia="仿宋_GB2312" w:cs="Times New Roman"/>
              </w:rPr>
              <w:t>表土剥离</w:t>
            </w:r>
          </w:p>
        </w:tc>
        <w:tc>
          <w:tcPr>
            <w:tcW w:w="500" w:type="dxa"/>
            <w:vAlign w:val="center"/>
          </w:tcPr>
          <w:p>
            <w:pPr>
              <w:pStyle w:val="93"/>
              <w:spacing w:line="300" w:lineRule="exact"/>
              <w:rPr>
                <w:rFonts w:eastAsia="仿宋_GB2312" w:cs="Times New Roman"/>
              </w:rPr>
            </w:pPr>
            <w:r>
              <w:rPr>
                <w:rFonts w:eastAsia="仿宋_GB2312" w:cs="Times New Roman"/>
              </w:rPr>
              <mc:AlternateContent>
                <mc:Choice Requires="wps">
                  <w:drawing>
                    <wp:anchor distT="0" distB="0" distL="114300" distR="114300" simplePos="0" relativeHeight="251704320" behindDoc="0" locked="0" layoutInCell="1" allowOverlap="1">
                      <wp:simplePos x="0" y="0"/>
                      <wp:positionH relativeFrom="column">
                        <wp:posOffset>208280</wp:posOffset>
                      </wp:positionH>
                      <wp:positionV relativeFrom="paragraph">
                        <wp:posOffset>88900</wp:posOffset>
                      </wp:positionV>
                      <wp:extent cx="571500" cy="0"/>
                      <wp:effectExtent l="0" t="19050" r="0" b="0"/>
                      <wp:wrapNone/>
                      <wp:docPr id="312581357" name="直接连接符 121"/>
                      <wp:cNvGraphicFramePr/>
                      <a:graphic xmlns:a="http://schemas.openxmlformats.org/drawingml/2006/main">
                        <a:graphicData uri="http://schemas.microsoft.com/office/word/2010/wordprocessingShape">
                          <wps:wsp>
                            <wps:cNvCnPr>
                              <a:cxnSpLocks noChangeShapeType="true"/>
                            </wps:cNvCnPr>
                            <wps:spPr bwMode="auto">
                              <a:xfrm>
                                <a:off x="0" y="0"/>
                                <a:ext cx="571500" cy="0"/>
                              </a:xfrm>
                              <a:prstGeom prst="line">
                                <a:avLst/>
                              </a:prstGeom>
                              <a:noFill/>
                              <a:ln w="28575">
                                <a:solidFill>
                                  <a:srgbClr val="000000"/>
                                </a:solidFill>
                                <a:prstDash val="sysDot"/>
                                <a:round/>
                              </a:ln>
                            </wps:spPr>
                            <wps:bodyPr/>
                          </wps:wsp>
                        </a:graphicData>
                      </a:graphic>
                    </wp:anchor>
                  </w:drawing>
                </mc:Choice>
                <mc:Fallback>
                  <w:pict>
                    <v:line id="直接连接符 121" o:spid="_x0000_s1026" o:spt="20" style="position:absolute;left:0pt;margin-left:16.4pt;margin-top:7pt;height:0pt;width:45pt;z-index:251704320;mso-width-relative:page;mso-height-relative:page;" filled="f" stroked="t" coordsize="21600,21600" o:gfxdata="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BYfTWL1AAAAAgBAAAPAAAAAAAAAAEAIAAAADgAAABkcnMvZG93bnJldi54bWxQSwECFAAU&#10;AAAACACHTuJA0sgRKN8BAACDAwAADgAAAAAAAAABACAAAAA5AQAAZHJzL2Uyb0RvYy54bWxQSwUG&#10;AAAAAAYABgBZAQAAigU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土地平整</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mc:AlternateContent>
                <mc:Choice Requires="wps">
                  <w:drawing>
                    <wp:anchor distT="0" distB="0" distL="114300" distR="114300" simplePos="0" relativeHeight="251707392" behindDoc="0" locked="0" layoutInCell="1" allowOverlap="1">
                      <wp:simplePos x="0" y="0"/>
                      <wp:positionH relativeFrom="column">
                        <wp:posOffset>-31115</wp:posOffset>
                      </wp:positionH>
                      <wp:positionV relativeFrom="paragraph">
                        <wp:posOffset>98425</wp:posOffset>
                      </wp:positionV>
                      <wp:extent cx="571500" cy="0"/>
                      <wp:effectExtent l="0" t="19050" r="0" b="0"/>
                      <wp:wrapNone/>
                      <wp:docPr id="300487358" name="直接连接符 119"/>
                      <wp:cNvGraphicFramePr/>
                      <a:graphic xmlns:a="http://schemas.openxmlformats.org/drawingml/2006/main">
                        <a:graphicData uri="http://schemas.microsoft.com/office/word/2010/wordprocessingShape">
                          <wps:wsp>
                            <wps:cNvCnPr>
                              <a:cxnSpLocks noChangeShapeType="true"/>
                            </wps:cNvCnPr>
                            <wps:spPr bwMode="auto">
                              <a:xfrm>
                                <a:off x="0" y="0"/>
                                <a:ext cx="571500" cy="0"/>
                              </a:xfrm>
                              <a:prstGeom prst="line">
                                <a:avLst/>
                              </a:prstGeom>
                              <a:noFill/>
                              <a:ln w="28575">
                                <a:solidFill>
                                  <a:srgbClr val="000000"/>
                                </a:solidFill>
                                <a:prstDash val="sysDot"/>
                                <a:round/>
                              </a:ln>
                            </wps:spPr>
                            <wps:bodyPr/>
                          </wps:wsp>
                        </a:graphicData>
                      </a:graphic>
                    </wp:anchor>
                  </w:drawing>
                </mc:Choice>
                <mc:Fallback>
                  <w:pict>
                    <v:line id="直接连接符 119" o:spid="_x0000_s1026" o:spt="20" style="position:absolute;left:0pt;margin-left:-2.45pt;margin-top:7.75pt;height:0pt;width:45pt;z-index:251707392;mso-width-relative:page;mso-height-relative:page;" filled="f" stroked="t" coordsize="21600,21600" o:gfxdata="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Ke9jQHUAAAABwEAAA8AAAAAAAAAAQAgAAAAOAAAAGRycy9kb3ducmV2LnhtbFBLAQIU&#10;ABQAAAAIAIdO4kBs5n/m4QEAAIMDAAAOAAAAAAAAAAEAIAAAADkBAABkcnMvZTJvRG9jLnhtbFBL&#10;BQYAAAAABgAGAFkBAACMBQ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表土回覆</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mc:AlternateContent>
                <mc:Choice Requires="wps">
                  <w:drawing>
                    <wp:anchor distT="0" distB="0" distL="114300" distR="114300" simplePos="0" relativeHeight="251708416" behindDoc="0" locked="0" layoutInCell="1" allowOverlap="1">
                      <wp:simplePos x="0" y="0"/>
                      <wp:positionH relativeFrom="column">
                        <wp:posOffset>228600</wp:posOffset>
                      </wp:positionH>
                      <wp:positionV relativeFrom="paragraph">
                        <wp:posOffset>61595</wp:posOffset>
                      </wp:positionV>
                      <wp:extent cx="571500" cy="0"/>
                      <wp:effectExtent l="0" t="19050" r="0" b="0"/>
                      <wp:wrapNone/>
                      <wp:docPr id="1743601847" name="直接连接符 117"/>
                      <wp:cNvGraphicFramePr/>
                      <a:graphic xmlns:a="http://schemas.openxmlformats.org/drawingml/2006/main">
                        <a:graphicData uri="http://schemas.microsoft.com/office/word/2010/wordprocessingShape">
                          <wps:wsp>
                            <wps:cNvCnPr>
                              <a:cxnSpLocks noChangeShapeType="true"/>
                            </wps:cNvCnPr>
                            <wps:spPr bwMode="auto">
                              <a:xfrm>
                                <a:off x="0" y="0"/>
                                <a:ext cx="571500" cy="0"/>
                              </a:xfrm>
                              <a:prstGeom prst="line">
                                <a:avLst/>
                              </a:prstGeom>
                              <a:noFill/>
                              <a:ln w="28575">
                                <a:solidFill>
                                  <a:srgbClr val="000000"/>
                                </a:solidFill>
                                <a:prstDash val="sysDot"/>
                                <a:round/>
                              </a:ln>
                            </wps:spPr>
                            <wps:bodyPr/>
                          </wps:wsp>
                        </a:graphicData>
                      </a:graphic>
                    </wp:anchor>
                  </w:drawing>
                </mc:Choice>
                <mc:Fallback>
                  <w:pict>
                    <v:line id="直接连接符 117" o:spid="_x0000_s1026" o:spt="20" style="position:absolute;left:0pt;margin-left:18pt;margin-top:4.85pt;height:0pt;width:45pt;z-index:251708416;mso-width-relative:page;mso-height-relative:page;" filled="f" stroked="t" coordsize="21600,21600" o:gfxdata="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Kq/1CvUAAAABgEAAA8AAAAAAAAAAQAgAAAAOAAAAGRycy9kb3ducmV2LnhtbFBLAQIU&#10;ABQAAAAIAIdO4kCmVoLI4QEAAIQDAAAOAAAAAAAAAAEAIAAAADkBAABkcnMvZTJvRG9jLnhtbFBL&#10;BQYAAAAABgAGAFkBAACMBQ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Align w:val="center"/>
          </w:tcPr>
          <w:p>
            <w:pPr>
              <w:pStyle w:val="93"/>
              <w:spacing w:line="300" w:lineRule="exact"/>
              <w:rPr>
                <w:rFonts w:eastAsia="仿宋_GB2312" w:cs="Times New Roman"/>
              </w:rPr>
            </w:pPr>
            <w:r>
              <w:rPr>
                <w:rFonts w:eastAsia="仿宋_GB2312" w:cs="Times New Roman"/>
              </w:rPr>
              <w:t>植被措施</w:t>
            </w:r>
          </w:p>
        </w:tc>
        <w:tc>
          <w:tcPr>
            <w:tcW w:w="1420" w:type="dxa"/>
            <w:vAlign w:val="center"/>
          </w:tcPr>
          <w:p>
            <w:pPr>
              <w:pStyle w:val="93"/>
              <w:spacing w:line="300" w:lineRule="exact"/>
              <w:rPr>
                <w:rFonts w:eastAsia="仿宋_GB2312" w:cs="Times New Roman"/>
              </w:rPr>
            </w:pPr>
            <w:r>
              <w:rPr>
                <w:rFonts w:eastAsia="仿宋_GB2312" w:cs="Times New Roman"/>
              </w:rPr>
              <w:t>草坪恢复</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09440" behindDoc="0" locked="0" layoutInCell="1" allowOverlap="1">
                      <wp:simplePos x="0" y="0"/>
                      <wp:positionH relativeFrom="column">
                        <wp:posOffset>212725</wp:posOffset>
                      </wp:positionH>
                      <wp:positionV relativeFrom="paragraph">
                        <wp:posOffset>69850</wp:posOffset>
                      </wp:positionV>
                      <wp:extent cx="571500" cy="0"/>
                      <wp:effectExtent l="0" t="19050" r="0" b="0"/>
                      <wp:wrapNone/>
                      <wp:docPr id="270713229" name="直接连接符 115"/>
                      <wp:cNvGraphicFramePr/>
                      <a:graphic xmlns:a="http://schemas.openxmlformats.org/drawingml/2006/main">
                        <a:graphicData uri="http://schemas.microsoft.com/office/word/2010/wordprocessingShape">
                          <wps:wsp>
                            <wps:cNvCnPr>
                              <a:cxnSpLocks noChangeShapeType="true"/>
                            </wps:cNvCnPr>
                            <wps:spPr bwMode="auto">
                              <a:xfrm>
                                <a:off x="0" y="0"/>
                                <a:ext cx="571500" cy="0"/>
                              </a:xfrm>
                              <a:prstGeom prst="line">
                                <a:avLst/>
                              </a:prstGeom>
                              <a:noFill/>
                              <a:ln w="28575">
                                <a:solidFill>
                                  <a:srgbClr val="000000"/>
                                </a:solidFill>
                                <a:round/>
                              </a:ln>
                            </wps:spPr>
                            <wps:bodyPr/>
                          </wps:wsp>
                        </a:graphicData>
                      </a:graphic>
                    </wp:anchor>
                  </w:drawing>
                </mc:Choice>
                <mc:Fallback>
                  <w:pict>
                    <v:line id="直接连接符 115" o:spid="_x0000_s1026" o:spt="20" style="position:absolute;left:0pt;margin-left:16.75pt;margin-top:5.5pt;height:0pt;width:45pt;z-index:251709440;mso-width-relative:page;mso-height-relative:page;" filled="f" stroked="t" coordsize="21600,21600" o:gfxdata="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ACmeKC1AAA&#10;AAgBAAAPAAAAAAAAAAEAIAAAADgAAABkcnMvZG93bnJldi54bWxQSwECFAAUAAAACACHTuJA8Cxs&#10;S9MBAABpAwAADgAAAAAAAAABACAAAAA5AQAAZHJzL2Uyb0RvYy54bWxQSwUGAAAAAAYABgBZAQAA&#10;fgUAAAAA&#10;">
                      <v:fill on="f" focussize="0,0"/>
                      <v:stroke weight="2.25pt" color="#000000" joinstyle="round"/>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restart"/>
            <w:vAlign w:val="center"/>
          </w:tcPr>
          <w:p>
            <w:pPr>
              <w:pStyle w:val="93"/>
              <w:spacing w:line="300" w:lineRule="exact"/>
              <w:rPr>
                <w:rFonts w:eastAsia="仿宋_GB2312" w:cs="Times New Roman"/>
              </w:rPr>
            </w:pPr>
            <w:r>
              <w:rPr>
                <w:rFonts w:eastAsia="仿宋_GB2312" w:cs="Times New Roman"/>
              </w:rPr>
              <w:t>临时措施</w:t>
            </w:r>
          </w:p>
        </w:tc>
        <w:tc>
          <w:tcPr>
            <w:tcW w:w="1420" w:type="dxa"/>
            <w:vAlign w:val="center"/>
          </w:tcPr>
          <w:p>
            <w:pPr>
              <w:pStyle w:val="93"/>
              <w:spacing w:line="300" w:lineRule="exact"/>
              <w:rPr>
                <w:rFonts w:eastAsia="仿宋_GB2312" w:cs="Times New Roman"/>
              </w:rPr>
            </w:pPr>
            <w:r>
              <w:rPr>
                <w:rFonts w:eastAsia="仿宋_GB2312" w:cs="Times New Roman"/>
              </w:rPr>
              <w:t>土袋拦挡</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05344" behindDoc="0" locked="0" layoutInCell="1" allowOverlap="1">
                      <wp:simplePos x="0" y="0"/>
                      <wp:positionH relativeFrom="column">
                        <wp:posOffset>100330</wp:posOffset>
                      </wp:positionH>
                      <wp:positionV relativeFrom="paragraph">
                        <wp:posOffset>67945</wp:posOffset>
                      </wp:positionV>
                      <wp:extent cx="1144270" cy="0"/>
                      <wp:effectExtent l="0" t="19050" r="17780" b="0"/>
                      <wp:wrapNone/>
                      <wp:docPr id="701472961" name="直接连接符 113"/>
                      <wp:cNvGraphicFramePr/>
                      <a:graphic xmlns:a="http://schemas.openxmlformats.org/drawingml/2006/main">
                        <a:graphicData uri="http://schemas.microsoft.com/office/word/2010/wordprocessingShape">
                          <wps:wsp>
                            <wps:cNvCnPr>
                              <a:cxnSpLocks noChangeShapeType="true"/>
                            </wps:cNvCnPr>
                            <wps:spPr bwMode="auto">
                              <a:xfrm>
                                <a:off x="0" y="0"/>
                                <a:ext cx="1144270" cy="0"/>
                              </a:xfrm>
                              <a:prstGeom prst="line">
                                <a:avLst/>
                              </a:prstGeom>
                              <a:noFill/>
                              <a:ln w="28575">
                                <a:solidFill>
                                  <a:srgbClr val="000000"/>
                                </a:solidFill>
                                <a:prstDash val="sysDot"/>
                                <a:round/>
                              </a:ln>
                            </wps:spPr>
                            <wps:bodyPr/>
                          </wps:wsp>
                        </a:graphicData>
                      </a:graphic>
                    </wp:anchor>
                  </w:drawing>
                </mc:Choice>
                <mc:Fallback>
                  <w:pict>
                    <v:line id="直接连接符 113" o:spid="_x0000_s1026" o:spt="20" style="position:absolute;left:0pt;margin-left:7.9pt;margin-top:5.35pt;height:0pt;width:90.1pt;z-index:251705344;mso-width-relative:page;mso-height-relative:page;" filled="f" stroked="t" coordsize="21600,21600" o:gfxdata="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7AYXUdYAAAAIAQAADwAAAAAAAAABACAAAAA4AAAAZHJzL2Rvd25yZXYueG1sUEsB&#10;AhQAFAAAAAgAh07iQH3EbIPhAQAAhAMAAA4AAAAAAAAAAQAgAAAAOwEAAGRycy9lMm9Eb2MueG1s&#10;UEsFBgAAAAAGAAYAWQEAAI4FA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临时遮盖</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06368" behindDoc="0" locked="0" layoutInCell="1" allowOverlap="1">
                      <wp:simplePos x="0" y="0"/>
                      <wp:positionH relativeFrom="column">
                        <wp:posOffset>105410</wp:posOffset>
                      </wp:positionH>
                      <wp:positionV relativeFrom="paragraph">
                        <wp:posOffset>65405</wp:posOffset>
                      </wp:positionV>
                      <wp:extent cx="1139190" cy="0"/>
                      <wp:effectExtent l="0" t="19050" r="3810" b="0"/>
                      <wp:wrapNone/>
                      <wp:docPr id="151897644" name="直接连接符 111"/>
                      <wp:cNvGraphicFramePr/>
                      <a:graphic xmlns:a="http://schemas.openxmlformats.org/drawingml/2006/main">
                        <a:graphicData uri="http://schemas.microsoft.com/office/word/2010/wordprocessingShape">
                          <wps:wsp>
                            <wps:cNvCnPr>
                              <a:cxnSpLocks noChangeShapeType="true"/>
                            </wps:cNvCnPr>
                            <wps:spPr bwMode="auto">
                              <a:xfrm>
                                <a:off x="0" y="0"/>
                                <a:ext cx="1139190" cy="0"/>
                              </a:xfrm>
                              <a:prstGeom prst="line">
                                <a:avLst/>
                              </a:prstGeom>
                              <a:noFill/>
                              <a:ln w="28575">
                                <a:solidFill>
                                  <a:srgbClr val="000000"/>
                                </a:solidFill>
                                <a:prstDash val="sysDot"/>
                                <a:round/>
                              </a:ln>
                            </wps:spPr>
                            <wps:bodyPr/>
                          </wps:wsp>
                        </a:graphicData>
                      </a:graphic>
                    </wp:anchor>
                  </w:drawing>
                </mc:Choice>
                <mc:Fallback>
                  <w:pict>
                    <v:line id="直接连接符 111" o:spid="_x0000_s1026" o:spt="20" style="position:absolute;left:0pt;margin-left:8.3pt;margin-top:5.15pt;height:0pt;width:89.7pt;z-index:251706368;mso-width-relative:page;mso-height-relative:page;" filled="f" stroked="t" coordsize="21600,21600" o:gfxdata="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BF5JMnUAAAACAEAAA8AAAAAAAAAAQAgAAAAOAAAAGRycy9kb3ducmV2LnhtbFBLAQIU&#10;ABQAAAAIAIdO4kDdkhm24QEAAIQDAAAOAAAAAAAAAAEAIAAAADkBAABkcnMvZTJvRG9jLnhtbFBL&#10;BQYAAAAABgAGAFkBAACMBQ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restart"/>
            <w:vAlign w:val="center"/>
          </w:tcPr>
          <w:p>
            <w:pPr>
              <w:pStyle w:val="93"/>
              <w:spacing w:line="300" w:lineRule="exact"/>
              <w:rPr>
                <w:rFonts w:eastAsia="仿宋_GB2312" w:cs="Times New Roman"/>
              </w:rPr>
            </w:pPr>
            <w:r>
              <w:rPr>
                <w:rFonts w:eastAsia="仿宋_GB2312" w:cs="Times New Roman"/>
              </w:rPr>
              <w:t>芭蕉变电站站区</w:t>
            </w:r>
          </w:p>
        </w:tc>
        <w:tc>
          <w:tcPr>
            <w:tcW w:w="1120" w:type="dxa"/>
            <w:vMerge w:val="restart"/>
            <w:vAlign w:val="center"/>
          </w:tcPr>
          <w:p>
            <w:pPr>
              <w:pStyle w:val="93"/>
              <w:spacing w:line="300" w:lineRule="exact"/>
              <w:rPr>
                <w:rFonts w:eastAsia="仿宋_GB2312" w:cs="Times New Roman"/>
              </w:rPr>
            </w:pPr>
            <w:r>
              <w:rPr>
                <w:rFonts w:eastAsia="仿宋_GB2312" w:cs="Times New Roman"/>
              </w:rPr>
              <w:t>工程措施</w:t>
            </w:r>
          </w:p>
        </w:tc>
        <w:tc>
          <w:tcPr>
            <w:tcW w:w="1420" w:type="dxa"/>
            <w:vAlign w:val="center"/>
          </w:tcPr>
          <w:p>
            <w:pPr>
              <w:pStyle w:val="93"/>
              <w:spacing w:line="300" w:lineRule="exact"/>
              <w:rPr>
                <w:rFonts w:eastAsia="仿宋_GB2312" w:cs="Times New Roman"/>
              </w:rPr>
            </w:pPr>
            <w:r>
              <w:rPr>
                <w:rFonts w:eastAsia="仿宋_GB2312" w:cs="Times New Roman"/>
              </w:rPr>
              <w:t>排水管道</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16608" behindDoc="0" locked="0" layoutInCell="1" allowOverlap="1">
                      <wp:simplePos x="0" y="0"/>
                      <wp:positionH relativeFrom="column">
                        <wp:posOffset>149860</wp:posOffset>
                      </wp:positionH>
                      <wp:positionV relativeFrom="paragraph">
                        <wp:posOffset>78740</wp:posOffset>
                      </wp:positionV>
                      <wp:extent cx="1094740" cy="0"/>
                      <wp:effectExtent l="0" t="19050" r="10160" b="0"/>
                      <wp:wrapNone/>
                      <wp:docPr id="42822984" name="直接连接符 109"/>
                      <wp:cNvGraphicFramePr/>
                      <a:graphic xmlns:a="http://schemas.openxmlformats.org/drawingml/2006/main">
                        <a:graphicData uri="http://schemas.microsoft.com/office/word/2010/wordprocessingShape">
                          <wps:wsp>
                            <wps:cNvCnPr>
                              <a:cxnSpLocks noChangeShapeType="true"/>
                            </wps:cNvCnPr>
                            <wps:spPr bwMode="auto">
                              <a:xfrm>
                                <a:off x="0" y="0"/>
                                <a:ext cx="1094740" cy="0"/>
                              </a:xfrm>
                              <a:prstGeom prst="line">
                                <a:avLst/>
                              </a:prstGeom>
                              <a:noFill/>
                              <a:ln w="28575">
                                <a:solidFill>
                                  <a:srgbClr val="000000"/>
                                </a:solidFill>
                                <a:prstDash val="sysDot"/>
                                <a:round/>
                              </a:ln>
                            </wps:spPr>
                            <wps:bodyPr/>
                          </wps:wsp>
                        </a:graphicData>
                      </a:graphic>
                    </wp:anchor>
                  </w:drawing>
                </mc:Choice>
                <mc:Fallback>
                  <w:pict>
                    <v:line id="直接连接符 109" o:spid="_x0000_s1026" o:spt="20" style="position:absolute;left:0pt;margin-left:11.8pt;margin-top:6.2pt;height:0pt;width:86.2pt;z-index:251716608;mso-width-relative:page;mso-height-relative:page;" filled="f" stroked="t" coordsize="21600,21600" o:gfxdata="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yqDyD9YAAAAIAQAADwAAAAAAAAABACAAAAA4AAAAZHJzL2Rvd25yZXYueG1sUEsB&#10;AhQAFAAAAAgAh07iQKnb+TzhAQAAgwMAAA4AAAAAAAAAAQAgAAAAOwEAAGRycy9lMm9Eb2MueG1s&#10;UEsFBgAAAAAGAAYAWQEAAI4FA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雨水检查井</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10464" behindDoc="0" locked="0" layoutInCell="1" allowOverlap="1">
                      <wp:simplePos x="0" y="0"/>
                      <wp:positionH relativeFrom="column">
                        <wp:posOffset>100330</wp:posOffset>
                      </wp:positionH>
                      <wp:positionV relativeFrom="paragraph">
                        <wp:posOffset>50800</wp:posOffset>
                      </wp:positionV>
                      <wp:extent cx="571500" cy="0"/>
                      <wp:effectExtent l="0" t="19050" r="0" b="0"/>
                      <wp:wrapNone/>
                      <wp:docPr id="1728686186" name="直接连接符 107"/>
                      <wp:cNvGraphicFramePr/>
                      <a:graphic xmlns:a="http://schemas.openxmlformats.org/drawingml/2006/main">
                        <a:graphicData uri="http://schemas.microsoft.com/office/word/2010/wordprocessingShape">
                          <wps:wsp>
                            <wps:cNvCnPr>
                              <a:cxnSpLocks noChangeShapeType="true"/>
                            </wps:cNvCnPr>
                            <wps:spPr bwMode="auto">
                              <a:xfrm>
                                <a:off x="0" y="0"/>
                                <a:ext cx="571500" cy="0"/>
                              </a:xfrm>
                              <a:prstGeom prst="line">
                                <a:avLst/>
                              </a:prstGeom>
                              <a:noFill/>
                              <a:ln w="28575">
                                <a:solidFill>
                                  <a:srgbClr val="000000"/>
                                </a:solidFill>
                                <a:round/>
                              </a:ln>
                            </wps:spPr>
                            <wps:bodyPr/>
                          </wps:wsp>
                        </a:graphicData>
                      </a:graphic>
                    </wp:anchor>
                  </w:drawing>
                </mc:Choice>
                <mc:Fallback>
                  <w:pict>
                    <v:line id="直接连接符 107" o:spid="_x0000_s1026" o:spt="20" style="position:absolute;left:0pt;margin-left:7.9pt;margin-top:4pt;height:0pt;width:45pt;z-index:251710464;mso-width-relative:page;mso-height-relative:page;" filled="f" stroked="t" coordsize="21600,21600" o:gfxdata="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tWQkQ0AAAAAYB&#10;AAAPAAAAAAAAAAEAIAAAADgAAABkcnMvZG93bnJldi54bWxQSwECFAAUAAAACACHTuJAokrrmNQB&#10;AABqAwAADgAAAAAAAAABACAAAAA1AQAAZHJzL2Uyb0RvYy54bWxQSwUGAAAAAAYABgBZAQAAewUA&#10;AAAA&#10;">
                      <v:fill on="f" focussize="0,0"/>
                      <v:stroke weight="2.25pt" color="#000000" joinstyle="round"/>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雨水口</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11488" behindDoc="0" locked="0" layoutInCell="1" allowOverlap="1">
                      <wp:simplePos x="0" y="0"/>
                      <wp:positionH relativeFrom="column">
                        <wp:posOffset>-54610</wp:posOffset>
                      </wp:positionH>
                      <wp:positionV relativeFrom="paragraph">
                        <wp:posOffset>50800</wp:posOffset>
                      </wp:positionV>
                      <wp:extent cx="571500" cy="0"/>
                      <wp:effectExtent l="0" t="19050" r="0" b="0"/>
                      <wp:wrapNone/>
                      <wp:docPr id="1230570784" name="直接连接符 105"/>
                      <wp:cNvGraphicFramePr/>
                      <a:graphic xmlns:a="http://schemas.openxmlformats.org/drawingml/2006/main">
                        <a:graphicData uri="http://schemas.microsoft.com/office/word/2010/wordprocessingShape">
                          <wps:wsp>
                            <wps:cNvCnPr>
                              <a:cxnSpLocks noChangeShapeType="true"/>
                            </wps:cNvCnPr>
                            <wps:spPr bwMode="auto">
                              <a:xfrm>
                                <a:off x="0" y="0"/>
                                <a:ext cx="571500" cy="0"/>
                              </a:xfrm>
                              <a:prstGeom prst="line">
                                <a:avLst/>
                              </a:prstGeom>
                              <a:noFill/>
                              <a:ln w="28575">
                                <a:solidFill>
                                  <a:srgbClr val="000000"/>
                                </a:solidFill>
                                <a:round/>
                              </a:ln>
                            </wps:spPr>
                            <wps:bodyPr/>
                          </wps:wsp>
                        </a:graphicData>
                      </a:graphic>
                    </wp:anchor>
                  </w:drawing>
                </mc:Choice>
                <mc:Fallback>
                  <w:pict>
                    <v:line id="直接连接符 105" o:spid="_x0000_s1026" o:spt="20" style="position:absolute;left:0pt;margin-left:-4.3pt;margin-top:4pt;height:0pt;width:45pt;z-index:251711488;mso-width-relative:page;mso-height-relative:page;" filled="f" stroked="t" coordsize="21600,21600" o:gfxdata="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A3CxiTSAAAA&#10;BQEAAA8AAAAAAAAAAQAgAAAAOAAAAGRycy9kb3ducmV2LnhtbFBLAQIUABQAAAAIAIdO4kCHm9RA&#10;1AEAAGoDAAAOAAAAAAAAAAEAIAAAADcBAABkcnMvZTJvRG9jLnhtbFBLBQYAAAAABgAGAFkBAAB9&#10;BQAAAAA=&#10;">
                      <v:fill on="f" focussize="0,0"/>
                      <v:stroke weight="2.25pt" color="#000000" joinstyle="round"/>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表土剥离</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12512" behindDoc="0" locked="0" layoutInCell="1" allowOverlap="1">
                      <wp:simplePos x="0" y="0"/>
                      <wp:positionH relativeFrom="column">
                        <wp:posOffset>169545</wp:posOffset>
                      </wp:positionH>
                      <wp:positionV relativeFrom="paragraph">
                        <wp:posOffset>79375</wp:posOffset>
                      </wp:positionV>
                      <wp:extent cx="571500" cy="0"/>
                      <wp:effectExtent l="0" t="19050" r="0" b="0"/>
                      <wp:wrapNone/>
                      <wp:docPr id="2129018137" name="直接连接符 103"/>
                      <wp:cNvGraphicFramePr/>
                      <a:graphic xmlns:a="http://schemas.openxmlformats.org/drawingml/2006/main">
                        <a:graphicData uri="http://schemas.microsoft.com/office/word/2010/wordprocessingShape">
                          <wps:wsp>
                            <wps:cNvCnPr>
                              <a:cxnSpLocks noChangeShapeType="true"/>
                            </wps:cNvCnPr>
                            <wps:spPr bwMode="auto">
                              <a:xfrm>
                                <a:off x="0" y="0"/>
                                <a:ext cx="571500" cy="0"/>
                              </a:xfrm>
                              <a:prstGeom prst="line">
                                <a:avLst/>
                              </a:prstGeom>
                              <a:noFill/>
                              <a:ln w="28575">
                                <a:solidFill>
                                  <a:srgbClr val="000000"/>
                                </a:solidFill>
                                <a:prstDash val="sysDot"/>
                                <a:round/>
                              </a:ln>
                            </wps:spPr>
                            <wps:bodyPr/>
                          </wps:wsp>
                        </a:graphicData>
                      </a:graphic>
                    </wp:anchor>
                  </w:drawing>
                </mc:Choice>
                <mc:Fallback>
                  <w:pict>
                    <v:line id="直接连接符 103" o:spid="_x0000_s1026" o:spt="20" style="position:absolute;left:0pt;margin-left:13.35pt;margin-top:6.25pt;height:0pt;width:45pt;z-index:251712512;mso-width-relative:page;mso-height-relative:page;" filled="f" stroked="t" coordsize="21600,21600" o:gfxdata="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P7MHFvVAAAACAEAAA8AAAAAAAAAAQAgAAAAOAAAAGRycy9kb3ducmV2LnhtbFBLAQIU&#10;ABQAAAAIAIdO4kCe7UK04AEAAIQDAAAOAAAAAAAAAAEAIAAAADoBAABkcnMvZTJvRG9jLnhtbFBL&#10;BQYAAAAABgAGAFkBAACMBQ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土地平整</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13536" behindDoc="0" locked="0" layoutInCell="1" allowOverlap="1">
                      <wp:simplePos x="0" y="0"/>
                      <wp:positionH relativeFrom="column">
                        <wp:posOffset>35560</wp:posOffset>
                      </wp:positionH>
                      <wp:positionV relativeFrom="paragraph">
                        <wp:posOffset>79375</wp:posOffset>
                      </wp:positionV>
                      <wp:extent cx="571500" cy="0"/>
                      <wp:effectExtent l="0" t="19050" r="0" b="0"/>
                      <wp:wrapNone/>
                      <wp:docPr id="1145712701" name="直接连接符 101"/>
                      <wp:cNvGraphicFramePr/>
                      <a:graphic xmlns:a="http://schemas.openxmlformats.org/drawingml/2006/main">
                        <a:graphicData uri="http://schemas.microsoft.com/office/word/2010/wordprocessingShape">
                          <wps:wsp>
                            <wps:cNvCnPr>
                              <a:cxnSpLocks noChangeShapeType="true"/>
                            </wps:cNvCnPr>
                            <wps:spPr bwMode="auto">
                              <a:xfrm>
                                <a:off x="0" y="0"/>
                                <a:ext cx="571500" cy="0"/>
                              </a:xfrm>
                              <a:prstGeom prst="line">
                                <a:avLst/>
                              </a:prstGeom>
                              <a:noFill/>
                              <a:ln w="28575">
                                <a:solidFill>
                                  <a:srgbClr val="000000"/>
                                </a:solidFill>
                                <a:prstDash val="sysDot"/>
                                <a:round/>
                              </a:ln>
                            </wps:spPr>
                            <wps:bodyPr/>
                          </wps:wsp>
                        </a:graphicData>
                      </a:graphic>
                    </wp:anchor>
                  </w:drawing>
                </mc:Choice>
                <mc:Fallback>
                  <w:pict>
                    <v:line id="直接连接符 101" o:spid="_x0000_s1026" o:spt="20" style="position:absolute;left:0pt;margin-left:2.8pt;margin-top:6.25pt;height:0pt;width:45pt;z-index:251713536;mso-width-relative:page;mso-height-relative:page;" filled="f" stroked="t" coordsize="21600,21600" o:gfxdata="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E6VoPnTAAAABgEAAA8AAAAAAAAAAQAgAAAAOAAAAGRycy9kb3ducmV2LnhtbFBLAQIUABQA&#10;AAAIAIdO4kD/alFL3wEAAIQDAAAOAAAAAAAAAAEAIAAAADgBAABkcnMvZTJvRG9jLnhtbFBLBQYA&#10;AAAABgAGAFkBAACJBQ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表土回覆</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Align w:val="center"/>
          </w:tcPr>
          <w:p>
            <w:pPr>
              <w:pStyle w:val="93"/>
              <w:spacing w:line="300" w:lineRule="exact"/>
              <w:rPr>
                <w:rFonts w:eastAsia="仿宋_GB2312" w:cs="Times New Roman"/>
              </w:rPr>
            </w:pPr>
            <w:r>
              <w:rPr>
                <w:rFonts w:eastAsia="仿宋_GB2312" w:cs="Times New Roman"/>
              </w:rPr>
              <w:t>植被措施</w:t>
            </w:r>
          </w:p>
        </w:tc>
        <w:tc>
          <w:tcPr>
            <w:tcW w:w="1420" w:type="dxa"/>
            <w:vAlign w:val="center"/>
          </w:tcPr>
          <w:p>
            <w:pPr>
              <w:pStyle w:val="93"/>
              <w:spacing w:line="300" w:lineRule="exact"/>
              <w:rPr>
                <w:rFonts w:eastAsia="仿宋_GB2312" w:cs="Times New Roman"/>
              </w:rPr>
            </w:pPr>
            <w:r>
              <w:rPr>
                <w:rFonts w:eastAsia="仿宋_GB2312" w:cs="Times New Roman"/>
              </w:rPr>
              <w:t>播撒草籽</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15584" behindDoc="0" locked="0" layoutInCell="1" allowOverlap="1">
                      <wp:simplePos x="0" y="0"/>
                      <wp:positionH relativeFrom="column">
                        <wp:posOffset>100330</wp:posOffset>
                      </wp:positionH>
                      <wp:positionV relativeFrom="paragraph">
                        <wp:posOffset>79375</wp:posOffset>
                      </wp:positionV>
                      <wp:extent cx="571500" cy="0"/>
                      <wp:effectExtent l="0" t="19050" r="0" b="0"/>
                      <wp:wrapNone/>
                      <wp:docPr id="817332588" name="直接连接符 99"/>
                      <wp:cNvGraphicFramePr/>
                      <a:graphic xmlns:a="http://schemas.openxmlformats.org/drawingml/2006/main">
                        <a:graphicData uri="http://schemas.microsoft.com/office/word/2010/wordprocessingShape">
                          <wps:wsp>
                            <wps:cNvCnPr>
                              <a:cxnSpLocks noChangeShapeType="true"/>
                            </wps:cNvCnPr>
                            <wps:spPr bwMode="auto">
                              <a:xfrm>
                                <a:off x="0" y="0"/>
                                <a:ext cx="571500" cy="0"/>
                              </a:xfrm>
                              <a:prstGeom prst="line">
                                <a:avLst/>
                              </a:prstGeom>
                              <a:noFill/>
                              <a:ln w="28575">
                                <a:solidFill>
                                  <a:srgbClr val="000000"/>
                                </a:solidFill>
                                <a:prstDash val="sysDot"/>
                                <a:round/>
                              </a:ln>
                            </wps:spPr>
                            <wps:bodyPr/>
                          </wps:wsp>
                        </a:graphicData>
                      </a:graphic>
                    </wp:anchor>
                  </w:drawing>
                </mc:Choice>
                <mc:Fallback>
                  <w:pict>
                    <v:line id="直接连接符 99" o:spid="_x0000_s1026" o:spt="20" style="position:absolute;left:0pt;margin-left:7.9pt;margin-top:6.25pt;height:0pt;width:45pt;z-index:251715584;mso-width-relative:page;mso-height-relative:page;" filled="f" stroked="t" coordsize="21600,21600" o:gfxdata="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rjzrydQAAAAIAQAADwAAAAAAAAABACAAAAA4AAAAZHJzL2Rvd25yZXYueG1sUEsBAhQA&#10;FAAAAAgAh07iQEp+/8XgAQAAggMAAA4AAAAAAAAAAQAgAAAAOQEAAGRycy9lMm9Eb2MueG1sUEsF&#10;BgAAAAAGAAYAWQEAAIsFA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restart"/>
            <w:vAlign w:val="center"/>
          </w:tcPr>
          <w:p>
            <w:pPr>
              <w:pStyle w:val="93"/>
              <w:spacing w:line="300" w:lineRule="exact"/>
              <w:rPr>
                <w:rFonts w:eastAsia="仿宋_GB2312" w:cs="Times New Roman"/>
              </w:rPr>
            </w:pPr>
            <w:r>
              <w:rPr>
                <w:rFonts w:eastAsia="仿宋_GB2312" w:cs="Times New Roman"/>
              </w:rPr>
              <w:t>临时措施</w:t>
            </w:r>
          </w:p>
        </w:tc>
        <w:tc>
          <w:tcPr>
            <w:tcW w:w="1420" w:type="dxa"/>
            <w:vAlign w:val="center"/>
          </w:tcPr>
          <w:p>
            <w:pPr>
              <w:pStyle w:val="93"/>
              <w:spacing w:line="300" w:lineRule="exact"/>
              <w:rPr>
                <w:rFonts w:eastAsia="仿宋_GB2312" w:cs="Times New Roman"/>
              </w:rPr>
            </w:pPr>
            <w:r>
              <w:rPr>
                <w:rFonts w:eastAsia="仿宋_GB2312" w:cs="Times New Roman"/>
              </w:rPr>
              <w:t>土袋拦挡</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14560" behindDoc="0" locked="0" layoutInCell="1" allowOverlap="1">
                      <wp:simplePos x="0" y="0"/>
                      <wp:positionH relativeFrom="column">
                        <wp:posOffset>127000</wp:posOffset>
                      </wp:positionH>
                      <wp:positionV relativeFrom="paragraph">
                        <wp:posOffset>76835</wp:posOffset>
                      </wp:positionV>
                      <wp:extent cx="1769745" cy="0"/>
                      <wp:effectExtent l="0" t="19050" r="1905" b="0"/>
                      <wp:wrapNone/>
                      <wp:docPr id="4912154" name="直接连接符 97"/>
                      <wp:cNvGraphicFramePr/>
                      <a:graphic xmlns:a="http://schemas.openxmlformats.org/drawingml/2006/main">
                        <a:graphicData uri="http://schemas.microsoft.com/office/word/2010/wordprocessingShape">
                          <wps:wsp>
                            <wps:cNvCnPr>
                              <a:cxnSpLocks noChangeShapeType="true"/>
                            </wps:cNvCnPr>
                            <wps:spPr bwMode="auto">
                              <a:xfrm>
                                <a:off x="0" y="0"/>
                                <a:ext cx="1769745" cy="0"/>
                              </a:xfrm>
                              <a:prstGeom prst="line">
                                <a:avLst/>
                              </a:prstGeom>
                              <a:noFill/>
                              <a:ln w="28575">
                                <a:solidFill>
                                  <a:srgbClr val="000000"/>
                                </a:solidFill>
                                <a:prstDash val="sysDot"/>
                                <a:round/>
                              </a:ln>
                            </wps:spPr>
                            <wps:bodyPr/>
                          </wps:wsp>
                        </a:graphicData>
                      </a:graphic>
                    </wp:anchor>
                  </w:drawing>
                </mc:Choice>
                <mc:Fallback>
                  <w:pict>
                    <v:line id="直接连接符 97" o:spid="_x0000_s1026" o:spt="20" style="position:absolute;left:0pt;margin-left:10pt;margin-top:6.05pt;height:0pt;width:139.35pt;z-index:251714560;mso-width-relative:page;mso-height-relative:page;" filled="f" stroked="t" coordsize="21600,21600" o:gfxdata="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JPLBMHWAAAACAEAAA8AAAAAAAAAAQAgAAAAOAAAAGRycy9kb3ducmV2LnhtbFBLAQIU&#10;ABQAAAAIAIdO4kCSTl7U3wEAAIEDAAAOAAAAAAAAAAEAIAAAADsBAABkcnMvZTJvRG9jLnhtbFBL&#10;BQYAAAAABgAGAFkBAACMBQ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临时遮盖</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17632" behindDoc="0" locked="0" layoutInCell="1" allowOverlap="1">
                      <wp:simplePos x="0" y="0"/>
                      <wp:positionH relativeFrom="column">
                        <wp:posOffset>126365</wp:posOffset>
                      </wp:positionH>
                      <wp:positionV relativeFrom="paragraph">
                        <wp:posOffset>88900</wp:posOffset>
                      </wp:positionV>
                      <wp:extent cx="1769745" cy="0"/>
                      <wp:effectExtent l="0" t="19050" r="1905" b="0"/>
                      <wp:wrapNone/>
                      <wp:docPr id="2013179498" name="直接连接符 95"/>
                      <wp:cNvGraphicFramePr/>
                      <a:graphic xmlns:a="http://schemas.openxmlformats.org/drawingml/2006/main">
                        <a:graphicData uri="http://schemas.microsoft.com/office/word/2010/wordprocessingShape">
                          <wps:wsp>
                            <wps:cNvCnPr>
                              <a:cxnSpLocks noChangeShapeType="true"/>
                            </wps:cNvCnPr>
                            <wps:spPr bwMode="auto">
                              <a:xfrm>
                                <a:off x="0" y="0"/>
                                <a:ext cx="1769745" cy="0"/>
                              </a:xfrm>
                              <a:prstGeom prst="line">
                                <a:avLst/>
                              </a:prstGeom>
                              <a:noFill/>
                              <a:ln w="28575">
                                <a:solidFill>
                                  <a:srgbClr val="000000"/>
                                </a:solidFill>
                                <a:prstDash val="sysDot"/>
                                <a:round/>
                              </a:ln>
                            </wps:spPr>
                            <wps:bodyPr/>
                          </wps:wsp>
                        </a:graphicData>
                      </a:graphic>
                    </wp:anchor>
                  </w:drawing>
                </mc:Choice>
                <mc:Fallback>
                  <w:pict>
                    <v:line id="直接连接符 95" o:spid="_x0000_s1026" o:spt="20" style="position:absolute;left:0pt;margin-left:9.95pt;margin-top:7pt;height:0pt;width:139.35pt;z-index:251717632;mso-width-relative:page;mso-height-relative:page;" filled="f" stroked="t" coordsize="21600,21600" o:gfxdata="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BnT8lC1QAAAAgBAAAPAAAAAAAAAAEAIAAAADgAAABkcnMvZG93bnJldi54bWxQSwEC&#10;FAAUAAAACACHTuJAw/DFe+EBAACEAwAADgAAAAAAAAABACAAAAA6AQAAZHJzL2Uyb0RvYy54bWxQ&#10;SwUGAAAAAAYABgBZAQAAjQU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restart"/>
            <w:vAlign w:val="center"/>
          </w:tcPr>
          <w:p>
            <w:pPr>
              <w:pStyle w:val="93"/>
              <w:spacing w:line="300" w:lineRule="exact"/>
              <w:rPr>
                <w:rFonts w:eastAsia="仿宋_GB2312" w:cs="Times New Roman"/>
              </w:rPr>
            </w:pPr>
            <w:r>
              <w:rPr>
                <w:rFonts w:eastAsia="仿宋_GB2312" w:cs="Times New Roman"/>
              </w:rPr>
              <w:t>玛瑙塔基及临时施工区</w:t>
            </w:r>
          </w:p>
        </w:tc>
        <w:tc>
          <w:tcPr>
            <w:tcW w:w="1120" w:type="dxa"/>
            <w:vMerge w:val="restart"/>
            <w:vAlign w:val="center"/>
          </w:tcPr>
          <w:p>
            <w:pPr>
              <w:pStyle w:val="93"/>
              <w:spacing w:line="300" w:lineRule="exact"/>
              <w:rPr>
                <w:rFonts w:eastAsia="仿宋_GB2312" w:cs="Times New Roman"/>
              </w:rPr>
            </w:pPr>
            <w:r>
              <w:rPr>
                <w:rFonts w:eastAsia="仿宋_GB2312" w:cs="Times New Roman"/>
              </w:rPr>
              <w:t>工程措施</w:t>
            </w:r>
          </w:p>
        </w:tc>
        <w:tc>
          <w:tcPr>
            <w:tcW w:w="1420" w:type="dxa"/>
            <w:vAlign w:val="center"/>
          </w:tcPr>
          <w:p>
            <w:pPr>
              <w:pStyle w:val="93"/>
              <w:spacing w:line="300" w:lineRule="exact"/>
              <w:rPr>
                <w:rFonts w:eastAsia="仿宋_GB2312" w:cs="Times New Roman"/>
              </w:rPr>
            </w:pPr>
            <w:r>
              <w:rPr>
                <w:rFonts w:eastAsia="仿宋_GB2312" w:cs="Times New Roman"/>
              </w:rPr>
              <w:t>排洪沟</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18656" behindDoc="0" locked="0" layoutInCell="1" allowOverlap="1">
                      <wp:simplePos x="0" y="0"/>
                      <wp:positionH relativeFrom="column">
                        <wp:posOffset>126365</wp:posOffset>
                      </wp:positionH>
                      <wp:positionV relativeFrom="paragraph">
                        <wp:posOffset>101600</wp:posOffset>
                      </wp:positionV>
                      <wp:extent cx="952500" cy="0"/>
                      <wp:effectExtent l="0" t="19050" r="0" b="0"/>
                      <wp:wrapNone/>
                      <wp:docPr id="1301916692" name="直接连接符 93"/>
                      <wp:cNvGraphicFramePr/>
                      <a:graphic xmlns:a="http://schemas.openxmlformats.org/drawingml/2006/main">
                        <a:graphicData uri="http://schemas.microsoft.com/office/word/2010/wordprocessingShape">
                          <wps:wsp>
                            <wps:cNvCnPr>
                              <a:cxnSpLocks noChangeShapeType="true"/>
                            </wps:cNvCnPr>
                            <wps:spPr bwMode="auto">
                              <a:xfrm>
                                <a:off x="0" y="0"/>
                                <a:ext cx="952500" cy="0"/>
                              </a:xfrm>
                              <a:prstGeom prst="line">
                                <a:avLst/>
                              </a:prstGeom>
                              <a:noFill/>
                              <a:ln w="28575">
                                <a:solidFill>
                                  <a:srgbClr val="000000"/>
                                </a:solidFill>
                                <a:round/>
                              </a:ln>
                            </wps:spPr>
                            <wps:bodyPr/>
                          </wps:wsp>
                        </a:graphicData>
                      </a:graphic>
                    </wp:anchor>
                  </w:drawing>
                </mc:Choice>
                <mc:Fallback>
                  <w:pict>
                    <v:line id="直接连接符 93" o:spid="_x0000_s1026" o:spt="20" style="position:absolute;left:0pt;margin-left:9.95pt;margin-top:8pt;height:0pt;width:75pt;z-index:251718656;mso-width-relative:page;mso-height-relative:page;" filled="f" stroked="t" coordsize="21600,21600" o:gfxdata="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49F8NEAAAAI&#10;AQAADwAAAAAAAAABACAAAAA4AAAAZHJzL2Rvd25yZXYueG1sUEsBAhQAFAAAAAgAh07iQGVWcgTU&#10;AQAAaQMAAA4AAAAAAAAAAQAgAAAANgEAAGRycy9lMm9Eb2MueG1sUEsFBgAAAAAGAAYAWQEAAHwF&#10;AAAAAA==&#10;">
                      <v:fill on="f" focussize="0,0"/>
                      <v:stroke weight="2.25pt" color="#000000" joinstyle="round"/>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护坡墙</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19680" behindDoc="0" locked="0" layoutInCell="1" allowOverlap="1">
                      <wp:simplePos x="0" y="0"/>
                      <wp:positionH relativeFrom="column">
                        <wp:posOffset>-36195</wp:posOffset>
                      </wp:positionH>
                      <wp:positionV relativeFrom="paragraph">
                        <wp:posOffset>66675</wp:posOffset>
                      </wp:positionV>
                      <wp:extent cx="952500" cy="0"/>
                      <wp:effectExtent l="0" t="19050" r="0" b="0"/>
                      <wp:wrapNone/>
                      <wp:docPr id="593738668" name="直接连接符 91"/>
                      <wp:cNvGraphicFramePr/>
                      <a:graphic xmlns:a="http://schemas.openxmlformats.org/drawingml/2006/main">
                        <a:graphicData uri="http://schemas.microsoft.com/office/word/2010/wordprocessingShape">
                          <wps:wsp>
                            <wps:cNvCnPr>
                              <a:cxnSpLocks noChangeShapeType="true"/>
                            </wps:cNvCnPr>
                            <wps:spPr bwMode="auto">
                              <a:xfrm>
                                <a:off x="0" y="0"/>
                                <a:ext cx="952500" cy="0"/>
                              </a:xfrm>
                              <a:prstGeom prst="line">
                                <a:avLst/>
                              </a:prstGeom>
                              <a:noFill/>
                              <a:ln w="28575">
                                <a:solidFill>
                                  <a:srgbClr val="000000"/>
                                </a:solidFill>
                                <a:round/>
                              </a:ln>
                            </wps:spPr>
                            <wps:bodyPr/>
                          </wps:wsp>
                        </a:graphicData>
                      </a:graphic>
                    </wp:anchor>
                  </w:drawing>
                </mc:Choice>
                <mc:Fallback>
                  <w:pict>
                    <v:line id="直接连接符 91" o:spid="_x0000_s1026" o:spt="20" style="position:absolute;left:0pt;margin-left:-2.85pt;margin-top:5.25pt;height:0pt;width:75pt;z-index:251719680;mso-width-relative:page;mso-height-relative:page;" filled="f" stroked="t" coordsize="21600,21600" o:gfxdata="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AFaB/0&#10;1gAAAAgBAAAPAAAAAAAAAAEAIAAAADgAAABkcnMvZG93bnJldi54bWxQSwECFAAUAAAACACHTuJA&#10;CxInZdQBAABoAwAADgAAAAAAAAABACAAAAA7AQAAZHJzL2Uyb0RvYy54bWxQSwUGAAAAAAYABgBZ&#10;AQAAgQUAAAAA&#10;">
                      <v:fill on="f" focussize="0,0"/>
                      <v:stroke weight="2.25pt" color="#000000" joinstyle="round"/>
                      <v:imagedata o:title=""/>
                      <o:lock v:ext="edit" aspectratio="f"/>
                    </v:line>
                  </w:pict>
                </mc:Fallback>
              </mc:AlternateContent>
            </w:r>
            <w:r>
              <w:rPr>
                <w:rFonts w:eastAsia="仿宋_GB2312" w:cs="Times New Roman"/>
                <w:lang w:val="zh-CN"/>
              </w:rPr>
              <w:t>·</w: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表土剥离</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20704" behindDoc="0" locked="0" layoutInCell="1" allowOverlap="1">
                      <wp:simplePos x="0" y="0"/>
                      <wp:positionH relativeFrom="column">
                        <wp:posOffset>175260</wp:posOffset>
                      </wp:positionH>
                      <wp:positionV relativeFrom="paragraph">
                        <wp:posOffset>88900</wp:posOffset>
                      </wp:positionV>
                      <wp:extent cx="1769745" cy="0"/>
                      <wp:effectExtent l="0" t="19050" r="1905" b="0"/>
                      <wp:wrapNone/>
                      <wp:docPr id="1759835960" name="直接连接符 89"/>
                      <wp:cNvGraphicFramePr/>
                      <a:graphic xmlns:a="http://schemas.openxmlformats.org/drawingml/2006/main">
                        <a:graphicData uri="http://schemas.microsoft.com/office/word/2010/wordprocessingShape">
                          <wps:wsp>
                            <wps:cNvCnPr>
                              <a:cxnSpLocks noChangeShapeType="true"/>
                            </wps:cNvCnPr>
                            <wps:spPr bwMode="auto">
                              <a:xfrm>
                                <a:off x="0" y="0"/>
                                <a:ext cx="1769745" cy="0"/>
                              </a:xfrm>
                              <a:prstGeom prst="line">
                                <a:avLst/>
                              </a:prstGeom>
                              <a:noFill/>
                              <a:ln w="28575">
                                <a:solidFill>
                                  <a:srgbClr val="000000"/>
                                </a:solidFill>
                                <a:prstDash val="sysDot"/>
                                <a:round/>
                              </a:ln>
                            </wps:spPr>
                            <wps:bodyPr/>
                          </wps:wsp>
                        </a:graphicData>
                      </a:graphic>
                    </wp:anchor>
                  </w:drawing>
                </mc:Choice>
                <mc:Fallback>
                  <w:pict>
                    <v:line id="直接连接符 89" o:spid="_x0000_s1026" o:spt="20" style="position:absolute;left:0pt;margin-left:13.8pt;margin-top:7pt;height:0pt;width:139.35pt;z-index:251720704;mso-width-relative:page;mso-height-relative:page;" filled="f" stroked="t" coordsize="21600,21600" o:gfxdata="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DEpuC9YAAAAIAQAADwAAAAAAAAABACAAAAA4AAAAZHJzL2Rvd25yZXYueG1sUEsB&#10;AhQAFAAAAAgAh07iQMUHxF7hAQAAhAMAAA4AAAAAAAAAAQAgAAAAOwEAAGRycy9lMm9Eb2MueG1s&#10;UEsFBgAAAAAGAAYAWQEAAI4FA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土地平整</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21728" behindDoc="0" locked="0" layoutInCell="1" allowOverlap="1">
                      <wp:simplePos x="0" y="0"/>
                      <wp:positionH relativeFrom="column">
                        <wp:posOffset>213995</wp:posOffset>
                      </wp:positionH>
                      <wp:positionV relativeFrom="paragraph">
                        <wp:posOffset>31750</wp:posOffset>
                      </wp:positionV>
                      <wp:extent cx="1453515" cy="0"/>
                      <wp:effectExtent l="0" t="19050" r="13335" b="0"/>
                      <wp:wrapNone/>
                      <wp:docPr id="1818206197" name="直接连接符 87"/>
                      <wp:cNvGraphicFramePr/>
                      <a:graphic xmlns:a="http://schemas.openxmlformats.org/drawingml/2006/main">
                        <a:graphicData uri="http://schemas.microsoft.com/office/word/2010/wordprocessingShape">
                          <wps:wsp>
                            <wps:cNvCnPr>
                              <a:cxnSpLocks noChangeShapeType="true"/>
                            </wps:cNvCnPr>
                            <wps:spPr bwMode="auto">
                              <a:xfrm>
                                <a:off x="0" y="0"/>
                                <a:ext cx="1453515" cy="0"/>
                              </a:xfrm>
                              <a:prstGeom prst="line">
                                <a:avLst/>
                              </a:prstGeom>
                              <a:noFill/>
                              <a:ln w="28575">
                                <a:solidFill>
                                  <a:srgbClr val="000000"/>
                                </a:solidFill>
                                <a:prstDash val="sysDot"/>
                                <a:round/>
                              </a:ln>
                            </wps:spPr>
                            <wps:bodyPr/>
                          </wps:wsp>
                        </a:graphicData>
                      </a:graphic>
                    </wp:anchor>
                  </w:drawing>
                </mc:Choice>
                <mc:Fallback>
                  <w:pict>
                    <v:line id="直接连接符 87" o:spid="_x0000_s1026" o:spt="20" style="position:absolute;left:0pt;margin-left:16.85pt;margin-top:2.5pt;height:0pt;width:114.45pt;z-index:251721728;mso-width-relative:page;mso-height-relative:page;" filled="f" stroked="t" coordsize="21600,21600" o:gfxdata="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uh1GVdUAAAAGAQAADwAAAAAAAAABACAAAAA4AAAAZHJzL2Rvd25yZXYueG1sUEsB&#10;AhQAFAAAAAgAh07iQCb0DS/iAQAAhAMAAA4AAAAAAAAAAQAgAAAAOgEAAGRycy9lMm9Eb2MueG1s&#10;UEsFBgAAAAAGAAYAWQEAAI4FA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表土回覆</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22752" behindDoc="0" locked="0" layoutInCell="1" allowOverlap="1">
                      <wp:simplePos x="0" y="0"/>
                      <wp:positionH relativeFrom="column">
                        <wp:posOffset>73660</wp:posOffset>
                      </wp:positionH>
                      <wp:positionV relativeFrom="paragraph">
                        <wp:posOffset>62865</wp:posOffset>
                      </wp:positionV>
                      <wp:extent cx="1453515" cy="0"/>
                      <wp:effectExtent l="0" t="19050" r="13335" b="0"/>
                      <wp:wrapNone/>
                      <wp:docPr id="1074721286" name="直接连接符 85"/>
                      <wp:cNvGraphicFramePr/>
                      <a:graphic xmlns:a="http://schemas.openxmlformats.org/drawingml/2006/main">
                        <a:graphicData uri="http://schemas.microsoft.com/office/word/2010/wordprocessingShape">
                          <wps:wsp>
                            <wps:cNvCnPr>
                              <a:cxnSpLocks noChangeShapeType="true"/>
                            </wps:cNvCnPr>
                            <wps:spPr bwMode="auto">
                              <a:xfrm>
                                <a:off x="0" y="0"/>
                                <a:ext cx="1453515" cy="0"/>
                              </a:xfrm>
                              <a:prstGeom prst="line">
                                <a:avLst/>
                              </a:prstGeom>
                              <a:noFill/>
                              <a:ln w="28575">
                                <a:solidFill>
                                  <a:srgbClr val="000000"/>
                                </a:solidFill>
                                <a:prstDash val="sysDot"/>
                                <a:round/>
                              </a:ln>
                            </wps:spPr>
                            <wps:bodyPr/>
                          </wps:wsp>
                        </a:graphicData>
                      </a:graphic>
                    </wp:anchor>
                  </w:drawing>
                </mc:Choice>
                <mc:Fallback>
                  <w:pict>
                    <v:line id="直接连接符 85" o:spid="_x0000_s1026" o:spt="20" style="position:absolute;left:0pt;margin-left:5.8pt;margin-top:4.95pt;height:0pt;width:114.45pt;z-index:251722752;mso-width-relative:page;mso-height-relative:page;" filled="f" stroked="t" coordsize="21600,21600" o:gfxdata="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Bk2nJC1AAAAAYBAAAPAAAAAAAAAAEAIAAAADgAAABkcnMvZG93bnJldi54bWxQSwEC&#10;FAAUAAAACACHTuJAuoIG/OIBAACEAwAADgAAAAAAAAABACAAAAA5AQAAZHJzL2Uyb0RvYy54bWxQ&#10;SwUGAAAAAAYABgBZAQAAjQU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Align w:val="center"/>
          </w:tcPr>
          <w:p>
            <w:pPr>
              <w:pStyle w:val="93"/>
              <w:spacing w:line="300" w:lineRule="exact"/>
              <w:rPr>
                <w:rFonts w:eastAsia="仿宋_GB2312" w:cs="Times New Roman"/>
              </w:rPr>
            </w:pPr>
            <w:r>
              <w:rPr>
                <w:rFonts w:eastAsia="仿宋_GB2312" w:cs="Times New Roman"/>
              </w:rPr>
              <w:t>植被措施</w:t>
            </w:r>
          </w:p>
        </w:tc>
        <w:tc>
          <w:tcPr>
            <w:tcW w:w="1420" w:type="dxa"/>
            <w:vAlign w:val="center"/>
          </w:tcPr>
          <w:p>
            <w:pPr>
              <w:pStyle w:val="93"/>
              <w:spacing w:line="300" w:lineRule="exact"/>
              <w:rPr>
                <w:rFonts w:eastAsia="仿宋_GB2312" w:cs="Times New Roman"/>
              </w:rPr>
            </w:pPr>
            <w:r>
              <w:rPr>
                <w:rFonts w:eastAsia="仿宋_GB2312" w:cs="Times New Roman"/>
              </w:rPr>
              <w:t>植被恢复</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23776" behindDoc="0" locked="0" layoutInCell="1" allowOverlap="1">
                      <wp:simplePos x="0" y="0"/>
                      <wp:positionH relativeFrom="column">
                        <wp:posOffset>203835</wp:posOffset>
                      </wp:positionH>
                      <wp:positionV relativeFrom="paragraph">
                        <wp:posOffset>98425</wp:posOffset>
                      </wp:positionV>
                      <wp:extent cx="1769745" cy="0"/>
                      <wp:effectExtent l="0" t="19050" r="1905" b="0"/>
                      <wp:wrapNone/>
                      <wp:docPr id="1033243988" name="直接连接符 83"/>
                      <wp:cNvGraphicFramePr/>
                      <a:graphic xmlns:a="http://schemas.openxmlformats.org/drawingml/2006/main">
                        <a:graphicData uri="http://schemas.microsoft.com/office/word/2010/wordprocessingShape">
                          <wps:wsp>
                            <wps:cNvCnPr>
                              <a:cxnSpLocks noChangeShapeType="true"/>
                            </wps:cNvCnPr>
                            <wps:spPr bwMode="auto">
                              <a:xfrm>
                                <a:off x="0" y="0"/>
                                <a:ext cx="1769745" cy="0"/>
                              </a:xfrm>
                              <a:prstGeom prst="line">
                                <a:avLst/>
                              </a:prstGeom>
                              <a:noFill/>
                              <a:ln w="28575">
                                <a:solidFill>
                                  <a:srgbClr val="000000"/>
                                </a:solidFill>
                                <a:prstDash val="sysDot"/>
                                <a:round/>
                              </a:ln>
                            </wps:spPr>
                            <wps:bodyPr/>
                          </wps:wsp>
                        </a:graphicData>
                      </a:graphic>
                    </wp:anchor>
                  </w:drawing>
                </mc:Choice>
                <mc:Fallback>
                  <w:pict>
                    <v:line id="直接连接符 83" o:spid="_x0000_s1026" o:spt="20" style="position:absolute;left:0pt;margin-left:16.05pt;margin-top:7.75pt;height:0pt;width:139.35pt;z-index:251723776;mso-width-relative:page;mso-height-relative:page;" filled="f" stroked="t" coordsize="21600,21600" o:gfxdata="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zPqyg9UAAAAIAQAADwAAAAAAAAABACAAAAA4AAAAZHJzL2Rvd25yZXYueG1sUEsB&#10;AhQAFAAAAAgAh07iQJp5e8biAQAAhAMAAA4AAAAAAAAAAQAgAAAAOgEAAGRycy9lMm9Eb2MueG1s&#10;UEsFBgAAAAAGAAYAWQEAAI4FA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restart"/>
            <w:vAlign w:val="center"/>
          </w:tcPr>
          <w:p>
            <w:pPr>
              <w:pStyle w:val="93"/>
              <w:spacing w:line="300" w:lineRule="exact"/>
              <w:rPr>
                <w:rFonts w:eastAsia="仿宋_GB2312" w:cs="Times New Roman"/>
              </w:rPr>
            </w:pPr>
            <w:r>
              <w:rPr>
                <w:rFonts w:eastAsia="仿宋_GB2312" w:cs="Times New Roman"/>
              </w:rPr>
              <w:t>临时措施</w:t>
            </w:r>
          </w:p>
        </w:tc>
        <w:tc>
          <w:tcPr>
            <w:tcW w:w="1420" w:type="dxa"/>
            <w:vAlign w:val="center"/>
          </w:tcPr>
          <w:p>
            <w:pPr>
              <w:pStyle w:val="93"/>
              <w:spacing w:line="300" w:lineRule="exact"/>
              <w:rPr>
                <w:rFonts w:eastAsia="仿宋_GB2312" w:cs="Times New Roman"/>
              </w:rPr>
            </w:pPr>
            <w:r>
              <w:rPr>
                <w:rFonts w:eastAsia="仿宋_GB2312" w:cs="Times New Roman"/>
              </w:rPr>
              <w:t>土袋拦挡</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24800" behindDoc="0" locked="0" layoutInCell="1" allowOverlap="1">
                      <wp:simplePos x="0" y="0"/>
                      <wp:positionH relativeFrom="column">
                        <wp:posOffset>27940</wp:posOffset>
                      </wp:positionH>
                      <wp:positionV relativeFrom="paragraph">
                        <wp:posOffset>91440</wp:posOffset>
                      </wp:positionV>
                      <wp:extent cx="2630805" cy="0"/>
                      <wp:effectExtent l="0" t="19050" r="17145" b="0"/>
                      <wp:wrapNone/>
                      <wp:docPr id="613197312" name="直接连接符 81"/>
                      <wp:cNvGraphicFramePr/>
                      <a:graphic xmlns:a="http://schemas.openxmlformats.org/drawingml/2006/main">
                        <a:graphicData uri="http://schemas.microsoft.com/office/word/2010/wordprocessingShape">
                          <wps:wsp>
                            <wps:cNvCnPr>
                              <a:cxnSpLocks noChangeShapeType="true"/>
                            </wps:cNvCnPr>
                            <wps:spPr bwMode="auto">
                              <a:xfrm>
                                <a:off x="0" y="0"/>
                                <a:ext cx="2630805" cy="0"/>
                              </a:xfrm>
                              <a:prstGeom prst="line">
                                <a:avLst/>
                              </a:prstGeom>
                              <a:noFill/>
                              <a:ln w="28575">
                                <a:solidFill>
                                  <a:srgbClr val="000000"/>
                                </a:solidFill>
                                <a:prstDash val="sysDot"/>
                                <a:round/>
                              </a:ln>
                            </wps:spPr>
                            <wps:bodyPr/>
                          </wps:wsp>
                        </a:graphicData>
                      </a:graphic>
                    </wp:anchor>
                  </w:drawing>
                </mc:Choice>
                <mc:Fallback>
                  <w:pict>
                    <v:line id="直接连接符 81" o:spid="_x0000_s1026" o:spt="20" style="position:absolute;left:0pt;margin-left:2.2pt;margin-top:7.2pt;height:0pt;width:207.15pt;z-index:251724800;mso-width-relative:page;mso-height-relative:page;" filled="f" stroked="t" coordsize="21600,21600" o:gfxdata="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WpSoMNQAAAAHAQAADwAAAAAAAAABACAAAAA4AAAAZHJzL2Rvd25yZXYueG1sUEsBAhQA&#10;FAAAAAgAh07iQMEBhjzgAQAAgwMAAA4AAAAAAAAAAQAgAAAAOQEAAGRycy9lMm9Eb2MueG1sUEsF&#10;BgAAAAAGAAYAWQEAAIsFA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防雨布遮盖</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25824" behindDoc="0" locked="0" layoutInCell="1" allowOverlap="1">
                      <wp:simplePos x="0" y="0"/>
                      <wp:positionH relativeFrom="column">
                        <wp:posOffset>27305</wp:posOffset>
                      </wp:positionH>
                      <wp:positionV relativeFrom="paragraph">
                        <wp:posOffset>47625</wp:posOffset>
                      </wp:positionV>
                      <wp:extent cx="2630805" cy="0"/>
                      <wp:effectExtent l="0" t="19050" r="17145" b="0"/>
                      <wp:wrapNone/>
                      <wp:docPr id="1194748034" name="直接连接符 79"/>
                      <wp:cNvGraphicFramePr/>
                      <a:graphic xmlns:a="http://schemas.openxmlformats.org/drawingml/2006/main">
                        <a:graphicData uri="http://schemas.microsoft.com/office/word/2010/wordprocessingShape">
                          <wps:wsp>
                            <wps:cNvCnPr>
                              <a:cxnSpLocks noChangeShapeType="true"/>
                            </wps:cNvCnPr>
                            <wps:spPr bwMode="auto">
                              <a:xfrm>
                                <a:off x="0" y="0"/>
                                <a:ext cx="2630805" cy="0"/>
                              </a:xfrm>
                              <a:prstGeom prst="line">
                                <a:avLst/>
                              </a:prstGeom>
                              <a:noFill/>
                              <a:ln w="28575">
                                <a:solidFill>
                                  <a:srgbClr val="000000"/>
                                </a:solidFill>
                                <a:prstDash val="sysDot"/>
                                <a:round/>
                              </a:ln>
                            </wps:spPr>
                            <wps:bodyPr/>
                          </wps:wsp>
                        </a:graphicData>
                      </a:graphic>
                    </wp:anchor>
                  </w:drawing>
                </mc:Choice>
                <mc:Fallback>
                  <w:pict>
                    <v:line id="直接连接符 79" o:spid="_x0000_s1026" o:spt="20" style="position:absolute;left:0pt;margin-left:2.15pt;margin-top:3.75pt;height:0pt;width:207.15pt;z-index:251725824;mso-width-relative:page;mso-height-relative:page;" filled="f" stroked="t" coordsize="21600,21600" o:gfxdata="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OHmKg9UAAAAFAQAADwAAAAAAAAABACAAAAA4AAAAZHJzL2Rvd25yZXYueG1sUEsB&#10;AhQAFAAAAAgAh07iQH45LljiAQAAhAMAAA4AAAAAAAAAAQAgAAAAOgEAAGRycy9lMm9Eb2MueG1s&#10;UEsFBgAAAAAGAAYAWQEAAI4FA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restart"/>
            <w:vAlign w:val="center"/>
          </w:tcPr>
          <w:p>
            <w:pPr>
              <w:pStyle w:val="93"/>
              <w:spacing w:line="300" w:lineRule="exact"/>
              <w:rPr>
                <w:rFonts w:eastAsia="仿宋_GB2312" w:cs="Times New Roman"/>
              </w:rPr>
            </w:pPr>
            <w:r>
              <w:rPr>
                <w:rFonts w:eastAsia="仿宋_GB2312" w:cs="Times New Roman"/>
              </w:rPr>
              <w:t>玛瑙施工便道区</w:t>
            </w:r>
          </w:p>
        </w:tc>
        <w:tc>
          <w:tcPr>
            <w:tcW w:w="1120" w:type="dxa"/>
            <w:vMerge w:val="restart"/>
            <w:vAlign w:val="center"/>
          </w:tcPr>
          <w:p>
            <w:pPr>
              <w:pStyle w:val="93"/>
              <w:spacing w:line="300" w:lineRule="exact"/>
              <w:rPr>
                <w:rFonts w:eastAsia="仿宋_GB2312" w:cs="Times New Roman"/>
              </w:rPr>
            </w:pPr>
            <w:r>
              <w:rPr>
                <w:rFonts w:eastAsia="仿宋_GB2312" w:cs="Times New Roman"/>
              </w:rPr>
              <w:t>工程措施</w:t>
            </w:r>
          </w:p>
        </w:tc>
        <w:tc>
          <w:tcPr>
            <w:tcW w:w="1420" w:type="dxa"/>
            <w:vAlign w:val="center"/>
          </w:tcPr>
          <w:p>
            <w:pPr>
              <w:pStyle w:val="93"/>
              <w:spacing w:line="300" w:lineRule="exact"/>
              <w:rPr>
                <w:rFonts w:eastAsia="仿宋_GB2312" w:cs="Times New Roman"/>
              </w:rPr>
            </w:pPr>
            <w:r>
              <w:rPr>
                <w:rFonts w:eastAsia="仿宋_GB2312" w:cs="Times New Roman"/>
              </w:rPr>
              <w:t>表土剥离</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26848" behindDoc="0" locked="0" layoutInCell="1" allowOverlap="1">
                      <wp:simplePos x="0" y="0"/>
                      <wp:positionH relativeFrom="column">
                        <wp:posOffset>26035</wp:posOffset>
                      </wp:positionH>
                      <wp:positionV relativeFrom="paragraph">
                        <wp:posOffset>59690</wp:posOffset>
                      </wp:positionV>
                      <wp:extent cx="1125220" cy="0"/>
                      <wp:effectExtent l="0" t="19050" r="17780" b="0"/>
                      <wp:wrapNone/>
                      <wp:docPr id="1834386112" name="直接连接符 77"/>
                      <wp:cNvGraphicFramePr/>
                      <a:graphic xmlns:a="http://schemas.openxmlformats.org/drawingml/2006/main">
                        <a:graphicData uri="http://schemas.microsoft.com/office/word/2010/wordprocessingShape">
                          <wps:wsp>
                            <wps:cNvCnPr>
                              <a:cxnSpLocks noChangeShapeType="true"/>
                            </wps:cNvCnPr>
                            <wps:spPr bwMode="auto">
                              <a:xfrm>
                                <a:off x="0" y="0"/>
                                <a:ext cx="1125220" cy="0"/>
                              </a:xfrm>
                              <a:prstGeom prst="line">
                                <a:avLst/>
                              </a:prstGeom>
                              <a:noFill/>
                              <a:ln w="28575">
                                <a:solidFill>
                                  <a:srgbClr val="000000"/>
                                </a:solidFill>
                                <a:prstDash val="sysDot"/>
                                <a:round/>
                              </a:ln>
                            </wps:spPr>
                            <wps:bodyPr/>
                          </wps:wsp>
                        </a:graphicData>
                      </a:graphic>
                    </wp:anchor>
                  </w:drawing>
                </mc:Choice>
                <mc:Fallback>
                  <w:pict>
                    <v:line id="直接连接符 77" o:spid="_x0000_s1026" o:spt="20" style="position:absolute;left:0pt;margin-left:2.05pt;margin-top:4.7pt;height:0pt;width:88.6pt;z-index:251726848;mso-width-relative:page;mso-height-relative:page;" filled="f" stroked="t" coordsize="21600,21600" o:gfxdata="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ACv5j71AAAAAUBAAAPAAAAAAAAAAEAIAAAADgAAABkcnMvZG93bnJldi54bWxQSwEC&#10;FAAUAAAACACHTuJAjNRaHeIBAACEAwAADgAAAAAAAAABACAAAAA5AQAAZHJzL2Uyb0RvYy54bWxQ&#10;SwUGAAAAAAYABgBZAQAAjQU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土地平整</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27872" behindDoc="0" locked="0" layoutInCell="1" allowOverlap="1">
                      <wp:simplePos x="0" y="0"/>
                      <wp:positionH relativeFrom="column">
                        <wp:posOffset>209550</wp:posOffset>
                      </wp:positionH>
                      <wp:positionV relativeFrom="paragraph">
                        <wp:posOffset>82550</wp:posOffset>
                      </wp:positionV>
                      <wp:extent cx="1125220" cy="0"/>
                      <wp:effectExtent l="0" t="19050" r="17780" b="0"/>
                      <wp:wrapNone/>
                      <wp:docPr id="1902236745" name="直接连接符 75"/>
                      <wp:cNvGraphicFramePr/>
                      <a:graphic xmlns:a="http://schemas.openxmlformats.org/drawingml/2006/main">
                        <a:graphicData uri="http://schemas.microsoft.com/office/word/2010/wordprocessingShape">
                          <wps:wsp>
                            <wps:cNvCnPr>
                              <a:cxnSpLocks noChangeShapeType="true"/>
                            </wps:cNvCnPr>
                            <wps:spPr bwMode="auto">
                              <a:xfrm>
                                <a:off x="0" y="0"/>
                                <a:ext cx="1125220" cy="0"/>
                              </a:xfrm>
                              <a:prstGeom prst="line">
                                <a:avLst/>
                              </a:prstGeom>
                              <a:noFill/>
                              <a:ln w="28575">
                                <a:solidFill>
                                  <a:srgbClr val="000000"/>
                                </a:solidFill>
                                <a:prstDash val="sysDot"/>
                                <a:round/>
                              </a:ln>
                            </wps:spPr>
                            <wps:bodyPr/>
                          </wps:wsp>
                        </a:graphicData>
                      </a:graphic>
                    </wp:anchor>
                  </w:drawing>
                </mc:Choice>
                <mc:Fallback>
                  <w:pict>
                    <v:line id="直接连接符 75" o:spid="_x0000_s1026" o:spt="20" style="position:absolute;left:0pt;margin-left:16.5pt;margin-top:6.5pt;height:0pt;width:88.6pt;z-index:251727872;mso-width-relative:page;mso-height-relative:page;" filled="f" stroked="t" coordsize="21600,21600" o:gfxdata="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E8LvYrVAAAACAEAAA8AAAAAAAAAAQAgAAAAOAAAAGRycy9kb3ducmV2LnhtbFBLAQIU&#10;ABQAAAAIAIdO4kDkHdD24AEAAIQDAAAOAAAAAAAAAAEAIAAAADoBAABkcnMvZTJvRG9jLnhtbFBL&#10;BQYAAAAABgAGAFkBAACMBQ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表土回覆</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28896" behindDoc="0" locked="0" layoutInCell="1" allowOverlap="1">
                      <wp:simplePos x="0" y="0"/>
                      <wp:positionH relativeFrom="column">
                        <wp:posOffset>187325</wp:posOffset>
                      </wp:positionH>
                      <wp:positionV relativeFrom="paragraph">
                        <wp:posOffset>73025</wp:posOffset>
                      </wp:positionV>
                      <wp:extent cx="1125220" cy="0"/>
                      <wp:effectExtent l="0" t="19050" r="17780" b="0"/>
                      <wp:wrapNone/>
                      <wp:docPr id="2032937884" name="直接连接符 73"/>
                      <wp:cNvGraphicFramePr/>
                      <a:graphic xmlns:a="http://schemas.openxmlformats.org/drawingml/2006/main">
                        <a:graphicData uri="http://schemas.microsoft.com/office/word/2010/wordprocessingShape">
                          <wps:wsp>
                            <wps:cNvCnPr>
                              <a:cxnSpLocks noChangeShapeType="true"/>
                            </wps:cNvCnPr>
                            <wps:spPr bwMode="auto">
                              <a:xfrm>
                                <a:off x="0" y="0"/>
                                <a:ext cx="1125220" cy="0"/>
                              </a:xfrm>
                              <a:prstGeom prst="line">
                                <a:avLst/>
                              </a:prstGeom>
                              <a:noFill/>
                              <a:ln w="28575">
                                <a:solidFill>
                                  <a:srgbClr val="000000"/>
                                </a:solidFill>
                                <a:prstDash val="sysDot"/>
                                <a:round/>
                              </a:ln>
                            </wps:spPr>
                            <wps:bodyPr/>
                          </wps:wsp>
                        </a:graphicData>
                      </a:graphic>
                    </wp:anchor>
                  </w:drawing>
                </mc:Choice>
                <mc:Fallback>
                  <w:pict>
                    <v:line id="直接连接符 73" o:spid="_x0000_s1026" o:spt="20" style="position:absolute;left:0pt;margin-left:14.75pt;margin-top:5.75pt;height:0pt;width:88.6pt;z-index:251728896;mso-width-relative:page;mso-height-relative:page;" filled="f" stroked="t" coordsize="21600,21600" o:gfxdata="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G22xB3XAAAACAEAAA8AAAAAAAAAAQAgAAAAOAAAAGRycy9kb3ducmV2LnhtbFBL&#10;AQIUABQAAAAIAIdO4kC3cNJ54QEAAIQDAAAOAAAAAAAAAAEAIAAAADwBAABkcnMvZTJvRG9jLnht&#10;bFBLBQYAAAAABgAGAFkBAACPBQ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Align w:val="center"/>
          </w:tcPr>
          <w:p>
            <w:pPr>
              <w:pStyle w:val="93"/>
              <w:spacing w:line="300" w:lineRule="exact"/>
              <w:rPr>
                <w:rFonts w:eastAsia="仿宋_GB2312" w:cs="Times New Roman"/>
              </w:rPr>
            </w:pPr>
            <w:r>
              <w:rPr>
                <w:rFonts w:eastAsia="仿宋_GB2312" w:cs="Times New Roman"/>
              </w:rPr>
              <w:t>植物措施</w:t>
            </w:r>
          </w:p>
        </w:tc>
        <w:tc>
          <w:tcPr>
            <w:tcW w:w="1420" w:type="dxa"/>
            <w:vAlign w:val="center"/>
          </w:tcPr>
          <w:p>
            <w:pPr>
              <w:pStyle w:val="93"/>
              <w:spacing w:line="300" w:lineRule="exact"/>
              <w:rPr>
                <w:rFonts w:eastAsia="仿宋_GB2312" w:cs="Times New Roman"/>
              </w:rPr>
            </w:pPr>
            <w:r>
              <w:rPr>
                <w:rFonts w:eastAsia="仿宋_GB2312" w:cs="Times New Roman"/>
              </w:rPr>
              <w:t>种植桤木</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31968" behindDoc="0" locked="0" layoutInCell="1" allowOverlap="1">
                      <wp:simplePos x="0" y="0"/>
                      <wp:positionH relativeFrom="column">
                        <wp:posOffset>162560</wp:posOffset>
                      </wp:positionH>
                      <wp:positionV relativeFrom="paragraph">
                        <wp:posOffset>71755</wp:posOffset>
                      </wp:positionV>
                      <wp:extent cx="1591310" cy="0"/>
                      <wp:effectExtent l="0" t="19050" r="8890" b="0"/>
                      <wp:wrapNone/>
                      <wp:docPr id="854410323" name="直接连接符 71"/>
                      <wp:cNvGraphicFramePr/>
                      <a:graphic xmlns:a="http://schemas.openxmlformats.org/drawingml/2006/main">
                        <a:graphicData uri="http://schemas.microsoft.com/office/word/2010/wordprocessingShape">
                          <wps:wsp>
                            <wps:cNvCnPr>
                              <a:cxnSpLocks noChangeShapeType="true"/>
                            </wps:cNvCnPr>
                            <wps:spPr bwMode="auto">
                              <a:xfrm>
                                <a:off x="0" y="0"/>
                                <a:ext cx="1591310" cy="0"/>
                              </a:xfrm>
                              <a:prstGeom prst="line">
                                <a:avLst/>
                              </a:prstGeom>
                              <a:noFill/>
                              <a:ln w="28575">
                                <a:solidFill>
                                  <a:srgbClr val="000000"/>
                                </a:solidFill>
                                <a:prstDash val="sysDot"/>
                                <a:round/>
                              </a:ln>
                            </wps:spPr>
                            <wps:bodyPr/>
                          </wps:wsp>
                        </a:graphicData>
                      </a:graphic>
                    </wp:anchor>
                  </w:drawing>
                </mc:Choice>
                <mc:Fallback>
                  <w:pict>
                    <v:line id="直接连接符 71" o:spid="_x0000_s1026" o:spt="20" style="position:absolute;left:0pt;margin-left:12.8pt;margin-top:5.65pt;height:0pt;width:125.3pt;z-index:251731968;mso-width-relative:page;mso-height-relative:page;" filled="f" stroked="t" coordsize="21600,21600" o:gfxdata="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yYEmNdYAAAAIAQAADwAAAAAAAAABACAAAAA4AAAAZHJzL2Rvd25yZXYueG1sUEsB&#10;AhQAFAAAAAgAh07iQOv+deLhAQAAgwMAAA4AAAAAAAAAAQAgAAAAOwEAAGRycy9lMm9Eb2MueG1s&#10;UEsFBgAAAAAGAAYAWQEAAI4FA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c>
          <w:tcPr>
            <w:tcW w:w="500" w:type="dxa"/>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restart"/>
            <w:vAlign w:val="center"/>
          </w:tcPr>
          <w:p>
            <w:pPr>
              <w:pStyle w:val="93"/>
              <w:spacing w:line="300" w:lineRule="exact"/>
              <w:rPr>
                <w:rFonts w:eastAsia="仿宋_GB2312" w:cs="Times New Roman"/>
              </w:rPr>
            </w:pPr>
            <w:r>
              <w:rPr>
                <w:rFonts w:eastAsia="仿宋_GB2312" w:cs="Times New Roman"/>
              </w:rPr>
              <w:t>临时措施</w:t>
            </w:r>
          </w:p>
        </w:tc>
        <w:tc>
          <w:tcPr>
            <w:tcW w:w="1420" w:type="dxa"/>
            <w:vAlign w:val="center"/>
          </w:tcPr>
          <w:p>
            <w:pPr>
              <w:pStyle w:val="93"/>
              <w:spacing w:line="300" w:lineRule="exact"/>
              <w:rPr>
                <w:rFonts w:eastAsia="仿宋_GB2312" w:cs="Times New Roman"/>
              </w:rPr>
            </w:pPr>
            <w:r>
              <w:rPr>
                <w:rFonts w:eastAsia="仿宋_GB2312" w:cs="Times New Roman"/>
              </w:rPr>
              <w:t>土袋拦挡</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32992" behindDoc="0" locked="0" layoutInCell="1" allowOverlap="1">
                      <wp:simplePos x="0" y="0"/>
                      <wp:positionH relativeFrom="column">
                        <wp:posOffset>147320</wp:posOffset>
                      </wp:positionH>
                      <wp:positionV relativeFrom="paragraph">
                        <wp:posOffset>95250</wp:posOffset>
                      </wp:positionV>
                      <wp:extent cx="2490470" cy="0"/>
                      <wp:effectExtent l="0" t="19050" r="5080" b="0"/>
                      <wp:wrapNone/>
                      <wp:docPr id="1442063144" name="直接连接符 69"/>
                      <wp:cNvGraphicFramePr/>
                      <a:graphic xmlns:a="http://schemas.openxmlformats.org/drawingml/2006/main">
                        <a:graphicData uri="http://schemas.microsoft.com/office/word/2010/wordprocessingShape">
                          <wps:wsp>
                            <wps:cNvCnPr>
                              <a:cxnSpLocks noChangeShapeType="true"/>
                            </wps:cNvCnPr>
                            <wps:spPr bwMode="auto">
                              <a:xfrm>
                                <a:off x="0" y="0"/>
                                <a:ext cx="2490470" cy="0"/>
                              </a:xfrm>
                              <a:prstGeom prst="line">
                                <a:avLst/>
                              </a:prstGeom>
                              <a:noFill/>
                              <a:ln w="28575">
                                <a:solidFill>
                                  <a:srgbClr val="000000"/>
                                </a:solidFill>
                                <a:prstDash val="sysDot"/>
                                <a:round/>
                              </a:ln>
                            </wps:spPr>
                            <wps:bodyPr/>
                          </wps:wsp>
                        </a:graphicData>
                      </a:graphic>
                    </wp:anchor>
                  </w:drawing>
                </mc:Choice>
                <mc:Fallback>
                  <w:pict>
                    <v:line id="直接连接符 69" o:spid="_x0000_s1026" o:spt="20" style="position:absolute;left:0pt;margin-left:11.6pt;margin-top:7.5pt;height:0pt;width:196.1pt;z-index:251732992;mso-width-relative:page;mso-height-relative:page;" filled="f" stroked="t" coordsize="21600,21600" o:gfxdata="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CTHbyj1gAAAAgBAAAPAAAAAAAAAAEAIAAAADgAAABkcnMvZG93bnJldi54bWxQSwEC&#10;FAAUAAAACACHTuJApa7mluABAACEAwAADgAAAAAAAAABACAAAAA7AQAAZHJzL2Uyb0RvYy54bWxQ&#10;SwUGAAAAAAYABgBZAQAAjQU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防雨布遮盖</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34016" behindDoc="0" locked="0" layoutInCell="1" allowOverlap="1">
                      <wp:simplePos x="0" y="0"/>
                      <wp:positionH relativeFrom="column">
                        <wp:posOffset>147955</wp:posOffset>
                      </wp:positionH>
                      <wp:positionV relativeFrom="paragraph">
                        <wp:posOffset>62230</wp:posOffset>
                      </wp:positionV>
                      <wp:extent cx="2490470" cy="0"/>
                      <wp:effectExtent l="0" t="19050" r="5080" b="0"/>
                      <wp:wrapNone/>
                      <wp:docPr id="345551938" name="直接连接符 67"/>
                      <wp:cNvGraphicFramePr/>
                      <a:graphic xmlns:a="http://schemas.openxmlformats.org/drawingml/2006/main">
                        <a:graphicData uri="http://schemas.microsoft.com/office/word/2010/wordprocessingShape">
                          <wps:wsp>
                            <wps:cNvCnPr>
                              <a:cxnSpLocks noChangeShapeType="true"/>
                            </wps:cNvCnPr>
                            <wps:spPr bwMode="auto">
                              <a:xfrm>
                                <a:off x="0" y="0"/>
                                <a:ext cx="2490470" cy="0"/>
                              </a:xfrm>
                              <a:prstGeom prst="line">
                                <a:avLst/>
                              </a:prstGeom>
                              <a:noFill/>
                              <a:ln w="28575">
                                <a:solidFill>
                                  <a:srgbClr val="000000"/>
                                </a:solidFill>
                                <a:prstDash val="sysDot"/>
                                <a:round/>
                              </a:ln>
                            </wps:spPr>
                            <wps:bodyPr/>
                          </wps:wsp>
                        </a:graphicData>
                      </a:graphic>
                    </wp:anchor>
                  </w:drawing>
                </mc:Choice>
                <mc:Fallback>
                  <w:pict>
                    <v:line id="直接连接符 67" o:spid="_x0000_s1026" o:spt="20" style="position:absolute;left:0pt;margin-left:11.65pt;margin-top:4.9pt;height:0pt;width:196.1pt;z-index:251734016;mso-width-relative:page;mso-height-relative:page;" filled="f" stroked="t" coordsize="21600,21600" o:gfxdata="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MXc03vVAAAABgEAAA8AAAAAAAAAAQAgAAAAOAAAAGRycy9kb3ducmV2LnhtbFBLAQIU&#10;ABQAAAAIAIdO4kBTJSb34AEAAIMDAAAOAAAAAAAAAAEAIAAAADoBAABkcnMvZTJvRG9jLnhtbFBL&#10;BQYAAAAABgAGAFkBAACMBQ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Align w:val="center"/>
          </w:tcPr>
          <w:p>
            <w:pPr>
              <w:pStyle w:val="93"/>
              <w:spacing w:line="300" w:lineRule="exact"/>
              <w:rPr>
                <w:rFonts w:eastAsia="仿宋_GB2312" w:cs="Times New Roman"/>
              </w:rPr>
            </w:pPr>
            <w:r>
              <w:rPr>
                <w:rFonts w:eastAsia="仿宋_GB2312" w:cs="Times New Roman"/>
              </w:rPr>
              <w:t>玛瑙牵张场区</w:t>
            </w:r>
          </w:p>
        </w:tc>
        <w:tc>
          <w:tcPr>
            <w:tcW w:w="1120" w:type="dxa"/>
            <w:vAlign w:val="center"/>
          </w:tcPr>
          <w:p>
            <w:pPr>
              <w:pStyle w:val="93"/>
              <w:spacing w:line="300" w:lineRule="exact"/>
              <w:rPr>
                <w:rFonts w:eastAsia="仿宋_GB2312" w:cs="Times New Roman"/>
              </w:rPr>
            </w:pPr>
            <w:r>
              <w:rPr>
                <w:rFonts w:eastAsia="仿宋_GB2312" w:cs="Times New Roman"/>
              </w:rPr>
              <w:t>工程措施</w:t>
            </w:r>
          </w:p>
        </w:tc>
        <w:tc>
          <w:tcPr>
            <w:tcW w:w="1420" w:type="dxa"/>
            <w:vAlign w:val="center"/>
          </w:tcPr>
          <w:p>
            <w:pPr>
              <w:pStyle w:val="93"/>
              <w:spacing w:line="300" w:lineRule="exact"/>
              <w:rPr>
                <w:rFonts w:eastAsia="仿宋_GB2312" w:cs="Times New Roman"/>
              </w:rPr>
            </w:pPr>
            <w:r>
              <w:rPr>
                <w:rFonts w:eastAsia="仿宋_GB2312" w:cs="Times New Roman"/>
              </w:rPr>
              <w:t>土地平整</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35040" behindDoc="0" locked="0" layoutInCell="1" allowOverlap="1">
                      <wp:simplePos x="0" y="0"/>
                      <wp:positionH relativeFrom="column">
                        <wp:posOffset>-635</wp:posOffset>
                      </wp:positionH>
                      <wp:positionV relativeFrom="paragraph">
                        <wp:posOffset>85725</wp:posOffset>
                      </wp:positionV>
                      <wp:extent cx="556260" cy="0"/>
                      <wp:effectExtent l="0" t="19050" r="15240" b="0"/>
                      <wp:wrapNone/>
                      <wp:docPr id="1337556994" name="直接连接符 65"/>
                      <wp:cNvGraphicFramePr/>
                      <a:graphic xmlns:a="http://schemas.openxmlformats.org/drawingml/2006/main">
                        <a:graphicData uri="http://schemas.microsoft.com/office/word/2010/wordprocessingShape">
                          <wps:wsp>
                            <wps:cNvCnPr>
                              <a:cxnSpLocks noChangeShapeType="true"/>
                            </wps:cNvCnPr>
                            <wps:spPr bwMode="auto">
                              <a:xfrm>
                                <a:off x="0" y="0"/>
                                <a:ext cx="556260" cy="0"/>
                              </a:xfrm>
                              <a:prstGeom prst="line">
                                <a:avLst/>
                              </a:prstGeom>
                              <a:noFill/>
                              <a:ln w="28575">
                                <a:solidFill>
                                  <a:srgbClr val="000000"/>
                                </a:solidFill>
                                <a:prstDash val="sysDot"/>
                                <a:round/>
                              </a:ln>
                            </wps:spPr>
                            <wps:bodyPr/>
                          </wps:wsp>
                        </a:graphicData>
                      </a:graphic>
                    </wp:anchor>
                  </w:drawing>
                </mc:Choice>
                <mc:Fallback>
                  <w:pict>
                    <v:line id="直接连接符 65" o:spid="_x0000_s1026" o:spt="20" style="position:absolute;left:0pt;margin-left:-0.05pt;margin-top:6.75pt;height:0pt;width:43.8pt;z-index:251735040;mso-width-relative:page;mso-height-relative:page;" filled="f" stroked="t" coordsize="21600,21600" o:gfxdata="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BS+2WR1QAAAAYBAAAPAAAAAAAAAAEAIAAAADgAAABkcnMvZG93bnJldi54bWxQSwEC&#10;FAAUAAAACACHTuJAD/Qn+uEBAACDAwAADgAAAAAAAAABACAAAAA6AQAAZHJzL2Uyb0RvYy54bWxQ&#10;SwUGAAAAAAYABgBZAQAAjQU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restart"/>
            <w:vAlign w:val="center"/>
          </w:tcPr>
          <w:p>
            <w:pPr>
              <w:pStyle w:val="93"/>
              <w:spacing w:line="300" w:lineRule="exact"/>
              <w:rPr>
                <w:rFonts w:eastAsia="仿宋_GB2312" w:cs="Times New Roman"/>
              </w:rPr>
            </w:pPr>
            <w:r>
              <w:rPr>
                <w:rFonts w:eastAsia="仿宋_GB2312" w:cs="Times New Roman"/>
              </w:rPr>
              <w:t>玛瑙跨越场区</w:t>
            </w:r>
          </w:p>
        </w:tc>
        <w:tc>
          <w:tcPr>
            <w:tcW w:w="1120" w:type="dxa"/>
            <w:vAlign w:val="center"/>
          </w:tcPr>
          <w:p>
            <w:pPr>
              <w:pStyle w:val="93"/>
              <w:spacing w:line="300" w:lineRule="exact"/>
              <w:rPr>
                <w:rFonts w:eastAsia="仿宋_GB2312" w:cs="Times New Roman"/>
              </w:rPr>
            </w:pPr>
            <w:r>
              <w:rPr>
                <w:rFonts w:eastAsia="仿宋_GB2312" w:cs="Times New Roman"/>
              </w:rPr>
              <w:t>工程措施</w:t>
            </w:r>
          </w:p>
        </w:tc>
        <w:tc>
          <w:tcPr>
            <w:tcW w:w="1420" w:type="dxa"/>
            <w:vAlign w:val="center"/>
          </w:tcPr>
          <w:p>
            <w:pPr>
              <w:pStyle w:val="93"/>
              <w:spacing w:line="300" w:lineRule="exact"/>
              <w:rPr>
                <w:rFonts w:eastAsia="仿宋_GB2312" w:cs="Times New Roman"/>
              </w:rPr>
            </w:pPr>
            <w:r>
              <w:rPr>
                <w:rFonts w:eastAsia="仿宋_GB2312" w:cs="Times New Roman"/>
              </w:rPr>
              <w:t>土地平整</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36064" behindDoc="0" locked="0" layoutInCell="1" allowOverlap="1">
                      <wp:simplePos x="0" y="0"/>
                      <wp:positionH relativeFrom="column">
                        <wp:posOffset>-1270</wp:posOffset>
                      </wp:positionH>
                      <wp:positionV relativeFrom="paragraph">
                        <wp:posOffset>82550</wp:posOffset>
                      </wp:positionV>
                      <wp:extent cx="556260" cy="0"/>
                      <wp:effectExtent l="0" t="19050" r="15240" b="0"/>
                      <wp:wrapNone/>
                      <wp:docPr id="1114071983" name="直接连接符 63"/>
                      <wp:cNvGraphicFramePr/>
                      <a:graphic xmlns:a="http://schemas.openxmlformats.org/drawingml/2006/main">
                        <a:graphicData uri="http://schemas.microsoft.com/office/word/2010/wordprocessingShape">
                          <wps:wsp>
                            <wps:cNvCnPr>
                              <a:cxnSpLocks noChangeShapeType="true"/>
                            </wps:cNvCnPr>
                            <wps:spPr bwMode="auto">
                              <a:xfrm>
                                <a:off x="0" y="0"/>
                                <a:ext cx="556260" cy="0"/>
                              </a:xfrm>
                              <a:prstGeom prst="line">
                                <a:avLst/>
                              </a:prstGeom>
                              <a:noFill/>
                              <a:ln w="28575">
                                <a:solidFill>
                                  <a:srgbClr val="000000"/>
                                </a:solidFill>
                                <a:prstDash val="sysDot"/>
                                <a:round/>
                              </a:ln>
                            </wps:spPr>
                            <wps:bodyPr/>
                          </wps:wsp>
                        </a:graphicData>
                      </a:graphic>
                    </wp:anchor>
                  </w:drawing>
                </mc:Choice>
                <mc:Fallback>
                  <w:pict>
                    <v:line id="直接连接符 63" o:spid="_x0000_s1026" o:spt="20" style="position:absolute;left:0pt;margin-left:-0.1pt;margin-top:6.5pt;height:0pt;width:43.8pt;z-index:251736064;mso-width-relative:page;mso-height-relative:page;" filled="f" stroked="t" coordsize="21600,21600" o:gfxdata="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DOMlNP1QAAAAYBAAAPAAAAAAAAAAEAIAAAADgAAABkcnMvZG93bnJldi54bWxQSwEC&#10;FAAUAAAACACHTuJAoyEEDOEBAACDAwAADgAAAAAAAAABACAAAAA6AQAAZHJzL2Uyb0RvYy54bWxQ&#10;SwUGAAAAAAYABgBZAQAAjQU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Align w:val="center"/>
          </w:tcPr>
          <w:p>
            <w:pPr>
              <w:pStyle w:val="93"/>
              <w:spacing w:line="300" w:lineRule="exact"/>
              <w:rPr>
                <w:rFonts w:eastAsia="仿宋_GB2312" w:cs="Times New Roman"/>
              </w:rPr>
            </w:pPr>
            <w:r>
              <w:rPr>
                <w:rFonts w:eastAsia="仿宋_GB2312" w:cs="Times New Roman"/>
              </w:rPr>
              <w:t>植物措施</w:t>
            </w:r>
          </w:p>
        </w:tc>
        <w:tc>
          <w:tcPr>
            <w:tcW w:w="1420" w:type="dxa"/>
            <w:vAlign w:val="center"/>
          </w:tcPr>
          <w:p>
            <w:pPr>
              <w:pStyle w:val="93"/>
              <w:spacing w:line="300" w:lineRule="exact"/>
              <w:rPr>
                <w:rFonts w:eastAsia="仿宋_GB2312" w:cs="Times New Roman"/>
              </w:rPr>
            </w:pPr>
            <w:r>
              <w:rPr>
                <w:rFonts w:eastAsia="仿宋_GB2312" w:cs="Times New Roman"/>
              </w:rPr>
              <w:t>播撒灌草</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37088" behindDoc="0" locked="0" layoutInCell="1" allowOverlap="1">
                      <wp:simplePos x="0" y="0"/>
                      <wp:positionH relativeFrom="column">
                        <wp:posOffset>207010</wp:posOffset>
                      </wp:positionH>
                      <wp:positionV relativeFrom="paragraph">
                        <wp:posOffset>151130</wp:posOffset>
                      </wp:positionV>
                      <wp:extent cx="556260" cy="0"/>
                      <wp:effectExtent l="0" t="19050" r="15240" b="0"/>
                      <wp:wrapNone/>
                      <wp:docPr id="352617214" name="直接连接符 61"/>
                      <wp:cNvGraphicFramePr/>
                      <a:graphic xmlns:a="http://schemas.openxmlformats.org/drawingml/2006/main">
                        <a:graphicData uri="http://schemas.microsoft.com/office/word/2010/wordprocessingShape">
                          <wps:wsp>
                            <wps:cNvCnPr>
                              <a:cxnSpLocks noChangeShapeType="true"/>
                            </wps:cNvCnPr>
                            <wps:spPr bwMode="auto">
                              <a:xfrm>
                                <a:off x="0" y="0"/>
                                <a:ext cx="556260" cy="0"/>
                              </a:xfrm>
                              <a:prstGeom prst="line">
                                <a:avLst/>
                              </a:prstGeom>
                              <a:noFill/>
                              <a:ln w="28575">
                                <a:solidFill>
                                  <a:srgbClr val="000000"/>
                                </a:solidFill>
                                <a:prstDash val="sysDot"/>
                                <a:round/>
                              </a:ln>
                            </wps:spPr>
                            <wps:bodyPr/>
                          </wps:wsp>
                        </a:graphicData>
                      </a:graphic>
                    </wp:anchor>
                  </w:drawing>
                </mc:Choice>
                <mc:Fallback>
                  <w:pict>
                    <v:line id="直接连接符 61" o:spid="_x0000_s1026" o:spt="20" style="position:absolute;left:0pt;margin-left:16.3pt;margin-top:11.9pt;height:0pt;width:43.8pt;z-index:251737088;mso-width-relative:page;mso-height-relative:page;" filled="f" stroked="t" coordsize="21600,21600" o:gfxdata="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BTShXvWAAAACAEAAA8AAAAAAAAAAQAgAAAAOAAAAGRycy9kb3ducmV2LnhtbFBLAQIU&#10;ABQAAAAIAIdO4kCJ0aBy3wEAAIIDAAAOAAAAAAAAAAEAIAAAADsBAABkcnMvZTJvRG9jLnhtbFBL&#10;BQYAAAAABgAGAFkBAACMBQ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restart"/>
            <w:vAlign w:val="center"/>
          </w:tcPr>
          <w:p>
            <w:pPr>
              <w:pStyle w:val="93"/>
              <w:spacing w:line="300" w:lineRule="exact"/>
              <w:rPr>
                <w:rFonts w:eastAsia="仿宋_GB2312" w:cs="Times New Roman"/>
              </w:rPr>
            </w:pPr>
            <w:r>
              <w:rPr>
                <w:rFonts w:eastAsia="仿宋_GB2312" w:cs="Times New Roman"/>
              </w:rPr>
              <w:t>芭蕉塔基及临时施工区</w:t>
            </w:r>
          </w:p>
        </w:tc>
        <w:tc>
          <w:tcPr>
            <w:tcW w:w="1120" w:type="dxa"/>
            <w:vMerge w:val="restart"/>
            <w:vAlign w:val="center"/>
          </w:tcPr>
          <w:p>
            <w:pPr>
              <w:pStyle w:val="93"/>
              <w:spacing w:line="300" w:lineRule="exact"/>
              <w:rPr>
                <w:rFonts w:eastAsia="仿宋_GB2312" w:cs="Times New Roman"/>
              </w:rPr>
            </w:pPr>
            <w:r>
              <w:rPr>
                <w:rFonts w:eastAsia="仿宋_GB2312" w:cs="Times New Roman"/>
              </w:rPr>
              <w:t>工程措施</w:t>
            </w:r>
          </w:p>
        </w:tc>
        <w:tc>
          <w:tcPr>
            <w:tcW w:w="1420" w:type="dxa"/>
            <w:vAlign w:val="center"/>
          </w:tcPr>
          <w:p>
            <w:pPr>
              <w:pStyle w:val="93"/>
              <w:spacing w:line="300" w:lineRule="exact"/>
              <w:rPr>
                <w:rFonts w:eastAsia="仿宋_GB2312" w:cs="Times New Roman"/>
              </w:rPr>
            </w:pPr>
            <w:r>
              <w:rPr>
                <w:rFonts w:eastAsia="仿宋_GB2312" w:cs="Times New Roman"/>
              </w:rPr>
              <w:t>排洪沟</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38112" behindDoc="0" locked="0" layoutInCell="1" allowOverlap="1">
                      <wp:simplePos x="0" y="0"/>
                      <wp:positionH relativeFrom="column">
                        <wp:posOffset>3810</wp:posOffset>
                      </wp:positionH>
                      <wp:positionV relativeFrom="paragraph">
                        <wp:posOffset>78740</wp:posOffset>
                      </wp:positionV>
                      <wp:extent cx="1311910" cy="0"/>
                      <wp:effectExtent l="0" t="19050" r="2540" b="0"/>
                      <wp:wrapNone/>
                      <wp:docPr id="526294555" name="直接连接符 59"/>
                      <wp:cNvGraphicFramePr/>
                      <a:graphic xmlns:a="http://schemas.openxmlformats.org/drawingml/2006/main">
                        <a:graphicData uri="http://schemas.microsoft.com/office/word/2010/wordprocessingShape">
                          <wps:wsp>
                            <wps:cNvCnPr>
                              <a:cxnSpLocks noChangeShapeType="true"/>
                            </wps:cNvCnPr>
                            <wps:spPr bwMode="auto">
                              <a:xfrm>
                                <a:off x="0" y="0"/>
                                <a:ext cx="1311910" cy="0"/>
                              </a:xfrm>
                              <a:prstGeom prst="line">
                                <a:avLst/>
                              </a:prstGeom>
                              <a:noFill/>
                              <a:ln w="28575">
                                <a:solidFill>
                                  <a:srgbClr val="000000"/>
                                </a:solidFill>
                                <a:round/>
                              </a:ln>
                            </wps:spPr>
                            <wps:bodyPr/>
                          </wps:wsp>
                        </a:graphicData>
                      </a:graphic>
                    </wp:anchor>
                  </w:drawing>
                </mc:Choice>
                <mc:Fallback>
                  <w:pict>
                    <v:line id="直接连接符 59" o:spid="_x0000_s1026" o:spt="20" style="position:absolute;left:0pt;margin-left:0.3pt;margin-top:6.2pt;height:0pt;width:103.3pt;z-index:251738112;mso-width-relative:page;mso-height-relative:page;" filled="f" stroked="t" coordsize="21600,21600" o:gfxdata="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yHjpI0gAA&#10;AAYBAAAPAAAAAAAAAAEAIAAAADgAAABkcnMvZG93bnJldi54bWxQSwECFAAUAAAACACHTuJAlztX&#10;btUBAABpAwAADgAAAAAAAAABACAAAAA3AQAAZHJzL2Uyb0RvYy54bWxQSwUGAAAAAAYABgBZAQAA&#10;fgUAAAAA&#10;">
                      <v:fill on="f" focussize="0,0"/>
                      <v:stroke weight="2.25pt" color="#000000" joinstyle="round"/>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护坡墙</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39136" behindDoc="0" locked="0" layoutInCell="1" allowOverlap="1">
                      <wp:simplePos x="0" y="0"/>
                      <wp:positionH relativeFrom="column">
                        <wp:posOffset>240665</wp:posOffset>
                      </wp:positionH>
                      <wp:positionV relativeFrom="paragraph">
                        <wp:posOffset>115570</wp:posOffset>
                      </wp:positionV>
                      <wp:extent cx="1303655" cy="0"/>
                      <wp:effectExtent l="0" t="19050" r="10795" b="0"/>
                      <wp:wrapNone/>
                      <wp:docPr id="4475841" name="直接连接符 57"/>
                      <wp:cNvGraphicFramePr/>
                      <a:graphic xmlns:a="http://schemas.openxmlformats.org/drawingml/2006/main">
                        <a:graphicData uri="http://schemas.microsoft.com/office/word/2010/wordprocessingShape">
                          <wps:wsp>
                            <wps:cNvCnPr>
                              <a:cxnSpLocks noChangeShapeType="true"/>
                            </wps:cNvCnPr>
                            <wps:spPr bwMode="auto">
                              <a:xfrm>
                                <a:off x="0" y="0"/>
                                <a:ext cx="1303655" cy="0"/>
                              </a:xfrm>
                              <a:prstGeom prst="line">
                                <a:avLst/>
                              </a:prstGeom>
                              <a:noFill/>
                              <a:ln w="28575">
                                <a:solidFill>
                                  <a:srgbClr val="000000"/>
                                </a:solidFill>
                                <a:round/>
                              </a:ln>
                            </wps:spPr>
                            <wps:bodyPr/>
                          </wps:wsp>
                        </a:graphicData>
                      </a:graphic>
                    </wp:anchor>
                  </w:drawing>
                </mc:Choice>
                <mc:Fallback>
                  <w:pict>
                    <v:line id="直接连接符 57" o:spid="_x0000_s1026" o:spt="20" style="position:absolute;left:0pt;margin-left:18.95pt;margin-top:9.1pt;height:0pt;width:102.65pt;z-index:251739136;mso-width-relative:page;mso-height-relative:page;" filled="f" stroked="t" coordsize="21600,21600" o:gfxdata="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AgW2Jl&#10;1gAAAAgBAAAPAAAAAAAAAAEAIAAAADgAAABkcnMvZG93bnJldi54bWxQSwECFAAUAAAACACHTuJA&#10;EzE/l9QBAABnAwAADgAAAAAAAAABACAAAAA7AQAAZHJzL2Uyb0RvYy54bWxQSwUGAAAAAAYABgBZ&#10;AQAAgQUAAAAA&#10;">
                      <v:fill on="f" focussize="0,0"/>
                      <v:stroke weight="2.25pt" color="#000000" joinstyle="round"/>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表土剥离</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40160" behindDoc="0" locked="0" layoutInCell="1" allowOverlap="1">
                      <wp:simplePos x="0" y="0"/>
                      <wp:positionH relativeFrom="column">
                        <wp:posOffset>2540</wp:posOffset>
                      </wp:positionH>
                      <wp:positionV relativeFrom="paragraph">
                        <wp:posOffset>85090</wp:posOffset>
                      </wp:positionV>
                      <wp:extent cx="1966595" cy="0"/>
                      <wp:effectExtent l="0" t="19050" r="14605" b="0"/>
                      <wp:wrapNone/>
                      <wp:docPr id="366229076" name="直接连接符 55"/>
                      <wp:cNvGraphicFramePr/>
                      <a:graphic xmlns:a="http://schemas.openxmlformats.org/drawingml/2006/main">
                        <a:graphicData uri="http://schemas.microsoft.com/office/word/2010/wordprocessingShape">
                          <wps:wsp>
                            <wps:cNvCnPr>
                              <a:cxnSpLocks noChangeShapeType="true"/>
                            </wps:cNvCnPr>
                            <wps:spPr bwMode="auto">
                              <a:xfrm>
                                <a:off x="0" y="0"/>
                                <a:ext cx="1966595" cy="0"/>
                              </a:xfrm>
                              <a:prstGeom prst="line">
                                <a:avLst/>
                              </a:prstGeom>
                              <a:noFill/>
                              <a:ln w="28575">
                                <a:solidFill>
                                  <a:srgbClr val="000000"/>
                                </a:solidFill>
                                <a:prstDash val="sysDot"/>
                                <a:round/>
                              </a:ln>
                            </wps:spPr>
                            <wps:bodyPr/>
                          </wps:wsp>
                        </a:graphicData>
                      </a:graphic>
                    </wp:anchor>
                  </w:drawing>
                </mc:Choice>
                <mc:Fallback>
                  <w:pict>
                    <v:line id="直接连接符 55" o:spid="_x0000_s1026" o:spt="20" style="position:absolute;left:0pt;margin-left:0.2pt;margin-top:6.7pt;height:0pt;width:154.85pt;z-index:251740160;mso-width-relative:page;mso-height-relative:page;" filled="f" stroked="t" coordsize="21600,21600" o:gfxdata="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DM7JPi0gAAAAYBAAAPAAAAAAAAAAEAIAAAADgAAABkcnMvZG93bnJldi54bWxQSwECFAAU&#10;AAAACACHTuJA0UulnuEBAACDAwAADgAAAAAAAAABACAAAAA3AQAAZHJzL2Uyb0RvYy54bWxQSwUG&#10;AAAAAAYABgBZAQAAigU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土地平整</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41184" behindDoc="0" locked="0" layoutInCell="1" allowOverlap="1">
                      <wp:simplePos x="0" y="0"/>
                      <wp:positionH relativeFrom="column">
                        <wp:posOffset>63500</wp:posOffset>
                      </wp:positionH>
                      <wp:positionV relativeFrom="paragraph">
                        <wp:posOffset>92710</wp:posOffset>
                      </wp:positionV>
                      <wp:extent cx="1242695" cy="0"/>
                      <wp:effectExtent l="0" t="19050" r="14605" b="0"/>
                      <wp:wrapNone/>
                      <wp:docPr id="2010866426" name="直接连接符 53"/>
                      <wp:cNvGraphicFramePr/>
                      <a:graphic xmlns:a="http://schemas.openxmlformats.org/drawingml/2006/main">
                        <a:graphicData uri="http://schemas.microsoft.com/office/word/2010/wordprocessingShape">
                          <wps:wsp>
                            <wps:cNvCnPr>
                              <a:cxnSpLocks noChangeShapeType="true"/>
                            </wps:cNvCnPr>
                            <wps:spPr bwMode="auto">
                              <a:xfrm>
                                <a:off x="0" y="0"/>
                                <a:ext cx="1242695" cy="0"/>
                              </a:xfrm>
                              <a:prstGeom prst="line">
                                <a:avLst/>
                              </a:prstGeom>
                              <a:noFill/>
                              <a:ln w="28575">
                                <a:solidFill>
                                  <a:srgbClr val="000000"/>
                                </a:solidFill>
                                <a:prstDash val="sysDot"/>
                                <a:round/>
                              </a:ln>
                            </wps:spPr>
                            <wps:bodyPr/>
                          </wps:wsp>
                        </a:graphicData>
                      </a:graphic>
                    </wp:anchor>
                  </w:drawing>
                </mc:Choice>
                <mc:Fallback>
                  <w:pict>
                    <v:line id="直接连接符 53" o:spid="_x0000_s1026" o:spt="20" style="position:absolute;left:0pt;margin-left:5pt;margin-top:7.3pt;height:0pt;width:97.85pt;z-index:251741184;mso-width-relative:page;mso-height-relative:page;" filled="f" stroked="t" coordsize="21600,21600" o:gfxdata="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BbRJ6DWAAAACAEAAA8AAAAAAAAAAQAgAAAAOAAAAGRycy9kb3ducmV2LnhtbFBLAQIU&#10;ABQAAAAIAIdO4kCePOv23wEAAIQDAAAOAAAAAAAAAAEAIAAAADsBAABkcnMvZTJvRG9jLnhtbFBL&#10;BQYAAAAABgAGAFkBAACMBQ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表土回覆</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42208" behindDoc="0" locked="0" layoutInCell="1" allowOverlap="1">
                      <wp:simplePos x="0" y="0"/>
                      <wp:positionH relativeFrom="column">
                        <wp:posOffset>119380</wp:posOffset>
                      </wp:positionH>
                      <wp:positionV relativeFrom="paragraph">
                        <wp:posOffset>91440</wp:posOffset>
                      </wp:positionV>
                      <wp:extent cx="1234440" cy="0"/>
                      <wp:effectExtent l="0" t="19050" r="3810" b="0"/>
                      <wp:wrapNone/>
                      <wp:docPr id="818797454" name="直接连接符 51"/>
                      <wp:cNvGraphicFramePr/>
                      <a:graphic xmlns:a="http://schemas.openxmlformats.org/drawingml/2006/main">
                        <a:graphicData uri="http://schemas.microsoft.com/office/word/2010/wordprocessingShape">
                          <wps:wsp>
                            <wps:cNvCnPr>
                              <a:cxnSpLocks noChangeShapeType="true"/>
                            </wps:cNvCnPr>
                            <wps:spPr bwMode="auto">
                              <a:xfrm>
                                <a:off x="0" y="0"/>
                                <a:ext cx="1234440" cy="0"/>
                              </a:xfrm>
                              <a:prstGeom prst="line">
                                <a:avLst/>
                              </a:prstGeom>
                              <a:noFill/>
                              <a:ln w="28575">
                                <a:solidFill>
                                  <a:srgbClr val="000000"/>
                                </a:solidFill>
                                <a:prstDash val="sysDot"/>
                                <a:round/>
                              </a:ln>
                            </wps:spPr>
                            <wps:bodyPr/>
                          </wps:wsp>
                        </a:graphicData>
                      </a:graphic>
                    </wp:anchor>
                  </w:drawing>
                </mc:Choice>
                <mc:Fallback>
                  <w:pict>
                    <v:line id="直接连接符 51" o:spid="_x0000_s1026" o:spt="20" style="position:absolute;left:0pt;margin-left:9.4pt;margin-top:7.2pt;height:0pt;width:97.2pt;z-index:251742208;mso-width-relative:page;mso-height-relative:page;" filled="f" stroked="t" coordsize="21600,21600" o:gfxdata="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AUS6Pa1gAAAAgBAAAPAAAAAAAAAAEAIAAAADgAAABkcnMvZG93bnJldi54bWxQSwEC&#10;FAAUAAAACACHTuJA+hZnOeABAACDAwAADgAAAAAAAAABACAAAAA7AQAAZHJzL2Uyb0RvYy54bWxQ&#10;SwUGAAAAAAYABgBZAQAAjQU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Align w:val="center"/>
          </w:tcPr>
          <w:p>
            <w:pPr>
              <w:pStyle w:val="93"/>
              <w:spacing w:line="300" w:lineRule="exact"/>
              <w:rPr>
                <w:rFonts w:eastAsia="仿宋_GB2312" w:cs="Times New Roman"/>
              </w:rPr>
            </w:pPr>
            <w:r>
              <w:rPr>
                <w:rFonts w:eastAsia="仿宋_GB2312" w:cs="Times New Roman"/>
              </w:rPr>
              <w:t>植被措施</w:t>
            </w:r>
          </w:p>
        </w:tc>
        <w:tc>
          <w:tcPr>
            <w:tcW w:w="1420" w:type="dxa"/>
            <w:vAlign w:val="center"/>
          </w:tcPr>
          <w:p>
            <w:pPr>
              <w:pStyle w:val="93"/>
              <w:spacing w:line="300" w:lineRule="exact"/>
              <w:rPr>
                <w:rFonts w:eastAsia="仿宋_GB2312" w:cs="Times New Roman"/>
              </w:rPr>
            </w:pPr>
            <w:r>
              <w:rPr>
                <w:rFonts w:eastAsia="仿宋_GB2312" w:cs="Times New Roman"/>
              </w:rPr>
              <w:t>植被恢复</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43232" behindDoc="0" locked="0" layoutInCell="1" allowOverlap="1">
                      <wp:simplePos x="0" y="0"/>
                      <wp:positionH relativeFrom="column">
                        <wp:posOffset>-43815</wp:posOffset>
                      </wp:positionH>
                      <wp:positionV relativeFrom="paragraph">
                        <wp:posOffset>70485</wp:posOffset>
                      </wp:positionV>
                      <wp:extent cx="1503680" cy="0"/>
                      <wp:effectExtent l="0" t="19050" r="1270" b="0"/>
                      <wp:wrapNone/>
                      <wp:docPr id="641497787" name="直接连接符 49"/>
                      <wp:cNvGraphicFramePr/>
                      <a:graphic xmlns:a="http://schemas.openxmlformats.org/drawingml/2006/main">
                        <a:graphicData uri="http://schemas.microsoft.com/office/word/2010/wordprocessingShape">
                          <wps:wsp>
                            <wps:cNvCnPr>
                              <a:cxnSpLocks noChangeShapeType="true"/>
                            </wps:cNvCnPr>
                            <wps:spPr bwMode="auto">
                              <a:xfrm>
                                <a:off x="0" y="0"/>
                                <a:ext cx="1503680" cy="0"/>
                              </a:xfrm>
                              <a:prstGeom prst="line">
                                <a:avLst/>
                              </a:prstGeom>
                              <a:noFill/>
                              <a:ln w="28575">
                                <a:solidFill>
                                  <a:srgbClr val="000000"/>
                                </a:solidFill>
                                <a:round/>
                              </a:ln>
                            </wps:spPr>
                            <wps:bodyPr/>
                          </wps:wsp>
                        </a:graphicData>
                      </a:graphic>
                    </wp:anchor>
                  </w:drawing>
                </mc:Choice>
                <mc:Fallback>
                  <w:pict>
                    <v:line id="直接连接符 49" o:spid="_x0000_s1026" o:spt="20" style="position:absolute;left:0pt;margin-left:-3.45pt;margin-top:5.55pt;height:0pt;width:118.4pt;z-index:251743232;mso-width-relative:page;mso-height-relative:page;" filled="f" stroked="t" coordsize="21600,21600" o:gfxdata="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CpzyxJ&#10;1QAAAAgBAAAPAAAAAAAAAAEAIAAAADgAAABkcnMvZG93bnJldi54bWxQSwECFAAUAAAACACHTuJA&#10;VBngx9UBAABpAwAADgAAAAAAAAABACAAAAA6AQAAZHJzL2Uyb0RvYy54bWxQSwUGAAAAAAYABgBZ&#10;AQAAgQUAAAAA&#10;">
                      <v:fill on="f" focussize="0,0"/>
                      <v:stroke weight="2.25pt" color="#000000" joinstyle="round"/>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restart"/>
            <w:vAlign w:val="center"/>
          </w:tcPr>
          <w:p>
            <w:pPr>
              <w:pStyle w:val="93"/>
              <w:spacing w:line="300" w:lineRule="exact"/>
              <w:rPr>
                <w:rFonts w:eastAsia="仿宋_GB2312" w:cs="Times New Roman"/>
              </w:rPr>
            </w:pPr>
            <w:r>
              <w:rPr>
                <w:rFonts w:eastAsia="仿宋_GB2312" w:cs="Times New Roman"/>
              </w:rPr>
              <w:t>临时措施</w:t>
            </w:r>
          </w:p>
        </w:tc>
        <w:tc>
          <w:tcPr>
            <w:tcW w:w="1420" w:type="dxa"/>
            <w:vAlign w:val="center"/>
          </w:tcPr>
          <w:p>
            <w:pPr>
              <w:pStyle w:val="93"/>
              <w:spacing w:line="300" w:lineRule="exact"/>
              <w:rPr>
                <w:rFonts w:eastAsia="仿宋_GB2312" w:cs="Times New Roman"/>
              </w:rPr>
            </w:pPr>
            <w:r>
              <w:rPr>
                <w:rFonts w:eastAsia="仿宋_GB2312" w:cs="Times New Roman"/>
              </w:rPr>
              <w:t>土袋拦挡</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44256" behindDoc="0" locked="0" layoutInCell="1" allowOverlap="1">
                      <wp:simplePos x="0" y="0"/>
                      <wp:positionH relativeFrom="column">
                        <wp:posOffset>146050</wp:posOffset>
                      </wp:positionH>
                      <wp:positionV relativeFrom="paragraph">
                        <wp:posOffset>97155</wp:posOffset>
                      </wp:positionV>
                      <wp:extent cx="3302000" cy="0"/>
                      <wp:effectExtent l="0" t="19050" r="12700" b="0"/>
                      <wp:wrapNone/>
                      <wp:docPr id="1844400406" name="直接连接符 47"/>
                      <wp:cNvGraphicFramePr/>
                      <a:graphic xmlns:a="http://schemas.openxmlformats.org/drawingml/2006/main">
                        <a:graphicData uri="http://schemas.microsoft.com/office/word/2010/wordprocessingShape">
                          <wps:wsp>
                            <wps:cNvCnPr>
                              <a:cxnSpLocks noChangeShapeType="true"/>
                            </wps:cNvCnPr>
                            <wps:spPr bwMode="auto">
                              <a:xfrm>
                                <a:off x="0" y="0"/>
                                <a:ext cx="3302000" cy="0"/>
                              </a:xfrm>
                              <a:prstGeom prst="line">
                                <a:avLst/>
                              </a:prstGeom>
                              <a:noFill/>
                              <a:ln w="28575">
                                <a:solidFill>
                                  <a:srgbClr val="000000"/>
                                </a:solidFill>
                                <a:prstDash val="sysDot"/>
                                <a:round/>
                              </a:ln>
                            </wps:spPr>
                            <wps:bodyPr/>
                          </wps:wsp>
                        </a:graphicData>
                      </a:graphic>
                    </wp:anchor>
                  </w:drawing>
                </mc:Choice>
                <mc:Fallback>
                  <w:pict>
                    <v:line id="直接连接符 47" o:spid="_x0000_s1026" o:spt="20" style="position:absolute;left:0pt;margin-left:11.5pt;margin-top:7.65pt;height:0pt;width:260pt;z-index:251744256;mso-width-relative:page;mso-height-relative:page;" filled="f" stroked="t" coordsize="21600,21600" o:gfxdata="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9q2uXNUAAAAIAQAADwAAAAAAAAABACAAAAA4AAAAZHJzL2Rvd25yZXYueG1sUEsB&#10;AhQAFAAAAAgAh07iQIGSHGXiAQAAhAMAAA4AAAAAAAAAAQAgAAAAOgEAAGRycy9lMm9Eb2MueG1s&#10;UEsFBgAAAAAGAAYAWQEAAI4FA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防雨布遮盖</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45280" behindDoc="0" locked="0" layoutInCell="1" allowOverlap="1">
                      <wp:simplePos x="0" y="0"/>
                      <wp:positionH relativeFrom="column">
                        <wp:posOffset>147320</wp:posOffset>
                      </wp:positionH>
                      <wp:positionV relativeFrom="paragraph">
                        <wp:posOffset>52705</wp:posOffset>
                      </wp:positionV>
                      <wp:extent cx="3302000" cy="0"/>
                      <wp:effectExtent l="0" t="19050" r="12700" b="0"/>
                      <wp:wrapNone/>
                      <wp:docPr id="536608066" name="直接连接符 45"/>
                      <wp:cNvGraphicFramePr/>
                      <a:graphic xmlns:a="http://schemas.openxmlformats.org/drawingml/2006/main">
                        <a:graphicData uri="http://schemas.microsoft.com/office/word/2010/wordprocessingShape">
                          <wps:wsp>
                            <wps:cNvCnPr>
                              <a:cxnSpLocks noChangeShapeType="true"/>
                            </wps:cNvCnPr>
                            <wps:spPr bwMode="auto">
                              <a:xfrm>
                                <a:off x="0" y="0"/>
                                <a:ext cx="3302000" cy="0"/>
                              </a:xfrm>
                              <a:prstGeom prst="line">
                                <a:avLst/>
                              </a:prstGeom>
                              <a:noFill/>
                              <a:ln w="28575">
                                <a:solidFill>
                                  <a:srgbClr val="000000"/>
                                </a:solidFill>
                                <a:prstDash val="sysDot"/>
                                <a:round/>
                              </a:ln>
                            </wps:spPr>
                            <wps:bodyPr/>
                          </wps:wsp>
                        </a:graphicData>
                      </a:graphic>
                    </wp:anchor>
                  </w:drawing>
                </mc:Choice>
                <mc:Fallback>
                  <w:pict>
                    <v:line id="直接连接符 45" o:spid="_x0000_s1026" o:spt="20" style="position:absolute;left:0pt;margin-left:11.6pt;margin-top:4.15pt;height:0pt;width:260pt;z-index:251745280;mso-width-relative:page;mso-height-relative:page;" filled="f" stroked="t" coordsize="21600,21600" o:gfxdata="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BkRWPB1AAAAAYBAAAPAAAAAAAAAAEAIAAAADgAAABkcnMvZG93bnJldi54bWxQSwECFAAU&#10;AAAACACHTuJAySGUA98BAACDAwAADgAAAAAAAAABACAAAAA5AQAAZHJzL2Uyb0RvYy54bWxQSwUG&#10;AAAAAAYABgBZAQAAigU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restart"/>
            <w:vAlign w:val="center"/>
          </w:tcPr>
          <w:p>
            <w:pPr>
              <w:pStyle w:val="93"/>
              <w:spacing w:line="300" w:lineRule="exact"/>
              <w:rPr>
                <w:rFonts w:eastAsia="仿宋_GB2312" w:cs="Times New Roman"/>
              </w:rPr>
            </w:pPr>
            <w:r>
              <w:rPr>
                <w:rFonts w:eastAsia="仿宋_GB2312" w:cs="Times New Roman"/>
              </w:rPr>
              <w:t>芭蕉施工便道区</w:t>
            </w:r>
          </w:p>
        </w:tc>
        <w:tc>
          <w:tcPr>
            <w:tcW w:w="1120" w:type="dxa"/>
            <w:vAlign w:val="center"/>
          </w:tcPr>
          <w:p>
            <w:pPr>
              <w:pStyle w:val="93"/>
              <w:spacing w:line="300" w:lineRule="exact"/>
              <w:rPr>
                <w:rFonts w:eastAsia="仿宋_GB2312" w:cs="Times New Roman"/>
              </w:rPr>
            </w:pPr>
            <w:r>
              <w:rPr>
                <w:rFonts w:eastAsia="仿宋_GB2312" w:cs="Times New Roman"/>
              </w:rPr>
              <w:t>工程措施</w:t>
            </w:r>
          </w:p>
        </w:tc>
        <w:tc>
          <w:tcPr>
            <w:tcW w:w="1420" w:type="dxa"/>
            <w:vAlign w:val="center"/>
          </w:tcPr>
          <w:p>
            <w:pPr>
              <w:pStyle w:val="93"/>
              <w:spacing w:line="300" w:lineRule="exact"/>
              <w:rPr>
                <w:rFonts w:eastAsia="仿宋_GB2312" w:cs="Times New Roman"/>
              </w:rPr>
            </w:pPr>
            <w:r>
              <w:rPr>
                <w:rFonts w:eastAsia="仿宋_GB2312" w:cs="Times New Roman"/>
              </w:rPr>
              <w:t>土地平整</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46304" behindDoc="0" locked="0" layoutInCell="1" allowOverlap="1">
                      <wp:simplePos x="0" y="0"/>
                      <wp:positionH relativeFrom="column">
                        <wp:posOffset>-17780</wp:posOffset>
                      </wp:positionH>
                      <wp:positionV relativeFrom="paragraph">
                        <wp:posOffset>76835</wp:posOffset>
                      </wp:positionV>
                      <wp:extent cx="1116965" cy="0"/>
                      <wp:effectExtent l="0" t="19050" r="6985" b="0"/>
                      <wp:wrapNone/>
                      <wp:docPr id="696996526" name="直接连接符 43"/>
                      <wp:cNvGraphicFramePr/>
                      <a:graphic xmlns:a="http://schemas.openxmlformats.org/drawingml/2006/main">
                        <a:graphicData uri="http://schemas.microsoft.com/office/word/2010/wordprocessingShape">
                          <wps:wsp>
                            <wps:cNvCnPr>
                              <a:cxnSpLocks noChangeShapeType="true"/>
                            </wps:cNvCnPr>
                            <wps:spPr bwMode="auto">
                              <a:xfrm>
                                <a:off x="0" y="0"/>
                                <a:ext cx="1116965" cy="0"/>
                              </a:xfrm>
                              <a:prstGeom prst="line">
                                <a:avLst/>
                              </a:prstGeom>
                              <a:noFill/>
                              <a:ln w="28575">
                                <a:solidFill>
                                  <a:srgbClr val="000000"/>
                                </a:solidFill>
                                <a:prstDash val="sysDot"/>
                                <a:round/>
                              </a:ln>
                            </wps:spPr>
                            <wps:bodyPr/>
                          </wps:wsp>
                        </a:graphicData>
                      </a:graphic>
                    </wp:anchor>
                  </w:drawing>
                </mc:Choice>
                <mc:Fallback>
                  <w:pict>
                    <v:line id="直接连接符 43" o:spid="_x0000_s1026" o:spt="20" style="position:absolute;left:0pt;margin-left:-1.4pt;margin-top:6.05pt;height:0pt;width:87.95pt;z-index:251746304;mso-width-relative:page;mso-height-relative:page;" filled="f" stroked="t" coordsize="21600,21600" o:gfxdata="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pm6jYtYAAAAIAQAADwAAAAAAAAABACAAAAA4AAAAZHJzL2Rvd25yZXYueG1sUEsB&#10;AhQAFAAAAAgAh07iQJo4hNbhAQAAgwMAAA4AAAAAAAAAAQAgAAAAOwEAAGRycy9lMm9Eb2MueG1s&#10;UEsFBgAAAAAGAAYAWQEAAI4FA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Align w:val="center"/>
          </w:tcPr>
          <w:p>
            <w:pPr>
              <w:pStyle w:val="93"/>
              <w:spacing w:line="300" w:lineRule="exact"/>
              <w:rPr>
                <w:rFonts w:eastAsia="仿宋_GB2312" w:cs="Times New Roman"/>
              </w:rPr>
            </w:pPr>
            <w:r>
              <w:rPr>
                <w:rFonts w:eastAsia="仿宋_GB2312" w:cs="Times New Roman"/>
              </w:rPr>
              <w:t>植物措施</w:t>
            </w:r>
          </w:p>
        </w:tc>
        <w:tc>
          <w:tcPr>
            <w:tcW w:w="1420" w:type="dxa"/>
            <w:vAlign w:val="center"/>
          </w:tcPr>
          <w:p>
            <w:pPr>
              <w:pStyle w:val="93"/>
              <w:spacing w:line="300" w:lineRule="exact"/>
              <w:rPr>
                <w:rFonts w:eastAsia="仿宋_GB2312" w:cs="Times New Roman"/>
              </w:rPr>
            </w:pPr>
            <w:r>
              <w:rPr>
                <w:rFonts w:eastAsia="仿宋_GB2312" w:cs="Times New Roman"/>
              </w:rPr>
              <w:t>种植桤木</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47328" behindDoc="0" locked="0" layoutInCell="1" allowOverlap="1">
                      <wp:simplePos x="0" y="0"/>
                      <wp:positionH relativeFrom="column">
                        <wp:posOffset>152400</wp:posOffset>
                      </wp:positionH>
                      <wp:positionV relativeFrom="paragraph">
                        <wp:posOffset>45720</wp:posOffset>
                      </wp:positionV>
                      <wp:extent cx="1038860" cy="0"/>
                      <wp:effectExtent l="0" t="19050" r="8890" b="0"/>
                      <wp:wrapNone/>
                      <wp:docPr id="1782631981" name="直接连接符 41"/>
                      <wp:cNvGraphicFramePr/>
                      <a:graphic xmlns:a="http://schemas.openxmlformats.org/drawingml/2006/main">
                        <a:graphicData uri="http://schemas.microsoft.com/office/word/2010/wordprocessingShape">
                          <wps:wsp>
                            <wps:cNvCnPr>
                              <a:cxnSpLocks noChangeShapeType="true"/>
                            </wps:cNvCnPr>
                            <wps:spPr bwMode="auto">
                              <a:xfrm>
                                <a:off x="0" y="0"/>
                                <a:ext cx="1038860" cy="0"/>
                              </a:xfrm>
                              <a:prstGeom prst="line">
                                <a:avLst/>
                              </a:prstGeom>
                              <a:noFill/>
                              <a:ln w="28575">
                                <a:solidFill>
                                  <a:srgbClr val="000000"/>
                                </a:solidFill>
                                <a:prstDash val="sysDot"/>
                                <a:round/>
                              </a:ln>
                            </wps:spPr>
                            <wps:bodyPr/>
                          </wps:wsp>
                        </a:graphicData>
                      </a:graphic>
                    </wp:anchor>
                  </w:drawing>
                </mc:Choice>
                <mc:Fallback>
                  <w:pict>
                    <v:line id="直接连接符 41" o:spid="_x0000_s1026" o:spt="20" style="position:absolute;left:0pt;margin-left:12pt;margin-top:3.6pt;height:0pt;width:81.8pt;z-index:251747328;mso-width-relative:page;mso-height-relative:page;" filled="f" stroked="t" coordsize="21600,21600" o:gfxdata="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eXpbCdYAAAAGAQAADwAAAAAAAAABACAAAAA4AAAAZHJzL2Rvd25yZXYueG1sUEsB&#10;AhQAFAAAAAgAh07iQHD/wwrhAQAAhAMAAA4AAAAAAAAAAQAgAAAAOwEAAGRycy9lMm9Eb2MueG1s&#10;UEsFBgAAAAAGAAYAWQEAAI4FA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Align w:val="center"/>
          </w:tcPr>
          <w:p>
            <w:pPr>
              <w:pStyle w:val="93"/>
              <w:spacing w:line="300" w:lineRule="exact"/>
              <w:rPr>
                <w:rFonts w:eastAsia="仿宋_GB2312" w:cs="Times New Roman"/>
              </w:rPr>
            </w:pPr>
            <w:r>
              <w:rPr>
                <w:rFonts w:eastAsia="仿宋_GB2312" w:cs="Times New Roman"/>
              </w:rPr>
              <w:t>芭蕉牵张场区</w:t>
            </w:r>
          </w:p>
        </w:tc>
        <w:tc>
          <w:tcPr>
            <w:tcW w:w="1120" w:type="dxa"/>
            <w:vAlign w:val="center"/>
          </w:tcPr>
          <w:p>
            <w:pPr>
              <w:pStyle w:val="93"/>
              <w:spacing w:line="300" w:lineRule="exact"/>
              <w:rPr>
                <w:rFonts w:eastAsia="仿宋_GB2312" w:cs="Times New Roman"/>
              </w:rPr>
            </w:pPr>
            <w:r>
              <w:rPr>
                <w:rFonts w:eastAsia="仿宋_GB2312" w:cs="Times New Roman"/>
              </w:rPr>
              <w:t>工程措施</w:t>
            </w:r>
          </w:p>
        </w:tc>
        <w:tc>
          <w:tcPr>
            <w:tcW w:w="1420" w:type="dxa"/>
            <w:vAlign w:val="center"/>
          </w:tcPr>
          <w:p>
            <w:pPr>
              <w:pStyle w:val="93"/>
              <w:spacing w:line="300" w:lineRule="exact"/>
              <w:rPr>
                <w:rFonts w:eastAsia="仿宋_GB2312" w:cs="Times New Roman"/>
              </w:rPr>
            </w:pPr>
            <w:r>
              <w:rPr>
                <w:rFonts w:eastAsia="仿宋_GB2312" w:cs="Times New Roman"/>
              </w:rPr>
              <w:t>土地平整</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48352" behindDoc="0" locked="0" layoutInCell="1" allowOverlap="1">
                      <wp:simplePos x="0" y="0"/>
                      <wp:positionH relativeFrom="column">
                        <wp:posOffset>39370</wp:posOffset>
                      </wp:positionH>
                      <wp:positionV relativeFrom="paragraph">
                        <wp:posOffset>118110</wp:posOffset>
                      </wp:positionV>
                      <wp:extent cx="615315" cy="0"/>
                      <wp:effectExtent l="0" t="19050" r="13335" b="0"/>
                      <wp:wrapNone/>
                      <wp:docPr id="1381666141" name="直接连接符 39"/>
                      <wp:cNvGraphicFramePr/>
                      <a:graphic xmlns:a="http://schemas.openxmlformats.org/drawingml/2006/main">
                        <a:graphicData uri="http://schemas.microsoft.com/office/word/2010/wordprocessingShape">
                          <wps:wsp>
                            <wps:cNvCnPr>
                              <a:cxnSpLocks noChangeShapeType="true"/>
                            </wps:cNvCnPr>
                            <wps:spPr bwMode="auto">
                              <a:xfrm>
                                <a:off x="0" y="0"/>
                                <a:ext cx="615315" cy="0"/>
                              </a:xfrm>
                              <a:prstGeom prst="line">
                                <a:avLst/>
                              </a:prstGeom>
                              <a:noFill/>
                              <a:ln w="28575">
                                <a:solidFill>
                                  <a:srgbClr val="000000"/>
                                </a:solidFill>
                                <a:prstDash val="sysDot"/>
                                <a:round/>
                              </a:ln>
                            </wps:spPr>
                            <wps:bodyPr/>
                          </wps:wsp>
                        </a:graphicData>
                      </a:graphic>
                    </wp:anchor>
                  </w:drawing>
                </mc:Choice>
                <mc:Fallback>
                  <w:pict>
                    <v:line id="直接连接符 39" o:spid="_x0000_s1026" o:spt="20" style="position:absolute;left:0pt;margin-left:3.1pt;margin-top:9.3pt;height:0pt;width:48.45pt;z-index:251748352;mso-width-relative:page;mso-height-relative:page;" filled="f" stroked="t" coordsize="21600,21600" o:gfxdata="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B7OC6p0wAAAAcBAAAPAAAAAAAAAAEAIAAAADgAAABkcnMvZG93bnJldi54bWxQSwECFAAU&#10;AAAACACHTuJAU2iRpeABAACDAwAADgAAAAAAAAABACAAAAA4AQAAZHJzL2Uyb0RvYy54bWxQSwUG&#10;AAAAAAYABgBZAQAAigU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restart"/>
            <w:vAlign w:val="center"/>
          </w:tcPr>
          <w:p>
            <w:pPr>
              <w:pStyle w:val="93"/>
              <w:spacing w:line="300" w:lineRule="exact"/>
              <w:rPr>
                <w:rFonts w:eastAsia="仿宋_GB2312" w:cs="Times New Roman"/>
              </w:rPr>
            </w:pPr>
            <w:r>
              <w:rPr>
                <w:rFonts w:eastAsia="仿宋_GB2312" w:cs="Times New Roman"/>
              </w:rPr>
              <w:t>芭蕉跨越场</w:t>
            </w:r>
          </w:p>
        </w:tc>
        <w:tc>
          <w:tcPr>
            <w:tcW w:w="1120" w:type="dxa"/>
            <w:vAlign w:val="center"/>
          </w:tcPr>
          <w:p>
            <w:pPr>
              <w:pStyle w:val="93"/>
              <w:spacing w:line="300" w:lineRule="exact"/>
              <w:rPr>
                <w:rFonts w:eastAsia="仿宋_GB2312" w:cs="Times New Roman"/>
              </w:rPr>
            </w:pPr>
            <w:r>
              <w:rPr>
                <w:rFonts w:eastAsia="仿宋_GB2312" w:cs="Times New Roman"/>
              </w:rPr>
              <w:t>工程措施</w:t>
            </w:r>
          </w:p>
        </w:tc>
        <w:tc>
          <w:tcPr>
            <w:tcW w:w="1420" w:type="dxa"/>
            <w:vAlign w:val="center"/>
          </w:tcPr>
          <w:p>
            <w:pPr>
              <w:pStyle w:val="93"/>
              <w:spacing w:line="300" w:lineRule="exact"/>
              <w:rPr>
                <w:rFonts w:eastAsia="仿宋_GB2312" w:cs="Times New Roman"/>
              </w:rPr>
            </w:pPr>
            <w:r>
              <w:rPr>
                <w:rFonts w:eastAsia="仿宋_GB2312" w:cs="Times New Roman"/>
              </w:rPr>
              <w:t>土地平整</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49376" behindDoc="0" locked="0" layoutInCell="1" allowOverlap="1">
                      <wp:simplePos x="0" y="0"/>
                      <wp:positionH relativeFrom="column">
                        <wp:posOffset>41910</wp:posOffset>
                      </wp:positionH>
                      <wp:positionV relativeFrom="paragraph">
                        <wp:posOffset>61595</wp:posOffset>
                      </wp:positionV>
                      <wp:extent cx="615315" cy="0"/>
                      <wp:effectExtent l="0" t="19050" r="13335" b="0"/>
                      <wp:wrapNone/>
                      <wp:docPr id="1460644759" name="直接连接符 37"/>
                      <wp:cNvGraphicFramePr/>
                      <a:graphic xmlns:a="http://schemas.openxmlformats.org/drawingml/2006/main">
                        <a:graphicData uri="http://schemas.microsoft.com/office/word/2010/wordprocessingShape">
                          <wps:wsp>
                            <wps:cNvCnPr>
                              <a:cxnSpLocks noChangeShapeType="true"/>
                            </wps:cNvCnPr>
                            <wps:spPr bwMode="auto">
                              <a:xfrm>
                                <a:off x="0" y="0"/>
                                <a:ext cx="615315" cy="0"/>
                              </a:xfrm>
                              <a:prstGeom prst="line">
                                <a:avLst/>
                              </a:prstGeom>
                              <a:noFill/>
                              <a:ln w="28575">
                                <a:solidFill>
                                  <a:srgbClr val="000000"/>
                                </a:solidFill>
                                <a:prstDash val="sysDot"/>
                                <a:round/>
                              </a:ln>
                            </wps:spPr>
                            <wps:bodyPr/>
                          </wps:wsp>
                        </a:graphicData>
                      </a:graphic>
                    </wp:anchor>
                  </w:drawing>
                </mc:Choice>
                <mc:Fallback>
                  <w:pict>
                    <v:line id="直接连接符 37" o:spid="_x0000_s1026" o:spt="20" style="position:absolute;left:0pt;margin-left:3.3pt;margin-top:4.85pt;height:0pt;width:48.45pt;z-index:251749376;mso-width-relative:page;mso-height-relative:page;" filled="f" stroked="t" coordsize="21600,21600" o:gfxdata="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Jd7HWPUAAAABQEAAA8AAAAAAAAAAQAgAAAAOAAAAGRycy9kb3ducmV2LnhtbFBLAQIU&#10;ABQAAAAIAIdO4kC9Vvsy4QEAAIMDAAAOAAAAAAAAAAEAIAAAADkBAABkcnMvZTJvRG9jLnhtbFBL&#10;BQYAAAAABgAGAFkBAACMBQ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Align w:val="center"/>
          </w:tcPr>
          <w:p>
            <w:pPr>
              <w:pStyle w:val="93"/>
              <w:spacing w:line="300" w:lineRule="exact"/>
              <w:rPr>
                <w:rFonts w:eastAsia="仿宋_GB2312" w:cs="Times New Roman"/>
              </w:rPr>
            </w:pPr>
            <w:r>
              <w:rPr>
                <w:rFonts w:eastAsia="仿宋_GB2312" w:cs="Times New Roman"/>
              </w:rPr>
              <w:t>植物措施</w:t>
            </w:r>
          </w:p>
        </w:tc>
        <w:tc>
          <w:tcPr>
            <w:tcW w:w="1420" w:type="dxa"/>
            <w:vAlign w:val="center"/>
          </w:tcPr>
          <w:p>
            <w:pPr>
              <w:pStyle w:val="93"/>
              <w:spacing w:line="300" w:lineRule="exact"/>
              <w:rPr>
                <w:rFonts w:eastAsia="仿宋_GB2312" w:cs="Times New Roman"/>
              </w:rPr>
            </w:pPr>
            <w:r>
              <w:rPr>
                <w:rFonts w:eastAsia="仿宋_GB2312" w:cs="Times New Roman"/>
              </w:rPr>
              <w:t>播撒灌草</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lang w:val="zh-CN"/>
              </w:rPr>
              <mc:AlternateContent>
                <mc:Choice Requires="wps">
                  <w:drawing>
                    <wp:anchor distT="0" distB="0" distL="114300" distR="114300" simplePos="0" relativeHeight="251750400" behindDoc="0" locked="0" layoutInCell="1" allowOverlap="1">
                      <wp:simplePos x="0" y="0"/>
                      <wp:positionH relativeFrom="column">
                        <wp:posOffset>242570</wp:posOffset>
                      </wp:positionH>
                      <wp:positionV relativeFrom="paragraph">
                        <wp:posOffset>93980</wp:posOffset>
                      </wp:positionV>
                      <wp:extent cx="615315" cy="0"/>
                      <wp:effectExtent l="0" t="19050" r="13335" b="0"/>
                      <wp:wrapNone/>
                      <wp:docPr id="16457406" name="直接连接符 35"/>
                      <wp:cNvGraphicFramePr/>
                      <a:graphic xmlns:a="http://schemas.openxmlformats.org/drawingml/2006/main">
                        <a:graphicData uri="http://schemas.microsoft.com/office/word/2010/wordprocessingShape">
                          <wps:wsp>
                            <wps:cNvCnPr>
                              <a:cxnSpLocks noChangeShapeType="true"/>
                            </wps:cNvCnPr>
                            <wps:spPr bwMode="auto">
                              <a:xfrm>
                                <a:off x="0" y="0"/>
                                <a:ext cx="615315" cy="0"/>
                              </a:xfrm>
                              <a:prstGeom prst="line">
                                <a:avLst/>
                              </a:prstGeom>
                              <a:noFill/>
                              <a:ln w="28575">
                                <a:solidFill>
                                  <a:srgbClr val="000000"/>
                                </a:solidFill>
                                <a:prstDash val="sysDot"/>
                                <a:round/>
                              </a:ln>
                            </wps:spPr>
                            <wps:bodyPr/>
                          </wps:wsp>
                        </a:graphicData>
                      </a:graphic>
                    </wp:anchor>
                  </w:drawing>
                </mc:Choice>
                <mc:Fallback>
                  <w:pict>
                    <v:line id="直接连接符 35" o:spid="_x0000_s1026" o:spt="20" style="position:absolute;left:0pt;margin-left:19.1pt;margin-top:7.4pt;height:0pt;width:48.45pt;z-index:251750400;mso-width-relative:page;mso-height-relative:page;" filled="f" stroked="t" coordsize="21600,21600" o:gfxdata="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KSE72fWAAAACAEAAA8AAAAAAAAAAQAgAAAAOAAAAGRycy9kb3ducmV2LnhtbFBLAQIU&#10;ABQAAAAIAIdO4kBoTyVc3wEAAIEDAAAOAAAAAAAAAAEAIAAAADsBAABkcnMvZTJvRG9jLnhtbFBL&#10;BQYAAAAABgAGAFkBAACMBQ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restart"/>
            <w:vAlign w:val="center"/>
          </w:tcPr>
          <w:p>
            <w:pPr>
              <w:pStyle w:val="93"/>
              <w:spacing w:line="300" w:lineRule="exact"/>
              <w:rPr>
                <w:rFonts w:eastAsia="仿宋_GB2312" w:cs="Times New Roman"/>
              </w:rPr>
            </w:pPr>
            <w:r>
              <w:rPr>
                <w:rFonts w:eastAsia="仿宋_GB2312" w:cs="Times New Roman"/>
              </w:rPr>
              <w:t>芭蕉电缆工程区</w:t>
            </w:r>
          </w:p>
        </w:tc>
        <w:tc>
          <w:tcPr>
            <w:tcW w:w="1120" w:type="dxa"/>
            <w:vMerge w:val="restart"/>
            <w:vAlign w:val="center"/>
          </w:tcPr>
          <w:p>
            <w:pPr>
              <w:pStyle w:val="93"/>
              <w:spacing w:line="300" w:lineRule="exact"/>
              <w:rPr>
                <w:rFonts w:eastAsia="仿宋_GB2312" w:cs="Times New Roman"/>
              </w:rPr>
            </w:pPr>
            <w:r>
              <w:rPr>
                <w:rFonts w:eastAsia="仿宋_GB2312" w:cs="Times New Roman"/>
              </w:rPr>
              <w:t>工程措施</w:t>
            </w:r>
          </w:p>
        </w:tc>
        <w:tc>
          <w:tcPr>
            <w:tcW w:w="1420" w:type="dxa"/>
            <w:vAlign w:val="center"/>
          </w:tcPr>
          <w:p>
            <w:pPr>
              <w:pStyle w:val="93"/>
              <w:spacing w:line="300" w:lineRule="exact"/>
              <w:rPr>
                <w:rFonts w:eastAsia="仿宋_GB2312" w:cs="Times New Roman"/>
              </w:rPr>
            </w:pPr>
            <w:r>
              <w:rPr>
                <w:rFonts w:eastAsia="仿宋_GB2312" w:cs="Times New Roman"/>
              </w:rPr>
              <w:t>表土剥离</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mc:AlternateContent>
                <mc:Choice Requires="wps">
                  <w:drawing>
                    <wp:anchor distT="0" distB="0" distL="114300" distR="114300" simplePos="0" relativeHeight="251751424" behindDoc="0" locked="0" layoutInCell="1" allowOverlap="1">
                      <wp:simplePos x="0" y="0"/>
                      <wp:positionH relativeFrom="column">
                        <wp:posOffset>153670</wp:posOffset>
                      </wp:positionH>
                      <wp:positionV relativeFrom="paragraph">
                        <wp:posOffset>63500</wp:posOffset>
                      </wp:positionV>
                      <wp:extent cx="571500" cy="0"/>
                      <wp:effectExtent l="0" t="19050" r="0" b="0"/>
                      <wp:wrapNone/>
                      <wp:docPr id="1815808201" name="直接连接符 33"/>
                      <wp:cNvGraphicFramePr/>
                      <a:graphic xmlns:a="http://schemas.openxmlformats.org/drawingml/2006/main">
                        <a:graphicData uri="http://schemas.microsoft.com/office/word/2010/wordprocessingShape">
                          <wps:wsp>
                            <wps:cNvCnPr>
                              <a:cxnSpLocks noChangeShapeType="true"/>
                            </wps:cNvCnPr>
                            <wps:spPr bwMode="auto">
                              <a:xfrm>
                                <a:off x="0" y="0"/>
                                <a:ext cx="571500" cy="0"/>
                              </a:xfrm>
                              <a:prstGeom prst="line">
                                <a:avLst/>
                              </a:prstGeom>
                              <a:noFill/>
                              <a:ln w="28575">
                                <a:solidFill>
                                  <a:srgbClr val="000000"/>
                                </a:solidFill>
                                <a:prstDash val="sysDot"/>
                                <a:round/>
                              </a:ln>
                            </wps:spPr>
                            <wps:bodyPr/>
                          </wps:wsp>
                        </a:graphicData>
                      </a:graphic>
                    </wp:anchor>
                  </w:drawing>
                </mc:Choice>
                <mc:Fallback>
                  <w:pict>
                    <v:line id="直接连接符 33" o:spid="_x0000_s1026" o:spt="20" style="position:absolute;left:0pt;margin-left:12.1pt;margin-top:5pt;height:0pt;width:45pt;z-index:251751424;mso-width-relative:page;mso-height-relative:page;" filled="f" stroked="t" coordsize="21600,21600" o:gfxdata="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uJaaytQAAAAIAQAADwAAAAAAAAABACAAAAA4AAAAZHJzL2Rvd25yZXYueG1sUEsBAhQA&#10;FAAAAAgAh07iQBYevWjgAQAAgwMAAA4AAAAAAAAAAQAgAAAAOQEAAGRycy9lMm9Eb2MueG1sUEsF&#10;BgAAAAAGAAYAWQEAAIsFA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表土回覆</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mc:AlternateContent>
                <mc:Choice Requires="wps">
                  <w:drawing>
                    <wp:anchor distT="0" distB="0" distL="114300" distR="114300" simplePos="0" relativeHeight="251753472" behindDoc="0" locked="0" layoutInCell="1" allowOverlap="1">
                      <wp:simplePos x="0" y="0"/>
                      <wp:positionH relativeFrom="column">
                        <wp:posOffset>217805</wp:posOffset>
                      </wp:positionH>
                      <wp:positionV relativeFrom="paragraph">
                        <wp:posOffset>82550</wp:posOffset>
                      </wp:positionV>
                      <wp:extent cx="571500" cy="0"/>
                      <wp:effectExtent l="0" t="19050" r="0" b="0"/>
                      <wp:wrapNone/>
                      <wp:docPr id="920880841" name="直接连接符 31"/>
                      <wp:cNvGraphicFramePr/>
                      <a:graphic xmlns:a="http://schemas.openxmlformats.org/drawingml/2006/main">
                        <a:graphicData uri="http://schemas.microsoft.com/office/word/2010/wordprocessingShape">
                          <wps:wsp>
                            <wps:cNvCnPr>
                              <a:cxnSpLocks noChangeShapeType="true"/>
                            </wps:cNvCnPr>
                            <wps:spPr bwMode="auto">
                              <a:xfrm>
                                <a:off x="0" y="0"/>
                                <a:ext cx="571500" cy="0"/>
                              </a:xfrm>
                              <a:prstGeom prst="line">
                                <a:avLst/>
                              </a:prstGeom>
                              <a:noFill/>
                              <a:ln w="28575">
                                <a:solidFill>
                                  <a:srgbClr val="000000"/>
                                </a:solidFill>
                                <a:prstDash val="sysDot"/>
                                <a:round/>
                              </a:ln>
                            </wps:spPr>
                            <wps:bodyPr/>
                          </wps:wsp>
                        </a:graphicData>
                      </a:graphic>
                    </wp:anchor>
                  </w:drawing>
                </mc:Choice>
                <mc:Fallback>
                  <w:pict>
                    <v:line id="直接连接符 31" o:spid="_x0000_s1026" o:spt="20" style="position:absolute;left:0pt;margin-left:17.15pt;margin-top:6.5pt;height:0pt;width:45pt;z-index:251753472;mso-width-relative:page;mso-height-relative:page;" filled="f" stroked="t" coordsize="21600,21600" o:gfxdata="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DONzeh1AAAAAgBAAAPAAAAAAAAAAEAIAAAADgAAABkcnMvZG93bnJldi54bWxQSwECFAAU&#10;AAAACACHTuJALgZvPd8BAACCAwAADgAAAAAAAAABACAAAAA5AQAAZHJzL2Uyb0RvYy54bWxQSwUG&#10;AAAAAAYABgBZAQAAigU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土地平整</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mc:AlternateContent>
                <mc:Choice Requires="wps">
                  <w:drawing>
                    <wp:anchor distT="0" distB="0" distL="114300" distR="114300" simplePos="0" relativeHeight="251752448" behindDoc="0" locked="0" layoutInCell="1" allowOverlap="1">
                      <wp:simplePos x="0" y="0"/>
                      <wp:positionH relativeFrom="column">
                        <wp:posOffset>250825</wp:posOffset>
                      </wp:positionH>
                      <wp:positionV relativeFrom="paragraph">
                        <wp:posOffset>101600</wp:posOffset>
                      </wp:positionV>
                      <wp:extent cx="571500" cy="0"/>
                      <wp:effectExtent l="0" t="19050" r="0" b="0"/>
                      <wp:wrapNone/>
                      <wp:docPr id="289765543" name="直接连接符 29"/>
                      <wp:cNvGraphicFramePr/>
                      <a:graphic xmlns:a="http://schemas.openxmlformats.org/drawingml/2006/main">
                        <a:graphicData uri="http://schemas.microsoft.com/office/word/2010/wordprocessingShape">
                          <wps:wsp>
                            <wps:cNvCnPr>
                              <a:cxnSpLocks noChangeShapeType="true"/>
                            </wps:cNvCnPr>
                            <wps:spPr bwMode="auto">
                              <a:xfrm>
                                <a:off x="0" y="0"/>
                                <a:ext cx="571500" cy="0"/>
                              </a:xfrm>
                              <a:prstGeom prst="line">
                                <a:avLst/>
                              </a:prstGeom>
                              <a:noFill/>
                              <a:ln w="28575">
                                <a:solidFill>
                                  <a:srgbClr val="000000"/>
                                </a:solidFill>
                                <a:prstDash val="sysDot"/>
                                <a:round/>
                              </a:ln>
                            </wps:spPr>
                            <wps:bodyPr/>
                          </wps:wsp>
                        </a:graphicData>
                      </a:graphic>
                    </wp:anchor>
                  </w:drawing>
                </mc:Choice>
                <mc:Fallback>
                  <w:pict>
                    <v:line id="直接连接符 29" o:spid="_x0000_s1026" o:spt="20" style="position:absolute;left:0pt;margin-left:19.75pt;margin-top:8pt;height:0pt;width:45pt;z-index:251752448;mso-width-relative:page;mso-height-relative:page;" filled="f" stroked="t" coordsize="21600,21600" o:gfxdata="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BjWcFy1QAAAAgBAAAPAAAAAAAAAAEAIAAAADgAAABkcnMvZG93bnJldi54bWxQSwECFAAU&#10;AAAACACHTuJAFY7jR94BAACCAwAADgAAAAAAAAABACAAAAA6AQAAZHJzL2Uyb0RvYy54bWxQSwUG&#10;AAAAAAYABgBZAQAAigU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restart"/>
            <w:vAlign w:val="center"/>
          </w:tcPr>
          <w:p>
            <w:pPr>
              <w:pStyle w:val="93"/>
              <w:spacing w:line="300" w:lineRule="exact"/>
              <w:rPr>
                <w:rFonts w:eastAsia="仿宋_GB2312" w:cs="Times New Roman"/>
              </w:rPr>
            </w:pPr>
            <w:r>
              <w:rPr>
                <w:rFonts w:eastAsia="仿宋_GB2312" w:cs="Times New Roman"/>
              </w:rPr>
              <w:t>临时措施</w:t>
            </w:r>
          </w:p>
        </w:tc>
        <w:tc>
          <w:tcPr>
            <w:tcW w:w="1420" w:type="dxa"/>
            <w:vAlign w:val="center"/>
          </w:tcPr>
          <w:p>
            <w:pPr>
              <w:pStyle w:val="93"/>
              <w:spacing w:line="300" w:lineRule="exact"/>
              <w:rPr>
                <w:rFonts w:eastAsia="仿宋_GB2312" w:cs="Times New Roman"/>
              </w:rPr>
            </w:pPr>
            <w:r>
              <w:rPr>
                <w:rFonts w:eastAsia="仿宋_GB2312" w:cs="Times New Roman"/>
              </w:rPr>
              <w:t>土袋拦挡</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mc:AlternateContent>
                <mc:Choice Requires="wps">
                  <w:drawing>
                    <wp:anchor distT="0" distB="0" distL="114300" distR="114300" simplePos="0" relativeHeight="251754496" behindDoc="0" locked="0" layoutInCell="1" allowOverlap="1">
                      <wp:simplePos x="0" y="0"/>
                      <wp:positionH relativeFrom="column">
                        <wp:posOffset>153035</wp:posOffset>
                      </wp:positionH>
                      <wp:positionV relativeFrom="paragraph">
                        <wp:posOffset>65405</wp:posOffset>
                      </wp:positionV>
                      <wp:extent cx="1172210" cy="0"/>
                      <wp:effectExtent l="0" t="19050" r="8890" b="0"/>
                      <wp:wrapNone/>
                      <wp:docPr id="1291007038" name="直接连接符 27"/>
                      <wp:cNvGraphicFramePr/>
                      <a:graphic xmlns:a="http://schemas.openxmlformats.org/drawingml/2006/main">
                        <a:graphicData uri="http://schemas.microsoft.com/office/word/2010/wordprocessingShape">
                          <wps:wsp>
                            <wps:cNvCnPr>
                              <a:cxnSpLocks noChangeShapeType="true"/>
                            </wps:cNvCnPr>
                            <wps:spPr bwMode="auto">
                              <a:xfrm>
                                <a:off x="0" y="0"/>
                                <a:ext cx="1172210" cy="0"/>
                              </a:xfrm>
                              <a:prstGeom prst="line">
                                <a:avLst/>
                              </a:prstGeom>
                              <a:noFill/>
                              <a:ln w="28575">
                                <a:solidFill>
                                  <a:srgbClr val="000000"/>
                                </a:solidFill>
                                <a:prstDash val="sysDot"/>
                                <a:round/>
                              </a:ln>
                            </wps:spPr>
                            <wps:bodyPr/>
                          </wps:wsp>
                        </a:graphicData>
                      </a:graphic>
                    </wp:anchor>
                  </w:drawing>
                </mc:Choice>
                <mc:Fallback>
                  <w:pict>
                    <v:line id="直接连接符 27" o:spid="_x0000_s1026" o:spt="20" style="position:absolute;left:0pt;margin-left:12.05pt;margin-top:5.15pt;height:0pt;width:92.3pt;z-index:251754496;mso-width-relative:page;mso-height-relative:page;" filled="f" stroked="t" coordsize="21600,21600" o:gfxdata="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Dts0dQ1gAAAAgBAAAPAAAAAAAAAAEAIAAAADgAAABkcnMvZG93bnJldi54bWxQSwEC&#10;FAAUAAAACACHTuJAeq4lguABAACEAwAADgAAAAAAAAABACAAAAA7AQAAZHJzL2Uyb0RvYy54bWxQ&#10;SwUGAAAAAAYABgBZAQAAjQU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0" w:type="dxa"/>
            <w:vMerge w:val="continue"/>
            <w:vAlign w:val="center"/>
          </w:tcPr>
          <w:p>
            <w:pPr>
              <w:pStyle w:val="93"/>
              <w:spacing w:line="300" w:lineRule="exact"/>
              <w:rPr>
                <w:rFonts w:eastAsia="仿宋_GB2312" w:cs="Times New Roman"/>
              </w:rPr>
            </w:pPr>
          </w:p>
        </w:tc>
        <w:tc>
          <w:tcPr>
            <w:tcW w:w="1120" w:type="dxa"/>
            <w:vMerge w:val="continue"/>
            <w:vAlign w:val="center"/>
          </w:tcPr>
          <w:p>
            <w:pPr>
              <w:pStyle w:val="93"/>
              <w:spacing w:line="300" w:lineRule="exact"/>
              <w:rPr>
                <w:rFonts w:eastAsia="仿宋_GB2312" w:cs="Times New Roman"/>
              </w:rPr>
            </w:pPr>
          </w:p>
        </w:tc>
        <w:tc>
          <w:tcPr>
            <w:tcW w:w="1420" w:type="dxa"/>
            <w:vAlign w:val="center"/>
          </w:tcPr>
          <w:p>
            <w:pPr>
              <w:pStyle w:val="93"/>
              <w:spacing w:line="300" w:lineRule="exact"/>
              <w:rPr>
                <w:rFonts w:eastAsia="仿宋_GB2312" w:cs="Times New Roman"/>
              </w:rPr>
            </w:pPr>
            <w:r>
              <w:rPr>
                <w:rFonts w:eastAsia="仿宋_GB2312" w:cs="Times New Roman"/>
              </w:rPr>
              <w:t>防雨布遮盖</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mc:AlternateContent>
                <mc:Choice Requires="wps">
                  <w:drawing>
                    <wp:anchor distT="0" distB="0" distL="114300" distR="114300" simplePos="0" relativeHeight="251755520" behindDoc="0" locked="0" layoutInCell="1" allowOverlap="1">
                      <wp:simplePos x="0" y="0"/>
                      <wp:positionH relativeFrom="column">
                        <wp:posOffset>152400</wp:posOffset>
                      </wp:positionH>
                      <wp:positionV relativeFrom="paragraph">
                        <wp:posOffset>29210</wp:posOffset>
                      </wp:positionV>
                      <wp:extent cx="1172210" cy="0"/>
                      <wp:effectExtent l="0" t="19050" r="8890" b="0"/>
                      <wp:wrapNone/>
                      <wp:docPr id="96046580" name="直接连接符 25"/>
                      <wp:cNvGraphicFramePr/>
                      <a:graphic xmlns:a="http://schemas.openxmlformats.org/drawingml/2006/main">
                        <a:graphicData uri="http://schemas.microsoft.com/office/word/2010/wordprocessingShape">
                          <wps:wsp>
                            <wps:cNvCnPr>
                              <a:cxnSpLocks noChangeShapeType="true"/>
                            </wps:cNvCnPr>
                            <wps:spPr bwMode="auto">
                              <a:xfrm>
                                <a:off x="0" y="0"/>
                                <a:ext cx="1172210" cy="0"/>
                              </a:xfrm>
                              <a:prstGeom prst="line">
                                <a:avLst/>
                              </a:prstGeom>
                              <a:noFill/>
                              <a:ln w="28575">
                                <a:solidFill>
                                  <a:srgbClr val="000000"/>
                                </a:solidFill>
                                <a:prstDash val="sysDot"/>
                                <a:round/>
                              </a:ln>
                            </wps:spPr>
                            <wps:bodyPr/>
                          </wps:wsp>
                        </a:graphicData>
                      </a:graphic>
                    </wp:anchor>
                  </w:drawing>
                </mc:Choice>
                <mc:Fallback>
                  <w:pict>
                    <v:line id="直接连接符 25" o:spid="_x0000_s1026" o:spt="20" style="position:absolute;left:0pt;margin-left:12pt;margin-top:2.3pt;height:0pt;width:92.3pt;z-index:251755520;mso-width-relative:page;mso-height-relative:page;" filled="f" stroked="t" coordsize="21600,21600" o:gfxdata="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hQEQG9UAAAAGAQAADwAAAAAAAAABACAAAAA4AAAAZHJzL2Rvd25yZXYueG1sUEsBAhQA&#10;FAAAAAgAh07iQIMcZrbfAQAAggMAAA4AAAAAAAAAAQAgAAAAOgEAAGRycy9lMm9Eb2MueG1sUEsF&#10;BgAAAAAGAAYAWQEAAIsFAAAAAA==&#10;">
                      <v:fill on="f" focussize="0,0"/>
                      <v:stroke weight="2.25pt" color="#000000" joinstyle="round" dashstyle="1 1"/>
                      <v:imagedata o:title=""/>
                      <o:lock v:ext="edit" aspectratio="f"/>
                    </v:line>
                  </w:pict>
                </mc:Fallback>
              </mc:AlternateContent>
            </w: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c>
          <w:tcPr>
            <w:tcW w:w="500" w:type="dxa"/>
            <w:noWrap/>
            <w:vAlign w:val="center"/>
          </w:tcPr>
          <w:p>
            <w:pPr>
              <w:pStyle w:val="93"/>
              <w:spacing w:line="300" w:lineRule="exact"/>
              <w:rPr>
                <w:rFonts w:eastAsia="仿宋_GB2312" w:cs="Times New Roman"/>
              </w:rPr>
            </w:pPr>
            <w:r>
              <w:rPr>
                <w:rFonts w:eastAsia="仿宋_GB2312" w:cs="Times New Roman"/>
              </w:rPr>
              <w:t>　</w:t>
            </w:r>
          </w:p>
        </w:tc>
      </w:tr>
    </w:tbl>
    <w:p>
      <w:pPr>
        <w:widowControl w:val="0"/>
        <w:kinsoku/>
        <w:autoSpaceDE/>
        <w:autoSpaceDN/>
        <w:adjustRightInd/>
        <w:snapToGrid/>
        <w:spacing w:line="240" w:lineRule="auto"/>
        <w:ind w:firstLine="600" w:firstLineChars="250"/>
        <w:jc w:val="both"/>
        <w:textAlignment w:val="auto"/>
        <w:rPr>
          <w:rFonts w:cs="Times New Roman"/>
          <w:snapToGrid/>
          <w:color w:val="auto"/>
          <w:kern w:val="2"/>
          <w:szCs w:val="24"/>
          <w:lang w:eastAsia="zh-CN"/>
        </w:rPr>
      </w:pPr>
      <w:r>
        <w:rPr>
          <w:rFonts w:cs="Times New Roman"/>
          <w:snapToGrid/>
          <w:color w:val="auto"/>
          <w:kern w:val="2"/>
          <w:szCs w:val="24"/>
          <w:lang w:eastAsia="zh-CN"/>
        </w:rPr>
        <mc:AlternateContent>
          <mc:Choice Requires="wps">
            <w:drawing>
              <wp:anchor distT="0" distB="0" distL="114300" distR="114300" simplePos="0" relativeHeight="251702272" behindDoc="0" locked="0" layoutInCell="1" allowOverlap="1">
                <wp:simplePos x="0" y="0"/>
                <wp:positionH relativeFrom="column">
                  <wp:posOffset>4514850</wp:posOffset>
                </wp:positionH>
                <wp:positionV relativeFrom="paragraph">
                  <wp:posOffset>140335</wp:posOffset>
                </wp:positionV>
                <wp:extent cx="571500" cy="0"/>
                <wp:effectExtent l="0" t="19050" r="0" b="0"/>
                <wp:wrapNone/>
                <wp:docPr id="1963084688" name="直接连接符 23"/>
                <wp:cNvGraphicFramePr/>
                <a:graphic xmlns:a="http://schemas.openxmlformats.org/drawingml/2006/main">
                  <a:graphicData uri="http://schemas.microsoft.com/office/word/2010/wordprocessingShape">
                    <wps:wsp>
                      <wps:cNvCnPr>
                        <a:cxnSpLocks noChangeShapeType="true"/>
                      </wps:cNvCnPr>
                      <wps:spPr bwMode="auto">
                        <a:xfrm>
                          <a:off x="0" y="0"/>
                          <a:ext cx="571500" cy="0"/>
                        </a:xfrm>
                        <a:prstGeom prst="line">
                          <a:avLst/>
                        </a:prstGeom>
                        <a:noFill/>
                        <a:ln w="28575">
                          <a:solidFill>
                            <a:srgbClr val="000000"/>
                          </a:solidFill>
                          <a:round/>
                        </a:ln>
                      </wps:spPr>
                      <wps:bodyPr/>
                    </wps:wsp>
                  </a:graphicData>
                </a:graphic>
              </wp:anchor>
            </w:drawing>
          </mc:Choice>
          <mc:Fallback>
            <w:pict>
              <v:line id="直接连接符 23" o:spid="_x0000_s1026" o:spt="20" style="position:absolute;left:0pt;margin-left:355.5pt;margin-top:11.05pt;height:0pt;width:45pt;z-index:251702272;mso-width-relative:page;mso-height-relative:page;" filled="f" stroked="t" coordsize="21600,21600" o:gfxdata="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DzDlKZ&#10;1gAAAAkBAAAPAAAAAAAAAAEAIAAAADgAAABkcnMvZG93bnJldi54bWxQSwECFAAUAAAACACHTuJA&#10;AFzfKdQBAABpAwAADgAAAAAAAAABACAAAAA7AQAAZHJzL2Uyb0RvYy54bWxQSwUGAAAAAAYABgBZ&#10;AQAAgQUAAAAA&#10;">
                <v:fill on="f" focussize="0,0"/>
                <v:stroke weight="2.25pt" color="#000000" joinstyle="round"/>
                <v:imagedata o:title=""/>
                <o:lock v:ext="edit" aspectratio="f"/>
              </v:line>
            </w:pict>
          </mc:Fallback>
        </mc:AlternateContent>
      </w:r>
      <w:r>
        <w:rPr>
          <w:rFonts w:cs="Times New Roman"/>
          <w:snapToGrid/>
          <w:color w:val="auto"/>
          <w:kern w:val="2"/>
          <w:szCs w:val="24"/>
          <w:lang w:eastAsia="zh-CN"/>
        </w:rPr>
        <mc:AlternateContent>
          <mc:Choice Requires="wps">
            <w:drawing>
              <wp:anchor distT="0" distB="0" distL="114300" distR="114300" simplePos="0" relativeHeight="251701248" behindDoc="0" locked="0" layoutInCell="1" allowOverlap="1">
                <wp:simplePos x="0" y="0"/>
                <wp:positionH relativeFrom="column">
                  <wp:posOffset>1657350</wp:posOffset>
                </wp:positionH>
                <wp:positionV relativeFrom="paragraph">
                  <wp:posOffset>132080</wp:posOffset>
                </wp:positionV>
                <wp:extent cx="571500" cy="0"/>
                <wp:effectExtent l="0" t="19050" r="0" b="0"/>
                <wp:wrapNone/>
                <wp:docPr id="509769491" name="直接连接符 21"/>
                <wp:cNvGraphicFramePr/>
                <a:graphic xmlns:a="http://schemas.openxmlformats.org/drawingml/2006/main">
                  <a:graphicData uri="http://schemas.microsoft.com/office/word/2010/wordprocessingShape">
                    <wps:wsp>
                      <wps:cNvCnPr>
                        <a:cxnSpLocks noChangeShapeType="true"/>
                      </wps:cNvCnPr>
                      <wps:spPr bwMode="auto">
                        <a:xfrm>
                          <a:off x="0" y="0"/>
                          <a:ext cx="571500" cy="0"/>
                        </a:xfrm>
                        <a:prstGeom prst="line">
                          <a:avLst/>
                        </a:prstGeom>
                        <a:noFill/>
                        <a:ln w="28575">
                          <a:solidFill>
                            <a:srgbClr val="FF0000"/>
                          </a:solidFill>
                          <a:prstDash val="dash"/>
                          <a:round/>
                        </a:ln>
                      </wps:spPr>
                      <wps:bodyPr/>
                    </wps:wsp>
                  </a:graphicData>
                </a:graphic>
              </wp:anchor>
            </w:drawing>
          </mc:Choice>
          <mc:Fallback>
            <w:pict>
              <v:line id="直接连接符 21" o:spid="_x0000_s1026" o:spt="20" style="position:absolute;left:0pt;margin-left:130.5pt;margin-top:10.4pt;height:0pt;width:45pt;z-index:251701248;mso-width-relative:page;mso-height-relative:page;" filled="f" stroked="t" coordsize="21600,21600" o:gfxdata="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2mLXUdcAAAAJAQAADwAAAAAAAAABACAAAAA4AAAAZHJzL2Rvd25yZXYueG1sUEsB&#10;AhQAFAAAAAgAh07iQAW5TkvgAQAAgAMAAA4AAAAAAAAAAQAgAAAAPAEAAGRycy9lMm9Eb2MueG1s&#10;UEsFBgAAAAAGAAYAWQEAAI4FAAAAAA==&#10;">
                <v:fill on="f" focussize="0,0"/>
                <v:stroke weight="2.25pt" color="#FF0000" joinstyle="round" dashstyle="dash"/>
                <v:imagedata o:title=""/>
                <o:lock v:ext="edit" aspectratio="f"/>
              </v:line>
            </w:pict>
          </mc:Fallback>
        </mc:AlternateContent>
      </w:r>
      <w:r>
        <w:rPr>
          <w:rFonts w:cs="Times New Roman"/>
          <w:snapToGrid/>
          <w:color w:val="auto"/>
          <w:kern w:val="2"/>
          <w:szCs w:val="24"/>
          <w:lang w:eastAsia="zh-CN"/>
        </w:rPr>
        <mc:AlternateContent>
          <mc:Choice Requires="wps">
            <w:drawing>
              <wp:anchor distT="0" distB="0" distL="114300" distR="114300" simplePos="0" relativeHeight="251700224" behindDoc="0" locked="0" layoutInCell="1" allowOverlap="1">
                <wp:simplePos x="0" y="0"/>
                <wp:positionH relativeFrom="column">
                  <wp:posOffset>7724775</wp:posOffset>
                </wp:positionH>
                <wp:positionV relativeFrom="paragraph">
                  <wp:posOffset>140335</wp:posOffset>
                </wp:positionV>
                <wp:extent cx="571500" cy="0"/>
                <wp:effectExtent l="0" t="19050" r="0" b="0"/>
                <wp:wrapNone/>
                <wp:docPr id="850929825" name="直接连接符 19"/>
                <wp:cNvGraphicFramePr/>
                <a:graphic xmlns:a="http://schemas.openxmlformats.org/drawingml/2006/main">
                  <a:graphicData uri="http://schemas.microsoft.com/office/word/2010/wordprocessingShape">
                    <wps:wsp>
                      <wps:cNvCnPr>
                        <a:cxnSpLocks noChangeShapeType="true"/>
                      </wps:cNvCnPr>
                      <wps:spPr bwMode="auto">
                        <a:xfrm>
                          <a:off x="0" y="0"/>
                          <a:ext cx="571500" cy="0"/>
                        </a:xfrm>
                        <a:prstGeom prst="line">
                          <a:avLst/>
                        </a:prstGeom>
                        <a:noFill/>
                        <a:ln w="28575">
                          <a:solidFill>
                            <a:srgbClr val="000000"/>
                          </a:solidFill>
                          <a:prstDash val="sysDot"/>
                          <a:round/>
                        </a:ln>
                      </wps:spPr>
                      <wps:bodyPr/>
                    </wps:wsp>
                  </a:graphicData>
                </a:graphic>
              </wp:anchor>
            </w:drawing>
          </mc:Choice>
          <mc:Fallback>
            <w:pict>
              <v:line id="直接连接符 19" o:spid="_x0000_s1026" o:spt="20" style="position:absolute;left:0pt;margin-left:608.25pt;margin-top:11.05pt;height:0pt;width:45pt;z-index:251700224;mso-width-relative:page;mso-height-relative:page;" filled="f" stroked="t" coordsize="21600,21600" o:gfxdata="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CRjouO1wAAAAsBAAAPAAAAAAAAAAEAIAAAADgAAABkcnMvZG93bnJldi54bWxQSwEC&#10;FAAUAAAACACHTuJAbfSBGt8BAACCAwAADgAAAAAAAAABACAAAAA8AQAAZHJzL2Uyb0RvYy54bWxQ&#10;SwUGAAAAAAYABgBZAQAAjQUAAAAA&#10;">
                <v:fill on="f" focussize="0,0"/>
                <v:stroke weight="2.25pt" color="#000000" joinstyle="round" dashstyle="1 1"/>
                <v:imagedata o:title=""/>
                <o:lock v:ext="edit" aspectratio="f"/>
              </v:line>
            </w:pict>
          </mc:Fallback>
        </mc:AlternateContent>
      </w:r>
      <w:r>
        <w:rPr>
          <w:rFonts w:cs="Times New Roman"/>
          <w:snapToGrid/>
          <w:color w:val="auto"/>
          <w:kern w:val="2"/>
          <w:szCs w:val="24"/>
          <w:lang w:eastAsia="zh-CN"/>
        </w:rPr>
        <w:t>主体工程施工进度</w:t>
      </w:r>
      <w:r>
        <w:rPr>
          <w:rFonts w:hint="eastAsia" w:cs="Times New Roman"/>
          <w:snapToGrid/>
          <w:color w:val="auto"/>
          <w:kern w:val="2"/>
          <w:szCs w:val="24"/>
          <w:lang w:eastAsia="zh-CN"/>
        </w:rPr>
        <w:t xml:space="preserve">              </w:t>
      </w:r>
      <w:r>
        <w:rPr>
          <w:rFonts w:cs="Times New Roman"/>
          <w:snapToGrid/>
          <w:color w:val="auto"/>
          <w:kern w:val="2"/>
          <w:szCs w:val="24"/>
          <w:lang w:eastAsia="zh-CN"/>
        </w:rPr>
        <w:t>主体设计水保措施施工进度</w:t>
      </w:r>
      <w:r>
        <w:rPr>
          <w:rFonts w:hint="eastAsia" w:cs="Times New Roman"/>
          <w:snapToGrid/>
          <w:color w:val="auto"/>
          <w:kern w:val="2"/>
          <w:szCs w:val="24"/>
          <w:lang w:eastAsia="zh-CN"/>
        </w:rPr>
        <w:t xml:space="preserve">                 </w:t>
      </w:r>
      <w:r>
        <w:rPr>
          <w:rFonts w:cs="Times New Roman"/>
          <w:snapToGrid/>
          <w:color w:val="auto"/>
          <w:kern w:val="2"/>
          <w:szCs w:val="24"/>
          <w:lang w:eastAsia="zh-CN"/>
        </w:rPr>
        <w:t>方案新增水保措施施工进度</w:t>
      </w:r>
    </w:p>
    <w:p>
      <w:pPr>
        <w:pStyle w:val="93"/>
      </w:pPr>
    </w:p>
    <w:p>
      <w:pPr>
        <w:pStyle w:val="93"/>
      </w:pPr>
    </w:p>
    <w:p>
      <w:pPr>
        <w:widowControl w:val="0"/>
        <w:kinsoku/>
        <w:topLinePunct/>
        <w:autoSpaceDE/>
        <w:autoSpaceDN/>
        <w:spacing w:line="300" w:lineRule="auto"/>
        <w:ind w:firstLine="480"/>
        <w:jc w:val="both"/>
        <w:rPr>
          <w:rFonts w:cs="Times New Roman"/>
          <w:color w:val="auto"/>
          <w:szCs w:val="24"/>
          <w:lang w:eastAsia="zh-CN"/>
        </w:rPr>
        <w:sectPr>
          <w:headerReference r:id="rId26" w:type="default"/>
          <w:footerReference r:id="rId27" w:type="default"/>
          <w:pgSz w:w="16838" w:h="11906" w:orient="landscape"/>
          <w:pgMar w:top="1797" w:right="1440" w:bottom="1797" w:left="1440" w:header="851" w:footer="992" w:gutter="0"/>
          <w:cols w:space="425" w:num="1"/>
          <w:docGrid w:linePitch="326" w:charSpace="0"/>
        </w:sectPr>
      </w:pPr>
    </w:p>
    <w:p>
      <w:pPr>
        <w:pStyle w:val="2"/>
        <w:widowControl w:val="0"/>
        <w:kinsoku/>
        <w:topLinePunct/>
        <w:autoSpaceDE/>
        <w:autoSpaceDN/>
        <w:spacing w:before="120" w:after="120" w:line="300" w:lineRule="auto"/>
        <w:ind w:firstLine="0" w:firstLineChars="0"/>
        <w:jc w:val="center"/>
        <w:rPr>
          <w:rFonts w:cs="Times New Roman"/>
          <w:color w:val="auto"/>
          <w:sz w:val="32"/>
          <w:szCs w:val="32"/>
          <w:lang w:eastAsia="zh-CN"/>
        </w:rPr>
      </w:pPr>
      <w:bookmarkStart w:id="66" w:name="_Toc171533302"/>
      <w:r>
        <w:rPr>
          <w:rFonts w:cs="Times New Roman"/>
          <w:color w:val="auto"/>
          <w:sz w:val="32"/>
          <w:szCs w:val="32"/>
          <w:lang w:eastAsia="zh-CN"/>
        </w:rPr>
        <w:t>6  水土保持监测</w:t>
      </w:r>
      <w:bookmarkEnd w:id="66"/>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水利部办公厅关于进一步加强生产建设项目水土保持监测工作的通知》（办水保〔2020]161号）对编制水土保持方案报告书的生产建设项目（即征占地面积在5公顷以上或者石方总量在5万立方米以上的生产建设项目)，生产建设单自行或者委托具备相应技术条件的机构开展水土保持监测工作。本方案为水土保持方案报告表，水土保持监测工作不作具体要求。工程水土保持监测将由施工单位、监理单位以及验收调查单位通过巡查方式进行调查监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承担水土保持监测的单位应按《水土保持监测技术规范》编制详尽监测实施细则，同时监测单位需在工程施工准备期开始时，选派监测人员进场确定监测点位、布设水土保持监测设施，按本方案的水土保持监测要求编制监测计划并实施监测工作，对原始监测资料进行系统汇总、整理和分析，并编制水土保持监测成果报告，监测成果报告应定期报送水行政主管部门。对项目建设过程中水土流失的产生部位及危害进行监测，同时对方案的实施过程及实施后水土流失量的变化和水土保持效果进行跟踪调查和监测，将出现的问题及时向上级主管部门汇报，并提出处理意见。</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实行水土保持监测“绿黄红”三色评价，水土保持监测单位根据监测情况，在监测季报和总结报告等监测成果中提出“绿黄红”三色评价结论。生产建设单位要根据水土保持监测成果和三色评价结论，不断优化水土保持设计，加强施工组织管理，对监测发现的问题建立台账，及时组织有关参建单位采取整改措施，有效控制新增水土流失。</w:t>
      </w:r>
    </w:p>
    <w:p>
      <w:pPr>
        <w:widowControl w:val="0"/>
        <w:kinsoku/>
        <w:topLinePunct/>
        <w:autoSpaceDE/>
        <w:autoSpaceDN/>
        <w:spacing w:line="300" w:lineRule="auto"/>
        <w:ind w:firstLine="480"/>
        <w:jc w:val="both"/>
        <w:rPr>
          <w:rFonts w:cs="Times New Roman"/>
          <w:color w:val="auto"/>
          <w:szCs w:val="24"/>
          <w:lang w:eastAsia="zh-CN"/>
        </w:rPr>
        <w:sectPr>
          <w:headerReference r:id="rId28" w:type="default"/>
          <w:footerReference r:id="rId29" w:type="default"/>
          <w:pgSz w:w="11906" w:h="16838"/>
          <w:pgMar w:top="1440" w:right="1797" w:bottom="1440" w:left="1797" w:header="851" w:footer="992" w:gutter="0"/>
          <w:cols w:space="425" w:num="1"/>
          <w:docGrid w:linePitch="312" w:charSpace="0"/>
        </w:sectPr>
      </w:pPr>
    </w:p>
    <w:p>
      <w:pPr>
        <w:pStyle w:val="2"/>
        <w:widowControl w:val="0"/>
        <w:kinsoku/>
        <w:topLinePunct/>
        <w:autoSpaceDE/>
        <w:autoSpaceDN/>
        <w:spacing w:before="120" w:after="120" w:line="300" w:lineRule="auto"/>
        <w:ind w:firstLine="0" w:firstLineChars="0"/>
        <w:jc w:val="center"/>
        <w:rPr>
          <w:rFonts w:cs="Times New Roman"/>
          <w:color w:val="auto"/>
          <w:sz w:val="32"/>
          <w:szCs w:val="32"/>
          <w:lang w:eastAsia="zh-CN"/>
        </w:rPr>
      </w:pPr>
      <w:bookmarkStart w:id="67" w:name="_Toc171533303"/>
      <w:r>
        <w:rPr>
          <w:rFonts w:cs="Times New Roman"/>
          <w:color w:val="auto"/>
          <w:sz w:val="32"/>
          <w:szCs w:val="32"/>
          <w:lang w:eastAsia="zh-CN"/>
        </w:rPr>
        <w:t>7  水土保持投资估算及效益分析</w:t>
      </w:r>
      <w:bookmarkEnd w:id="67"/>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68" w:name="_Toc171533304"/>
      <w:r>
        <w:rPr>
          <w:rFonts w:ascii="Times New Roman" w:hAnsi="Times New Roman" w:eastAsia="仿宋_GB2312" w:cs="Times New Roman"/>
          <w:color w:val="auto"/>
          <w:sz w:val="30"/>
          <w:szCs w:val="30"/>
          <w:lang w:eastAsia="zh-CN"/>
        </w:rPr>
        <w:t>7.1 投资估算</w:t>
      </w:r>
      <w:bookmarkEnd w:id="68"/>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7.1.1 编制原则及依据</w:t>
      </w:r>
    </w:p>
    <w:p>
      <w:pPr>
        <w:spacing w:before="120" w:beforeLines="50" w:after="43" w:afterLines="18" w:line="360" w:lineRule="auto"/>
        <w:ind w:firstLine="0" w:firstLineChars="0"/>
        <w:outlineLvl w:val="3"/>
        <w:rPr>
          <w:b/>
          <w:color w:val="auto"/>
          <w:lang w:eastAsia="zh-CN"/>
        </w:rPr>
      </w:pPr>
      <w:r>
        <w:rPr>
          <w:b/>
          <w:color w:val="auto"/>
          <w:lang w:eastAsia="zh-CN"/>
        </w:rPr>
        <w:t>7.1.2.1 编制原则</w:t>
      </w:r>
    </w:p>
    <w:p>
      <w:pPr>
        <w:pStyle w:val="91"/>
        <w:ind w:firstLine="480"/>
      </w:pPr>
      <w:r>
        <w:rPr>
          <w:rFonts w:hint="eastAsia"/>
        </w:rPr>
        <w:t>（1）</w:t>
      </w:r>
      <w:r>
        <w:t>水土保持方案作为项目建设的一个重要组成部分</w:t>
      </w:r>
      <w:r>
        <w:rPr>
          <w:rFonts w:hint="eastAsia"/>
        </w:rPr>
        <w:t>，</w:t>
      </w:r>
      <w:r>
        <w:t>其</w:t>
      </w:r>
      <w:r>
        <w:rPr>
          <w:rFonts w:hint="eastAsia"/>
        </w:rPr>
        <w:t>人工单价、主要材料</w:t>
      </w:r>
      <w:r>
        <w:rPr>
          <w:rFonts w:hint="eastAsia" w:cs="Arial"/>
          <w:szCs w:val="21"/>
        </w:rPr>
        <w:t>预算</w:t>
      </w:r>
      <w:r>
        <w:rPr>
          <w:rFonts w:hint="eastAsia"/>
        </w:rPr>
        <w:t>价</w:t>
      </w:r>
      <w:r>
        <w:t>与主体工程一致；</w:t>
      </w:r>
    </w:p>
    <w:p>
      <w:pPr>
        <w:pStyle w:val="91"/>
        <w:ind w:firstLine="480"/>
      </w:pPr>
      <w:r>
        <w:rPr>
          <w:rFonts w:hint="eastAsia"/>
        </w:rPr>
        <w:t>（2）</w:t>
      </w:r>
      <w:r>
        <w:rPr>
          <w:rFonts w:cs="Times New Roman"/>
        </w:rPr>
        <w:t>主体工程未明确的，</w:t>
      </w:r>
      <w:r>
        <w:rPr>
          <w:rFonts w:hint="eastAsia"/>
        </w:rPr>
        <w:t>按《四川省水利厅关于发布〈四川省水利水电工程设计概（估）算编制规定〉的通知》（川水发[2015]9号）及《水土保持工程概算定额》进行编制</w:t>
      </w:r>
      <w:r>
        <w:t>；</w:t>
      </w:r>
    </w:p>
    <w:p>
      <w:pPr>
        <w:pStyle w:val="91"/>
        <w:ind w:firstLine="480"/>
      </w:pPr>
      <w:r>
        <w:rPr>
          <w:rFonts w:hint="eastAsia"/>
        </w:rPr>
        <w:t>（3）</w:t>
      </w:r>
      <w:r>
        <w:t>本工程水土保持工程价格水平年与主体工程价格水平年一致</w:t>
      </w:r>
      <w:r>
        <w:rPr>
          <w:rFonts w:hint="eastAsia"/>
        </w:rPr>
        <w:t>，即2024年1季度。</w:t>
      </w:r>
    </w:p>
    <w:p>
      <w:pPr>
        <w:spacing w:before="120" w:beforeLines="50" w:after="43" w:afterLines="18" w:line="360" w:lineRule="auto"/>
        <w:ind w:firstLine="0" w:firstLineChars="0"/>
        <w:outlineLvl w:val="3"/>
        <w:rPr>
          <w:b/>
          <w:color w:val="auto"/>
          <w:lang w:eastAsia="zh-CN"/>
        </w:rPr>
      </w:pPr>
      <w:r>
        <w:rPr>
          <w:b/>
          <w:color w:val="auto"/>
          <w:lang w:eastAsia="zh-CN"/>
        </w:rPr>
        <w:t>7.1.2.</w:t>
      </w:r>
      <w:r>
        <w:rPr>
          <w:rFonts w:hint="eastAsia"/>
          <w:b/>
          <w:color w:val="auto"/>
          <w:lang w:eastAsia="zh-CN"/>
        </w:rPr>
        <w:t>2</w:t>
      </w:r>
      <w:r>
        <w:rPr>
          <w:b/>
          <w:color w:val="auto"/>
          <w:lang w:eastAsia="zh-CN"/>
        </w:rPr>
        <w:t xml:space="preserve"> 编制</w:t>
      </w:r>
      <w:r>
        <w:rPr>
          <w:rFonts w:hint="eastAsia"/>
          <w:b/>
          <w:color w:val="auto"/>
          <w:lang w:eastAsia="zh-CN"/>
        </w:rPr>
        <w:t>依据</w:t>
      </w:r>
    </w:p>
    <w:p>
      <w:pPr>
        <w:widowControl w:val="0"/>
        <w:kinsoku/>
        <w:topLinePunct/>
        <w:autoSpaceDE/>
        <w:autoSpaceDN/>
        <w:spacing w:line="360" w:lineRule="auto"/>
        <w:ind w:firstLine="480"/>
        <w:jc w:val="both"/>
        <w:rPr>
          <w:color w:val="auto"/>
          <w:lang w:eastAsia="zh-CN"/>
        </w:rPr>
      </w:pPr>
      <w:r>
        <w:rPr>
          <w:rFonts w:hint="eastAsia"/>
          <w:color w:val="auto"/>
          <w:lang w:eastAsia="zh-CN"/>
        </w:rPr>
        <w:t>（1）</w:t>
      </w:r>
      <w:r>
        <w:rPr>
          <w:rFonts w:hint="eastAsia" w:cs="Times New Roman"/>
          <w:color w:val="auto"/>
          <w:szCs w:val="24"/>
          <w:lang w:eastAsia="zh-CN"/>
        </w:rPr>
        <w:t>《</w:t>
      </w:r>
      <w:r>
        <w:rPr>
          <w:rFonts w:hint="eastAsia"/>
          <w:color w:val="auto"/>
          <w:lang w:eastAsia="zh-CN"/>
        </w:rPr>
        <w:t>电网工程建设预算编制与计算规定</w:t>
      </w:r>
      <w:r>
        <w:rPr>
          <w:rFonts w:hint="eastAsia" w:cs="Times New Roman"/>
          <w:color w:val="auto"/>
          <w:szCs w:val="24"/>
          <w:lang w:eastAsia="zh-CN"/>
        </w:rPr>
        <w:t>》(2018年版)</w:t>
      </w:r>
    </w:p>
    <w:p>
      <w:pPr>
        <w:widowControl w:val="0"/>
        <w:kinsoku/>
        <w:topLinePunct/>
        <w:autoSpaceDE/>
        <w:autoSpaceDN/>
        <w:spacing w:line="360" w:lineRule="auto"/>
        <w:ind w:firstLine="480"/>
        <w:jc w:val="both"/>
        <w:rPr>
          <w:rFonts w:cs="Times New Roman"/>
          <w:color w:val="auto"/>
          <w:szCs w:val="24"/>
          <w:lang w:eastAsia="zh-CN"/>
        </w:rPr>
      </w:pPr>
      <w:r>
        <w:rPr>
          <w:rFonts w:hint="eastAsia"/>
          <w:color w:val="auto"/>
          <w:lang w:eastAsia="zh-CN"/>
        </w:rPr>
        <w:t>（2）</w:t>
      </w:r>
      <w:r>
        <w:rPr>
          <w:rFonts w:hint="eastAsia" w:cs="Times New Roman"/>
          <w:color w:val="auto"/>
          <w:szCs w:val="24"/>
          <w:lang w:eastAsia="zh-CN"/>
        </w:rPr>
        <w:t>《四川省水利厅关于发布&lt;四川省水利水电工程概（估）算编制规定&gt;的通知》（川水发〔2015〕9号）</w:t>
      </w:r>
    </w:p>
    <w:p>
      <w:pPr>
        <w:widowControl w:val="0"/>
        <w:kinsoku/>
        <w:topLinePunct/>
        <w:autoSpaceDE/>
        <w:autoSpaceDN/>
        <w:spacing w:line="360" w:lineRule="auto"/>
        <w:ind w:firstLine="480"/>
        <w:jc w:val="both"/>
        <w:rPr>
          <w:rFonts w:cs="Times New Roman"/>
          <w:color w:val="auto"/>
          <w:szCs w:val="24"/>
          <w:lang w:eastAsia="zh-CN"/>
        </w:rPr>
      </w:pPr>
      <w:r>
        <w:rPr>
          <w:rFonts w:hint="eastAsia"/>
          <w:color w:val="auto"/>
          <w:lang w:eastAsia="zh-CN"/>
        </w:rPr>
        <w:t>（3）</w:t>
      </w:r>
      <w:r>
        <w:rPr>
          <w:rFonts w:hint="eastAsia" w:cs="Times New Roman"/>
          <w:color w:val="auto"/>
          <w:szCs w:val="24"/>
          <w:lang w:eastAsia="zh-CN"/>
        </w:rPr>
        <w:t>《水土保持工程概算定额》(2003年)</w:t>
      </w:r>
    </w:p>
    <w:p>
      <w:pPr>
        <w:widowControl w:val="0"/>
        <w:kinsoku/>
        <w:topLinePunct/>
        <w:autoSpaceDE/>
        <w:autoSpaceDN/>
        <w:spacing w:line="360" w:lineRule="auto"/>
        <w:ind w:firstLine="480"/>
        <w:jc w:val="both"/>
        <w:rPr>
          <w:color w:val="auto"/>
          <w:lang w:val="zh-CN" w:eastAsia="zh-CN"/>
        </w:rPr>
      </w:pPr>
      <w:r>
        <w:rPr>
          <w:rFonts w:hint="eastAsia"/>
          <w:color w:val="auto"/>
          <w:lang w:eastAsia="zh-CN"/>
        </w:rPr>
        <w:t>（4）</w:t>
      </w:r>
      <w:r>
        <w:rPr>
          <w:rFonts w:hint="eastAsia" w:cs="Times New Roman"/>
          <w:color w:val="auto"/>
          <w:szCs w:val="24"/>
          <w:lang w:eastAsia="zh-CN"/>
        </w:rPr>
        <w:t>四川省水利厅关于印发《增值税税率调整后〈四川省水利水电工程设计概（估）算编制规定〉相应调整办法》的通知</w:t>
      </w:r>
      <w:r>
        <w:rPr>
          <w:color w:val="auto"/>
          <w:lang w:val="zh-CN" w:eastAsia="zh-CN"/>
        </w:rPr>
        <w:t>(川水函〔2019〕610号)</w:t>
      </w:r>
    </w:p>
    <w:p>
      <w:pPr>
        <w:widowControl w:val="0"/>
        <w:kinsoku/>
        <w:topLinePunct/>
        <w:autoSpaceDE/>
        <w:autoSpaceDN/>
        <w:spacing w:line="360" w:lineRule="auto"/>
        <w:ind w:firstLine="480"/>
        <w:jc w:val="both"/>
        <w:rPr>
          <w:color w:val="auto"/>
          <w:lang w:eastAsia="zh-CN"/>
        </w:rPr>
      </w:pPr>
      <w:r>
        <w:rPr>
          <w:rFonts w:hint="eastAsia"/>
          <w:color w:val="auto"/>
          <w:lang w:eastAsia="zh-CN"/>
        </w:rPr>
        <w:t>（5）</w:t>
      </w:r>
      <w:r>
        <w:rPr>
          <w:color w:val="auto"/>
          <w:lang w:eastAsia="zh-CN"/>
        </w:rPr>
        <w:t>《国家发展改革委关于进一步放开建设项目专业服务价格的通知》(发改价格〔2015〕299号)</w:t>
      </w:r>
    </w:p>
    <w:p>
      <w:pPr>
        <w:widowControl w:val="0"/>
        <w:kinsoku/>
        <w:topLinePunct/>
        <w:autoSpaceDE/>
        <w:autoSpaceDN/>
        <w:spacing w:line="360" w:lineRule="auto"/>
        <w:ind w:firstLine="480"/>
        <w:jc w:val="both"/>
        <w:rPr>
          <w:rFonts w:cs="Times New Roman"/>
          <w:color w:val="auto"/>
          <w:szCs w:val="24"/>
          <w:lang w:eastAsia="zh-CN"/>
        </w:rPr>
      </w:pPr>
      <w:r>
        <w:rPr>
          <w:rFonts w:hint="eastAsia"/>
          <w:color w:val="auto"/>
          <w:lang w:eastAsia="zh-CN"/>
        </w:rPr>
        <w:t>（6）</w:t>
      </w:r>
      <w:r>
        <w:rPr>
          <w:rFonts w:hint="eastAsia" w:cs="Times New Roman"/>
          <w:color w:val="auto"/>
          <w:szCs w:val="24"/>
          <w:lang w:eastAsia="zh-CN"/>
        </w:rPr>
        <w:t>《四川省发展和改革委员会四川省财政厅关于制定水土保持补偿费收费标准的通知》（川发改价格〔2017〕347号）</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7.1.2 编制说明</w:t>
      </w:r>
    </w:p>
    <w:p>
      <w:pPr>
        <w:spacing w:before="120" w:beforeLines="50" w:line="360" w:lineRule="auto"/>
        <w:ind w:firstLine="0" w:firstLineChars="0"/>
        <w:outlineLvl w:val="3"/>
        <w:rPr>
          <w:b/>
          <w:color w:val="auto"/>
          <w:lang w:eastAsia="zh-CN"/>
        </w:rPr>
      </w:pPr>
      <w:r>
        <w:rPr>
          <w:b/>
          <w:color w:val="auto"/>
          <w:lang w:eastAsia="zh-CN"/>
        </w:rPr>
        <w:t>7.1.3.1</w:t>
      </w:r>
      <w:r>
        <w:rPr>
          <w:rFonts w:hint="eastAsia"/>
          <w:b/>
          <w:color w:val="auto"/>
          <w:lang w:eastAsia="zh-CN"/>
        </w:rPr>
        <w:t xml:space="preserve"> </w:t>
      </w:r>
      <w:r>
        <w:rPr>
          <w:b/>
          <w:color w:val="auto"/>
          <w:lang w:eastAsia="zh-CN"/>
        </w:rPr>
        <w:t>基础单价及标准</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1、人工预算单价</w:t>
      </w:r>
    </w:p>
    <w:p>
      <w:pPr>
        <w:widowControl w:val="0"/>
        <w:kinsoku/>
        <w:topLinePunct/>
        <w:autoSpaceDE/>
        <w:autoSpaceDN/>
        <w:spacing w:line="360" w:lineRule="auto"/>
        <w:ind w:firstLine="480"/>
        <w:jc w:val="both"/>
        <w:rPr>
          <w:color w:val="auto"/>
          <w:lang w:eastAsia="zh-CN"/>
        </w:rPr>
      </w:pPr>
      <w:r>
        <w:rPr>
          <w:color w:val="auto"/>
          <w:lang w:eastAsia="zh-CN"/>
        </w:rPr>
        <w:t>根据《四川省水利水电工程设计概(估)算编制规定》2016年版，水土保持工程措施、监测措施、临时工程采用相应主体工程人工预算单价</w:t>
      </w:r>
      <w:r>
        <w:rPr>
          <w:rFonts w:hint="eastAsia"/>
          <w:color w:val="auto"/>
          <w:lang w:eastAsia="zh-CN"/>
        </w:rPr>
        <w:t>。</w:t>
      </w:r>
      <w:r>
        <w:rPr>
          <w:color w:val="auto"/>
          <w:lang w:eastAsia="zh-CN"/>
        </w:rPr>
        <w:t>本项目为建筑类建设项目，水土保持投资估算中的人工预算单价按建筑行业人工单价标准执行。根据</w:t>
      </w:r>
      <w:r>
        <w:rPr>
          <w:rFonts w:hint="eastAsia" w:cs="Times New Roman"/>
          <w:color w:val="auto"/>
          <w:szCs w:val="24"/>
          <w:lang w:eastAsia="zh-CN"/>
        </w:rPr>
        <w:t>《</w:t>
      </w:r>
      <w:r>
        <w:rPr>
          <w:rFonts w:hint="eastAsia"/>
          <w:color w:val="auto"/>
          <w:lang w:eastAsia="zh-CN"/>
        </w:rPr>
        <w:t>电网工程建设预算编制与计算标准</w:t>
      </w:r>
      <w:r>
        <w:rPr>
          <w:rFonts w:hint="eastAsia" w:cs="Times New Roman"/>
          <w:color w:val="auto"/>
          <w:szCs w:val="24"/>
          <w:lang w:eastAsia="zh-CN"/>
        </w:rPr>
        <w:t>》(2018年版)</w:t>
      </w:r>
      <w:r>
        <w:rPr>
          <w:color w:val="auto"/>
          <w:lang w:eastAsia="zh-CN"/>
        </w:rPr>
        <w:t>，并查阅主体设计资料，水土保持投资估算中的工程措施、植物措施、临时工程人工预算单价均为</w:t>
      </w:r>
      <w:r>
        <w:rPr>
          <w:rFonts w:hint="eastAsia" w:cs="Times New Roman"/>
          <w:color w:val="auto"/>
          <w:lang w:eastAsia="zh-CN"/>
        </w:rPr>
        <w:t>16</w:t>
      </w:r>
      <w:r>
        <w:rPr>
          <w:rFonts w:cs="Times New Roman"/>
          <w:color w:val="auto"/>
          <w:lang w:eastAsia="zh-CN"/>
        </w:rPr>
        <w:t>.</w:t>
      </w:r>
      <w:r>
        <w:rPr>
          <w:rFonts w:hint="eastAsia" w:cs="Times New Roman"/>
          <w:color w:val="auto"/>
          <w:lang w:eastAsia="zh-CN"/>
        </w:rPr>
        <w:t>80</w:t>
      </w:r>
      <w:r>
        <w:rPr>
          <w:rFonts w:cs="Times New Roman"/>
          <w:color w:val="auto"/>
          <w:lang w:eastAsia="zh-CN"/>
        </w:rPr>
        <w:t>元/</w:t>
      </w:r>
      <w:r>
        <w:rPr>
          <w:rFonts w:hint="eastAsia" w:cs="Times New Roman"/>
          <w:color w:val="auto"/>
          <w:lang w:eastAsia="zh-CN"/>
        </w:rPr>
        <w:t>工时</w:t>
      </w:r>
      <w:r>
        <w:rPr>
          <w:rFonts w:hint="eastAsia" w:cs="Times New Roman"/>
          <w:color w:val="auto"/>
          <w:szCs w:val="24"/>
          <w:lang w:eastAsia="zh-CN"/>
        </w:rPr>
        <w:t>。</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2、材料预算价格</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（1）主要材料预算价格</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主要材料与主体工程材料预算价格一致，为2024年《达州市工程造价信息》中达州市第三期材料价格计算。主要材料预算参照主体工程预算定额确定，其他次要材料预算价格参考市场价确定。材料、苗木等参照当地现行价格计算。</w:t>
      </w:r>
      <w:r>
        <w:rPr>
          <w:rFonts w:hint="eastAsia" w:cs="Times New Roman"/>
          <w:color w:val="auto"/>
          <w:szCs w:val="24"/>
          <w:lang w:eastAsia="zh-CN"/>
        </w:rPr>
        <w:tab/>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工程措施材料预算价格参考主体工程，植物材料预算价格按市场价加运杂费和采购及保管费计算进行计算。</w:t>
      </w:r>
    </w:p>
    <w:p>
      <w:pPr>
        <w:widowControl w:val="0"/>
        <w:kinsoku/>
        <w:topLinePunct/>
        <w:autoSpaceDE/>
        <w:autoSpaceDN/>
        <w:spacing w:line="300" w:lineRule="auto"/>
        <w:ind w:firstLine="474"/>
        <w:jc w:val="center"/>
        <w:rPr>
          <w:rFonts w:cs="Times New Roman"/>
          <w:b/>
          <w:bCs/>
          <w:color w:val="auto"/>
          <w:spacing w:val="-2"/>
          <w:lang w:eastAsia="zh-CN"/>
        </w:rPr>
      </w:pPr>
      <w:r>
        <w:rPr>
          <w:rFonts w:hint="eastAsia" w:cs="Times New Roman"/>
          <w:b/>
          <w:bCs/>
          <w:color w:val="auto"/>
          <w:spacing w:val="-2"/>
          <w:lang w:eastAsia="zh-CN"/>
        </w:rPr>
        <w:t>表7.1-1 主要材料预算价格汇总表</w:t>
      </w:r>
    </w:p>
    <w:tbl>
      <w:tblPr>
        <w:tblStyle w:val="26"/>
        <w:tblW w:w="4997" w:type="pct"/>
        <w:tblInd w:w="0" w:type="dxa"/>
        <w:tblLayout w:type="autofit"/>
        <w:tblCellMar>
          <w:top w:w="0" w:type="dxa"/>
          <w:left w:w="108" w:type="dxa"/>
          <w:bottom w:w="0" w:type="dxa"/>
          <w:right w:w="108" w:type="dxa"/>
        </w:tblCellMar>
      </w:tblPr>
      <w:tblGrid>
        <w:gridCol w:w="676"/>
        <w:gridCol w:w="2126"/>
        <w:gridCol w:w="992"/>
        <w:gridCol w:w="1681"/>
        <w:gridCol w:w="1771"/>
        <w:gridCol w:w="1277"/>
      </w:tblGrid>
      <w:tr>
        <w:tblPrEx>
          <w:tblCellMar>
            <w:top w:w="0" w:type="dxa"/>
            <w:left w:w="108" w:type="dxa"/>
            <w:bottom w:w="0" w:type="dxa"/>
            <w:right w:w="108" w:type="dxa"/>
          </w:tblCellMar>
        </w:tblPrEx>
        <w:trPr>
          <w:trHeight w:val="450" w:hRule="atLeast"/>
          <w:tblHeader/>
        </w:trPr>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序号</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名称及规格</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单位</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运输方式</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预算价格（元）</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备注</w:t>
            </w:r>
          </w:p>
        </w:tc>
      </w:tr>
      <w:tr>
        <w:tblPrEx>
          <w:tblCellMar>
            <w:top w:w="0" w:type="dxa"/>
            <w:left w:w="108" w:type="dxa"/>
            <w:bottom w:w="0" w:type="dxa"/>
            <w:right w:w="108" w:type="dxa"/>
          </w:tblCellMar>
        </w:tblPrEx>
        <w:trPr>
          <w:trHeight w:val="27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1</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水泥</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t</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汽车运</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467</w:t>
            </w:r>
          </w:p>
        </w:tc>
        <w:tc>
          <w:tcPr>
            <w:tcW w:w="7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主体价格</w:t>
            </w:r>
          </w:p>
        </w:tc>
      </w:tr>
      <w:tr>
        <w:tblPrEx>
          <w:tblCellMar>
            <w:top w:w="0" w:type="dxa"/>
            <w:left w:w="108" w:type="dxa"/>
            <w:bottom w:w="0" w:type="dxa"/>
            <w:right w:w="108" w:type="dxa"/>
          </w:tblCellMar>
        </w:tblPrEx>
        <w:trPr>
          <w:trHeight w:val="27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2</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柴油</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kg</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汽车运</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8.15</w:t>
            </w:r>
          </w:p>
        </w:tc>
        <w:tc>
          <w:tcPr>
            <w:tcW w:w="7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p>
        </w:tc>
      </w:tr>
      <w:tr>
        <w:tblPrEx>
          <w:tblCellMar>
            <w:top w:w="0" w:type="dxa"/>
            <w:left w:w="108" w:type="dxa"/>
            <w:bottom w:w="0" w:type="dxa"/>
            <w:right w:w="108" w:type="dxa"/>
          </w:tblCellMar>
        </w:tblPrEx>
        <w:trPr>
          <w:trHeight w:val="27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3</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板枋材</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m³</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汽车运</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1682.69</w:t>
            </w:r>
          </w:p>
        </w:tc>
        <w:tc>
          <w:tcPr>
            <w:tcW w:w="7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p>
        </w:tc>
      </w:tr>
      <w:tr>
        <w:tblPrEx>
          <w:tblCellMar>
            <w:top w:w="0" w:type="dxa"/>
            <w:left w:w="108" w:type="dxa"/>
            <w:bottom w:w="0" w:type="dxa"/>
            <w:right w:w="108" w:type="dxa"/>
          </w:tblCellMar>
        </w:tblPrEx>
        <w:trPr>
          <w:trHeight w:val="27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4</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钢模板</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kg</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汽车运</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5350</w:t>
            </w:r>
          </w:p>
        </w:tc>
        <w:tc>
          <w:tcPr>
            <w:tcW w:w="7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p>
        </w:tc>
      </w:tr>
      <w:tr>
        <w:tblPrEx>
          <w:tblCellMar>
            <w:top w:w="0" w:type="dxa"/>
            <w:left w:w="108" w:type="dxa"/>
            <w:bottom w:w="0" w:type="dxa"/>
            <w:right w:w="108" w:type="dxa"/>
          </w:tblCellMar>
        </w:tblPrEx>
        <w:trPr>
          <w:trHeight w:val="27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5</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细砂</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m³</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汽车运</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137</w:t>
            </w:r>
          </w:p>
        </w:tc>
        <w:tc>
          <w:tcPr>
            <w:tcW w:w="7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p>
        </w:tc>
      </w:tr>
      <w:tr>
        <w:tblPrEx>
          <w:tblCellMar>
            <w:top w:w="0" w:type="dxa"/>
            <w:left w:w="108" w:type="dxa"/>
            <w:bottom w:w="0" w:type="dxa"/>
            <w:right w:w="108" w:type="dxa"/>
          </w:tblCellMar>
        </w:tblPrEx>
        <w:trPr>
          <w:trHeight w:val="27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6</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碎石</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m³</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汽车运</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147</w:t>
            </w:r>
          </w:p>
        </w:tc>
        <w:tc>
          <w:tcPr>
            <w:tcW w:w="7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p>
        </w:tc>
      </w:tr>
      <w:tr>
        <w:tblPrEx>
          <w:tblCellMar>
            <w:top w:w="0" w:type="dxa"/>
            <w:left w:w="108" w:type="dxa"/>
            <w:bottom w:w="0" w:type="dxa"/>
            <w:right w:w="108" w:type="dxa"/>
          </w:tblCellMar>
        </w:tblPrEx>
        <w:trPr>
          <w:trHeight w:val="27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7</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页岩砖</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千块</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汽车运</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300</w:t>
            </w:r>
          </w:p>
        </w:tc>
        <w:tc>
          <w:tcPr>
            <w:tcW w:w="7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p>
        </w:tc>
      </w:tr>
      <w:tr>
        <w:tblPrEx>
          <w:tblCellMar>
            <w:top w:w="0" w:type="dxa"/>
            <w:left w:w="108" w:type="dxa"/>
            <w:bottom w:w="0" w:type="dxa"/>
            <w:right w:w="108" w:type="dxa"/>
          </w:tblCellMar>
        </w:tblPrEx>
        <w:trPr>
          <w:trHeight w:val="27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8</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风</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m³</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0.12</w:t>
            </w:r>
          </w:p>
        </w:tc>
        <w:tc>
          <w:tcPr>
            <w:tcW w:w="7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p>
        </w:tc>
      </w:tr>
      <w:tr>
        <w:tblPrEx>
          <w:tblCellMar>
            <w:top w:w="0" w:type="dxa"/>
            <w:left w:w="108" w:type="dxa"/>
            <w:bottom w:w="0" w:type="dxa"/>
            <w:right w:w="108" w:type="dxa"/>
          </w:tblCellMar>
        </w:tblPrEx>
        <w:trPr>
          <w:trHeight w:val="27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9</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水</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m³</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2.6</w:t>
            </w:r>
          </w:p>
        </w:tc>
        <w:tc>
          <w:tcPr>
            <w:tcW w:w="7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p>
        </w:tc>
      </w:tr>
      <w:tr>
        <w:tblPrEx>
          <w:tblCellMar>
            <w:top w:w="0" w:type="dxa"/>
            <w:left w:w="108" w:type="dxa"/>
            <w:bottom w:w="0" w:type="dxa"/>
            <w:right w:w="108" w:type="dxa"/>
          </w:tblCellMar>
        </w:tblPrEx>
        <w:trPr>
          <w:trHeight w:val="27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10</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电</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kWꞏh</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1.04</w:t>
            </w:r>
          </w:p>
        </w:tc>
        <w:tc>
          <w:tcPr>
            <w:tcW w:w="7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p>
        </w:tc>
      </w:tr>
      <w:tr>
        <w:tblPrEx>
          <w:tblCellMar>
            <w:top w:w="0" w:type="dxa"/>
            <w:left w:w="108" w:type="dxa"/>
            <w:bottom w:w="0" w:type="dxa"/>
            <w:right w:w="108" w:type="dxa"/>
          </w:tblCellMar>
        </w:tblPrEx>
        <w:trPr>
          <w:trHeight w:val="27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11</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农家土杂肥</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m³</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汽车运</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70</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询价</w:t>
            </w:r>
          </w:p>
        </w:tc>
      </w:tr>
      <w:tr>
        <w:tblPrEx>
          <w:tblCellMar>
            <w:top w:w="0" w:type="dxa"/>
            <w:left w:w="108" w:type="dxa"/>
            <w:bottom w:w="0" w:type="dxa"/>
            <w:right w:w="108" w:type="dxa"/>
          </w:tblCellMar>
        </w:tblPrEx>
        <w:trPr>
          <w:trHeight w:val="27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12</w:t>
            </w:r>
          </w:p>
        </w:tc>
        <w:tc>
          <w:tcPr>
            <w:tcW w:w="1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防雨布</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m²</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汽车运</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3</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tabs>
                <w:tab w:val="right" w:pos="8306"/>
              </w:tabs>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信息价</w:t>
            </w:r>
          </w:p>
        </w:tc>
      </w:tr>
    </w:tbl>
    <w:p>
      <w:pPr>
        <w:widowControl w:val="0"/>
        <w:kinsoku/>
        <w:topLinePunct/>
        <w:autoSpaceDE/>
        <w:autoSpaceDN/>
        <w:spacing w:line="300" w:lineRule="auto"/>
        <w:jc w:val="both"/>
        <w:rPr>
          <w:rFonts w:cs="Times New Roman"/>
          <w:color w:val="auto"/>
          <w:sz w:val="10"/>
          <w:szCs w:val="10"/>
          <w:lang w:eastAsia="zh-CN"/>
        </w:rPr>
      </w:pP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(2)苗木、草、种子预算价格</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苗木、草、种子的预算价格以苗圃或当地市场价格加运杂费和采购及保管费率计算。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（3）施工用电、用水参照主体工程单价计算。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（4）施工机械使用费</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施工机械使用费采用《水土保持工程概算定额》附录中的施工机械台时费定额计算。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2.建筑工程单价编制</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1、建筑工程单价</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建筑工程单价由直接费、间接费、利润和税金组成。</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（1）直接费</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包括基本直接费和其它直接费。</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①直接费</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包括人工费、材料费和机械使用费。</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人工费=定额劳动量（工时）×人工预算单价（元/工时）</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材料费=定额材料用量×材料预算单价</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机械使用费=定额机械使用量（台时）×施工机械台时费</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②其它直接费</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按基本直接费乘以其它直接费率计算。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（2）间接费</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按直接费乘间接费费率计算。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（3）利润</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按直接费与间接费之和乘以利润率计算。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（4）价差</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按材料预算价格减去材料基价在乘以消耗量计算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（5）税金</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按直接费、间接费、利润、价差之和乘综合税率计算。建筑工程单价=直接费+间接费+利润+价差+税金</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2、取费标准</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建筑工程单价费率参考主体工程设计边界条件及本水土保持工程实际情况取值，见下表：</w:t>
      </w:r>
    </w:p>
    <w:p>
      <w:pPr>
        <w:widowControl w:val="0"/>
        <w:kinsoku/>
        <w:topLinePunct/>
        <w:autoSpaceDE/>
        <w:autoSpaceDN/>
        <w:spacing w:line="300" w:lineRule="auto"/>
        <w:ind w:firstLine="474"/>
        <w:jc w:val="center"/>
        <w:rPr>
          <w:rFonts w:cs="Times New Roman"/>
          <w:b/>
          <w:bCs/>
          <w:color w:val="auto"/>
          <w:spacing w:val="-2"/>
          <w:lang w:eastAsia="zh-CN"/>
        </w:rPr>
      </w:pPr>
      <w:r>
        <w:rPr>
          <w:rFonts w:hint="eastAsia" w:cs="Times New Roman"/>
          <w:b/>
          <w:bCs/>
          <w:color w:val="auto"/>
          <w:spacing w:val="-2"/>
          <w:lang w:eastAsia="zh-CN"/>
        </w:rPr>
        <w:t xml:space="preserve">表7.1-2 </w:t>
      </w:r>
      <w:r>
        <w:rPr>
          <w:rFonts w:cs="Times New Roman"/>
          <w:b/>
          <w:bCs/>
          <w:color w:val="auto"/>
          <w:spacing w:val="-2"/>
          <w:lang w:eastAsia="zh-CN"/>
        </w:rPr>
        <w:t>工程费率表</w:t>
      </w:r>
    </w:p>
    <w:tbl>
      <w:tblPr>
        <w:tblStyle w:val="26"/>
        <w:tblW w:w="4998" w:type="pct"/>
        <w:jc w:val="center"/>
        <w:tblLayout w:type="autofit"/>
        <w:tblCellMar>
          <w:top w:w="0" w:type="dxa"/>
          <w:left w:w="108" w:type="dxa"/>
          <w:bottom w:w="0" w:type="dxa"/>
          <w:right w:w="108" w:type="dxa"/>
        </w:tblCellMar>
      </w:tblPr>
      <w:tblGrid>
        <w:gridCol w:w="2841"/>
        <w:gridCol w:w="2841"/>
        <w:gridCol w:w="2843"/>
      </w:tblGrid>
      <w:tr>
        <w:tblPrEx>
          <w:tblCellMar>
            <w:top w:w="0" w:type="dxa"/>
            <w:left w:w="108" w:type="dxa"/>
            <w:bottom w:w="0" w:type="dxa"/>
            <w:right w:w="108" w:type="dxa"/>
          </w:tblCellMar>
        </w:tblPrEx>
        <w:trPr>
          <w:trHeight w:val="215" w:hRule="atLeast"/>
          <w:jc w:val="center"/>
        </w:trPr>
        <w:tc>
          <w:tcPr>
            <w:tcW w:w="16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费率名称</w:t>
            </w:r>
          </w:p>
        </w:tc>
        <w:tc>
          <w:tcPr>
            <w:tcW w:w="16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工程措施</w:t>
            </w:r>
          </w:p>
        </w:tc>
        <w:tc>
          <w:tcPr>
            <w:tcW w:w="16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植物措施</w:t>
            </w:r>
          </w:p>
        </w:tc>
      </w:tr>
      <w:tr>
        <w:tblPrEx>
          <w:tblCellMar>
            <w:top w:w="0" w:type="dxa"/>
            <w:left w:w="108" w:type="dxa"/>
            <w:bottom w:w="0" w:type="dxa"/>
            <w:right w:w="108" w:type="dxa"/>
          </w:tblCellMar>
        </w:tblPrEx>
        <w:trPr>
          <w:trHeight w:val="215" w:hRule="atLeast"/>
          <w:jc w:val="center"/>
        </w:trPr>
        <w:tc>
          <w:tcPr>
            <w:tcW w:w="16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其他直接费</w:t>
            </w:r>
          </w:p>
        </w:tc>
        <w:tc>
          <w:tcPr>
            <w:tcW w:w="16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4.4</w:t>
            </w:r>
          </w:p>
        </w:tc>
        <w:tc>
          <w:tcPr>
            <w:tcW w:w="16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3.55</w:t>
            </w:r>
          </w:p>
        </w:tc>
      </w:tr>
      <w:tr>
        <w:tblPrEx>
          <w:tblCellMar>
            <w:top w:w="0" w:type="dxa"/>
            <w:left w:w="108" w:type="dxa"/>
            <w:bottom w:w="0" w:type="dxa"/>
            <w:right w:w="108" w:type="dxa"/>
          </w:tblCellMar>
        </w:tblPrEx>
        <w:trPr>
          <w:trHeight w:val="215" w:hRule="atLeast"/>
          <w:jc w:val="center"/>
        </w:trPr>
        <w:tc>
          <w:tcPr>
            <w:tcW w:w="16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间接费</w:t>
            </w:r>
          </w:p>
        </w:tc>
        <w:tc>
          <w:tcPr>
            <w:tcW w:w="16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5.5</w:t>
            </w:r>
          </w:p>
        </w:tc>
        <w:tc>
          <w:tcPr>
            <w:tcW w:w="16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4.5</w:t>
            </w:r>
          </w:p>
        </w:tc>
      </w:tr>
      <w:tr>
        <w:tblPrEx>
          <w:tblCellMar>
            <w:top w:w="0" w:type="dxa"/>
            <w:left w:w="108" w:type="dxa"/>
            <w:bottom w:w="0" w:type="dxa"/>
            <w:right w:w="108" w:type="dxa"/>
          </w:tblCellMar>
        </w:tblPrEx>
        <w:trPr>
          <w:trHeight w:val="215" w:hRule="atLeast"/>
          <w:jc w:val="center"/>
        </w:trPr>
        <w:tc>
          <w:tcPr>
            <w:tcW w:w="16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利润</w:t>
            </w:r>
          </w:p>
        </w:tc>
        <w:tc>
          <w:tcPr>
            <w:tcW w:w="16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7</w:t>
            </w:r>
          </w:p>
        </w:tc>
        <w:tc>
          <w:tcPr>
            <w:tcW w:w="16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7</w:t>
            </w:r>
          </w:p>
        </w:tc>
      </w:tr>
      <w:tr>
        <w:tblPrEx>
          <w:tblCellMar>
            <w:top w:w="0" w:type="dxa"/>
            <w:left w:w="108" w:type="dxa"/>
            <w:bottom w:w="0" w:type="dxa"/>
            <w:right w:w="108" w:type="dxa"/>
          </w:tblCellMar>
        </w:tblPrEx>
        <w:trPr>
          <w:trHeight w:val="215" w:hRule="atLeast"/>
          <w:jc w:val="center"/>
        </w:trPr>
        <w:tc>
          <w:tcPr>
            <w:tcW w:w="16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hint="eastAsia" w:cs="Times New Roman"/>
                <w:color w:val="auto"/>
                <w:sz w:val="20"/>
                <w:szCs w:val="20"/>
                <w:lang w:eastAsia="zh-CN"/>
              </w:rPr>
              <w:t>税金</w:t>
            </w:r>
          </w:p>
        </w:tc>
        <w:tc>
          <w:tcPr>
            <w:tcW w:w="16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9</w:t>
            </w:r>
          </w:p>
        </w:tc>
        <w:tc>
          <w:tcPr>
            <w:tcW w:w="16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topLinePunct/>
              <w:autoSpaceDE/>
              <w:autoSpaceDN/>
              <w:spacing w:line="240" w:lineRule="auto"/>
              <w:ind w:firstLine="0" w:firstLineChars="0"/>
              <w:jc w:val="center"/>
              <w:rPr>
                <w:rFonts w:cs="Times New Roman"/>
                <w:color w:val="auto"/>
                <w:sz w:val="20"/>
                <w:szCs w:val="20"/>
                <w:lang w:eastAsia="zh-CN"/>
              </w:rPr>
            </w:pPr>
            <w:r>
              <w:rPr>
                <w:rFonts w:cs="Times New Roman"/>
                <w:color w:val="auto"/>
                <w:sz w:val="20"/>
                <w:szCs w:val="20"/>
                <w:lang w:eastAsia="zh-CN"/>
              </w:rPr>
              <w:t>9</w:t>
            </w:r>
          </w:p>
        </w:tc>
      </w:tr>
    </w:tbl>
    <w:p>
      <w:pPr>
        <w:widowControl w:val="0"/>
        <w:kinsoku/>
        <w:topLinePunct/>
        <w:autoSpaceDE/>
        <w:autoSpaceDN/>
        <w:spacing w:line="300" w:lineRule="auto"/>
        <w:jc w:val="both"/>
        <w:rPr>
          <w:rFonts w:cs="Times New Roman"/>
          <w:color w:val="auto"/>
          <w:sz w:val="10"/>
          <w:szCs w:val="10"/>
          <w:lang w:eastAsia="zh-CN"/>
        </w:rPr>
      </w:pP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4.各部分估算编制</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本工程估算费用由工程措施、植物措施、监测措施、施工临时工程、独立费用、基本预备费等五部分组成，各部分均依据有关编制方法规定及费用计算标准</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进行计算；人工、材料、水、电、机械台班、砂石料及混凝土等基础价格则根据工程所在地编制年的价格水平及施工组织设计所确定，依照有关编制规定计算。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工程措施：按设计工程量或设备清单乘以工程单价进行编制，安装费按设备费的百分率计算。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植物措施：按设计工程量乘以工程单价进行编制。</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监测措施：土建设施及设备按设计工程量或设备清单乘以工程单价进行编制，安装费按设备费的百分率计算。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临时工程：其他临时工程费用按一、二、三部分费用合计的2%计取。</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独立费用：</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（1）建设管理费：</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按水土保持工程投资估算第一至第五部分之和的2%计</w:t>
      </w:r>
      <w:r>
        <w:rPr>
          <w:color w:val="auto"/>
          <w:lang w:eastAsia="zh-CN"/>
        </w:rPr>
        <w:t>，并根据工程实际情况</w:t>
      </w:r>
      <w:r>
        <w:rPr>
          <w:rFonts w:hint="eastAsia"/>
          <w:color w:val="auto"/>
          <w:lang w:eastAsia="zh-CN"/>
        </w:rPr>
        <w:t>按3</w:t>
      </w:r>
      <w:r>
        <w:rPr>
          <w:color w:val="auto"/>
          <w:lang w:eastAsia="zh-CN"/>
        </w:rPr>
        <w:t>.2</w:t>
      </w:r>
      <w:r>
        <w:rPr>
          <w:rFonts w:hint="eastAsia"/>
          <w:color w:val="auto"/>
          <w:lang w:eastAsia="zh-CN"/>
        </w:rPr>
        <w:t>万元</w:t>
      </w:r>
      <w:r>
        <w:rPr>
          <w:color w:val="auto"/>
          <w:lang w:eastAsia="zh-CN"/>
        </w:rPr>
        <w:t>计列。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（2）科研勘测设计费</w:t>
      </w:r>
    </w:p>
    <w:p>
      <w:pPr>
        <w:widowControl w:val="0"/>
        <w:kinsoku/>
        <w:topLinePunct/>
        <w:autoSpaceDE/>
        <w:autoSpaceDN/>
        <w:spacing w:line="360" w:lineRule="auto"/>
        <w:ind w:firstLine="480"/>
        <w:jc w:val="both"/>
        <w:rPr>
          <w:color w:val="auto"/>
          <w:lang w:eastAsia="zh-CN"/>
        </w:rPr>
      </w:pPr>
      <w:r>
        <w:rPr>
          <w:rFonts w:hint="eastAsia" w:ascii="宋体" w:hAnsi="宋体" w:eastAsia="宋体" w:cs="宋体"/>
          <w:color w:val="auto"/>
          <w:lang w:eastAsia="zh-CN"/>
        </w:rPr>
        <w:t>①</w:t>
      </w:r>
      <w:r>
        <w:rPr>
          <w:color w:val="auto"/>
          <w:lang w:eastAsia="zh-CN"/>
        </w:rPr>
        <w:t>勘测设计费</w:t>
      </w:r>
    </w:p>
    <w:p>
      <w:pPr>
        <w:widowControl w:val="0"/>
        <w:kinsoku/>
        <w:topLinePunct/>
        <w:autoSpaceDE/>
        <w:autoSpaceDN/>
        <w:spacing w:line="360" w:lineRule="auto"/>
        <w:ind w:firstLine="480"/>
        <w:jc w:val="both"/>
        <w:rPr>
          <w:color w:val="auto"/>
          <w:lang w:eastAsia="zh-CN"/>
        </w:rPr>
      </w:pPr>
      <w:r>
        <w:rPr>
          <w:color w:val="auto"/>
          <w:lang w:eastAsia="zh-CN"/>
        </w:rPr>
        <w:t>参照《建设项目前期工作咨询收费参考计算标准》《工程勘察设计收费参考计算标准》等，并根据工程实际情况计列。</w:t>
      </w:r>
    </w:p>
    <w:p>
      <w:pPr>
        <w:widowControl w:val="0"/>
        <w:kinsoku/>
        <w:topLinePunct/>
        <w:autoSpaceDE/>
        <w:autoSpaceDN/>
        <w:spacing w:line="360" w:lineRule="auto"/>
        <w:ind w:firstLine="480"/>
        <w:jc w:val="both"/>
        <w:rPr>
          <w:color w:val="auto"/>
          <w:lang w:eastAsia="zh-CN"/>
        </w:rPr>
      </w:pPr>
      <w:r>
        <w:rPr>
          <w:rFonts w:hint="eastAsia" w:ascii="宋体" w:hAnsi="宋体" w:eastAsia="宋体" w:cs="宋体"/>
          <w:color w:val="auto"/>
          <w:lang w:eastAsia="zh-CN"/>
        </w:rPr>
        <w:t>②</w:t>
      </w:r>
      <w:r>
        <w:rPr>
          <w:color w:val="auto"/>
          <w:lang w:eastAsia="zh-CN"/>
        </w:rPr>
        <w:t>方案编制费</w:t>
      </w:r>
    </w:p>
    <w:p>
      <w:pPr>
        <w:widowControl w:val="0"/>
        <w:kinsoku/>
        <w:topLinePunct/>
        <w:autoSpaceDE/>
        <w:autoSpaceDN/>
        <w:spacing w:line="360" w:lineRule="auto"/>
        <w:ind w:firstLine="480"/>
        <w:jc w:val="both"/>
        <w:rPr>
          <w:color w:val="auto"/>
          <w:lang w:eastAsia="zh-CN"/>
        </w:rPr>
      </w:pPr>
      <w:r>
        <w:rPr>
          <w:color w:val="auto"/>
          <w:lang w:eastAsia="zh-CN"/>
        </w:rPr>
        <w:t>方案编制费以主体工程土建投资合计为计算基数，按《四川省水利水电工程设计概(估)算编制规定》中方案编制费计算标准，并根据工程实际情况计列。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（3）工程建设监理费</w:t>
      </w:r>
    </w:p>
    <w:p>
      <w:pPr>
        <w:widowControl w:val="0"/>
        <w:kinsoku/>
        <w:topLinePunct/>
        <w:autoSpaceDE/>
        <w:autoSpaceDN/>
        <w:spacing w:line="360" w:lineRule="auto"/>
        <w:ind w:firstLine="480"/>
        <w:jc w:val="both"/>
        <w:rPr>
          <w:color w:val="auto"/>
          <w:lang w:eastAsia="zh-CN"/>
        </w:rPr>
      </w:pPr>
      <w:r>
        <w:rPr>
          <w:color w:val="auto"/>
          <w:lang w:eastAsia="zh-CN"/>
        </w:rPr>
        <w:t>工程建设监理费参照《建设工程监理与相关服务收费管理规定》等，并根据工程实际情况计列。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（4）竣工验收技术评估费</w:t>
      </w:r>
    </w:p>
    <w:p>
      <w:pPr>
        <w:widowControl w:val="0"/>
        <w:kinsoku/>
        <w:topLinePunct/>
        <w:autoSpaceDE/>
        <w:autoSpaceDN/>
        <w:spacing w:line="360" w:lineRule="auto"/>
        <w:ind w:firstLine="480"/>
        <w:jc w:val="both"/>
        <w:rPr>
          <w:color w:val="auto"/>
          <w:lang w:eastAsia="zh-CN"/>
        </w:rPr>
      </w:pPr>
      <w:r>
        <w:rPr>
          <w:color w:val="auto"/>
          <w:lang w:eastAsia="zh-CN"/>
        </w:rPr>
        <w:t>竣工验收技术评估费按《四川省水利水电工程设计概(估)算编制规定》中竣工验收技术评估费计算标准，并根据工程实际情况计列。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（5）招标代理</w:t>
      </w:r>
      <w:r>
        <w:rPr>
          <w:color w:val="auto"/>
          <w:lang w:eastAsia="zh-CN"/>
        </w:rPr>
        <w:t>服务</w:t>
      </w:r>
      <w:r>
        <w:rPr>
          <w:rFonts w:hint="eastAsia" w:cs="Times New Roman"/>
          <w:color w:val="auto"/>
          <w:szCs w:val="24"/>
          <w:lang w:eastAsia="zh-CN"/>
        </w:rPr>
        <w:t>费</w:t>
      </w:r>
    </w:p>
    <w:p>
      <w:pPr>
        <w:widowControl w:val="0"/>
        <w:kinsoku/>
        <w:topLinePunct/>
        <w:autoSpaceDE/>
        <w:autoSpaceDN/>
        <w:spacing w:line="360" w:lineRule="auto"/>
        <w:ind w:firstLine="480"/>
        <w:jc w:val="both"/>
        <w:rPr>
          <w:color w:val="auto"/>
          <w:lang w:eastAsia="zh-CN"/>
        </w:rPr>
      </w:pPr>
      <w:r>
        <w:rPr>
          <w:color w:val="auto"/>
          <w:lang w:eastAsia="zh-CN"/>
        </w:rPr>
        <w:t>招标代理服务费参照《四川省水利水电工程设计概(估)算编制规定》中招标代理服务费计算标准，并根据工程实际情况计列。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（6）经济技术咨询费</w:t>
      </w:r>
    </w:p>
    <w:p>
      <w:pPr>
        <w:widowControl w:val="0"/>
        <w:kinsoku/>
        <w:topLinePunct/>
        <w:autoSpaceDE/>
        <w:autoSpaceDN/>
        <w:spacing w:line="360" w:lineRule="auto"/>
        <w:ind w:firstLine="480"/>
        <w:jc w:val="both"/>
        <w:rPr>
          <w:color w:val="auto"/>
          <w:lang w:eastAsia="zh-CN"/>
        </w:rPr>
      </w:pPr>
      <w:r>
        <w:rPr>
          <w:color w:val="auto"/>
          <w:lang w:eastAsia="zh-CN"/>
        </w:rPr>
        <w:t>经济技术咨询费按《四川省水利水电工程设计概(估)算编制规定》中经济技术咨询费计算标准，并根据工程实际情况计列。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4.预备费</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基本预备费：按一至五部分投资的10%计列。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价差预备费：根据国家计委计投资（1999）1340号文的规定，价差预备费暂不计列。</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5.水土保持补偿费</w:t>
      </w:r>
    </w:p>
    <w:p>
      <w:pPr>
        <w:widowControl w:val="0"/>
        <w:kinsoku/>
        <w:topLinePunct/>
        <w:autoSpaceDE/>
        <w:autoSpaceDN/>
        <w:spacing w:line="360" w:lineRule="auto"/>
        <w:ind w:firstLine="480"/>
        <w:jc w:val="both"/>
        <w:rPr>
          <w:rFonts w:cs="Times New Roman"/>
          <w:color w:val="auto"/>
          <w:szCs w:val="24"/>
          <w:lang w:eastAsia="zh-CN"/>
        </w:rPr>
      </w:pPr>
      <w:r>
        <w:rPr>
          <w:rFonts w:hint="eastAsia" w:cs="Times New Roman"/>
          <w:color w:val="auto"/>
          <w:szCs w:val="24"/>
          <w:lang w:eastAsia="zh-CN"/>
        </w:rPr>
        <w:t>根据四川省发展和改革委员会、四川省财政厅文件《关于制定水土保持补偿费收费标准的通知》（川发改价格〔2017〕347号），本项目属一般性生产建设项目，水土保持补偿费按征占地面积每平方米1.3元一次性计征。根基计算水土补偿费为49554.70元。</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7.1.</w:t>
      </w:r>
      <w:r>
        <w:rPr>
          <w:rFonts w:hint="eastAsia" w:cs="Times New Roman"/>
          <w:color w:val="auto"/>
          <w:sz w:val="28"/>
          <w:szCs w:val="28"/>
          <w:lang w:eastAsia="zh-CN"/>
        </w:rPr>
        <w:t xml:space="preserve">3 </w:t>
      </w:r>
      <w:r>
        <w:rPr>
          <w:rFonts w:cs="Times New Roman"/>
          <w:color w:val="auto"/>
          <w:sz w:val="28"/>
          <w:szCs w:val="28"/>
          <w:lang w:eastAsia="zh-CN"/>
        </w:rPr>
        <w:t>估算成果</w:t>
      </w:r>
    </w:p>
    <w:p>
      <w:pPr>
        <w:widowControl w:val="0"/>
        <w:kinsoku/>
        <w:topLinePunct/>
        <w:autoSpaceDE/>
        <w:autoSpaceDN/>
        <w:spacing w:line="360" w:lineRule="auto"/>
        <w:ind w:firstLine="480"/>
        <w:jc w:val="both"/>
        <w:rPr>
          <w:color w:val="auto"/>
          <w:lang w:eastAsia="zh-CN"/>
        </w:rPr>
      </w:pPr>
      <w:bookmarkStart w:id="69" w:name="OLE_LINK14"/>
      <w:r>
        <w:rPr>
          <w:color w:val="auto"/>
          <w:lang w:eastAsia="zh-CN"/>
        </w:rPr>
        <w:t>经投资估算，本</w:t>
      </w:r>
      <w:r>
        <w:rPr>
          <w:rFonts w:cs="Times New Roman"/>
          <w:color w:val="auto"/>
          <w:szCs w:val="24"/>
          <w:lang w:eastAsia="zh-CN"/>
        </w:rPr>
        <w:t>工程</w:t>
      </w:r>
      <w:r>
        <w:rPr>
          <w:color w:val="auto"/>
          <w:lang w:eastAsia="zh-CN"/>
        </w:rPr>
        <w:t>水土保持静态总投资1</w:t>
      </w:r>
      <w:r>
        <w:rPr>
          <w:rFonts w:hint="eastAsia"/>
          <w:color w:val="auto"/>
          <w:lang w:eastAsia="zh-CN"/>
        </w:rPr>
        <w:t>93</w:t>
      </w:r>
      <w:r>
        <w:rPr>
          <w:color w:val="auto"/>
          <w:lang w:eastAsia="zh-CN"/>
        </w:rPr>
        <w:t>.</w:t>
      </w:r>
      <w:r>
        <w:rPr>
          <w:rFonts w:hint="eastAsia"/>
          <w:color w:val="auto"/>
          <w:lang w:eastAsia="zh-CN"/>
        </w:rPr>
        <w:t>86</w:t>
      </w:r>
      <w:r>
        <w:rPr>
          <w:color w:val="auto"/>
          <w:lang w:eastAsia="zh-CN"/>
        </w:rPr>
        <w:t>万元，其中，主体工程设计中的水土保持措施投资86.16万元，新增水土保持专项投资</w:t>
      </w:r>
      <w:r>
        <w:rPr>
          <w:rFonts w:hint="eastAsia"/>
          <w:color w:val="auto"/>
          <w:lang w:eastAsia="zh-CN"/>
        </w:rPr>
        <w:t>107</w:t>
      </w:r>
      <w:r>
        <w:rPr>
          <w:color w:val="auto"/>
          <w:lang w:eastAsia="zh-CN"/>
        </w:rPr>
        <w:t>.</w:t>
      </w:r>
      <w:r>
        <w:rPr>
          <w:rFonts w:hint="eastAsia"/>
          <w:color w:val="auto"/>
          <w:lang w:eastAsia="zh-CN"/>
        </w:rPr>
        <w:t>70</w:t>
      </w:r>
      <w:r>
        <w:rPr>
          <w:color w:val="auto"/>
          <w:lang w:eastAsia="zh-CN"/>
        </w:rPr>
        <w:t>万元。投资中，工程措施费66.78万元，植物措施费78.76</w:t>
      </w:r>
      <w:r>
        <w:rPr>
          <w:rFonts w:hint="eastAsia"/>
          <w:color w:val="auto"/>
          <w:lang w:eastAsia="zh-CN"/>
        </w:rPr>
        <w:t xml:space="preserve"> </w:t>
      </w:r>
      <w:r>
        <w:rPr>
          <w:color w:val="auto"/>
          <w:lang w:eastAsia="zh-CN"/>
        </w:rPr>
        <w:t>万元，临时工程费3.12万元，独立费用</w:t>
      </w:r>
      <w:r>
        <w:rPr>
          <w:rFonts w:hint="eastAsia"/>
          <w:color w:val="auto"/>
          <w:lang w:eastAsia="zh-CN"/>
        </w:rPr>
        <w:t>30</w:t>
      </w:r>
      <w:r>
        <w:rPr>
          <w:color w:val="auto"/>
          <w:lang w:eastAsia="zh-CN"/>
        </w:rPr>
        <w:t>.</w:t>
      </w:r>
      <w:r>
        <w:rPr>
          <w:rFonts w:hint="eastAsia"/>
          <w:color w:val="auto"/>
          <w:lang w:eastAsia="zh-CN"/>
        </w:rPr>
        <w:t>90</w:t>
      </w:r>
      <w:r>
        <w:rPr>
          <w:color w:val="auto"/>
          <w:lang w:eastAsia="zh-CN"/>
        </w:rPr>
        <w:t>万元，</w:t>
      </w:r>
      <w:r>
        <w:rPr>
          <w:rFonts w:hint="eastAsia"/>
          <w:color w:val="auto"/>
          <w:lang w:eastAsia="zh-CN"/>
        </w:rPr>
        <w:t>基本</w:t>
      </w:r>
      <w:r>
        <w:rPr>
          <w:color w:val="auto"/>
          <w:lang w:eastAsia="zh-CN"/>
        </w:rPr>
        <w:t>预备费</w:t>
      </w:r>
      <w:r>
        <w:rPr>
          <w:rFonts w:hint="eastAsia"/>
          <w:color w:val="auto"/>
          <w:lang w:eastAsia="zh-CN"/>
        </w:rPr>
        <w:t>9.34</w:t>
      </w:r>
      <w:r>
        <w:rPr>
          <w:color w:val="auto"/>
          <w:lang w:eastAsia="zh-CN"/>
        </w:rPr>
        <w:t>万元</w:t>
      </w:r>
      <w:r>
        <w:rPr>
          <w:rFonts w:cs="Times New Roman"/>
          <w:color w:val="auto"/>
          <w:szCs w:val="24"/>
          <w:lang w:eastAsia="zh-CN"/>
        </w:rPr>
        <w:t>，水土保持补偿费4.955547万元。</w:t>
      </w:r>
      <w:bookmarkEnd w:id="69"/>
    </w:p>
    <w:p>
      <w:pPr>
        <w:widowControl w:val="0"/>
        <w:kinsoku/>
        <w:topLinePunct/>
        <w:autoSpaceDE/>
        <w:autoSpaceDN/>
        <w:spacing w:line="360" w:lineRule="auto"/>
        <w:ind w:firstLine="480"/>
        <w:jc w:val="both"/>
        <w:rPr>
          <w:color w:val="auto"/>
          <w:lang w:eastAsia="zh-CN"/>
        </w:rPr>
      </w:pPr>
      <w:r>
        <w:rPr>
          <w:color w:val="auto"/>
          <w:lang w:eastAsia="zh-CN"/>
        </w:rPr>
        <w:t>本项目水土保持投资估算成果见表7</w:t>
      </w:r>
      <w:r>
        <w:rPr>
          <w:rFonts w:hint="eastAsia"/>
          <w:color w:val="auto"/>
          <w:lang w:eastAsia="zh-CN"/>
        </w:rPr>
        <w:t>.1</w:t>
      </w:r>
      <w:r>
        <w:rPr>
          <w:color w:val="auto"/>
          <w:lang w:eastAsia="zh-CN"/>
        </w:rPr>
        <w:t>-</w:t>
      </w:r>
      <w:r>
        <w:rPr>
          <w:rFonts w:hint="eastAsia"/>
          <w:color w:val="auto"/>
          <w:lang w:eastAsia="zh-CN"/>
        </w:rPr>
        <w:t>3</w:t>
      </w:r>
      <w:r>
        <w:rPr>
          <w:color w:val="auto"/>
          <w:lang w:eastAsia="zh-CN"/>
        </w:rPr>
        <w:t>～表7</w:t>
      </w:r>
      <w:r>
        <w:rPr>
          <w:rFonts w:hint="eastAsia"/>
          <w:color w:val="auto"/>
          <w:lang w:eastAsia="zh-CN"/>
        </w:rPr>
        <w:t>.1</w:t>
      </w:r>
      <w:r>
        <w:rPr>
          <w:color w:val="auto"/>
          <w:lang w:eastAsia="zh-CN"/>
        </w:rPr>
        <w:t>-</w:t>
      </w:r>
      <w:r>
        <w:rPr>
          <w:rFonts w:hint="eastAsia"/>
          <w:color w:val="auto"/>
          <w:lang w:eastAsia="zh-CN"/>
        </w:rPr>
        <w:t>8</w:t>
      </w:r>
      <w:r>
        <w:rPr>
          <w:color w:val="auto"/>
          <w:lang w:eastAsia="zh-CN"/>
        </w:rPr>
        <w:t>。</w:t>
      </w:r>
    </w:p>
    <w:p>
      <w:pPr>
        <w:widowControl w:val="0"/>
        <w:kinsoku/>
        <w:topLinePunct/>
        <w:autoSpaceDE/>
        <w:autoSpaceDN/>
        <w:spacing w:line="360" w:lineRule="auto"/>
        <w:ind w:firstLine="0" w:firstLineChars="0"/>
        <w:jc w:val="center"/>
        <w:rPr>
          <w:rFonts w:cs="Times New Roman"/>
          <w:b/>
          <w:color w:val="auto"/>
          <w:spacing w:val="-2"/>
          <w:lang w:eastAsia="zh-CN"/>
        </w:rPr>
      </w:pPr>
      <w:r>
        <w:rPr>
          <w:rFonts w:hint="eastAsia" w:cs="Times New Roman"/>
          <w:b/>
          <w:color w:val="auto"/>
          <w:spacing w:val="-2"/>
          <w:lang w:eastAsia="zh-CN"/>
        </w:rPr>
        <w:t>表7.1-3 水土保持投资估算总表（单位：万元）</w:t>
      </w:r>
    </w:p>
    <w:tbl>
      <w:tblPr>
        <w:tblStyle w:val="26"/>
        <w:tblW w:w="51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2221"/>
        <w:gridCol w:w="876"/>
        <w:gridCol w:w="853"/>
        <w:gridCol w:w="863"/>
        <w:gridCol w:w="709"/>
        <w:gridCol w:w="871"/>
        <w:gridCol w:w="1020"/>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56" w:type="pct"/>
            <w:vMerge w:val="restar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序号</w:t>
            </w:r>
          </w:p>
        </w:tc>
        <w:tc>
          <w:tcPr>
            <w:tcW w:w="1272" w:type="pct"/>
            <w:vMerge w:val="restar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工程或费用名称</w:t>
            </w:r>
          </w:p>
        </w:tc>
        <w:tc>
          <w:tcPr>
            <w:tcW w:w="2389" w:type="pct"/>
            <w:gridSpan w:val="5"/>
            <w:vMerge w:val="restar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新增水土保持措施投资</w:t>
            </w:r>
          </w:p>
        </w:tc>
        <w:tc>
          <w:tcPr>
            <w:tcW w:w="584" w:type="pct"/>
            <w:vMerge w:val="restar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主体工程中水保投资</w:t>
            </w:r>
          </w:p>
        </w:tc>
        <w:tc>
          <w:tcPr>
            <w:tcW w:w="500" w:type="pct"/>
            <w:vMerge w:val="restar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6" w:type="pct"/>
            <w:vMerge w:val="continue"/>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p>
        </w:tc>
        <w:tc>
          <w:tcPr>
            <w:tcW w:w="1272" w:type="pct"/>
            <w:vMerge w:val="continue"/>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p>
        </w:tc>
        <w:tc>
          <w:tcPr>
            <w:tcW w:w="2389" w:type="pct"/>
            <w:gridSpan w:val="5"/>
            <w:vMerge w:val="continue"/>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p>
        </w:tc>
        <w:tc>
          <w:tcPr>
            <w:tcW w:w="584" w:type="pct"/>
            <w:vMerge w:val="continue"/>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p>
        </w:tc>
        <w:tc>
          <w:tcPr>
            <w:tcW w:w="500" w:type="pct"/>
            <w:vMerge w:val="continue"/>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6" w:type="pct"/>
            <w:vMerge w:val="continue"/>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p>
        </w:tc>
        <w:tc>
          <w:tcPr>
            <w:tcW w:w="1272" w:type="pct"/>
            <w:vMerge w:val="continue"/>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p>
        </w:tc>
        <w:tc>
          <w:tcPr>
            <w:tcW w:w="502" w:type="pct"/>
            <w:vMerge w:val="restar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工程措施费</w:t>
            </w:r>
          </w:p>
        </w:tc>
        <w:tc>
          <w:tcPr>
            <w:tcW w:w="488" w:type="pct"/>
            <w:vMerge w:val="restar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植物措施费</w:t>
            </w:r>
          </w:p>
        </w:tc>
        <w:tc>
          <w:tcPr>
            <w:tcW w:w="494" w:type="pct"/>
            <w:vMerge w:val="restar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临时措施费</w:t>
            </w:r>
          </w:p>
        </w:tc>
        <w:tc>
          <w:tcPr>
            <w:tcW w:w="406" w:type="pct"/>
            <w:vMerge w:val="restar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独立费用</w:t>
            </w:r>
          </w:p>
        </w:tc>
        <w:tc>
          <w:tcPr>
            <w:tcW w:w="499" w:type="pct"/>
            <w:vMerge w:val="restar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小计</w:t>
            </w:r>
          </w:p>
        </w:tc>
        <w:tc>
          <w:tcPr>
            <w:tcW w:w="584" w:type="pct"/>
            <w:vMerge w:val="continue"/>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p>
        </w:tc>
        <w:tc>
          <w:tcPr>
            <w:tcW w:w="500" w:type="pct"/>
            <w:vMerge w:val="continue"/>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6" w:type="pct"/>
            <w:vMerge w:val="continue"/>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p>
        </w:tc>
        <w:tc>
          <w:tcPr>
            <w:tcW w:w="1272" w:type="pct"/>
            <w:vMerge w:val="continue"/>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p>
        </w:tc>
        <w:tc>
          <w:tcPr>
            <w:tcW w:w="502" w:type="pct"/>
            <w:vMerge w:val="continue"/>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p>
        </w:tc>
        <w:tc>
          <w:tcPr>
            <w:tcW w:w="488" w:type="pct"/>
            <w:vMerge w:val="continue"/>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p>
        </w:tc>
        <w:tc>
          <w:tcPr>
            <w:tcW w:w="494" w:type="pct"/>
            <w:vMerge w:val="continue"/>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p>
        </w:tc>
        <w:tc>
          <w:tcPr>
            <w:tcW w:w="406" w:type="pct"/>
            <w:vMerge w:val="continue"/>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p>
        </w:tc>
        <w:tc>
          <w:tcPr>
            <w:tcW w:w="499" w:type="pct"/>
            <w:vMerge w:val="continue"/>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p>
        </w:tc>
        <w:tc>
          <w:tcPr>
            <w:tcW w:w="584" w:type="pct"/>
            <w:vMerge w:val="continue"/>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p>
        </w:tc>
        <w:tc>
          <w:tcPr>
            <w:tcW w:w="500" w:type="pct"/>
            <w:vMerge w:val="continue"/>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一</w:t>
            </w:r>
          </w:p>
        </w:tc>
        <w:tc>
          <w:tcPr>
            <w:tcW w:w="127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第一部分工程措施</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51.03</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51.03</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15.75</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变电站工程区</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0.29</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0.29</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4.84</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⑴</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玛瑙500kV变电站220kV间隔扩建工程区</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0.05</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0.05</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玛瑙变电站站区</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0.05</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0.05</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⑵</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芭蕉500kV变电站220kV间隔扩建工程区</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0.24</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0.24</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4.84</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芭蕉变电站站区</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0.24</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0.24</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4.84</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线路工程区</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50.74</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50.74</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10.91</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⑴</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玛瑙-正达凯220kV线路工程区</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16.2</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16.2</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3.68</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玛瑙塔基及临时施工区</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9.07</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9.07</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3.68</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②</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玛瑙施工便道区</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5.21</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5.21</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③</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玛瑙牵张场区</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1.37</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1.37</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④</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玛瑙跨越场区</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0.55</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0.55</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⑵</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芭蕉-正达凯220kV线路工程区</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34.54</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34.54</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7.23</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芭蕉塔基及临时施工区</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21.2</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21.2</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7.23</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②</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芭蕉施工便道区</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8.71</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8.71</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③</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芭蕉牵张场区</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3.19</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3.19</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④</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芭蕉跨越场区</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0.82</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0.82</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⑤</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芭蕉电缆工程区</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0.62</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0.62</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二</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第二部分  植物措施</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8.35</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8.35</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70.41</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127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变电站工程区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0.05</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0.05</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0.09</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⑴</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芭蕉500kV变电站220kV间隔扩建工程区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0.05</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0.05</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0.09</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芭蕉变电站站区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0.05</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0.05</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0.09</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线路工程区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8.3</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8.3</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70.32</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⑴</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玛瑙-正达凯220kV线路工程区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2.8</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2.8</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21.6</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玛瑙塔基及临时施工区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21.6</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②</w:t>
            </w:r>
          </w:p>
        </w:tc>
        <w:tc>
          <w:tcPr>
            <w:tcW w:w="127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玛瑙施工便道区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2.7</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2.7</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③</w:t>
            </w:r>
          </w:p>
        </w:tc>
        <w:tc>
          <w:tcPr>
            <w:tcW w:w="127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玛瑙跨越场区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⑴</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芭蕉-正达凯220kV线路工程区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5.5</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5.5</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48.72</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玛瑙塔基及临时施工区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48.72</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②</w:t>
            </w:r>
          </w:p>
        </w:tc>
        <w:tc>
          <w:tcPr>
            <w:tcW w:w="127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芭蕉施工便道区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5.21</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5.21</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③</w:t>
            </w:r>
          </w:p>
        </w:tc>
        <w:tc>
          <w:tcPr>
            <w:tcW w:w="127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芭蕉跨越场区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0.29</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0.29</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三</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第三部分  监测措施</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四</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第四部分 施工临时工程</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3.12</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3.12</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127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变电站工程区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0.19</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0.19</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⑴</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玛瑙500kV变电站220kV间隔扩建工程区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0.04</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0.04</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127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玛瑙变电站站区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0.04</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0.04</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⑵</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芭蕉500kV变电站220kV间隔扩建工程区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0.15</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0.15</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127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芭蕉变电站站区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0.15</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0.15</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w:t>
            </w:r>
          </w:p>
        </w:tc>
        <w:tc>
          <w:tcPr>
            <w:tcW w:w="127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线路工程</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2.87</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2.87</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⑴</w:t>
            </w:r>
          </w:p>
        </w:tc>
        <w:tc>
          <w:tcPr>
            <w:tcW w:w="1272" w:type="pct"/>
            <w:shd w:val="clear" w:color="auto" w:fill="auto"/>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玛瑙-正达凯220kV线路工程区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1.09</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1.09</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玛瑙塔基及临时施工区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0.78</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0.78</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②</w:t>
            </w:r>
          </w:p>
        </w:tc>
        <w:tc>
          <w:tcPr>
            <w:tcW w:w="127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玛瑙施工便道区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0.31</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0.31</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⑵</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芭蕉-正达凯220kV线路工程区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1.83</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1.83</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127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芭蕉塔基及临时施工区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1.57</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1.57</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②</w:t>
            </w:r>
          </w:p>
        </w:tc>
        <w:tc>
          <w:tcPr>
            <w:tcW w:w="127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芭蕉电缆工程区</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w:t>
            </w:r>
          </w:p>
        </w:tc>
        <w:tc>
          <w:tcPr>
            <w:tcW w:w="127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其他临时工程(2%)</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0.06</w:t>
            </w:r>
          </w:p>
        </w:tc>
        <w:tc>
          <w:tcPr>
            <w:tcW w:w="406"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0.06</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五</w:t>
            </w:r>
          </w:p>
        </w:tc>
        <w:tc>
          <w:tcPr>
            <w:tcW w:w="127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第四部分独立费用</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30.9</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30.9</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建设管理费</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3.2</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3.2</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科研勘测设计费</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12.4</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12.4</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⑴</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勘测设计费</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4.6</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4.6</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⑵</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方案编制费</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7.8</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7.8</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工程建设监理费</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7.5</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7.5</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竣工验收技术评估费</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7.8</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7.8</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招标代理服务费</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经济技术咨询费</w:t>
            </w:r>
          </w:p>
        </w:tc>
        <w:tc>
          <w:tcPr>
            <w:tcW w:w="502"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Ⅰ</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第一～五部分合计</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51.03</w:t>
            </w:r>
          </w:p>
        </w:tc>
        <w:tc>
          <w:tcPr>
            <w:tcW w:w="488"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8.35</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3.12</w:t>
            </w:r>
          </w:p>
        </w:tc>
        <w:tc>
          <w:tcPr>
            <w:tcW w:w="40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30.9</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93.4</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86.16</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179.56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Ⅱ</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基本预备费</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5.1</w:t>
            </w:r>
          </w:p>
        </w:tc>
        <w:tc>
          <w:tcPr>
            <w:tcW w:w="488"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0.84</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0.31</w:t>
            </w:r>
          </w:p>
        </w:tc>
        <w:tc>
          <w:tcPr>
            <w:tcW w:w="40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3.09</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9.34</w:t>
            </w:r>
          </w:p>
        </w:tc>
        <w:tc>
          <w:tcPr>
            <w:tcW w:w="584" w:type="pct"/>
            <w:shd w:val="clear" w:color="auto" w:fill="auto"/>
            <w:noWrap/>
            <w:vAlign w:val="center"/>
          </w:tcPr>
          <w:p>
            <w:pPr>
              <w:kinsoku/>
              <w:autoSpaceDE/>
              <w:autoSpaceDN/>
              <w:adjustRightInd/>
              <w:snapToGrid/>
              <w:spacing w:line="300" w:lineRule="exact"/>
              <w:ind w:firstLine="0" w:firstLineChars="0"/>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Ⅲ</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水土保持补偿费</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88"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0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4.9555</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6"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Ⅳ</w:t>
            </w:r>
          </w:p>
        </w:tc>
        <w:tc>
          <w:tcPr>
            <w:tcW w:w="1272"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水土保持静态总投资</w:t>
            </w:r>
          </w:p>
        </w:tc>
        <w:tc>
          <w:tcPr>
            <w:tcW w:w="502"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56.13</w:t>
            </w:r>
          </w:p>
        </w:tc>
        <w:tc>
          <w:tcPr>
            <w:tcW w:w="488"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9.19</w:t>
            </w:r>
          </w:p>
        </w:tc>
        <w:tc>
          <w:tcPr>
            <w:tcW w:w="49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3.43</w:t>
            </w:r>
          </w:p>
        </w:tc>
        <w:tc>
          <w:tcPr>
            <w:tcW w:w="406"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33.99</w:t>
            </w:r>
          </w:p>
        </w:tc>
        <w:tc>
          <w:tcPr>
            <w:tcW w:w="499" w:type="pct"/>
            <w:shd w:val="clear" w:color="auto" w:fill="auto"/>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107.7</w:t>
            </w:r>
          </w:p>
        </w:tc>
        <w:tc>
          <w:tcPr>
            <w:tcW w:w="584"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86.16</w:t>
            </w:r>
          </w:p>
        </w:tc>
        <w:tc>
          <w:tcPr>
            <w:tcW w:w="500" w:type="pct"/>
            <w:shd w:val="clear" w:color="auto" w:fill="auto"/>
            <w:noWrap/>
            <w:vAlign w:val="center"/>
          </w:tcPr>
          <w:p>
            <w:pPr>
              <w:kinsoku/>
              <w:autoSpaceDE/>
              <w:autoSpaceDN/>
              <w:adjustRightInd/>
              <w:snapToGrid/>
              <w:spacing w:line="300" w:lineRule="exact"/>
              <w:ind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193.86</w:t>
            </w:r>
          </w:p>
        </w:tc>
      </w:tr>
    </w:tbl>
    <w:p>
      <w:pPr>
        <w:widowControl w:val="0"/>
        <w:kinsoku/>
        <w:topLinePunct/>
        <w:autoSpaceDE/>
        <w:autoSpaceDN/>
        <w:spacing w:line="360" w:lineRule="auto"/>
        <w:ind w:firstLine="0" w:firstLineChars="0"/>
        <w:jc w:val="center"/>
        <w:rPr>
          <w:rFonts w:cs="Times New Roman"/>
          <w:b/>
          <w:color w:val="auto"/>
          <w:spacing w:val="-2"/>
          <w:lang w:eastAsia="zh-CN"/>
        </w:rPr>
      </w:pPr>
    </w:p>
    <w:p>
      <w:pPr>
        <w:widowControl w:val="0"/>
        <w:kinsoku/>
        <w:topLinePunct/>
        <w:autoSpaceDE/>
        <w:autoSpaceDN/>
        <w:spacing w:before="204" w:beforeLines="85" w:line="360" w:lineRule="auto"/>
        <w:ind w:firstLine="474"/>
        <w:jc w:val="center"/>
        <w:rPr>
          <w:b/>
          <w:color w:val="auto"/>
          <w:lang w:eastAsia="zh-CN"/>
        </w:rPr>
      </w:pPr>
      <w:r>
        <w:rPr>
          <w:rFonts w:cs="Times New Roman"/>
          <w:b/>
          <w:bCs/>
          <w:color w:val="auto"/>
          <w:spacing w:val="-2"/>
          <w:lang w:eastAsia="zh-CN"/>
        </w:rPr>
        <w:t>表7</w:t>
      </w:r>
      <w:r>
        <w:rPr>
          <w:rFonts w:hint="eastAsia" w:cs="Times New Roman"/>
          <w:b/>
          <w:bCs/>
          <w:color w:val="auto"/>
          <w:spacing w:val="-2"/>
          <w:lang w:eastAsia="zh-CN"/>
        </w:rPr>
        <w:t>.1</w:t>
      </w:r>
      <w:r>
        <w:rPr>
          <w:rFonts w:cs="Times New Roman"/>
          <w:b/>
          <w:bCs/>
          <w:color w:val="auto"/>
          <w:spacing w:val="-2"/>
          <w:lang w:eastAsia="zh-CN"/>
        </w:rPr>
        <w:t>-</w:t>
      </w:r>
      <w:r>
        <w:rPr>
          <w:rFonts w:hint="eastAsia" w:cs="Times New Roman"/>
          <w:b/>
          <w:bCs/>
          <w:color w:val="auto"/>
          <w:spacing w:val="-2"/>
          <w:lang w:eastAsia="zh-CN"/>
        </w:rPr>
        <w:t xml:space="preserve">4 </w:t>
      </w:r>
      <w:r>
        <w:rPr>
          <w:b/>
          <w:color w:val="auto"/>
          <w:lang w:eastAsia="zh-CN"/>
        </w:rPr>
        <w:t>主体工程设计中的水土保持措施投资估算表</w:t>
      </w:r>
    </w:p>
    <w:tbl>
      <w:tblPr>
        <w:tblStyle w:val="26"/>
        <w:tblW w:w="5000" w:type="pct"/>
        <w:tblInd w:w="0" w:type="dxa"/>
        <w:tblLayout w:type="autofit"/>
        <w:tblCellMar>
          <w:top w:w="0" w:type="dxa"/>
          <w:left w:w="108" w:type="dxa"/>
          <w:bottom w:w="0" w:type="dxa"/>
          <w:right w:w="108" w:type="dxa"/>
        </w:tblCellMar>
      </w:tblPr>
      <w:tblGrid>
        <w:gridCol w:w="547"/>
        <w:gridCol w:w="3955"/>
        <w:gridCol w:w="708"/>
        <w:gridCol w:w="998"/>
        <w:gridCol w:w="1015"/>
        <w:gridCol w:w="1305"/>
      </w:tblGrid>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序号</w:t>
            </w: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工程或费用名称</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单位</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数量</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单价(元)</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合计(万元)</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第一部分  工程措施</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15.75</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变电站工程区</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4.84</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芭蕉220kV变电站220kV间隔扩建工程区</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4.84</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芭蕉变电站站区</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4.84</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排水管道</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m</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90</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hint="eastAsia" w:cs="Times New Roman"/>
                <w:snapToGrid/>
                <w:color w:val="auto"/>
                <w:sz w:val="20"/>
                <w:szCs w:val="20"/>
                <w:lang w:eastAsia="zh-CN"/>
              </w:rPr>
              <w:t>4</w:t>
            </w:r>
            <w:r>
              <w:rPr>
                <w:rFonts w:cs="Times New Roman"/>
                <w:snapToGrid/>
                <w:color w:val="auto"/>
                <w:sz w:val="20"/>
                <w:szCs w:val="20"/>
                <w:lang w:eastAsia="zh-CN"/>
              </w:rPr>
              <w:t>21.1</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3.79</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雨水口</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座</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850.0 </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0.85</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雨水检查井</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座</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1000.0 </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0.2</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w:t>
            </w: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线路工程</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10.91</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42"/>
              <w:numPr>
                <w:ilvl w:val="0"/>
                <w:numId w:val="1"/>
              </w:numPr>
              <w:kinsoku/>
              <w:autoSpaceDE/>
              <w:autoSpaceDN/>
              <w:adjustRightInd/>
              <w:snapToGrid/>
              <w:spacing w:line="240" w:lineRule="auto"/>
              <w:ind w:right="-120" w:rightChars="-50" w:firstLineChars="0"/>
              <w:jc w:val="center"/>
              <w:textAlignment w:val="auto"/>
              <w:rPr>
                <w:rFonts w:cs="Times New Roman"/>
                <w:snapToGrid/>
                <w:color w:val="auto"/>
                <w:sz w:val="20"/>
                <w:szCs w:val="20"/>
                <w:lang w:eastAsia="zh-CN"/>
              </w:rPr>
            </w:pP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玛瑙-正达凯220kV线路工程区</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3.68</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玛瑙塔基及临时施工区</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3.68</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排洪沟</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m</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65</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432.3 </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2.81</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护坡墙</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m</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70</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124.3 </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0.87</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w:t>
            </w: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芭蕉-正达凯220kV线路工程区</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7.23</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②</w:t>
            </w: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芭蕉塔基及临时施工区</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7.23</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排洪沟</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m</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100</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162.0 </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1.62</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护坡墙</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m</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130</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431.5 </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5.61</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二</w:t>
            </w: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第二部分  植物措施</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70.41</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变电站工程区</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0.09</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w:t>
            </w: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玛瑙500kV变电站220kV间隔扩建工程区</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0.09</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玛瑙变电站站区</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0.09</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绿化草坪恢复</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m</w:t>
            </w:r>
            <w:r>
              <w:rPr>
                <w:rFonts w:cs="Times New Roman"/>
                <w:snapToGrid/>
                <w:color w:val="auto"/>
                <w:sz w:val="20"/>
                <w:szCs w:val="20"/>
                <w:vertAlign w:val="superscript"/>
                <w:lang w:eastAsia="zh-CN"/>
              </w:rPr>
              <w:t>2</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25</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36.0 </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0.09</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w:t>
            </w: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线路工程</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70.32</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42"/>
              <w:numPr>
                <w:ilvl w:val="0"/>
                <w:numId w:val="2"/>
              </w:numPr>
              <w:kinsoku/>
              <w:autoSpaceDE/>
              <w:autoSpaceDN/>
              <w:adjustRightInd/>
              <w:snapToGrid/>
              <w:spacing w:line="240" w:lineRule="auto"/>
              <w:ind w:right="-120" w:rightChars="-50" w:firstLineChars="0"/>
              <w:jc w:val="center"/>
              <w:textAlignment w:val="auto"/>
              <w:rPr>
                <w:rFonts w:cs="Times New Roman"/>
                <w:snapToGrid/>
                <w:color w:val="auto"/>
                <w:sz w:val="20"/>
                <w:szCs w:val="20"/>
                <w:lang w:eastAsia="zh-CN"/>
              </w:rPr>
            </w:pP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玛瑙-正达凯220kV线路工程区</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21.6</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玛瑙塔基及临时施工区</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21.6</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植被恢复</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m</w:t>
            </w:r>
            <w:r>
              <w:rPr>
                <w:rFonts w:cs="Times New Roman"/>
                <w:snapToGrid/>
                <w:color w:val="auto"/>
                <w:sz w:val="20"/>
                <w:szCs w:val="20"/>
                <w:vertAlign w:val="superscript"/>
                <w:lang w:eastAsia="zh-CN"/>
              </w:rPr>
              <w:t>2</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6315</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34.2 </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21.6</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2</w:t>
            </w: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线路工程</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b/>
                <w:bCs/>
                <w:snapToGrid/>
                <w:color w:val="auto"/>
                <w:sz w:val="20"/>
                <w:szCs w:val="20"/>
                <w:lang w:eastAsia="zh-CN"/>
              </w:rPr>
            </w:pPr>
            <w:r>
              <w:rPr>
                <w:rFonts w:cs="Times New Roman"/>
                <w:b/>
                <w:bCs/>
                <w:snapToGrid/>
                <w:color w:val="auto"/>
                <w:sz w:val="20"/>
                <w:szCs w:val="20"/>
                <w:lang w:eastAsia="zh-CN"/>
              </w:rPr>
              <w:t>48.72</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⑴</w:t>
            </w: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芭蕉塔基及临时施工区</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48.72</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19" w:type="pct"/>
            <w:tcBorders>
              <w:top w:val="single" w:color="000000" w:sz="4" w:space="0"/>
              <w:left w:val="single" w:color="000000" w:sz="4" w:space="0"/>
              <w:bottom w:val="single" w:color="000000" w:sz="4" w:space="0"/>
              <w:right w:val="single" w:color="000000" w:sz="4" w:space="0"/>
            </w:tcBorders>
            <w:shd w:val="clear" w:color="auto" w:fill="auto"/>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玛瑙塔基及临时施工区</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textAlignment w:val="auto"/>
              <w:rPr>
                <w:rFonts w:cs="Times New Roman"/>
                <w:snapToGrid/>
                <w:color w:val="auto"/>
                <w:sz w:val="20"/>
                <w:szCs w:val="20"/>
                <w:lang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48.72</w:t>
            </w:r>
          </w:p>
        </w:tc>
      </w:tr>
      <w:tr>
        <w:tblPrEx>
          <w:tblCellMar>
            <w:top w:w="0" w:type="dxa"/>
            <w:left w:w="108" w:type="dxa"/>
            <w:bottom w:w="0" w:type="dxa"/>
            <w:right w:w="108" w:type="dxa"/>
          </w:tblCellMar>
        </w:tblPrEx>
        <w:trPr>
          <w:trHeight w:val="289"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1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植被恢复</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m</w:t>
            </w:r>
            <w:r>
              <w:rPr>
                <w:rFonts w:cs="Times New Roman"/>
                <w:snapToGrid/>
                <w:color w:val="auto"/>
                <w:sz w:val="20"/>
                <w:szCs w:val="20"/>
                <w:vertAlign w:val="superscript"/>
                <w:lang w:eastAsia="zh-CN"/>
              </w:rPr>
              <w:t>2</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14240</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 xml:space="preserve">34.2 </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48.72</w:t>
            </w:r>
          </w:p>
        </w:tc>
      </w:tr>
    </w:tbl>
    <w:p>
      <w:pPr>
        <w:widowControl w:val="0"/>
        <w:kinsoku/>
        <w:topLinePunct/>
        <w:autoSpaceDE/>
        <w:autoSpaceDN/>
        <w:spacing w:before="204" w:beforeLines="85" w:line="360" w:lineRule="auto"/>
        <w:ind w:firstLine="474"/>
        <w:jc w:val="center"/>
        <w:rPr>
          <w:b/>
          <w:color w:val="auto"/>
          <w:lang w:eastAsia="zh-CN"/>
        </w:rPr>
      </w:pPr>
      <w:r>
        <w:rPr>
          <w:rFonts w:cs="Times New Roman"/>
          <w:b/>
          <w:bCs/>
          <w:color w:val="auto"/>
          <w:spacing w:val="-2"/>
          <w:lang w:eastAsia="zh-CN"/>
        </w:rPr>
        <w:t>表7</w:t>
      </w:r>
      <w:r>
        <w:rPr>
          <w:rFonts w:hint="eastAsia" w:cs="Times New Roman"/>
          <w:b/>
          <w:bCs/>
          <w:color w:val="auto"/>
          <w:spacing w:val="-2"/>
          <w:lang w:eastAsia="zh-CN"/>
        </w:rPr>
        <w:t>.1</w:t>
      </w:r>
      <w:r>
        <w:rPr>
          <w:rFonts w:cs="Times New Roman"/>
          <w:b/>
          <w:bCs/>
          <w:color w:val="auto"/>
          <w:spacing w:val="-2"/>
          <w:lang w:eastAsia="zh-CN"/>
        </w:rPr>
        <w:t>-</w:t>
      </w:r>
      <w:r>
        <w:rPr>
          <w:rFonts w:hint="eastAsia" w:cs="Times New Roman"/>
          <w:b/>
          <w:bCs/>
          <w:color w:val="auto"/>
          <w:spacing w:val="-2"/>
          <w:lang w:eastAsia="zh-CN"/>
        </w:rPr>
        <w:t>5</w:t>
      </w:r>
      <w:r>
        <w:rPr>
          <w:rFonts w:hint="eastAsia"/>
          <w:b/>
          <w:color w:val="auto"/>
          <w:lang w:eastAsia="zh-CN"/>
        </w:rPr>
        <w:t xml:space="preserve"> </w:t>
      </w:r>
      <w:r>
        <w:rPr>
          <w:b/>
          <w:color w:val="auto"/>
          <w:lang w:eastAsia="zh-CN"/>
        </w:rPr>
        <w:t>新增水土保持措施投资估算表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3967"/>
        <w:gridCol w:w="708"/>
        <w:gridCol w:w="994"/>
        <w:gridCol w:w="993"/>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trPr>
        <w:tc>
          <w:tcPr>
            <w:tcW w:w="3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序号</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工程或费用名称</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单位</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数量</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单价</w:t>
            </w:r>
            <w:r>
              <w:rPr>
                <w:rFonts w:eastAsia="等线" w:cs="Times New Roman"/>
                <w:snapToGrid/>
                <w:color w:val="auto"/>
                <w:sz w:val="20"/>
                <w:szCs w:val="20"/>
                <w:lang w:eastAsia="zh-CN"/>
              </w:rPr>
              <w:t>(</w:t>
            </w:r>
            <w:r>
              <w:rPr>
                <w:rFonts w:hint="eastAsia" w:ascii="仿宋_GB2312" w:cs="Times New Roman"/>
                <w:snapToGrid/>
                <w:color w:val="auto"/>
                <w:sz w:val="20"/>
                <w:szCs w:val="20"/>
                <w:lang w:eastAsia="zh-CN"/>
              </w:rPr>
              <w:t>元</w:t>
            </w:r>
            <w:r>
              <w:rPr>
                <w:rFonts w:eastAsia="等线" w:cs="Times New Roman"/>
                <w:snapToGrid/>
                <w:color w:val="auto"/>
                <w:sz w:val="20"/>
                <w:szCs w:val="20"/>
                <w:lang w:eastAsia="zh-CN"/>
              </w:rPr>
              <w:t>)</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合计</w:t>
            </w:r>
            <w:r>
              <w:rPr>
                <w:rFonts w:eastAsia="等线" w:cs="Times New Roman"/>
                <w:snapToGrid/>
                <w:color w:val="auto"/>
                <w:sz w:val="20"/>
                <w:szCs w:val="20"/>
                <w:lang w:eastAsia="zh-CN"/>
              </w:rPr>
              <w:t>(</w:t>
            </w:r>
            <w:r>
              <w:rPr>
                <w:rFonts w:hint="eastAsia" w:ascii="仿宋_GB2312" w:cs="Times New Roman"/>
                <w:snapToGrid/>
                <w:color w:val="auto"/>
                <w:sz w:val="20"/>
                <w:szCs w:val="20"/>
                <w:lang w:eastAsia="zh-CN"/>
              </w:rPr>
              <w:t>万元</w:t>
            </w:r>
            <w:r>
              <w:rPr>
                <w:rFonts w:eastAsia="等线" w:cs="Times New Roman"/>
                <w:snapToGrid/>
                <w:color w:val="auto"/>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一　</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第一部分</w:t>
            </w:r>
            <w:r>
              <w:rPr>
                <w:rFonts w:eastAsia="等线" w:cs="Times New Roman"/>
                <w:snapToGrid/>
                <w:color w:val="auto"/>
                <w:sz w:val="20"/>
                <w:szCs w:val="20"/>
                <w:lang w:eastAsia="zh-CN"/>
              </w:rPr>
              <w:t xml:space="preserve">  </w:t>
            </w:r>
            <w:r>
              <w:rPr>
                <w:rFonts w:hint="eastAsia" w:ascii="仿宋_GB2312" w:cs="Times New Roman"/>
                <w:snapToGrid/>
                <w:color w:val="auto"/>
                <w:sz w:val="20"/>
                <w:szCs w:val="20"/>
                <w:lang w:eastAsia="zh-CN"/>
              </w:rPr>
              <w:t>工程措施</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51.03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变电站工程区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⑴</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玛瑙</w:t>
            </w:r>
            <w:r>
              <w:rPr>
                <w:rFonts w:eastAsia="等线" w:cs="Times New Roman"/>
                <w:snapToGrid/>
                <w:color w:val="auto"/>
                <w:sz w:val="20"/>
                <w:szCs w:val="20"/>
                <w:lang w:eastAsia="zh-CN"/>
              </w:rPr>
              <w:t>500kV</w:t>
            </w:r>
            <w:r>
              <w:rPr>
                <w:rFonts w:hint="eastAsia" w:ascii="仿宋_GB2312" w:cs="Times New Roman"/>
                <w:snapToGrid/>
                <w:color w:val="auto"/>
                <w:sz w:val="20"/>
                <w:szCs w:val="20"/>
                <w:lang w:eastAsia="zh-CN"/>
              </w:rPr>
              <w:t>变电站</w:t>
            </w:r>
            <w:r>
              <w:rPr>
                <w:rFonts w:eastAsia="等线" w:cs="Times New Roman"/>
                <w:snapToGrid/>
                <w:color w:val="auto"/>
                <w:sz w:val="20"/>
                <w:szCs w:val="20"/>
                <w:lang w:eastAsia="zh-CN"/>
              </w:rPr>
              <w:t>220kV</w:t>
            </w:r>
            <w:r>
              <w:rPr>
                <w:rFonts w:hint="eastAsia" w:ascii="仿宋_GB2312" w:cs="Times New Roman"/>
                <w:snapToGrid/>
                <w:color w:val="auto"/>
                <w:sz w:val="20"/>
                <w:szCs w:val="20"/>
                <w:lang w:eastAsia="zh-CN"/>
              </w:rPr>
              <w:t>间隔扩建工程区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①</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玛瑙变电站站区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hint="eastAsia" w:ascii="仿宋_GB2312" w:cs="Times New Roman"/>
                <w:snapToGrid/>
                <w:color w:val="auto"/>
                <w:sz w:val="21"/>
                <w:lang w:eastAsia="zh-CN"/>
              </w:rPr>
              <w:t>表土剥离</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m</w:t>
            </w:r>
            <w:r>
              <w:rPr>
                <w:rFonts w:eastAsia="等线" w:cs="Times New Roman"/>
                <w:snapToGrid/>
                <w:color w:val="auto"/>
                <w:sz w:val="21"/>
                <w:vertAlign w:val="superscript"/>
                <w:lang w:eastAsia="zh-CN"/>
              </w:rPr>
              <w:t>3</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5</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19.12</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hint="eastAsia" w:ascii="仿宋_GB2312" w:cs="Times New Roman"/>
                <w:snapToGrid/>
                <w:color w:val="auto"/>
                <w:sz w:val="21"/>
                <w:lang w:eastAsia="zh-CN"/>
              </w:rPr>
              <w:t>土地平整</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m</w:t>
            </w:r>
            <w:r>
              <w:rPr>
                <w:rFonts w:eastAsia="等线" w:cs="Times New Roman"/>
                <w:snapToGrid/>
                <w:color w:val="auto"/>
                <w:sz w:val="21"/>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25</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11.39</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hint="eastAsia" w:ascii="仿宋_GB2312" w:cs="Times New Roman"/>
                <w:snapToGrid/>
                <w:color w:val="auto"/>
                <w:sz w:val="21"/>
                <w:lang w:eastAsia="zh-CN"/>
              </w:rPr>
              <w:t>表土回覆</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m</w:t>
            </w:r>
            <w:r>
              <w:rPr>
                <w:rFonts w:eastAsia="等线" w:cs="Times New Roman"/>
                <w:snapToGrid/>
                <w:color w:val="auto"/>
                <w:sz w:val="21"/>
                <w:vertAlign w:val="superscript"/>
                <w:lang w:eastAsia="zh-CN"/>
              </w:rPr>
              <w:t>3</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5</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29.37</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⑵</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w:t>
            </w:r>
            <w:r>
              <w:rPr>
                <w:rFonts w:eastAsia="等线" w:cs="Times New Roman"/>
                <w:snapToGrid/>
                <w:color w:val="auto"/>
                <w:sz w:val="20"/>
                <w:szCs w:val="20"/>
                <w:lang w:eastAsia="zh-CN"/>
              </w:rPr>
              <w:t>500kV</w:t>
            </w:r>
            <w:r>
              <w:rPr>
                <w:rFonts w:hint="eastAsia" w:ascii="仿宋_GB2312" w:cs="Times New Roman"/>
                <w:snapToGrid/>
                <w:color w:val="auto"/>
                <w:sz w:val="20"/>
                <w:szCs w:val="20"/>
                <w:lang w:eastAsia="zh-CN"/>
              </w:rPr>
              <w:t>变电站</w:t>
            </w:r>
            <w:r>
              <w:rPr>
                <w:rFonts w:eastAsia="等线" w:cs="Times New Roman"/>
                <w:snapToGrid/>
                <w:color w:val="auto"/>
                <w:sz w:val="20"/>
                <w:szCs w:val="20"/>
                <w:lang w:eastAsia="zh-CN"/>
              </w:rPr>
              <w:t>220kV</w:t>
            </w:r>
            <w:r>
              <w:rPr>
                <w:rFonts w:hint="eastAsia" w:ascii="仿宋_GB2312" w:cs="Times New Roman"/>
                <w:snapToGrid/>
                <w:color w:val="auto"/>
                <w:sz w:val="20"/>
                <w:szCs w:val="20"/>
                <w:lang w:eastAsia="zh-CN"/>
              </w:rPr>
              <w:t>间隔扩建工程区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pStyle w:val="42"/>
              <w:numPr>
                <w:ilvl w:val="0"/>
                <w:numId w:val="3"/>
              </w:numPr>
              <w:kinsoku/>
              <w:autoSpaceDE/>
              <w:autoSpaceDN/>
              <w:adjustRightInd/>
              <w:snapToGrid/>
              <w:spacing w:line="240" w:lineRule="auto"/>
              <w:ind w:right="-120" w:rightChars="-5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芭蕉变电站站区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hint="eastAsia" w:ascii="仿宋_GB2312" w:cs="Times New Roman"/>
                <w:snapToGrid/>
                <w:color w:val="auto"/>
                <w:sz w:val="21"/>
                <w:lang w:eastAsia="zh-CN"/>
              </w:rPr>
              <w:t>表土剥离</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m</w:t>
            </w:r>
            <w:r>
              <w:rPr>
                <w:rFonts w:eastAsia="等线" w:cs="Times New Roman"/>
                <w:snapToGrid/>
                <w:color w:val="auto"/>
                <w:sz w:val="21"/>
                <w:vertAlign w:val="superscript"/>
                <w:lang w:eastAsia="zh-CN"/>
              </w:rPr>
              <w:t>3</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23</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19.12</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hint="eastAsia" w:ascii="仿宋_GB2312" w:cs="Times New Roman"/>
                <w:snapToGrid/>
                <w:color w:val="auto"/>
                <w:sz w:val="21"/>
                <w:lang w:eastAsia="zh-CN"/>
              </w:rPr>
              <w:t>土地平整</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m</w:t>
            </w:r>
            <w:r>
              <w:rPr>
                <w:rFonts w:eastAsia="等线" w:cs="Times New Roman"/>
                <w:snapToGrid/>
                <w:color w:val="auto"/>
                <w:sz w:val="21"/>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115</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11.39</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hint="eastAsia" w:ascii="仿宋_GB2312" w:cs="Times New Roman"/>
                <w:snapToGrid/>
                <w:color w:val="auto"/>
                <w:sz w:val="21"/>
                <w:lang w:eastAsia="zh-CN"/>
              </w:rPr>
              <w:t>表土回覆</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m</w:t>
            </w:r>
            <w:r>
              <w:rPr>
                <w:rFonts w:eastAsia="等线" w:cs="Times New Roman"/>
                <w:snapToGrid/>
                <w:color w:val="auto"/>
                <w:sz w:val="21"/>
                <w:vertAlign w:val="superscript"/>
                <w:lang w:eastAsia="zh-CN"/>
              </w:rPr>
              <w:t>3</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23</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29.37</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线路工程</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50.73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pStyle w:val="42"/>
              <w:numPr>
                <w:ilvl w:val="0"/>
                <w:numId w:val="4"/>
              </w:numPr>
              <w:kinsoku/>
              <w:autoSpaceDE/>
              <w:autoSpaceDN/>
              <w:adjustRightInd/>
              <w:snapToGrid/>
              <w:spacing w:line="240" w:lineRule="auto"/>
              <w:ind w:right="-120" w:rightChars="-5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玛瑙</w:t>
            </w:r>
            <w:r>
              <w:rPr>
                <w:rFonts w:eastAsia="等线" w:cs="Times New Roman"/>
                <w:snapToGrid/>
                <w:color w:val="auto"/>
                <w:sz w:val="20"/>
                <w:szCs w:val="20"/>
                <w:lang w:eastAsia="zh-CN"/>
              </w:rPr>
              <w:t>-</w:t>
            </w:r>
            <w:r>
              <w:rPr>
                <w:rFonts w:hint="eastAsia" w:ascii="仿宋_GB2312" w:cs="Times New Roman"/>
                <w:snapToGrid/>
                <w:color w:val="auto"/>
                <w:sz w:val="20"/>
                <w:szCs w:val="20"/>
                <w:lang w:eastAsia="zh-CN"/>
              </w:rPr>
              <w:t>正达凯</w:t>
            </w:r>
            <w:r>
              <w:rPr>
                <w:rFonts w:eastAsia="等线" w:cs="Times New Roman"/>
                <w:snapToGrid/>
                <w:color w:val="auto"/>
                <w:sz w:val="20"/>
                <w:szCs w:val="20"/>
                <w:lang w:eastAsia="zh-CN"/>
              </w:rPr>
              <w:t>220kV</w:t>
            </w:r>
            <w:r>
              <w:rPr>
                <w:rFonts w:hint="eastAsia" w:ascii="仿宋_GB2312" w:cs="Times New Roman"/>
                <w:snapToGrid/>
                <w:color w:val="auto"/>
                <w:sz w:val="20"/>
                <w:szCs w:val="20"/>
                <w:lang w:eastAsia="zh-CN"/>
              </w:rPr>
              <w:t>线路工程区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①</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玛瑙塔基及临时施工区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表土剥离</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387</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19.12</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土地平整</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6315</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11.39</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表土回覆</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387</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29.37</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②</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玛瑙施工便道区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表土剥离</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144</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19.12</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土地平整</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3960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11.39</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表土回覆</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144</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29.37</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③</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玛瑙牵张场区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土地平整</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1200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11.39</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④</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玛瑙跨越场区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土地平整</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480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11.39</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⑵</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w:t>
            </w:r>
            <w:r>
              <w:rPr>
                <w:rFonts w:eastAsia="等线" w:cs="Times New Roman"/>
                <w:snapToGrid/>
                <w:color w:val="auto"/>
                <w:sz w:val="20"/>
                <w:szCs w:val="20"/>
                <w:lang w:eastAsia="zh-CN"/>
              </w:rPr>
              <w:t>-</w:t>
            </w:r>
            <w:r>
              <w:rPr>
                <w:rFonts w:hint="eastAsia" w:ascii="仿宋_GB2312" w:cs="Times New Roman"/>
                <w:snapToGrid/>
                <w:color w:val="auto"/>
                <w:sz w:val="20"/>
                <w:szCs w:val="20"/>
                <w:lang w:eastAsia="zh-CN"/>
              </w:rPr>
              <w:t>正达凯</w:t>
            </w:r>
            <w:r>
              <w:rPr>
                <w:rFonts w:eastAsia="等线" w:cs="Times New Roman"/>
                <w:snapToGrid/>
                <w:color w:val="auto"/>
                <w:sz w:val="20"/>
                <w:szCs w:val="20"/>
                <w:lang w:eastAsia="zh-CN"/>
              </w:rPr>
              <w:t>220kV</w:t>
            </w:r>
            <w:r>
              <w:rPr>
                <w:rFonts w:hint="eastAsia" w:ascii="仿宋_GB2312" w:cs="Times New Roman"/>
                <w:snapToGrid/>
                <w:color w:val="auto"/>
                <w:sz w:val="20"/>
                <w:szCs w:val="20"/>
                <w:lang w:eastAsia="zh-CN"/>
              </w:rPr>
              <w:t>线路工程区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①</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芭蕉塔基及临时施工区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表土剥离</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1025</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19.12</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土地平整</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14240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11.39</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表土回覆</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1025</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29.37</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②</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芭蕉施工便道区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土地平整</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7644</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11.39</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③</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芭蕉牵张场区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土地平整</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2800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11.39</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④</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芭蕉跨越场区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土地平整</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720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11.39</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⑤</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芭蕉电缆工程区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表土剥离</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72</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19.12</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表土回覆</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3</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72</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29.37</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土地平整</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240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11.39</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二</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第二部分</w:t>
            </w:r>
            <w:r>
              <w:rPr>
                <w:rFonts w:eastAsia="等线" w:cs="Times New Roman"/>
                <w:snapToGrid/>
                <w:color w:val="auto"/>
                <w:sz w:val="20"/>
                <w:szCs w:val="20"/>
                <w:lang w:eastAsia="zh-CN"/>
              </w:rPr>
              <w:t xml:space="preserve">  </w:t>
            </w:r>
            <w:r>
              <w:rPr>
                <w:rFonts w:hint="eastAsia" w:ascii="仿宋_GB2312" w:cs="Times New Roman"/>
                <w:snapToGrid/>
                <w:color w:val="auto"/>
                <w:sz w:val="20"/>
                <w:szCs w:val="20"/>
                <w:lang w:eastAsia="zh-CN"/>
              </w:rPr>
              <w:t>植物措施</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779"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w:t>
            </w:r>
          </w:p>
        </w:tc>
        <w:tc>
          <w:tcPr>
            <w:tcW w:w="2326"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变电站工程区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pStyle w:val="42"/>
              <w:numPr>
                <w:ilvl w:val="0"/>
                <w:numId w:val="5"/>
              </w:numPr>
              <w:kinsoku/>
              <w:autoSpaceDE/>
              <w:autoSpaceDN/>
              <w:adjustRightInd/>
              <w:snapToGrid/>
              <w:spacing w:line="240" w:lineRule="auto"/>
              <w:ind w:right="-120" w:rightChars="-5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w:t>
            </w:r>
            <w:r>
              <w:rPr>
                <w:rFonts w:eastAsia="等线" w:cs="Times New Roman"/>
                <w:snapToGrid/>
                <w:color w:val="auto"/>
                <w:sz w:val="20"/>
                <w:szCs w:val="20"/>
                <w:lang w:eastAsia="zh-CN"/>
              </w:rPr>
              <w:t>500kV</w:t>
            </w:r>
            <w:r>
              <w:rPr>
                <w:rFonts w:hint="eastAsia" w:ascii="仿宋_GB2312" w:cs="Times New Roman"/>
                <w:snapToGrid/>
                <w:color w:val="auto"/>
                <w:sz w:val="20"/>
                <w:szCs w:val="20"/>
                <w:lang w:eastAsia="zh-CN"/>
              </w:rPr>
              <w:t>变电站</w:t>
            </w:r>
            <w:r>
              <w:rPr>
                <w:rFonts w:eastAsia="等线" w:cs="Times New Roman"/>
                <w:snapToGrid/>
                <w:color w:val="auto"/>
                <w:sz w:val="20"/>
                <w:szCs w:val="20"/>
                <w:lang w:eastAsia="zh-CN"/>
              </w:rPr>
              <w:t>220kV</w:t>
            </w:r>
            <w:r>
              <w:rPr>
                <w:rFonts w:hint="eastAsia" w:ascii="仿宋_GB2312" w:cs="Times New Roman"/>
                <w:snapToGrid/>
                <w:color w:val="auto"/>
                <w:sz w:val="20"/>
                <w:szCs w:val="20"/>
                <w:lang w:eastAsia="zh-CN"/>
              </w:rPr>
              <w:t>间隔扩建工程区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①</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芭蕉变电站站区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播撒草籽</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115</w:t>
            </w:r>
          </w:p>
        </w:tc>
        <w:tc>
          <w:tcPr>
            <w:tcW w:w="582" w:type="pct"/>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2"/>
                <w:szCs w:val="22"/>
                <w:lang w:eastAsia="zh-CN"/>
              </w:rPr>
            </w:pPr>
            <w:r>
              <w:rPr>
                <w:rFonts w:eastAsia="等线" w:cs="Times New Roman"/>
                <w:snapToGrid/>
                <w:color w:val="auto"/>
                <w:sz w:val="22"/>
                <w:szCs w:val="22"/>
                <w:lang w:eastAsia="zh-CN"/>
              </w:rPr>
              <w:t>4.08</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线路工程</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pStyle w:val="42"/>
              <w:numPr>
                <w:ilvl w:val="0"/>
                <w:numId w:val="6"/>
              </w:numPr>
              <w:kinsoku/>
              <w:autoSpaceDE/>
              <w:autoSpaceDN/>
              <w:adjustRightInd/>
              <w:snapToGrid/>
              <w:spacing w:line="240" w:lineRule="auto"/>
              <w:ind w:right="-120" w:rightChars="-5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玛瑙</w:t>
            </w:r>
            <w:r>
              <w:rPr>
                <w:rFonts w:eastAsia="等线" w:cs="Times New Roman"/>
                <w:snapToGrid/>
                <w:color w:val="auto"/>
                <w:sz w:val="20"/>
                <w:szCs w:val="20"/>
                <w:lang w:eastAsia="zh-CN"/>
              </w:rPr>
              <w:t>-</w:t>
            </w:r>
            <w:r>
              <w:rPr>
                <w:rFonts w:hint="eastAsia" w:ascii="仿宋_GB2312" w:cs="Times New Roman"/>
                <w:snapToGrid/>
                <w:color w:val="auto"/>
                <w:sz w:val="20"/>
                <w:szCs w:val="20"/>
                <w:lang w:eastAsia="zh-CN"/>
              </w:rPr>
              <w:t>正达凯</w:t>
            </w:r>
            <w:r>
              <w:rPr>
                <w:rFonts w:eastAsia="等线" w:cs="Times New Roman"/>
                <w:snapToGrid/>
                <w:color w:val="auto"/>
                <w:sz w:val="20"/>
                <w:szCs w:val="20"/>
                <w:lang w:eastAsia="zh-CN"/>
              </w:rPr>
              <w:t>220kV</w:t>
            </w:r>
            <w:r>
              <w:rPr>
                <w:rFonts w:hint="eastAsia" w:ascii="仿宋_GB2312" w:cs="Times New Roman"/>
                <w:snapToGrid/>
                <w:color w:val="auto"/>
                <w:sz w:val="20"/>
                <w:szCs w:val="20"/>
                <w:lang w:eastAsia="zh-CN"/>
              </w:rPr>
              <w:t>线路工程区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①</w:t>
            </w:r>
          </w:p>
        </w:tc>
        <w:tc>
          <w:tcPr>
            <w:tcW w:w="2326"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玛瑙施工便道区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种植桤木</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3960</w:t>
            </w:r>
          </w:p>
        </w:tc>
        <w:tc>
          <w:tcPr>
            <w:tcW w:w="582" w:type="pct"/>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2"/>
                <w:szCs w:val="22"/>
                <w:lang w:eastAsia="zh-CN"/>
              </w:rPr>
            </w:pPr>
            <w:r>
              <w:rPr>
                <w:rFonts w:eastAsia="等线" w:cs="Times New Roman"/>
                <w:snapToGrid/>
                <w:color w:val="auto"/>
                <w:sz w:val="22"/>
                <w:szCs w:val="22"/>
                <w:lang w:eastAsia="zh-CN"/>
              </w:rPr>
              <w:t>6.82</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②</w:t>
            </w:r>
          </w:p>
        </w:tc>
        <w:tc>
          <w:tcPr>
            <w:tcW w:w="2326"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玛瑙跨越场区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播撒灌草</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240</w:t>
            </w:r>
          </w:p>
        </w:tc>
        <w:tc>
          <w:tcPr>
            <w:tcW w:w="582" w:type="pct"/>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2"/>
                <w:szCs w:val="22"/>
                <w:lang w:eastAsia="zh-CN"/>
              </w:rPr>
            </w:pPr>
            <w:r>
              <w:rPr>
                <w:rFonts w:eastAsia="等线" w:cs="Times New Roman"/>
                <w:snapToGrid/>
                <w:color w:val="auto"/>
                <w:sz w:val="22"/>
                <w:szCs w:val="22"/>
                <w:lang w:eastAsia="zh-CN"/>
              </w:rPr>
              <w:t>4.08</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⑵</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w:t>
            </w:r>
            <w:r>
              <w:rPr>
                <w:rFonts w:eastAsia="等线" w:cs="Times New Roman"/>
                <w:snapToGrid/>
                <w:color w:val="auto"/>
                <w:sz w:val="20"/>
                <w:szCs w:val="20"/>
                <w:lang w:eastAsia="zh-CN"/>
              </w:rPr>
              <w:t>-</w:t>
            </w:r>
            <w:r>
              <w:rPr>
                <w:rFonts w:hint="eastAsia" w:ascii="仿宋_GB2312" w:cs="Times New Roman"/>
                <w:snapToGrid/>
                <w:color w:val="auto"/>
                <w:sz w:val="20"/>
                <w:szCs w:val="20"/>
                <w:lang w:eastAsia="zh-CN"/>
              </w:rPr>
              <w:t>正达凯</w:t>
            </w:r>
            <w:r>
              <w:rPr>
                <w:rFonts w:eastAsia="等线" w:cs="Times New Roman"/>
                <w:snapToGrid/>
                <w:color w:val="auto"/>
                <w:sz w:val="20"/>
                <w:szCs w:val="20"/>
                <w:lang w:eastAsia="zh-CN"/>
              </w:rPr>
              <w:t>220kV</w:t>
            </w:r>
            <w:r>
              <w:rPr>
                <w:rFonts w:hint="eastAsia" w:ascii="仿宋_GB2312" w:cs="Times New Roman"/>
                <w:snapToGrid/>
                <w:color w:val="auto"/>
                <w:sz w:val="20"/>
                <w:szCs w:val="20"/>
                <w:lang w:eastAsia="zh-CN"/>
              </w:rPr>
              <w:t>线路工程区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①</w:t>
            </w:r>
          </w:p>
        </w:tc>
        <w:tc>
          <w:tcPr>
            <w:tcW w:w="2326"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芭蕉施工便道区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种植桤木</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7644</w:t>
            </w:r>
          </w:p>
        </w:tc>
        <w:tc>
          <w:tcPr>
            <w:tcW w:w="582" w:type="pct"/>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2"/>
                <w:szCs w:val="22"/>
                <w:lang w:eastAsia="zh-CN"/>
              </w:rPr>
            </w:pPr>
            <w:r>
              <w:rPr>
                <w:rFonts w:eastAsia="等线" w:cs="Times New Roman"/>
                <w:snapToGrid/>
                <w:color w:val="auto"/>
                <w:sz w:val="22"/>
                <w:szCs w:val="22"/>
                <w:lang w:eastAsia="zh-CN"/>
              </w:rPr>
              <w:t>6.82</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②</w:t>
            </w:r>
          </w:p>
        </w:tc>
        <w:tc>
          <w:tcPr>
            <w:tcW w:w="2326"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芭蕉跨越场区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播撒灌草</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720</w:t>
            </w:r>
          </w:p>
        </w:tc>
        <w:tc>
          <w:tcPr>
            <w:tcW w:w="582" w:type="pct"/>
            <w:shd w:val="clear" w:color="auto" w:fill="auto"/>
            <w:noWrap/>
            <w:vAlign w:val="bottom"/>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2"/>
                <w:szCs w:val="22"/>
                <w:lang w:eastAsia="zh-CN"/>
              </w:rPr>
            </w:pPr>
            <w:r>
              <w:rPr>
                <w:rFonts w:eastAsia="等线" w:cs="Times New Roman"/>
                <w:snapToGrid/>
                <w:color w:val="auto"/>
                <w:sz w:val="22"/>
                <w:szCs w:val="22"/>
                <w:lang w:eastAsia="zh-CN"/>
              </w:rPr>
              <w:t>4.08</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三</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第四部分</w:t>
            </w:r>
            <w:r>
              <w:rPr>
                <w:rFonts w:eastAsia="等线" w:cs="Times New Roman"/>
                <w:snapToGrid/>
                <w:color w:val="auto"/>
                <w:sz w:val="20"/>
                <w:szCs w:val="20"/>
                <w:lang w:eastAsia="zh-CN"/>
              </w:rPr>
              <w:t xml:space="preserve">  </w:t>
            </w:r>
            <w:r>
              <w:rPr>
                <w:rFonts w:hint="eastAsia" w:ascii="仿宋_GB2312" w:cs="Times New Roman"/>
                <w:snapToGrid/>
                <w:color w:val="auto"/>
                <w:sz w:val="20"/>
                <w:szCs w:val="20"/>
                <w:lang w:eastAsia="zh-CN"/>
              </w:rPr>
              <w:t>施工临时工程</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w:t>
            </w:r>
          </w:p>
        </w:tc>
        <w:tc>
          <w:tcPr>
            <w:tcW w:w="2326"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变电站工程区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pStyle w:val="42"/>
              <w:numPr>
                <w:ilvl w:val="0"/>
                <w:numId w:val="7"/>
              </w:numPr>
              <w:kinsoku/>
              <w:autoSpaceDE/>
              <w:autoSpaceDN/>
              <w:adjustRightInd/>
              <w:snapToGrid/>
              <w:spacing w:line="240" w:lineRule="auto"/>
              <w:ind w:right="-120" w:rightChars="-5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玛瑙</w:t>
            </w:r>
            <w:r>
              <w:rPr>
                <w:rFonts w:eastAsia="等线" w:cs="Times New Roman"/>
                <w:snapToGrid/>
                <w:color w:val="auto"/>
                <w:sz w:val="20"/>
                <w:szCs w:val="20"/>
                <w:lang w:eastAsia="zh-CN"/>
              </w:rPr>
              <w:t>500kV</w:t>
            </w:r>
            <w:r>
              <w:rPr>
                <w:rFonts w:hint="eastAsia" w:ascii="仿宋_GB2312" w:cs="Times New Roman"/>
                <w:snapToGrid/>
                <w:color w:val="auto"/>
                <w:sz w:val="20"/>
                <w:szCs w:val="20"/>
                <w:lang w:eastAsia="zh-CN"/>
              </w:rPr>
              <w:t>变电站</w:t>
            </w:r>
            <w:r>
              <w:rPr>
                <w:rFonts w:eastAsia="等线" w:cs="Times New Roman"/>
                <w:snapToGrid/>
                <w:color w:val="auto"/>
                <w:sz w:val="20"/>
                <w:szCs w:val="20"/>
                <w:lang w:eastAsia="zh-CN"/>
              </w:rPr>
              <w:t>220kV</w:t>
            </w:r>
            <w:r>
              <w:rPr>
                <w:rFonts w:hint="eastAsia" w:ascii="仿宋_GB2312" w:cs="Times New Roman"/>
                <w:snapToGrid/>
                <w:color w:val="auto"/>
                <w:sz w:val="20"/>
                <w:szCs w:val="20"/>
                <w:lang w:eastAsia="zh-CN"/>
              </w:rPr>
              <w:t>间隔扩建工程区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①</w:t>
            </w:r>
          </w:p>
        </w:tc>
        <w:tc>
          <w:tcPr>
            <w:tcW w:w="2326"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玛瑙变电站站区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土袋拦挡</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28.32</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临时遮盖</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40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⑵</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w:t>
            </w:r>
            <w:r>
              <w:rPr>
                <w:rFonts w:eastAsia="等线" w:cs="Times New Roman"/>
                <w:snapToGrid/>
                <w:color w:val="auto"/>
                <w:sz w:val="20"/>
                <w:szCs w:val="20"/>
                <w:lang w:eastAsia="zh-CN"/>
              </w:rPr>
              <w:t>500kV</w:t>
            </w:r>
            <w:r>
              <w:rPr>
                <w:rFonts w:hint="eastAsia" w:ascii="仿宋_GB2312" w:cs="Times New Roman"/>
                <w:snapToGrid/>
                <w:color w:val="auto"/>
                <w:sz w:val="20"/>
                <w:szCs w:val="20"/>
                <w:lang w:eastAsia="zh-CN"/>
              </w:rPr>
              <w:t>变电站</w:t>
            </w:r>
            <w:r>
              <w:rPr>
                <w:rFonts w:eastAsia="等线" w:cs="Times New Roman"/>
                <w:snapToGrid/>
                <w:color w:val="auto"/>
                <w:sz w:val="20"/>
                <w:szCs w:val="20"/>
                <w:lang w:eastAsia="zh-CN"/>
              </w:rPr>
              <w:t>220kV</w:t>
            </w:r>
            <w:r>
              <w:rPr>
                <w:rFonts w:hint="eastAsia" w:ascii="仿宋_GB2312" w:cs="Times New Roman"/>
                <w:snapToGrid/>
                <w:color w:val="auto"/>
                <w:sz w:val="20"/>
                <w:szCs w:val="20"/>
                <w:lang w:eastAsia="zh-CN"/>
              </w:rPr>
              <w:t>间隔扩建工程区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①</w:t>
            </w:r>
          </w:p>
        </w:tc>
        <w:tc>
          <w:tcPr>
            <w:tcW w:w="2326"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芭蕉变电站站区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土袋拦挡</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28.32</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临时遮盖</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220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w:t>
            </w:r>
          </w:p>
        </w:tc>
        <w:tc>
          <w:tcPr>
            <w:tcW w:w="2326"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线路工程</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pStyle w:val="42"/>
              <w:numPr>
                <w:ilvl w:val="0"/>
                <w:numId w:val="8"/>
              </w:numPr>
              <w:kinsoku/>
              <w:autoSpaceDE/>
              <w:autoSpaceDN/>
              <w:adjustRightInd/>
              <w:snapToGrid/>
              <w:spacing w:line="240" w:lineRule="auto"/>
              <w:ind w:right="-120" w:rightChars="-5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玛瑙</w:t>
            </w:r>
            <w:r>
              <w:rPr>
                <w:rFonts w:eastAsia="等线" w:cs="Times New Roman"/>
                <w:snapToGrid/>
                <w:color w:val="auto"/>
                <w:sz w:val="20"/>
                <w:szCs w:val="20"/>
                <w:lang w:eastAsia="zh-CN"/>
              </w:rPr>
              <w:t>-</w:t>
            </w:r>
            <w:r>
              <w:rPr>
                <w:rFonts w:hint="eastAsia" w:ascii="仿宋_GB2312" w:cs="Times New Roman"/>
                <w:snapToGrid/>
                <w:color w:val="auto"/>
                <w:sz w:val="20"/>
                <w:szCs w:val="20"/>
                <w:lang w:eastAsia="zh-CN"/>
              </w:rPr>
              <w:t>正达凯</w:t>
            </w:r>
            <w:r>
              <w:rPr>
                <w:rFonts w:eastAsia="等线" w:cs="Times New Roman"/>
                <w:snapToGrid/>
                <w:color w:val="auto"/>
                <w:sz w:val="20"/>
                <w:szCs w:val="20"/>
                <w:lang w:eastAsia="zh-CN"/>
              </w:rPr>
              <w:t>220kV</w:t>
            </w:r>
            <w:r>
              <w:rPr>
                <w:rFonts w:hint="eastAsia" w:ascii="仿宋_GB2312" w:cs="Times New Roman"/>
                <w:snapToGrid/>
                <w:color w:val="auto"/>
                <w:sz w:val="20"/>
                <w:szCs w:val="20"/>
                <w:lang w:eastAsia="zh-CN"/>
              </w:rPr>
              <w:t>线路工程区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①</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玛瑙塔基及临时施工区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土袋拦挡</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150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28.32</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防雨布遮盖</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1200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②</w:t>
            </w:r>
          </w:p>
        </w:tc>
        <w:tc>
          <w:tcPr>
            <w:tcW w:w="2326"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玛瑙施工便道区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土袋拦挡</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80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28.32</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防雨布遮盖</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280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⑵</w:t>
            </w: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w:t>
            </w:r>
            <w:r>
              <w:rPr>
                <w:rFonts w:eastAsia="等线" w:cs="Times New Roman"/>
                <w:snapToGrid/>
                <w:color w:val="auto"/>
                <w:sz w:val="20"/>
                <w:szCs w:val="20"/>
                <w:lang w:eastAsia="zh-CN"/>
              </w:rPr>
              <w:t>-</w:t>
            </w:r>
            <w:r>
              <w:rPr>
                <w:rFonts w:hint="eastAsia" w:ascii="仿宋_GB2312" w:cs="Times New Roman"/>
                <w:snapToGrid/>
                <w:color w:val="auto"/>
                <w:sz w:val="20"/>
                <w:szCs w:val="20"/>
                <w:lang w:eastAsia="zh-CN"/>
              </w:rPr>
              <w:t>正达凯</w:t>
            </w:r>
            <w:r>
              <w:rPr>
                <w:rFonts w:eastAsia="等线" w:cs="Times New Roman"/>
                <w:snapToGrid/>
                <w:color w:val="auto"/>
                <w:sz w:val="20"/>
                <w:szCs w:val="20"/>
                <w:lang w:eastAsia="zh-CN"/>
              </w:rPr>
              <w:t>220kV</w:t>
            </w:r>
            <w:r>
              <w:rPr>
                <w:rFonts w:hint="eastAsia" w:ascii="仿宋_GB2312" w:cs="Times New Roman"/>
                <w:snapToGrid/>
                <w:color w:val="auto"/>
                <w:sz w:val="20"/>
                <w:szCs w:val="20"/>
                <w:lang w:eastAsia="zh-CN"/>
              </w:rPr>
              <w:t>线路工程区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pStyle w:val="42"/>
              <w:numPr>
                <w:ilvl w:val="0"/>
                <w:numId w:val="9"/>
              </w:numPr>
              <w:kinsoku/>
              <w:autoSpaceDE/>
              <w:autoSpaceDN/>
              <w:adjustRightInd/>
              <w:snapToGrid/>
              <w:spacing w:line="240" w:lineRule="auto"/>
              <w:ind w:right="-120" w:rightChars="-50" w:firstLineChars="0"/>
              <w:jc w:val="center"/>
              <w:textAlignment w:val="auto"/>
              <w:rPr>
                <w:rFonts w:eastAsia="等线" w:cs="Times New Roman"/>
                <w:snapToGrid/>
                <w:color w:val="auto"/>
                <w:sz w:val="20"/>
                <w:szCs w:val="20"/>
                <w:lang w:eastAsia="zh-CN"/>
              </w:rPr>
            </w:pPr>
          </w:p>
        </w:tc>
        <w:tc>
          <w:tcPr>
            <w:tcW w:w="2326"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芭蕉塔基及临时施工区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土袋拦挡</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290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28.32</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防雨布遮盖</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2500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宋体" w:hAnsi="宋体" w:eastAsia="宋体" w:cs="Times New Roman"/>
                <w:snapToGrid/>
                <w:color w:val="auto"/>
                <w:sz w:val="20"/>
                <w:szCs w:val="20"/>
                <w:lang w:eastAsia="zh-CN"/>
              </w:rPr>
              <w:t>②</w:t>
            </w:r>
          </w:p>
        </w:tc>
        <w:tc>
          <w:tcPr>
            <w:tcW w:w="2326"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芭蕉电缆工程区</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土袋拦挡</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40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28.32</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2326"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 w:hAnsi="仿宋" w:eastAsia="仿宋" w:cs="Times New Roman"/>
                <w:snapToGrid/>
                <w:color w:val="auto"/>
                <w:sz w:val="20"/>
                <w:szCs w:val="20"/>
                <w:lang w:eastAsia="zh-CN"/>
              </w:rPr>
              <w:t>防雨布遮盖</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m</w:t>
            </w:r>
            <w:r>
              <w:rPr>
                <w:rFonts w:eastAsia="等线" w:cs="Times New Roman"/>
                <w:snapToGrid/>
                <w:color w:val="auto"/>
                <w:sz w:val="20"/>
                <w:szCs w:val="20"/>
                <w:vertAlign w:val="superscript"/>
                <w:lang w:eastAsia="zh-CN"/>
              </w:rPr>
              <w:t>2</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300</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w:t>
            </w: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15"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w:t>
            </w:r>
          </w:p>
        </w:tc>
        <w:tc>
          <w:tcPr>
            <w:tcW w:w="2326"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ascii="仿宋_GB2312" w:cs="Times New Roman"/>
                <w:snapToGrid/>
                <w:color w:val="auto"/>
                <w:sz w:val="20"/>
                <w:szCs w:val="20"/>
                <w:lang w:eastAsia="zh-CN"/>
              </w:rPr>
              <w:t>其他临时工程</w:t>
            </w:r>
          </w:p>
        </w:tc>
        <w:tc>
          <w:tcPr>
            <w:tcW w:w="415"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3" w:type="pct"/>
            <w:shd w:val="clear" w:color="auto" w:fill="auto"/>
            <w:vAlign w:val="center"/>
          </w:tcPr>
          <w:p>
            <w:pPr>
              <w:kinsoku/>
              <w:autoSpaceDE/>
              <w:autoSpaceDN/>
              <w:adjustRightInd/>
              <w:snapToGrid/>
              <w:spacing w:line="240" w:lineRule="auto"/>
              <w:ind w:left="-120" w:leftChars="-50" w:right="-120" w:rightChars="-50" w:firstLine="0" w:firstLineChars="0"/>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w:t>
            </w:r>
          </w:p>
        </w:tc>
        <w:tc>
          <w:tcPr>
            <w:tcW w:w="58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779"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0.06</w:t>
            </w:r>
          </w:p>
        </w:tc>
      </w:tr>
    </w:tbl>
    <w:p>
      <w:pPr>
        <w:widowControl w:val="0"/>
        <w:kinsoku/>
        <w:topLinePunct/>
        <w:autoSpaceDE/>
        <w:autoSpaceDN/>
        <w:spacing w:before="204" w:beforeLines="85" w:line="360" w:lineRule="auto"/>
        <w:ind w:firstLine="474"/>
        <w:jc w:val="center"/>
        <w:rPr>
          <w:b/>
          <w:color w:val="auto"/>
          <w:lang w:eastAsia="zh-CN"/>
        </w:rPr>
      </w:pPr>
      <w:r>
        <w:rPr>
          <w:rFonts w:cs="Times New Roman"/>
          <w:b/>
          <w:bCs/>
          <w:color w:val="auto"/>
          <w:spacing w:val="-2"/>
          <w:lang w:eastAsia="zh-CN"/>
        </w:rPr>
        <w:t>表7</w:t>
      </w:r>
      <w:r>
        <w:rPr>
          <w:rFonts w:hint="eastAsia" w:cs="Times New Roman"/>
          <w:b/>
          <w:bCs/>
          <w:color w:val="auto"/>
          <w:spacing w:val="-2"/>
          <w:lang w:eastAsia="zh-CN"/>
        </w:rPr>
        <w:t>.1</w:t>
      </w:r>
      <w:r>
        <w:rPr>
          <w:rFonts w:cs="Times New Roman"/>
          <w:b/>
          <w:bCs/>
          <w:color w:val="auto"/>
          <w:spacing w:val="-2"/>
          <w:lang w:eastAsia="zh-CN"/>
        </w:rPr>
        <w:t>-</w:t>
      </w:r>
      <w:r>
        <w:rPr>
          <w:rFonts w:hint="eastAsia" w:cs="Times New Roman"/>
          <w:b/>
          <w:bCs/>
          <w:color w:val="auto"/>
          <w:spacing w:val="-2"/>
          <w:lang w:eastAsia="zh-CN"/>
        </w:rPr>
        <w:t>6</w:t>
      </w:r>
      <w:r>
        <w:rPr>
          <w:rFonts w:hint="eastAsia"/>
          <w:b/>
          <w:color w:val="auto"/>
          <w:lang w:eastAsia="zh-CN"/>
        </w:rPr>
        <w:t xml:space="preserve"> </w:t>
      </w:r>
      <w:r>
        <w:rPr>
          <w:b/>
          <w:color w:val="auto"/>
        </w:rPr>
        <w:t>独立费用投资表</w:t>
      </w:r>
    </w:p>
    <w:tbl>
      <w:tblPr>
        <w:tblStyle w:val="26"/>
        <w:tblW w:w="5000" w:type="pct"/>
        <w:tblInd w:w="0" w:type="dxa"/>
        <w:tblLayout w:type="autofit"/>
        <w:tblCellMar>
          <w:top w:w="0" w:type="dxa"/>
          <w:left w:w="108" w:type="dxa"/>
          <w:bottom w:w="0" w:type="dxa"/>
          <w:right w:w="108" w:type="dxa"/>
        </w:tblCellMar>
      </w:tblPr>
      <w:tblGrid>
        <w:gridCol w:w="533"/>
        <w:gridCol w:w="993"/>
        <w:gridCol w:w="1276"/>
        <w:gridCol w:w="4677"/>
        <w:gridCol w:w="1049"/>
      </w:tblGrid>
      <w:tr>
        <w:tblPrEx>
          <w:tblCellMar>
            <w:top w:w="0" w:type="dxa"/>
            <w:left w:w="108" w:type="dxa"/>
            <w:bottom w:w="0" w:type="dxa"/>
            <w:right w:w="108" w:type="dxa"/>
          </w:tblCellMar>
        </w:tblPrEx>
        <w:trPr>
          <w:trHeight w:val="289" w:hRule="atLeast"/>
          <w:tblHeader/>
        </w:trPr>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序号</w:t>
            </w:r>
          </w:p>
        </w:tc>
        <w:tc>
          <w:tcPr>
            <w:tcW w:w="1330" w:type="pct"/>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工程或费用名称</w:t>
            </w:r>
          </w:p>
        </w:tc>
        <w:tc>
          <w:tcPr>
            <w:tcW w:w="2742" w:type="pct"/>
            <w:tcBorders>
              <w:top w:val="single" w:color="auto" w:sz="4" w:space="0"/>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编制依据及计算公式</w:t>
            </w:r>
          </w:p>
        </w:tc>
        <w:tc>
          <w:tcPr>
            <w:tcW w:w="615" w:type="pct"/>
            <w:tcBorders>
              <w:top w:val="single" w:color="auto" w:sz="4" w:space="0"/>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合计(万元)</w:t>
            </w:r>
          </w:p>
        </w:tc>
      </w:tr>
      <w:tr>
        <w:tblPrEx>
          <w:tblCellMar>
            <w:top w:w="0" w:type="dxa"/>
            <w:left w:w="108" w:type="dxa"/>
            <w:bottom w:w="0" w:type="dxa"/>
            <w:right w:w="108" w:type="dxa"/>
          </w:tblCellMar>
        </w:tblPrEx>
        <w:trPr>
          <w:trHeight w:val="289"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　</w:t>
            </w:r>
          </w:p>
        </w:tc>
        <w:tc>
          <w:tcPr>
            <w:tcW w:w="1330" w:type="pct"/>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第五部分  独立费用</w:t>
            </w:r>
          </w:p>
        </w:tc>
        <w:tc>
          <w:tcPr>
            <w:tcW w:w="2742"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　</w:t>
            </w:r>
          </w:p>
        </w:tc>
        <w:tc>
          <w:tcPr>
            <w:tcW w:w="615"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lang w:eastAsia="zh-CN"/>
              </w:rPr>
            </w:pPr>
            <w:r>
              <w:rPr>
                <w:rFonts w:hint="eastAsia"/>
                <w:color w:val="auto"/>
                <w:sz w:val="20"/>
                <w:szCs w:val="20"/>
                <w:lang w:eastAsia="zh-CN"/>
              </w:rPr>
              <w:t>30.90</w:t>
            </w:r>
          </w:p>
        </w:tc>
      </w:tr>
      <w:tr>
        <w:tblPrEx>
          <w:tblCellMar>
            <w:top w:w="0" w:type="dxa"/>
            <w:left w:w="108" w:type="dxa"/>
            <w:bottom w:w="0" w:type="dxa"/>
            <w:right w:w="108" w:type="dxa"/>
          </w:tblCellMar>
        </w:tblPrEx>
        <w:trPr>
          <w:trHeight w:val="289"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一</w:t>
            </w:r>
          </w:p>
        </w:tc>
        <w:tc>
          <w:tcPr>
            <w:tcW w:w="1330" w:type="pct"/>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建设管理费</w:t>
            </w:r>
          </w:p>
        </w:tc>
        <w:tc>
          <w:tcPr>
            <w:tcW w:w="2742" w:type="pct"/>
            <w:tcBorders>
              <w:top w:val="nil"/>
              <w:left w:val="nil"/>
              <w:bottom w:val="single" w:color="auto" w:sz="4" w:space="0"/>
              <w:right w:val="single" w:color="auto" w:sz="4" w:space="0"/>
            </w:tcBorders>
            <w:shd w:val="clear" w:color="auto" w:fill="auto"/>
            <w:vAlign w:val="center"/>
          </w:tcPr>
          <w:p>
            <w:pPr>
              <w:spacing w:line="240" w:lineRule="auto"/>
              <w:ind w:left="-84" w:leftChars="-35" w:right="-84" w:rightChars="-35" w:firstLine="0" w:firstLineChars="0"/>
              <w:rPr>
                <w:color w:val="auto"/>
                <w:sz w:val="20"/>
                <w:szCs w:val="20"/>
                <w:lang w:eastAsia="zh-CN"/>
              </w:rPr>
            </w:pPr>
            <w:r>
              <w:rPr>
                <w:color w:val="auto"/>
                <w:sz w:val="20"/>
                <w:szCs w:val="20"/>
                <w:lang w:eastAsia="zh-CN"/>
              </w:rPr>
              <w:t>按第一～</w:t>
            </w:r>
            <w:r>
              <w:rPr>
                <w:rFonts w:hint="eastAsia"/>
                <w:color w:val="auto"/>
                <w:sz w:val="20"/>
                <w:szCs w:val="20"/>
                <w:lang w:eastAsia="zh-CN"/>
              </w:rPr>
              <w:t>四</w:t>
            </w:r>
            <w:r>
              <w:rPr>
                <w:color w:val="auto"/>
                <w:sz w:val="20"/>
                <w:szCs w:val="20"/>
                <w:lang w:eastAsia="zh-CN"/>
              </w:rPr>
              <w:t>部分合计的2.0%计</w:t>
            </w:r>
            <w:r>
              <w:rPr>
                <w:rFonts w:hint="eastAsia"/>
                <w:color w:val="auto"/>
                <w:sz w:val="20"/>
                <w:szCs w:val="20"/>
                <w:lang w:eastAsia="zh-CN"/>
              </w:rPr>
              <w:t>算</w:t>
            </w:r>
            <w:r>
              <w:rPr>
                <w:color w:val="auto"/>
                <w:sz w:val="20"/>
                <w:szCs w:val="20"/>
                <w:lang w:eastAsia="zh-CN"/>
              </w:rPr>
              <w:t>，并根据工程实际情况计列</w:t>
            </w:r>
          </w:p>
        </w:tc>
        <w:tc>
          <w:tcPr>
            <w:tcW w:w="615"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lang w:eastAsia="zh-CN"/>
              </w:rPr>
            </w:pPr>
            <w:r>
              <w:rPr>
                <w:rFonts w:hint="eastAsia"/>
                <w:color w:val="auto"/>
                <w:sz w:val="20"/>
                <w:szCs w:val="20"/>
                <w:lang w:eastAsia="zh-CN"/>
              </w:rPr>
              <w:t>3.20</w:t>
            </w:r>
          </w:p>
        </w:tc>
      </w:tr>
      <w:tr>
        <w:tblPrEx>
          <w:tblCellMar>
            <w:top w:w="0" w:type="dxa"/>
            <w:left w:w="108" w:type="dxa"/>
            <w:bottom w:w="0" w:type="dxa"/>
            <w:right w:w="108" w:type="dxa"/>
          </w:tblCellMar>
        </w:tblPrEx>
        <w:trPr>
          <w:trHeight w:val="289" w:hRule="atLeast"/>
        </w:trPr>
        <w:tc>
          <w:tcPr>
            <w:tcW w:w="313" w:type="pct"/>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二</w:t>
            </w:r>
          </w:p>
        </w:tc>
        <w:tc>
          <w:tcPr>
            <w:tcW w:w="582" w:type="pct"/>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lang w:eastAsia="zh-CN"/>
              </w:rPr>
            </w:pPr>
            <w:r>
              <w:rPr>
                <w:color w:val="auto"/>
                <w:sz w:val="20"/>
                <w:szCs w:val="20"/>
              </w:rPr>
              <w:t>科研勘测</w:t>
            </w:r>
          </w:p>
          <w:p>
            <w:pPr>
              <w:spacing w:line="240" w:lineRule="auto"/>
              <w:ind w:left="-120" w:leftChars="-50" w:right="-120" w:rightChars="-50" w:firstLine="0" w:firstLineChars="0"/>
              <w:jc w:val="center"/>
              <w:rPr>
                <w:color w:val="auto"/>
                <w:sz w:val="20"/>
                <w:szCs w:val="20"/>
              </w:rPr>
            </w:pPr>
            <w:r>
              <w:rPr>
                <w:color w:val="auto"/>
                <w:sz w:val="20"/>
                <w:szCs w:val="20"/>
              </w:rPr>
              <w:t>设计费</w:t>
            </w:r>
          </w:p>
        </w:tc>
        <w:tc>
          <w:tcPr>
            <w:tcW w:w="748"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勘测设计费</w:t>
            </w:r>
          </w:p>
        </w:tc>
        <w:tc>
          <w:tcPr>
            <w:tcW w:w="2742" w:type="pct"/>
            <w:tcBorders>
              <w:top w:val="nil"/>
              <w:left w:val="nil"/>
              <w:bottom w:val="single" w:color="auto" w:sz="4" w:space="0"/>
              <w:right w:val="single" w:color="auto" w:sz="4" w:space="0"/>
            </w:tcBorders>
            <w:shd w:val="clear" w:color="auto" w:fill="auto"/>
            <w:vAlign w:val="center"/>
          </w:tcPr>
          <w:p>
            <w:pPr>
              <w:spacing w:line="240" w:lineRule="auto"/>
              <w:ind w:left="-84" w:leftChars="-35" w:right="-84" w:rightChars="-35" w:firstLine="0" w:firstLineChars="0"/>
              <w:rPr>
                <w:color w:val="auto"/>
                <w:sz w:val="20"/>
                <w:szCs w:val="20"/>
                <w:lang w:eastAsia="zh-CN"/>
              </w:rPr>
            </w:pPr>
            <w:r>
              <w:rPr>
                <w:color w:val="auto"/>
                <w:sz w:val="20"/>
                <w:szCs w:val="20"/>
                <w:lang w:eastAsia="zh-CN"/>
              </w:rPr>
              <w:t>参照《建设项目前期工作咨询收费参考计算标准》《工程勘察设计收费参考计算标准》等，并根据工程实际情况计列</w:t>
            </w:r>
          </w:p>
        </w:tc>
        <w:tc>
          <w:tcPr>
            <w:tcW w:w="615"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lang w:eastAsia="zh-CN"/>
              </w:rPr>
            </w:pPr>
            <w:r>
              <w:rPr>
                <w:rFonts w:hint="eastAsia"/>
                <w:color w:val="auto"/>
                <w:sz w:val="20"/>
                <w:szCs w:val="20"/>
                <w:lang w:eastAsia="zh-CN"/>
              </w:rPr>
              <w:t>4.60</w:t>
            </w:r>
          </w:p>
        </w:tc>
      </w:tr>
      <w:tr>
        <w:tblPrEx>
          <w:tblCellMar>
            <w:top w:w="0" w:type="dxa"/>
            <w:left w:w="108" w:type="dxa"/>
            <w:bottom w:w="0" w:type="dxa"/>
            <w:right w:w="108" w:type="dxa"/>
          </w:tblCellMar>
        </w:tblPrEx>
        <w:trPr>
          <w:trHeight w:val="289" w:hRule="atLeast"/>
        </w:trPr>
        <w:tc>
          <w:tcPr>
            <w:tcW w:w="313" w:type="pct"/>
            <w:vMerge w:val="continue"/>
            <w:tcBorders>
              <w:top w:val="nil"/>
              <w:left w:val="single" w:color="auto" w:sz="4" w:space="0"/>
              <w:bottom w:val="single" w:color="auto" w:sz="4" w:space="0"/>
              <w:right w:val="single" w:color="auto" w:sz="4" w:space="0"/>
            </w:tcBorders>
            <w:vAlign w:val="center"/>
          </w:tcPr>
          <w:p>
            <w:pPr>
              <w:spacing w:line="240" w:lineRule="auto"/>
              <w:ind w:left="-120" w:leftChars="-50" w:right="-120" w:rightChars="-50" w:firstLine="0" w:firstLineChars="0"/>
              <w:rPr>
                <w:color w:val="auto"/>
                <w:sz w:val="20"/>
                <w:szCs w:val="20"/>
                <w:lang w:eastAsia="zh-CN"/>
              </w:rPr>
            </w:pPr>
          </w:p>
        </w:tc>
        <w:tc>
          <w:tcPr>
            <w:tcW w:w="582" w:type="pct"/>
            <w:vMerge w:val="continue"/>
            <w:tcBorders>
              <w:top w:val="nil"/>
              <w:left w:val="single" w:color="auto" w:sz="4" w:space="0"/>
              <w:bottom w:val="single" w:color="auto" w:sz="4" w:space="0"/>
              <w:right w:val="single" w:color="auto" w:sz="4" w:space="0"/>
            </w:tcBorders>
            <w:vAlign w:val="center"/>
          </w:tcPr>
          <w:p>
            <w:pPr>
              <w:spacing w:line="240" w:lineRule="auto"/>
              <w:ind w:left="-120" w:leftChars="-50" w:right="-120" w:rightChars="-50" w:firstLine="0" w:firstLineChars="0"/>
              <w:rPr>
                <w:color w:val="auto"/>
                <w:sz w:val="20"/>
                <w:szCs w:val="20"/>
                <w:lang w:eastAsia="zh-CN"/>
              </w:rPr>
            </w:pPr>
          </w:p>
        </w:tc>
        <w:tc>
          <w:tcPr>
            <w:tcW w:w="748"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方案编制费</w:t>
            </w:r>
          </w:p>
        </w:tc>
        <w:tc>
          <w:tcPr>
            <w:tcW w:w="2742" w:type="pct"/>
            <w:tcBorders>
              <w:top w:val="nil"/>
              <w:left w:val="nil"/>
              <w:bottom w:val="single" w:color="auto" w:sz="4" w:space="0"/>
              <w:right w:val="single" w:color="auto" w:sz="4" w:space="0"/>
            </w:tcBorders>
            <w:shd w:val="clear" w:color="auto" w:fill="auto"/>
            <w:vAlign w:val="center"/>
          </w:tcPr>
          <w:p>
            <w:pPr>
              <w:spacing w:line="240" w:lineRule="auto"/>
              <w:ind w:left="-84" w:leftChars="-35" w:right="-84" w:rightChars="-35" w:firstLine="0" w:firstLineChars="0"/>
              <w:rPr>
                <w:color w:val="auto"/>
                <w:sz w:val="20"/>
                <w:szCs w:val="20"/>
                <w:lang w:eastAsia="zh-CN"/>
              </w:rPr>
            </w:pPr>
            <w:r>
              <w:rPr>
                <w:color w:val="auto"/>
                <w:sz w:val="20"/>
                <w:szCs w:val="20"/>
                <w:lang w:eastAsia="zh-CN"/>
              </w:rPr>
              <w:t>按《四川省水利水电工程设计概(估)算编制规定》中方案编制费计算标准，并根据工程实际情况计列</w:t>
            </w:r>
          </w:p>
        </w:tc>
        <w:tc>
          <w:tcPr>
            <w:tcW w:w="615"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lang w:eastAsia="zh-CN"/>
              </w:rPr>
            </w:pPr>
            <w:r>
              <w:rPr>
                <w:rFonts w:hint="eastAsia"/>
                <w:color w:val="auto"/>
                <w:sz w:val="20"/>
                <w:szCs w:val="20"/>
                <w:lang w:eastAsia="zh-CN"/>
              </w:rPr>
              <w:t>7.80</w:t>
            </w:r>
          </w:p>
        </w:tc>
      </w:tr>
      <w:tr>
        <w:tblPrEx>
          <w:tblCellMar>
            <w:top w:w="0" w:type="dxa"/>
            <w:left w:w="108" w:type="dxa"/>
            <w:bottom w:w="0" w:type="dxa"/>
            <w:right w:w="108" w:type="dxa"/>
          </w:tblCellMar>
        </w:tblPrEx>
        <w:trPr>
          <w:trHeight w:val="289"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三</w:t>
            </w:r>
          </w:p>
        </w:tc>
        <w:tc>
          <w:tcPr>
            <w:tcW w:w="1330" w:type="pct"/>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工程建设监理费</w:t>
            </w:r>
          </w:p>
        </w:tc>
        <w:tc>
          <w:tcPr>
            <w:tcW w:w="2742" w:type="pct"/>
            <w:tcBorders>
              <w:top w:val="nil"/>
              <w:left w:val="nil"/>
              <w:bottom w:val="single" w:color="auto" w:sz="4" w:space="0"/>
              <w:right w:val="single" w:color="auto" w:sz="4" w:space="0"/>
            </w:tcBorders>
            <w:shd w:val="clear" w:color="auto" w:fill="auto"/>
            <w:vAlign w:val="center"/>
          </w:tcPr>
          <w:p>
            <w:pPr>
              <w:spacing w:line="240" w:lineRule="auto"/>
              <w:ind w:left="-84" w:leftChars="-35" w:right="-84" w:rightChars="-35" w:firstLine="0" w:firstLineChars="0"/>
              <w:rPr>
                <w:color w:val="auto"/>
                <w:sz w:val="20"/>
                <w:szCs w:val="20"/>
                <w:lang w:eastAsia="zh-CN"/>
              </w:rPr>
            </w:pPr>
            <w:r>
              <w:rPr>
                <w:color w:val="auto"/>
                <w:sz w:val="20"/>
                <w:szCs w:val="20"/>
                <w:lang w:eastAsia="zh-CN"/>
              </w:rPr>
              <w:t>参照《建设工程监理与相关服务收费管理规定》等，并根据工程实际情况计列</w:t>
            </w:r>
          </w:p>
        </w:tc>
        <w:tc>
          <w:tcPr>
            <w:tcW w:w="615"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lang w:eastAsia="zh-CN"/>
              </w:rPr>
            </w:pPr>
            <w:r>
              <w:rPr>
                <w:rFonts w:hint="eastAsia"/>
                <w:color w:val="auto"/>
                <w:sz w:val="20"/>
                <w:szCs w:val="20"/>
                <w:lang w:eastAsia="zh-CN"/>
              </w:rPr>
              <w:t>7.50</w:t>
            </w:r>
          </w:p>
        </w:tc>
      </w:tr>
      <w:tr>
        <w:tblPrEx>
          <w:tblCellMar>
            <w:top w:w="0" w:type="dxa"/>
            <w:left w:w="108" w:type="dxa"/>
            <w:bottom w:w="0" w:type="dxa"/>
            <w:right w:w="108" w:type="dxa"/>
          </w:tblCellMar>
        </w:tblPrEx>
        <w:trPr>
          <w:trHeight w:val="289"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四</w:t>
            </w:r>
          </w:p>
        </w:tc>
        <w:tc>
          <w:tcPr>
            <w:tcW w:w="1330" w:type="pct"/>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竣工验收技术评估费</w:t>
            </w:r>
          </w:p>
        </w:tc>
        <w:tc>
          <w:tcPr>
            <w:tcW w:w="2742" w:type="pct"/>
            <w:tcBorders>
              <w:top w:val="nil"/>
              <w:left w:val="nil"/>
              <w:bottom w:val="single" w:color="auto" w:sz="4" w:space="0"/>
              <w:right w:val="single" w:color="auto" w:sz="4" w:space="0"/>
            </w:tcBorders>
            <w:shd w:val="clear" w:color="auto" w:fill="auto"/>
            <w:vAlign w:val="center"/>
          </w:tcPr>
          <w:p>
            <w:pPr>
              <w:spacing w:line="240" w:lineRule="auto"/>
              <w:ind w:left="-84" w:leftChars="-35" w:right="-84" w:rightChars="-35" w:firstLine="0" w:firstLineChars="0"/>
              <w:rPr>
                <w:color w:val="auto"/>
                <w:sz w:val="20"/>
                <w:szCs w:val="20"/>
                <w:lang w:eastAsia="zh-CN"/>
              </w:rPr>
            </w:pPr>
            <w:r>
              <w:rPr>
                <w:color w:val="auto"/>
                <w:sz w:val="20"/>
                <w:szCs w:val="20"/>
                <w:lang w:eastAsia="zh-CN"/>
              </w:rPr>
              <w:t>按《四川省水利水电工程设计概(估)算编制规定》中竣工验收技术评估费计算标准，并根据工程实际情况计列</w:t>
            </w:r>
          </w:p>
        </w:tc>
        <w:tc>
          <w:tcPr>
            <w:tcW w:w="615"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lang w:eastAsia="zh-CN"/>
              </w:rPr>
            </w:pPr>
            <w:r>
              <w:rPr>
                <w:rFonts w:hint="eastAsia"/>
                <w:color w:val="auto"/>
                <w:sz w:val="20"/>
                <w:szCs w:val="20"/>
                <w:lang w:eastAsia="zh-CN"/>
              </w:rPr>
              <w:t>7.80</w:t>
            </w:r>
          </w:p>
        </w:tc>
      </w:tr>
      <w:tr>
        <w:tblPrEx>
          <w:tblCellMar>
            <w:top w:w="0" w:type="dxa"/>
            <w:left w:w="108" w:type="dxa"/>
            <w:bottom w:w="0" w:type="dxa"/>
            <w:right w:w="108" w:type="dxa"/>
          </w:tblCellMar>
        </w:tblPrEx>
        <w:trPr>
          <w:trHeight w:val="289"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五</w:t>
            </w:r>
          </w:p>
        </w:tc>
        <w:tc>
          <w:tcPr>
            <w:tcW w:w="1330" w:type="pct"/>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招标代理服务费</w:t>
            </w:r>
          </w:p>
        </w:tc>
        <w:tc>
          <w:tcPr>
            <w:tcW w:w="2742" w:type="pct"/>
            <w:tcBorders>
              <w:top w:val="nil"/>
              <w:left w:val="nil"/>
              <w:bottom w:val="single" w:color="auto" w:sz="4" w:space="0"/>
              <w:right w:val="single" w:color="auto" w:sz="4" w:space="0"/>
            </w:tcBorders>
            <w:shd w:val="clear" w:color="auto" w:fill="auto"/>
            <w:vAlign w:val="center"/>
          </w:tcPr>
          <w:p>
            <w:pPr>
              <w:spacing w:line="240" w:lineRule="auto"/>
              <w:ind w:left="-84" w:leftChars="-35" w:right="-84" w:rightChars="-35" w:firstLine="0" w:firstLineChars="0"/>
              <w:rPr>
                <w:color w:val="auto"/>
                <w:sz w:val="20"/>
                <w:szCs w:val="20"/>
                <w:lang w:eastAsia="zh-CN"/>
              </w:rPr>
            </w:pPr>
            <w:r>
              <w:rPr>
                <w:color w:val="auto"/>
                <w:sz w:val="20"/>
                <w:szCs w:val="20"/>
                <w:lang w:eastAsia="zh-CN"/>
              </w:rPr>
              <w:t>参照《四川省水利水电工程设计概(估)算编制规定》中招标代理服务费计算标准，并根据工程实际情况计列</w:t>
            </w:r>
          </w:p>
        </w:tc>
        <w:tc>
          <w:tcPr>
            <w:tcW w:w="615"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lang w:eastAsia="zh-CN"/>
              </w:rPr>
            </w:pPr>
            <w:r>
              <w:rPr>
                <w:color w:val="auto"/>
                <w:sz w:val="20"/>
                <w:szCs w:val="20"/>
              </w:rPr>
              <w:t>0</w:t>
            </w:r>
            <w:r>
              <w:rPr>
                <w:rFonts w:hint="eastAsia"/>
                <w:color w:val="auto"/>
                <w:sz w:val="20"/>
                <w:szCs w:val="20"/>
                <w:lang w:eastAsia="zh-CN"/>
              </w:rPr>
              <w:t>.00</w:t>
            </w:r>
          </w:p>
        </w:tc>
      </w:tr>
      <w:tr>
        <w:tblPrEx>
          <w:tblCellMar>
            <w:top w:w="0" w:type="dxa"/>
            <w:left w:w="108" w:type="dxa"/>
            <w:bottom w:w="0" w:type="dxa"/>
            <w:right w:w="108" w:type="dxa"/>
          </w:tblCellMar>
        </w:tblPrEx>
        <w:trPr>
          <w:trHeight w:val="289"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六</w:t>
            </w:r>
          </w:p>
        </w:tc>
        <w:tc>
          <w:tcPr>
            <w:tcW w:w="1330" w:type="pct"/>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经济技术咨询费</w:t>
            </w:r>
          </w:p>
        </w:tc>
        <w:tc>
          <w:tcPr>
            <w:tcW w:w="2742" w:type="pct"/>
            <w:tcBorders>
              <w:top w:val="nil"/>
              <w:left w:val="nil"/>
              <w:bottom w:val="single" w:color="auto" w:sz="4" w:space="0"/>
              <w:right w:val="single" w:color="auto" w:sz="4" w:space="0"/>
            </w:tcBorders>
            <w:shd w:val="clear" w:color="auto" w:fill="auto"/>
            <w:vAlign w:val="center"/>
          </w:tcPr>
          <w:p>
            <w:pPr>
              <w:spacing w:line="240" w:lineRule="auto"/>
              <w:ind w:left="-84" w:leftChars="-35" w:right="-84" w:rightChars="-35" w:firstLine="0" w:firstLineChars="0"/>
              <w:rPr>
                <w:color w:val="auto"/>
                <w:sz w:val="20"/>
                <w:szCs w:val="20"/>
                <w:lang w:eastAsia="zh-CN"/>
              </w:rPr>
            </w:pPr>
            <w:r>
              <w:rPr>
                <w:color w:val="auto"/>
                <w:sz w:val="20"/>
                <w:szCs w:val="20"/>
                <w:lang w:eastAsia="zh-CN"/>
              </w:rPr>
              <w:t>按《四川省水利水电工程设计概(估)算编制规定》中经济技术咨询费计算标准，并根据工程实际情况计列</w:t>
            </w:r>
          </w:p>
        </w:tc>
        <w:tc>
          <w:tcPr>
            <w:tcW w:w="615"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lang w:eastAsia="zh-CN"/>
              </w:rPr>
            </w:pPr>
            <w:r>
              <w:rPr>
                <w:color w:val="auto"/>
                <w:sz w:val="20"/>
                <w:szCs w:val="20"/>
              </w:rPr>
              <w:t>0</w:t>
            </w:r>
            <w:r>
              <w:rPr>
                <w:rFonts w:hint="eastAsia"/>
                <w:color w:val="auto"/>
                <w:sz w:val="20"/>
                <w:szCs w:val="20"/>
                <w:lang w:eastAsia="zh-CN"/>
              </w:rPr>
              <w:t>.00</w:t>
            </w:r>
          </w:p>
        </w:tc>
      </w:tr>
    </w:tbl>
    <w:p>
      <w:pPr>
        <w:widowControl w:val="0"/>
        <w:kinsoku/>
        <w:topLinePunct/>
        <w:autoSpaceDE/>
        <w:autoSpaceDN/>
        <w:spacing w:before="204" w:beforeLines="85" w:line="360" w:lineRule="auto"/>
        <w:ind w:firstLine="474"/>
        <w:jc w:val="center"/>
        <w:rPr>
          <w:b/>
          <w:color w:val="auto"/>
          <w:lang w:eastAsia="zh-CN"/>
        </w:rPr>
      </w:pPr>
      <w:r>
        <w:rPr>
          <w:rFonts w:cs="Times New Roman"/>
          <w:b/>
          <w:bCs/>
          <w:color w:val="auto"/>
          <w:spacing w:val="-2"/>
          <w:lang w:eastAsia="zh-CN"/>
        </w:rPr>
        <w:t>表7</w:t>
      </w:r>
      <w:r>
        <w:rPr>
          <w:rFonts w:hint="eastAsia" w:cs="Times New Roman"/>
          <w:b/>
          <w:bCs/>
          <w:color w:val="auto"/>
          <w:spacing w:val="-2"/>
          <w:lang w:eastAsia="zh-CN"/>
        </w:rPr>
        <w:t>.1</w:t>
      </w:r>
      <w:r>
        <w:rPr>
          <w:rFonts w:cs="Times New Roman"/>
          <w:b/>
          <w:bCs/>
          <w:color w:val="auto"/>
          <w:spacing w:val="-2"/>
          <w:lang w:eastAsia="zh-CN"/>
        </w:rPr>
        <w:t>-</w:t>
      </w:r>
      <w:r>
        <w:rPr>
          <w:rFonts w:hint="eastAsia" w:cs="Times New Roman"/>
          <w:b/>
          <w:bCs/>
          <w:color w:val="auto"/>
          <w:spacing w:val="-2"/>
          <w:lang w:eastAsia="zh-CN"/>
        </w:rPr>
        <w:t>7</w:t>
      </w:r>
      <w:r>
        <w:rPr>
          <w:rFonts w:hint="eastAsia"/>
          <w:b/>
          <w:color w:val="auto"/>
          <w:lang w:eastAsia="zh-CN"/>
        </w:rPr>
        <w:t xml:space="preserve"> </w:t>
      </w:r>
      <w:r>
        <w:rPr>
          <w:b/>
          <w:color w:val="auto"/>
          <w:lang w:eastAsia="zh-CN"/>
        </w:rPr>
        <w:t>水土保持补偿费计算表</w:t>
      </w:r>
    </w:p>
    <w:tbl>
      <w:tblPr>
        <w:tblStyle w:val="26"/>
        <w:tblW w:w="5000" w:type="pct"/>
        <w:tblInd w:w="0" w:type="dxa"/>
        <w:tblLayout w:type="autofit"/>
        <w:tblCellMar>
          <w:top w:w="0" w:type="dxa"/>
          <w:left w:w="108" w:type="dxa"/>
          <w:bottom w:w="0" w:type="dxa"/>
          <w:right w:w="108" w:type="dxa"/>
        </w:tblCellMar>
      </w:tblPr>
      <w:tblGrid>
        <w:gridCol w:w="533"/>
        <w:gridCol w:w="2112"/>
        <w:gridCol w:w="2461"/>
        <w:gridCol w:w="1982"/>
        <w:gridCol w:w="1440"/>
      </w:tblGrid>
      <w:tr>
        <w:tblPrEx>
          <w:tblCellMar>
            <w:top w:w="0" w:type="dxa"/>
            <w:left w:w="108" w:type="dxa"/>
            <w:bottom w:w="0" w:type="dxa"/>
            <w:right w:w="108" w:type="dxa"/>
          </w:tblCellMar>
        </w:tblPrEx>
        <w:trPr>
          <w:trHeight w:val="386" w:hRule="atLeast"/>
        </w:trPr>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序号</w:t>
            </w:r>
          </w:p>
        </w:tc>
        <w:tc>
          <w:tcPr>
            <w:tcW w:w="1238" w:type="pct"/>
            <w:tcBorders>
              <w:top w:val="single" w:color="auto" w:sz="4" w:space="0"/>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工程或费用名称</w:t>
            </w:r>
          </w:p>
        </w:tc>
        <w:tc>
          <w:tcPr>
            <w:tcW w:w="1443" w:type="pct"/>
            <w:tcBorders>
              <w:top w:val="single" w:color="auto" w:sz="4" w:space="0"/>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征占用土地面积(m</w:t>
            </w:r>
            <w:r>
              <w:rPr>
                <w:color w:val="auto"/>
                <w:sz w:val="20"/>
                <w:szCs w:val="20"/>
                <w:vertAlign w:val="superscript"/>
              </w:rPr>
              <w:t>2</w:t>
            </w:r>
            <w:r>
              <w:rPr>
                <w:color w:val="auto"/>
                <w:sz w:val="20"/>
                <w:szCs w:val="20"/>
              </w:rPr>
              <w:t>)</w:t>
            </w:r>
          </w:p>
        </w:tc>
        <w:tc>
          <w:tcPr>
            <w:tcW w:w="1162" w:type="pct"/>
            <w:tcBorders>
              <w:top w:val="single" w:color="auto" w:sz="4" w:space="0"/>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计征标准(元/m</w:t>
            </w:r>
            <w:r>
              <w:rPr>
                <w:color w:val="auto"/>
                <w:sz w:val="20"/>
                <w:szCs w:val="20"/>
                <w:vertAlign w:val="superscript"/>
              </w:rPr>
              <w:t>2</w:t>
            </w:r>
            <w:r>
              <w:rPr>
                <w:color w:val="auto"/>
                <w:sz w:val="20"/>
                <w:szCs w:val="20"/>
              </w:rPr>
              <w:t>)</w:t>
            </w:r>
          </w:p>
        </w:tc>
        <w:tc>
          <w:tcPr>
            <w:tcW w:w="844" w:type="pct"/>
            <w:tcBorders>
              <w:top w:val="single" w:color="auto" w:sz="4" w:space="0"/>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合计(元)</w:t>
            </w:r>
          </w:p>
        </w:tc>
      </w:tr>
      <w:tr>
        <w:tblPrEx>
          <w:tblCellMar>
            <w:top w:w="0" w:type="dxa"/>
            <w:left w:w="108" w:type="dxa"/>
            <w:bottom w:w="0" w:type="dxa"/>
            <w:right w:w="108" w:type="dxa"/>
          </w:tblCellMar>
        </w:tblPrEx>
        <w:trPr>
          <w:trHeight w:val="386"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rFonts w:hint="eastAsia"/>
                <w:color w:val="auto"/>
                <w:sz w:val="20"/>
                <w:szCs w:val="20"/>
                <w:lang w:eastAsia="zh-CN"/>
              </w:rPr>
              <w:t>1</w:t>
            </w:r>
            <w:r>
              <w:rPr>
                <w:color w:val="auto"/>
                <w:sz w:val="20"/>
                <w:szCs w:val="20"/>
              </w:rPr>
              <w:t>　</w:t>
            </w:r>
          </w:p>
        </w:tc>
        <w:tc>
          <w:tcPr>
            <w:tcW w:w="1238"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rPr>
            </w:pPr>
            <w:r>
              <w:rPr>
                <w:color w:val="auto"/>
                <w:sz w:val="20"/>
                <w:szCs w:val="20"/>
              </w:rPr>
              <w:t>水土保持补偿费</w:t>
            </w:r>
          </w:p>
        </w:tc>
        <w:tc>
          <w:tcPr>
            <w:tcW w:w="1443"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lang w:eastAsia="zh-CN"/>
              </w:rPr>
            </w:pPr>
            <w:r>
              <w:rPr>
                <w:color w:val="auto"/>
                <w:sz w:val="20"/>
                <w:szCs w:val="20"/>
                <w:lang w:eastAsia="zh-CN"/>
              </w:rPr>
              <w:t>38119</w:t>
            </w:r>
          </w:p>
        </w:tc>
        <w:tc>
          <w:tcPr>
            <w:tcW w:w="1162" w:type="pct"/>
            <w:tcBorders>
              <w:top w:val="nil"/>
              <w:left w:val="nil"/>
              <w:bottom w:val="single" w:color="auto" w:sz="4" w:space="0"/>
              <w:right w:val="single" w:color="auto" w:sz="4" w:space="0"/>
            </w:tcBorders>
            <w:shd w:val="clear" w:color="auto" w:fill="auto"/>
            <w:vAlign w:val="center"/>
          </w:tcPr>
          <w:p>
            <w:pPr>
              <w:spacing w:line="240" w:lineRule="auto"/>
              <w:ind w:left="-120" w:leftChars="-50" w:right="-120" w:rightChars="-50" w:firstLine="0" w:firstLineChars="0"/>
              <w:jc w:val="center"/>
              <w:rPr>
                <w:color w:val="auto"/>
                <w:sz w:val="20"/>
                <w:szCs w:val="20"/>
                <w:lang w:eastAsia="zh-CN"/>
              </w:rPr>
            </w:pPr>
            <w:r>
              <w:rPr>
                <w:color w:val="auto"/>
                <w:sz w:val="20"/>
                <w:szCs w:val="20"/>
              </w:rPr>
              <w:t>1.3</w:t>
            </w:r>
            <w:r>
              <w:rPr>
                <w:rFonts w:hint="eastAsia"/>
                <w:color w:val="auto"/>
                <w:sz w:val="20"/>
                <w:szCs w:val="20"/>
                <w:lang w:eastAsia="zh-CN"/>
              </w:rPr>
              <w:t>0</w:t>
            </w:r>
          </w:p>
        </w:tc>
        <w:tc>
          <w:tcPr>
            <w:tcW w:w="844" w:type="pct"/>
            <w:tcBorders>
              <w:top w:val="nil"/>
              <w:left w:val="nil"/>
              <w:bottom w:val="single" w:color="auto" w:sz="4" w:space="0"/>
              <w:right w:val="single" w:color="auto" w:sz="4" w:space="0"/>
            </w:tcBorders>
            <w:shd w:val="clear" w:color="auto" w:fill="auto"/>
            <w:noWrap/>
            <w:vAlign w:val="center"/>
          </w:tcPr>
          <w:p>
            <w:pPr>
              <w:spacing w:line="240" w:lineRule="auto"/>
              <w:ind w:left="-120" w:leftChars="-50" w:right="-120" w:rightChars="-50" w:firstLine="0" w:firstLineChars="0"/>
              <w:jc w:val="center"/>
              <w:rPr>
                <w:color w:val="auto"/>
                <w:sz w:val="20"/>
                <w:szCs w:val="20"/>
                <w:lang w:eastAsia="zh-CN"/>
              </w:rPr>
            </w:pPr>
            <w:r>
              <w:rPr>
                <w:rFonts w:hint="eastAsia"/>
                <w:color w:val="auto"/>
                <w:sz w:val="20"/>
                <w:szCs w:val="20"/>
                <w:lang w:eastAsia="zh-CN"/>
              </w:rPr>
              <w:t>4</w:t>
            </w:r>
            <w:r>
              <w:rPr>
                <w:color w:val="auto"/>
                <w:sz w:val="20"/>
                <w:szCs w:val="20"/>
                <w:lang w:eastAsia="zh-CN"/>
              </w:rPr>
              <w:t>955</w:t>
            </w:r>
            <w:r>
              <w:rPr>
                <w:rFonts w:hint="eastAsia"/>
                <w:color w:val="auto"/>
                <w:sz w:val="20"/>
                <w:szCs w:val="20"/>
                <w:lang w:eastAsia="zh-CN"/>
              </w:rPr>
              <w:t>4.70</w:t>
            </w:r>
          </w:p>
        </w:tc>
      </w:tr>
    </w:tbl>
    <w:p>
      <w:pPr>
        <w:widowControl w:val="0"/>
        <w:kinsoku/>
        <w:topLinePunct/>
        <w:autoSpaceDE/>
        <w:autoSpaceDN/>
        <w:spacing w:before="204" w:beforeLines="85" w:line="360" w:lineRule="auto"/>
        <w:ind w:firstLine="474"/>
        <w:jc w:val="center"/>
        <w:rPr>
          <w:b/>
          <w:color w:val="auto"/>
          <w:lang w:eastAsia="zh-CN"/>
        </w:rPr>
      </w:pPr>
      <w:r>
        <w:rPr>
          <w:rFonts w:cs="Times New Roman"/>
          <w:b/>
          <w:bCs/>
          <w:color w:val="auto"/>
          <w:spacing w:val="-2"/>
          <w:lang w:eastAsia="zh-CN"/>
        </w:rPr>
        <w:t>表7</w:t>
      </w:r>
      <w:r>
        <w:rPr>
          <w:rFonts w:hint="eastAsia" w:cs="Times New Roman"/>
          <w:b/>
          <w:bCs/>
          <w:color w:val="auto"/>
          <w:spacing w:val="-2"/>
          <w:lang w:eastAsia="zh-CN"/>
        </w:rPr>
        <w:t>.1</w:t>
      </w:r>
      <w:r>
        <w:rPr>
          <w:rFonts w:cs="Times New Roman"/>
          <w:b/>
          <w:bCs/>
          <w:color w:val="auto"/>
          <w:spacing w:val="-2"/>
          <w:lang w:eastAsia="zh-CN"/>
        </w:rPr>
        <w:t>-</w:t>
      </w:r>
      <w:r>
        <w:rPr>
          <w:rFonts w:hint="eastAsia" w:cs="Times New Roman"/>
          <w:b/>
          <w:bCs/>
          <w:color w:val="auto"/>
          <w:spacing w:val="-2"/>
          <w:lang w:eastAsia="zh-CN"/>
        </w:rPr>
        <w:t>8</w:t>
      </w:r>
      <w:r>
        <w:rPr>
          <w:rFonts w:hint="eastAsia"/>
          <w:b/>
          <w:color w:val="auto"/>
          <w:lang w:eastAsia="zh-CN"/>
        </w:rPr>
        <w:t xml:space="preserve"> </w:t>
      </w:r>
      <w:r>
        <w:rPr>
          <w:b/>
          <w:color w:val="auto"/>
          <w:lang w:eastAsia="zh-CN"/>
        </w:rPr>
        <w:t>水土保持分年度投资估算表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3928"/>
        <w:gridCol w:w="1417"/>
        <w:gridCol w:w="1419"/>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trPr>
        <w:tc>
          <w:tcPr>
            <w:tcW w:w="337" w:type="pct"/>
            <w:vMerge w:val="restar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序号</w:t>
            </w:r>
          </w:p>
        </w:tc>
        <w:tc>
          <w:tcPr>
            <w:tcW w:w="2303" w:type="pct"/>
            <w:vMerge w:val="restar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工程或费用名称</w:t>
            </w:r>
          </w:p>
        </w:tc>
        <w:tc>
          <w:tcPr>
            <w:tcW w:w="831" w:type="pct"/>
            <w:vMerge w:val="restar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水土保持投资</w:t>
            </w:r>
          </w:p>
          <w:p>
            <w:pPr>
              <w:spacing w:line="240" w:lineRule="auto"/>
              <w:ind w:left="-120" w:leftChars="-50" w:right="-120" w:rightChars="-50" w:firstLine="0" w:firstLineChars="0"/>
              <w:jc w:val="center"/>
              <w:rPr>
                <w:rFonts w:cs="Times New Roman"/>
                <w:snapToGrid/>
                <w:color w:val="auto"/>
                <w:sz w:val="20"/>
                <w:szCs w:val="20"/>
                <w:lang w:eastAsia="zh-CN"/>
              </w:rPr>
            </w:pPr>
            <w:r>
              <w:rPr>
                <w:rFonts w:eastAsia="等线" w:cs="Times New Roman"/>
                <w:snapToGrid/>
                <w:color w:val="auto"/>
                <w:sz w:val="20"/>
                <w:szCs w:val="20"/>
                <w:lang w:eastAsia="zh-CN"/>
              </w:rPr>
              <w:t>(</w:t>
            </w:r>
            <w:r>
              <w:rPr>
                <w:rFonts w:cs="Times New Roman"/>
                <w:snapToGrid/>
                <w:color w:val="auto"/>
                <w:sz w:val="20"/>
                <w:szCs w:val="20"/>
                <w:lang w:eastAsia="zh-CN"/>
              </w:rPr>
              <w:t>万元</w:t>
            </w:r>
            <w:r>
              <w:rPr>
                <w:rFonts w:eastAsia="等线" w:cs="Times New Roman"/>
                <w:snapToGrid/>
                <w:color w:val="auto"/>
                <w:sz w:val="20"/>
                <w:szCs w:val="20"/>
                <w:lang w:eastAsia="zh-CN"/>
              </w:rPr>
              <w:t>)</w:t>
            </w:r>
          </w:p>
        </w:tc>
        <w:tc>
          <w:tcPr>
            <w:tcW w:w="1529" w:type="pct"/>
            <w:gridSpan w:val="2"/>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分年度投资(万元)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trPr>
        <w:tc>
          <w:tcPr>
            <w:tcW w:w="337" w:type="pct"/>
            <w:vMerge w:val="continue"/>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2303" w:type="pct"/>
            <w:vMerge w:val="continue"/>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p>
        </w:tc>
        <w:tc>
          <w:tcPr>
            <w:tcW w:w="831" w:type="pct"/>
            <w:vMerge w:val="continue"/>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2024</w:t>
            </w:r>
            <w:r>
              <w:rPr>
                <w:rFonts w:cs="Times New Roman"/>
                <w:snapToGrid/>
                <w:color w:val="auto"/>
                <w:sz w:val="20"/>
                <w:szCs w:val="20"/>
                <w:lang w:eastAsia="zh-CN"/>
              </w:rPr>
              <w:t>年</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2025</w:t>
            </w:r>
            <w:r>
              <w:rPr>
                <w:rFonts w:cs="Times New Roman"/>
                <w:snapToGrid/>
                <w:color w:val="auto"/>
                <w:sz w:val="20"/>
                <w:szCs w:val="20"/>
                <w:lang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一</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第一部分  工程措施</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66.78</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18.91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47.87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变电站工程区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0.29</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4.89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pStyle w:val="42"/>
              <w:numPr>
                <w:ilvl w:val="0"/>
                <w:numId w:val="10"/>
              </w:num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玛瑙500kV变电站220kV间隔扩建工程区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0.05</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0.01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玛瑙变电站站区</w:t>
            </w:r>
          </w:p>
        </w:tc>
        <w:tc>
          <w:tcPr>
            <w:tcW w:w="83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0.05</w:t>
            </w:r>
          </w:p>
        </w:tc>
        <w:tc>
          <w:tcPr>
            <w:tcW w:w="83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0.01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pStyle w:val="42"/>
              <w:numPr>
                <w:ilvl w:val="0"/>
                <w:numId w:val="10"/>
              </w:numPr>
              <w:kinsoku/>
              <w:autoSpaceDE/>
              <w:autoSpaceDN/>
              <w:adjustRightInd/>
              <w:snapToGrid/>
              <w:spacing w:line="240" w:lineRule="auto"/>
              <w:ind w:right="-120" w:rightChars="-50" w:firstLineChars="0"/>
              <w:jc w:val="center"/>
              <w:textAlignment w:val="auto"/>
              <w:rPr>
                <w:rFonts w:eastAsia="宋体" w:cs="Times New Roman"/>
                <w:snapToGrid/>
                <w:color w:val="auto"/>
                <w:sz w:val="20"/>
                <w:szCs w:val="20"/>
                <w:lang w:eastAsia="zh-CN"/>
              </w:rPr>
            </w:pP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芭蕉500kV变电站220kV间隔扩建工程区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0.24</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4.88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芭蕉变电站站区</w:t>
            </w:r>
          </w:p>
        </w:tc>
        <w:tc>
          <w:tcPr>
            <w:tcW w:w="831"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1"/>
                <w:lang w:eastAsia="zh-CN"/>
              </w:rPr>
            </w:pPr>
            <w:r>
              <w:rPr>
                <w:rFonts w:eastAsia="等线" w:cs="Times New Roman"/>
                <w:snapToGrid/>
                <w:color w:val="auto"/>
                <w:sz w:val="21"/>
                <w:lang w:eastAsia="zh-CN"/>
              </w:rPr>
              <w:t>0.24</w:t>
            </w:r>
          </w:p>
        </w:tc>
        <w:tc>
          <w:tcPr>
            <w:tcW w:w="832"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4.88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线路工程</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50.74</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14.02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47.63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pStyle w:val="42"/>
              <w:numPr>
                <w:ilvl w:val="0"/>
                <w:numId w:val="11"/>
              </w:numPr>
              <w:kinsoku/>
              <w:autoSpaceDE/>
              <w:autoSpaceDN/>
              <w:adjustRightInd/>
              <w:snapToGrid/>
              <w:spacing w:line="240" w:lineRule="auto"/>
              <w:ind w:right="-120" w:rightChars="-50" w:firstLineChars="0"/>
              <w:jc w:val="center"/>
              <w:textAlignment w:val="auto"/>
              <w:rPr>
                <w:rFonts w:eastAsia="宋体" w:cs="Times New Roman"/>
                <w:snapToGrid/>
                <w:color w:val="auto"/>
                <w:sz w:val="20"/>
                <w:szCs w:val="20"/>
                <w:lang w:eastAsia="zh-CN"/>
              </w:rPr>
            </w:pP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玛瑙-正达凯220kV线路工程区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16.2</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4.69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15.19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玛瑙塔基及临时施工区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9.07</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4.41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②</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玛瑙施工便道区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5.21</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0.28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③</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玛瑙牵张场区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1.37</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④</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玛瑙跨越场区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0.55</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pStyle w:val="42"/>
              <w:numPr>
                <w:ilvl w:val="0"/>
                <w:numId w:val="11"/>
              </w:numPr>
              <w:kinsoku/>
              <w:autoSpaceDE/>
              <w:autoSpaceDN/>
              <w:adjustRightInd/>
              <w:snapToGrid/>
              <w:spacing w:line="240" w:lineRule="auto"/>
              <w:ind w:right="-120" w:rightChars="-50" w:firstLineChars="0"/>
              <w:jc w:val="center"/>
              <w:textAlignment w:val="auto"/>
              <w:rPr>
                <w:rFonts w:eastAsia="宋体" w:cs="Times New Roman"/>
                <w:snapToGrid/>
                <w:color w:val="auto"/>
                <w:sz w:val="20"/>
                <w:szCs w:val="20"/>
                <w:lang w:eastAsia="zh-CN"/>
              </w:rPr>
            </w:pP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芭蕉-正达凯220kV线路工程区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34.54</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9.33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32.44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芭蕉塔基及临时施工区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21.2</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9.19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19.24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②</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芭蕉施工便道区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8.71</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③</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芭蕉牵张场区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3.19</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④</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芭蕉跨越场区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0.82</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⑤</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芭蕉电缆工程区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0.62</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0.14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二</w:t>
            </w:r>
          </w:p>
        </w:tc>
        <w:tc>
          <w:tcPr>
            <w:tcW w:w="2303"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第二部分  植物措施</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78.76</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78.76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变电站工程区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0.14</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pStyle w:val="42"/>
              <w:numPr>
                <w:ilvl w:val="0"/>
                <w:numId w:val="12"/>
              </w:numPr>
              <w:kinsoku/>
              <w:autoSpaceDE/>
              <w:autoSpaceDN/>
              <w:adjustRightInd/>
              <w:snapToGrid/>
              <w:spacing w:line="240" w:lineRule="auto"/>
              <w:ind w:right="-120" w:rightChars="-50" w:firstLineChars="0"/>
              <w:jc w:val="center"/>
              <w:textAlignment w:val="auto"/>
              <w:rPr>
                <w:rFonts w:eastAsia="宋体" w:cs="Times New Roman"/>
                <w:snapToGrid/>
                <w:color w:val="auto"/>
                <w:sz w:val="20"/>
                <w:szCs w:val="20"/>
                <w:lang w:eastAsia="zh-CN"/>
              </w:rPr>
            </w:pP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玛瑙500kV变电站220kV间隔扩建工程区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w:t>
            </w:r>
            <w:r>
              <w:rPr>
                <w:rFonts w:hint="eastAsia" w:eastAsia="等线" w:cs="Times New Roman"/>
                <w:snapToGrid/>
                <w:color w:val="auto"/>
                <w:sz w:val="20"/>
                <w:szCs w:val="20"/>
                <w:lang w:eastAsia="zh-CN"/>
              </w:rPr>
              <w:t>09</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玛瑙变电站站区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w:t>
            </w:r>
            <w:r>
              <w:rPr>
                <w:rFonts w:hint="eastAsia" w:eastAsia="等线" w:cs="Times New Roman"/>
                <w:snapToGrid/>
                <w:color w:val="auto"/>
                <w:sz w:val="20"/>
                <w:szCs w:val="20"/>
                <w:lang w:eastAsia="zh-CN"/>
              </w:rPr>
              <w:t>09</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pStyle w:val="42"/>
              <w:numPr>
                <w:ilvl w:val="0"/>
                <w:numId w:val="12"/>
              </w:numPr>
              <w:kinsoku/>
              <w:autoSpaceDE/>
              <w:autoSpaceDN/>
              <w:adjustRightInd/>
              <w:snapToGrid/>
              <w:spacing w:line="240" w:lineRule="auto"/>
              <w:ind w:right="-120" w:rightChars="-50" w:firstLineChars="0"/>
              <w:jc w:val="center"/>
              <w:textAlignment w:val="auto"/>
              <w:rPr>
                <w:rFonts w:eastAsia="宋体" w:cs="Times New Roman"/>
                <w:snapToGrid/>
                <w:color w:val="auto"/>
                <w:sz w:val="20"/>
                <w:szCs w:val="20"/>
                <w:lang w:eastAsia="zh-CN"/>
              </w:rPr>
            </w:pP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芭蕉500kV变电站220kV间隔扩建工程区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w:t>
            </w:r>
            <w:r>
              <w:rPr>
                <w:rFonts w:hint="eastAsia" w:eastAsia="等线" w:cs="Times New Roman"/>
                <w:snapToGrid/>
                <w:color w:val="auto"/>
                <w:sz w:val="20"/>
                <w:szCs w:val="20"/>
                <w:lang w:eastAsia="zh-CN"/>
              </w:rPr>
              <w:t>05</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芭蕉变电站站区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w:t>
            </w:r>
            <w:r>
              <w:rPr>
                <w:rFonts w:hint="eastAsia" w:eastAsia="等线" w:cs="Times New Roman"/>
                <w:snapToGrid/>
                <w:color w:val="auto"/>
                <w:sz w:val="20"/>
                <w:szCs w:val="20"/>
                <w:lang w:eastAsia="zh-CN"/>
              </w:rPr>
              <w:t>05</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线路工程区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78.62</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78.62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pStyle w:val="42"/>
              <w:numPr>
                <w:ilvl w:val="0"/>
                <w:numId w:val="13"/>
              </w:numPr>
              <w:kinsoku/>
              <w:autoSpaceDE/>
              <w:autoSpaceDN/>
              <w:adjustRightInd/>
              <w:snapToGrid/>
              <w:spacing w:line="240" w:lineRule="auto"/>
              <w:ind w:right="-120" w:rightChars="-50" w:firstLineChars="0"/>
              <w:jc w:val="center"/>
              <w:textAlignment w:val="auto"/>
              <w:rPr>
                <w:rFonts w:eastAsia="宋体" w:cs="Times New Roman"/>
                <w:snapToGrid/>
                <w:color w:val="auto"/>
                <w:sz w:val="20"/>
                <w:szCs w:val="20"/>
                <w:lang w:eastAsia="zh-CN"/>
              </w:rPr>
            </w:pP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玛瑙-正达凯220kV线路工程区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24.4</w:t>
            </w:r>
            <w:r>
              <w:rPr>
                <w:rFonts w:hint="eastAsia" w:eastAsia="等线" w:cs="Times New Roman"/>
                <w:snapToGrid/>
                <w:color w:val="auto"/>
                <w:sz w:val="20"/>
                <w:szCs w:val="20"/>
                <w:lang w:eastAsia="zh-CN"/>
              </w:rPr>
              <w:t>0</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24.40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玛瑙塔基及临时施工区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21.6</w:t>
            </w:r>
            <w:r>
              <w:rPr>
                <w:rFonts w:hint="eastAsia" w:eastAsia="等线" w:cs="Times New Roman"/>
                <w:snapToGrid/>
                <w:color w:val="auto"/>
                <w:sz w:val="20"/>
                <w:szCs w:val="20"/>
                <w:lang w:eastAsia="zh-CN"/>
              </w:rPr>
              <w:t>0</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21.60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②</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玛瑙施工便道区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2.7</w:t>
            </w:r>
            <w:r>
              <w:rPr>
                <w:rFonts w:hint="eastAsia" w:eastAsia="等线" w:cs="Times New Roman"/>
                <w:snapToGrid/>
                <w:color w:val="auto"/>
                <w:sz w:val="20"/>
                <w:szCs w:val="20"/>
                <w:lang w:eastAsia="zh-CN"/>
              </w:rPr>
              <w:t>0</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2.70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③</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玛瑙跨越场区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0.1</w:t>
            </w:r>
            <w:r>
              <w:rPr>
                <w:rFonts w:hint="eastAsia" w:eastAsia="等线" w:cs="Times New Roman"/>
                <w:snapToGrid/>
                <w:color w:val="auto"/>
                <w:sz w:val="20"/>
                <w:szCs w:val="20"/>
                <w:lang w:eastAsia="zh-CN"/>
              </w:rPr>
              <w:t>0</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pStyle w:val="42"/>
              <w:numPr>
                <w:ilvl w:val="0"/>
                <w:numId w:val="13"/>
              </w:numPr>
              <w:kinsoku/>
              <w:autoSpaceDE/>
              <w:autoSpaceDN/>
              <w:adjustRightInd/>
              <w:snapToGrid/>
              <w:spacing w:line="240" w:lineRule="auto"/>
              <w:ind w:right="-120" w:rightChars="-50" w:firstLineChars="0"/>
              <w:jc w:val="center"/>
              <w:textAlignment w:val="auto"/>
              <w:rPr>
                <w:rFonts w:eastAsia="宋体" w:cs="Times New Roman"/>
                <w:snapToGrid/>
                <w:color w:val="auto"/>
                <w:sz w:val="20"/>
                <w:szCs w:val="20"/>
                <w:lang w:eastAsia="zh-CN"/>
              </w:rPr>
            </w:pP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芭蕉-正达凯220kV线路工程区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54.22</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54.22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芭蕉塔基及临时施工区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48.72</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48.72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②</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芭蕉施工便道区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5.21</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5.21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③</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芭蕉跨越场区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0.29</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三</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第三部分  监测措施</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0.00</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四</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第四部分  施工临时工程</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3.12</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3.12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变电站工程区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0.19</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0.19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pStyle w:val="42"/>
              <w:numPr>
                <w:ilvl w:val="0"/>
                <w:numId w:val="14"/>
              </w:numPr>
              <w:kinsoku/>
              <w:autoSpaceDE/>
              <w:autoSpaceDN/>
              <w:adjustRightInd/>
              <w:snapToGrid/>
              <w:spacing w:line="240" w:lineRule="auto"/>
              <w:ind w:right="-120" w:rightChars="-50" w:firstLineChars="0"/>
              <w:jc w:val="center"/>
              <w:textAlignment w:val="auto"/>
              <w:rPr>
                <w:rFonts w:eastAsia="宋体" w:cs="Times New Roman"/>
                <w:snapToGrid/>
                <w:color w:val="auto"/>
                <w:sz w:val="20"/>
                <w:szCs w:val="20"/>
                <w:lang w:eastAsia="zh-CN"/>
              </w:rPr>
            </w:pP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玛瑙500kV变电站220kV间隔扩建工程区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0.04</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0.04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玛瑙变电站站区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0.04</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0.04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pStyle w:val="42"/>
              <w:numPr>
                <w:ilvl w:val="0"/>
                <w:numId w:val="14"/>
              </w:numPr>
              <w:kinsoku/>
              <w:autoSpaceDE/>
              <w:autoSpaceDN/>
              <w:adjustRightInd/>
              <w:snapToGrid/>
              <w:spacing w:line="240" w:lineRule="auto"/>
              <w:ind w:right="-120" w:rightChars="-50" w:firstLineChars="0"/>
              <w:jc w:val="center"/>
              <w:textAlignment w:val="auto"/>
              <w:rPr>
                <w:rFonts w:eastAsia="宋体" w:cs="Times New Roman"/>
                <w:snapToGrid/>
                <w:color w:val="auto"/>
                <w:sz w:val="20"/>
                <w:szCs w:val="20"/>
                <w:lang w:eastAsia="zh-CN"/>
              </w:rPr>
            </w:pP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芭蕉500kV变电站220kV间隔扩建工程区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0.15</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0.15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芭蕉变电站站区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0.15</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0.15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线路工程区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2.87</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2.87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pStyle w:val="42"/>
              <w:numPr>
                <w:ilvl w:val="0"/>
                <w:numId w:val="15"/>
              </w:numPr>
              <w:kinsoku/>
              <w:autoSpaceDE/>
              <w:autoSpaceDN/>
              <w:adjustRightInd/>
              <w:snapToGrid/>
              <w:spacing w:line="240" w:lineRule="auto"/>
              <w:ind w:right="-120" w:rightChars="-50" w:firstLineChars="0"/>
              <w:jc w:val="center"/>
              <w:textAlignment w:val="auto"/>
              <w:rPr>
                <w:rFonts w:eastAsia="宋体" w:cs="Times New Roman"/>
                <w:snapToGrid/>
                <w:color w:val="auto"/>
                <w:sz w:val="20"/>
                <w:szCs w:val="20"/>
                <w:lang w:eastAsia="zh-CN"/>
              </w:rPr>
            </w:pP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玛瑙-正达凯220kV线路工程区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1.09</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1.09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玛瑙塔基及临时施工区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0.78</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0.78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②</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玛瑙施工便道区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0.31</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0.31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pStyle w:val="42"/>
              <w:numPr>
                <w:ilvl w:val="0"/>
                <w:numId w:val="15"/>
              </w:numPr>
              <w:kinsoku/>
              <w:autoSpaceDE/>
              <w:autoSpaceDN/>
              <w:adjustRightInd/>
              <w:snapToGrid/>
              <w:spacing w:line="240" w:lineRule="auto"/>
              <w:ind w:right="-120" w:rightChars="-50" w:firstLineChars="0"/>
              <w:jc w:val="center"/>
              <w:textAlignment w:val="auto"/>
              <w:rPr>
                <w:rFonts w:eastAsia="宋体" w:cs="Times New Roman"/>
                <w:snapToGrid/>
                <w:color w:val="auto"/>
                <w:sz w:val="20"/>
                <w:szCs w:val="20"/>
                <w:lang w:eastAsia="zh-CN"/>
              </w:rPr>
            </w:pP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芭蕉-正达凯220kV线路工程区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1.83</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1.83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①</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芭蕉塔基及临时施工区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1.57</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1.57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②</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芭蕉电缆工程区</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0.2</w:t>
            </w:r>
            <w:r>
              <w:rPr>
                <w:rFonts w:hint="eastAsia" w:eastAsia="等线" w:cs="Times New Roman"/>
                <w:snapToGrid/>
                <w:color w:val="auto"/>
                <w:sz w:val="20"/>
                <w:szCs w:val="20"/>
                <w:lang w:eastAsia="zh-CN"/>
              </w:rPr>
              <w:t>0</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0.20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其他临时工程</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0.06</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 xml:space="preserve">0.06 </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五</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第五部分  独立费用</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xml:space="preserve">30.90 </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18.34</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建设管理费</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xml:space="preserve">3.20 </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1.78</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2</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科研勘测设计费</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xml:space="preserve">12.40 </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12.40</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⑴</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勘测设计费</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xml:space="preserve">4.60 </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4.60</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noWrap/>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hint="eastAsia" w:ascii="宋体" w:hAnsi="宋体" w:eastAsia="宋体" w:cs="宋体"/>
                <w:snapToGrid/>
                <w:color w:val="auto"/>
                <w:sz w:val="20"/>
                <w:szCs w:val="20"/>
                <w:lang w:eastAsia="zh-CN"/>
              </w:rPr>
              <w:t>⑵</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方案编制费</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xml:space="preserve">7.80 </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7.80</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3</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工程建设监理费</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xml:space="preserve">7.50 </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4.17</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4</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竣工验收技术评估费</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xml:space="preserve">7.80 </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eastAsia="宋体" w:cs="Times New Roman"/>
                <w:snapToGrid/>
                <w:color w:val="auto"/>
                <w:sz w:val="20"/>
                <w:szCs w:val="20"/>
                <w:lang w:eastAsia="zh-CN"/>
              </w:rPr>
              <w:t>Ⅰ</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第一～五部分合计</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xml:space="preserve">179.56 </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40.37</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139.19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eastAsia="宋体" w:cs="Times New Roman"/>
                <w:snapToGrid/>
                <w:color w:val="auto"/>
                <w:sz w:val="20"/>
                <w:szCs w:val="20"/>
                <w:lang w:eastAsia="zh-CN"/>
              </w:rPr>
              <w:t>Ⅱ</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基本预备费</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xml:space="preserve">9.34 </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5.19</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eastAsia="宋体" w:cs="Times New Roman"/>
                <w:snapToGrid/>
                <w:color w:val="auto"/>
                <w:sz w:val="20"/>
                <w:szCs w:val="20"/>
                <w:lang w:eastAsia="zh-CN"/>
              </w:rPr>
              <w:t>Ⅲ</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水土保持补偿费</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xml:space="preserve">4.96 </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hint="eastAsia" w:eastAsia="等线" w:cs="Times New Roman"/>
                <w:snapToGrid/>
                <w:color w:val="auto"/>
                <w:sz w:val="20"/>
                <w:szCs w:val="20"/>
                <w:lang w:eastAsia="zh-CN"/>
              </w:rPr>
              <w:t>4.96</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3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宋体" w:cs="Times New Roman"/>
                <w:snapToGrid/>
                <w:color w:val="auto"/>
                <w:sz w:val="20"/>
                <w:szCs w:val="20"/>
                <w:lang w:eastAsia="zh-CN"/>
              </w:rPr>
            </w:pPr>
            <w:r>
              <w:rPr>
                <w:rFonts w:eastAsia="宋体" w:cs="Times New Roman"/>
                <w:snapToGrid/>
                <w:color w:val="auto"/>
                <w:sz w:val="20"/>
                <w:szCs w:val="20"/>
                <w:lang w:eastAsia="zh-CN"/>
              </w:rPr>
              <w:t>Ⅳ</w:t>
            </w:r>
          </w:p>
        </w:tc>
        <w:tc>
          <w:tcPr>
            <w:tcW w:w="2303"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cs="Times New Roman"/>
                <w:snapToGrid/>
                <w:color w:val="auto"/>
                <w:sz w:val="20"/>
                <w:szCs w:val="20"/>
                <w:lang w:eastAsia="zh-CN"/>
              </w:rPr>
            </w:pPr>
            <w:r>
              <w:rPr>
                <w:rFonts w:cs="Times New Roman"/>
                <w:snapToGrid/>
                <w:color w:val="auto"/>
                <w:sz w:val="20"/>
                <w:szCs w:val="20"/>
                <w:lang w:eastAsia="zh-CN"/>
              </w:rPr>
              <w:t>水土保持静态总投资</w:t>
            </w:r>
          </w:p>
        </w:tc>
        <w:tc>
          <w:tcPr>
            <w:tcW w:w="831"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 xml:space="preserve">193.86 </w:t>
            </w:r>
          </w:p>
        </w:tc>
        <w:tc>
          <w:tcPr>
            <w:tcW w:w="832"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50.52</w:t>
            </w:r>
          </w:p>
        </w:tc>
        <w:tc>
          <w:tcPr>
            <w:tcW w:w="697" w:type="pct"/>
            <w:shd w:val="clear" w:color="auto" w:fill="auto"/>
            <w:vAlign w:val="center"/>
          </w:tcPr>
          <w:p>
            <w:pPr>
              <w:kinsoku/>
              <w:autoSpaceDE/>
              <w:autoSpaceDN/>
              <w:adjustRightInd/>
              <w:snapToGrid/>
              <w:spacing w:line="240" w:lineRule="auto"/>
              <w:ind w:left="-120" w:leftChars="-50" w:right="-120" w:rightChars="-50" w:firstLine="0" w:firstLineChars="0"/>
              <w:jc w:val="center"/>
              <w:textAlignment w:val="auto"/>
              <w:rPr>
                <w:rFonts w:eastAsia="等线" w:cs="Times New Roman"/>
                <w:snapToGrid/>
                <w:color w:val="auto"/>
                <w:sz w:val="20"/>
                <w:szCs w:val="20"/>
                <w:lang w:eastAsia="zh-CN"/>
              </w:rPr>
            </w:pPr>
            <w:r>
              <w:rPr>
                <w:rFonts w:eastAsia="等线" w:cs="Times New Roman"/>
                <w:snapToGrid/>
                <w:color w:val="auto"/>
                <w:sz w:val="20"/>
                <w:szCs w:val="20"/>
                <w:lang w:eastAsia="zh-CN"/>
              </w:rPr>
              <w:t>143.34</w:t>
            </w:r>
          </w:p>
        </w:tc>
      </w:tr>
    </w:tbl>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70" w:name="_Toc171533305"/>
      <w:r>
        <w:rPr>
          <w:rFonts w:ascii="Times New Roman" w:hAnsi="Times New Roman" w:eastAsia="仿宋_GB2312" w:cs="Times New Roman"/>
          <w:color w:val="auto"/>
          <w:sz w:val="30"/>
          <w:szCs w:val="30"/>
          <w:lang w:eastAsia="zh-CN"/>
        </w:rPr>
        <w:t>7.2 效益分析</w:t>
      </w:r>
      <w:bookmarkEnd w:id="70"/>
    </w:p>
    <w:p>
      <w:pPr>
        <w:spacing w:line="360" w:lineRule="auto"/>
        <w:ind w:firstLine="480"/>
        <w:jc w:val="both"/>
        <w:rPr>
          <w:rFonts w:cs="Times New Roman"/>
          <w:color w:val="auto"/>
          <w:lang w:eastAsia="zh-CN"/>
        </w:rPr>
      </w:pPr>
      <w:r>
        <w:rPr>
          <w:rFonts w:cs="Times New Roman"/>
          <w:color w:val="auto"/>
          <w:lang w:eastAsia="zh-CN"/>
        </w:rPr>
        <w:t>水土保持效益分析应本着可持续发展的原则，着重分析方案实施后在控制水土流失方面产生的保土保水、改善生态环境、保障工程运行安全方面的效益和作用。本方案着重分析工程建设区在实施水土保持治理措施后所产生的效益，效益分析中以减轻和控制水土流失为主，其次才考虑其它方面的效益。</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7.2.1 水土流失防治效益</w:t>
      </w:r>
    </w:p>
    <w:p>
      <w:pPr>
        <w:spacing w:line="360" w:lineRule="auto"/>
        <w:ind w:firstLine="480"/>
        <w:jc w:val="both"/>
        <w:rPr>
          <w:rFonts w:cs="Times New Roman"/>
          <w:color w:val="auto"/>
          <w:lang w:eastAsia="zh-CN"/>
        </w:rPr>
      </w:pPr>
      <w:r>
        <w:rPr>
          <w:rFonts w:cs="Times New Roman"/>
          <w:color w:val="auto"/>
          <w:lang w:eastAsia="zh-CN"/>
        </w:rPr>
        <w:t>在水土保持方案拟定的各项措施实施后，使建设期和自然恢复期水土流失基本得到控制，方案实施可有效防治因工程建设中造成的水土流失，防止土壤被雨水、径流冲刷，保护水土资源，使占地区域内的水土流失得到有效控制，生态环境得到恢复。</w:t>
      </w:r>
    </w:p>
    <w:p>
      <w:pPr>
        <w:spacing w:line="360" w:lineRule="auto"/>
        <w:ind w:firstLine="480"/>
        <w:jc w:val="both"/>
        <w:rPr>
          <w:rFonts w:cs="Times New Roman"/>
          <w:color w:val="auto"/>
          <w:lang w:eastAsia="zh-CN"/>
        </w:rPr>
      </w:pPr>
      <w:r>
        <w:rPr>
          <w:rFonts w:cs="Times New Roman"/>
          <w:color w:val="auto"/>
          <w:lang w:eastAsia="zh-CN"/>
        </w:rPr>
        <w:t>水土保持效益指标包括水土流失治理度、土壤流失控制比、渣土防护率、表土保护率、林草植被恢复率和林草覆盖率。</w:t>
      </w:r>
    </w:p>
    <w:p>
      <w:pPr>
        <w:spacing w:line="360" w:lineRule="auto"/>
        <w:ind w:firstLine="480"/>
        <w:jc w:val="both"/>
        <w:rPr>
          <w:rFonts w:cs="Times New Roman"/>
          <w:color w:val="auto"/>
          <w:lang w:eastAsia="zh-CN"/>
        </w:rPr>
      </w:pPr>
      <w:r>
        <w:rPr>
          <w:rFonts w:cs="Times New Roman"/>
          <w:color w:val="auto"/>
          <w:lang w:eastAsia="zh-CN"/>
        </w:rPr>
        <w:t>各效益指标的计算方法如下：</w:t>
      </w:r>
    </w:p>
    <w:p>
      <w:pPr>
        <w:spacing w:line="360" w:lineRule="auto"/>
        <w:ind w:firstLine="480"/>
        <w:jc w:val="both"/>
        <w:rPr>
          <w:rFonts w:cs="Times New Roman"/>
          <w:color w:val="auto"/>
          <w:lang w:eastAsia="zh-CN"/>
        </w:rPr>
      </w:pPr>
      <w:r>
        <w:rPr>
          <w:rFonts w:cs="Times New Roman"/>
          <w:color w:val="auto"/>
          <w:lang w:eastAsia="zh-CN"/>
        </w:rPr>
        <w:t>（1）水土流失治理度</w:t>
      </w:r>
    </w:p>
    <w:p>
      <w:pPr>
        <w:spacing w:line="360" w:lineRule="auto"/>
        <w:ind w:firstLine="480"/>
        <w:jc w:val="both"/>
        <w:rPr>
          <w:rFonts w:cs="Times New Roman"/>
          <w:color w:val="auto"/>
          <w:lang w:eastAsia="zh-CN"/>
        </w:rPr>
      </w:pPr>
      <w:r>
        <w:rPr>
          <w:rFonts w:cs="Times New Roman"/>
          <w:color w:val="auto"/>
          <w:lang w:eastAsia="zh-CN"/>
        </w:rPr>
        <w:t>水土流失治理度=(水土流失治理达标面积/水土流失总面积)×100%</w:t>
      </w:r>
    </w:p>
    <w:p>
      <w:pPr>
        <w:spacing w:line="360" w:lineRule="auto"/>
        <w:ind w:firstLine="480"/>
        <w:jc w:val="both"/>
        <w:rPr>
          <w:rFonts w:cs="Times New Roman"/>
          <w:color w:val="auto"/>
          <w:lang w:eastAsia="zh-CN"/>
        </w:rPr>
      </w:pPr>
      <w:r>
        <w:rPr>
          <w:rFonts w:cs="Times New Roman"/>
          <w:color w:val="auto"/>
          <w:lang w:eastAsia="zh-CN"/>
        </w:rPr>
        <w:t>（2）土壤流失控制比</w:t>
      </w:r>
    </w:p>
    <w:p>
      <w:pPr>
        <w:spacing w:line="360" w:lineRule="auto"/>
        <w:ind w:firstLine="480"/>
        <w:jc w:val="both"/>
        <w:rPr>
          <w:rFonts w:cs="Times New Roman"/>
          <w:color w:val="auto"/>
          <w:lang w:eastAsia="zh-CN"/>
        </w:rPr>
      </w:pPr>
      <w:r>
        <w:rPr>
          <w:rFonts w:cs="Times New Roman"/>
          <w:color w:val="auto"/>
          <w:lang w:eastAsia="zh-CN"/>
        </w:rPr>
        <w:t>土壤流失控制比＝项目区容许土壤流失量/治理后每平方公里年平均土壤流失量</w:t>
      </w:r>
    </w:p>
    <w:p>
      <w:pPr>
        <w:spacing w:line="360" w:lineRule="auto"/>
        <w:ind w:firstLine="480"/>
        <w:jc w:val="both"/>
        <w:rPr>
          <w:rFonts w:cs="Times New Roman"/>
          <w:color w:val="auto"/>
          <w:lang w:eastAsia="zh-CN"/>
        </w:rPr>
      </w:pPr>
      <w:r>
        <w:rPr>
          <w:rFonts w:cs="Times New Roman"/>
          <w:color w:val="auto"/>
          <w:lang w:eastAsia="zh-CN"/>
        </w:rPr>
        <w:t>（3）渣土防护率</w:t>
      </w:r>
    </w:p>
    <w:p>
      <w:pPr>
        <w:spacing w:line="360" w:lineRule="auto"/>
        <w:ind w:firstLine="480"/>
        <w:jc w:val="both"/>
        <w:rPr>
          <w:rFonts w:cs="Times New Roman"/>
          <w:color w:val="auto"/>
          <w:lang w:eastAsia="zh-CN"/>
        </w:rPr>
      </w:pPr>
      <w:r>
        <w:rPr>
          <w:rFonts w:cs="Times New Roman"/>
          <w:color w:val="auto"/>
          <w:lang w:eastAsia="zh-CN"/>
        </w:rPr>
        <w:t>渣土防护率=(实际拦挡的永久弃渣和临时堆土/永久弃渣和临时堆土总量)×100%</w:t>
      </w:r>
    </w:p>
    <w:p>
      <w:pPr>
        <w:spacing w:line="360" w:lineRule="auto"/>
        <w:ind w:firstLine="480"/>
        <w:jc w:val="both"/>
        <w:rPr>
          <w:rFonts w:cs="Times New Roman"/>
          <w:color w:val="auto"/>
          <w:lang w:eastAsia="zh-CN"/>
        </w:rPr>
      </w:pPr>
      <w:r>
        <w:rPr>
          <w:rFonts w:cs="Times New Roman"/>
          <w:color w:val="auto"/>
          <w:lang w:eastAsia="zh-CN"/>
        </w:rPr>
        <w:t>（4）表土保护率</w:t>
      </w:r>
    </w:p>
    <w:p>
      <w:pPr>
        <w:spacing w:line="360" w:lineRule="auto"/>
        <w:ind w:firstLine="480"/>
        <w:jc w:val="both"/>
        <w:rPr>
          <w:rFonts w:cs="Times New Roman"/>
          <w:color w:val="auto"/>
          <w:lang w:eastAsia="zh-CN"/>
        </w:rPr>
      </w:pPr>
      <w:r>
        <w:rPr>
          <w:rFonts w:cs="Times New Roman"/>
          <w:color w:val="auto"/>
          <w:lang w:eastAsia="zh-CN"/>
        </w:rPr>
        <w:t>表土保护率=(保护表土数量/可剥离表土总量)×100%</w:t>
      </w:r>
    </w:p>
    <w:p>
      <w:pPr>
        <w:spacing w:line="360" w:lineRule="auto"/>
        <w:ind w:firstLine="480"/>
        <w:jc w:val="both"/>
        <w:rPr>
          <w:rFonts w:cs="Times New Roman"/>
          <w:color w:val="auto"/>
          <w:lang w:eastAsia="zh-CN"/>
        </w:rPr>
      </w:pPr>
      <w:r>
        <w:rPr>
          <w:rFonts w:cs="Times New Roman"/>
          <w:color w:val="auto"/>
          <w:lang w:eastAsia="zh-CN"/>
        </w:rPr>
        <w:t>（5）林草植被恢复率</w:t>
      </w:r>
    </w:p>
    <w:p>
      <w:pPr>
        <w:spacing w:line="360" w:lineRule="auto"/>
        <w:ind w:firstLine="480"/>
        <w:jc w:val="both"/>
        <w:rPr>
          <w:rFonts w:cs="Times New Roman"/>
          <w:color w:val="auto"/>
          <w:lang w:eastAsia="zh-CN"/>
        </w:rPr>
      </w:pPr>
      <w:r>
        <w:rPr>
          <w:rFonts w:cs="Times New Roman"/>
          <w:color w:val="auto"/>
          <w:lang w:eastAsia="zh-CN"/>
        </w:rPr>
        <w:t>林草植被恢复系数=(林草植被面积/可恢复林草植被面积)×100%</w:t>
      </w:r>
    </w:p>
    <w:p>
      <w:pPr>
        <w:spacing w:line="360" w:lineRule="auto"/>
        <w:ind w:firstLine="480"/>
        <w:jc w:val="both"/>
        <w:rPr>
          <w:rFonts w:cs="Times New Roman"/>
          <w:color w:val="auto"/>
          <w:lang w:eastAsia="zh-CN"/>
        </w:rPr>
      </w:pPr>
      <w:r>
        <w:rPr>
          <w:rFonts w:cs="Times New Roman"/>
          <w:color w:val="auto"/>
          <w:lang w:eastAsia="zh-CN"/>
        </w:rPr>
        <w:t>（6）林草覆盖率</w:t>
      </w:r>
    </w:p>
    <w:p>
      <w:pPr>
        <w:spacing w:line="360" w:lineRule="auto"/>
        <w:ind w:firstLine="480"/>
        <w:jc w:val="both"/>
        <w:rPr>
          <w:rFonts w:cs="Times New Roman"/>
          <w:color w:val="auto"/>
          <w:lang w:eastAsia="zh-CN"/>
        </w:rPr>
      </w:pPr>
      <w:r>
        <w:rPr>
          <w:rFonts w:cs="Times New Roman"/>
          <w:color w:val="auto"/>
          <w:lang w:eastAsia="zh-CN"/>
        </w:rPr>
        <w:t>林草覆盖率=(林草植被面积/项目建设区总面积)×100%</w:t>
      </w:r>
    </w:p>
    <w:p>
      <w:pPr>
        <w:spacing w:line="360" w:lineRule="auto"/>
        <w:ind w:firstLine="480"/>
        <w:jc w:val="both"/>
        <w:rPr>
          <w:rFonts w:cs="Times New Roman"/>
          <w:color w:val="auto"/>
          <w:lang w:eastAsia="zh-CN"/>
        </w:rPr>
      </w:pPr>
      <w:r>
        <w:rPr>
          <w:rFonts w:cs="Times New Roman"/>
          <w:color w:val="auto"/>
          <w:lang w:eastAsia="zh-CN"/>
        </w:rPr>
        <w:t>根据本方案采取的各项措施，达标情况见表7.2-1</w:t>
      </w:r>
    </w:p>
    <w:p>
      <w:pPr>
        <w:widowControl w:val="0"/>
        <w:kinsoku/>
        <w:topLinePunct/>
        <w:autoSpaceDE/>
        <w:autoSpaceDN/>
        <w:spacing w:line="300" w:lineRule="auto"/>
        <w:ind w:firstLine="422"/>
        <w:jc w:val="center"/>
        <w:rPr>
          <w:rFonts w:cs="Times New Roman"/>
          <w:b/>
          <w:bCs/>
          <w:color w:val="auto"/>
          <w:sz w:val="21"/>
          <w:lang w:eastAsia="zh-CN"/>
        </w:rPr>
      </w:pPr>
      <w:r>
        <w:rPr>
          <w:rFonts w:cs="Times New Roman"/>
          <w:b/>
          <w:bCs/>
          <w:color w:val="auto"/>
          <w:sz w:val="21"/>
          <w:lang w:eastAsia="zh-CN"/>
        </w:rPr>
        <w:t>表7.2-1 设计水平年达标情况计算</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49"/>
        <w:gridCol w:w="690"/>
        <w:gridCol w:w="3258"/>
        <w:gridCol w:w="850"/>
        <w:gridCol w:w="895"/>
        <w:gridCol w:w="728"/>
        <w:gridCol w:w="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06" w:type="pct"/>
            <w:vAlign w:val="center"/>
          </w:tcPr>
          <w:p>
            <w:pPr>
              <w:widowControl w:val="0"/>
              <w:kinsoku/>
              <w:autoSpaceDE/>
              <w:autoSpaceDN/>
              <w:snapToGrid/>
              <w:spacing w:line="240" w:lineRule="exact"/>
              <w:ind w:firstLine="0" w:firstLineChars="0"/>
              <w:contextualSpacing/>
              <w:jc w:val="center"/>
              <w:rPr>
                <w:rFonts w:cs="Times New Roman"/>
                <w:snapToGrid/>
                <w:vanish/>
                <w:color w:val="auto"/>
                <w:sz w:val="20"/>
                <w:szCs w:val="20"/>
                <w:lang w:eastAsia="zh-CN"/>
              </w:rPr>
            </w:pPr>
            <w:r>
              <w:rPr>
                <w:rFonts w:cs="Times New Roman"/>
                <w:snapToGrid/>
                <w:color w:val="auto"/>
                <w:sz w:val="20"/>
                <w:szCs w:val="20"/>
                <w:lang w:eastAsia="zh-CN"/>
              </w:rPr>
              <w:t>评估</w:t>
            </w:r>
          </w:p>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指标</w:t>
            </w:r>
          </w:p>
        </w:tc>
        <w:tc>
          <w:tcPr>
            <w:tcW w:w="412"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目标值</w:t>
            </w:r>
          </w:p>
        </w:tc>
        <w:tc>
          <w:tcPr>
            <w:tcW w:w="1947"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计算依据</w:t>
            </w:r>
          </w:p>
        </w:tc>
        <w:tc>
          <w:tcPr>
            <w:tcW w:w="508"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单位</w:t>
            </w:r>
          </w:p>
        </w:tc>
        <w:tc>
          <w:tcPr>
            <w:tcW w:w="535"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数量</w:t>
            </w:r>
          </w:p>
        </w:tc>
        <w:tc>
          <w:tcPr>
            <w:tcW w:w="435"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设计</w:t>
            </w:r>
          </w:p>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达到值</w:t>
            </w:r>
          </w:p>
        </w:tc>
        <w:tc>
          <w:tcPr>
            <w:tcW w:w="357"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计算</w:t>
            </w:r>
          </w:p>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06"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水土流失治理度（%）</w:t>
            </w:r>
          </w:p>
        </w:tc>
        <w:tc>
          <w:tcPr>
            <w:tcW w:w="412"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color w:val="auto"/>
                <w:sz w:val="20"/>
                <w:szCs w:val="20"/>
              </w:rPr>
              <w:t>97</w:t>
            </w:r>
          </w:p>
        </w:tc>
        <w:tc>
          <w:tcPr>
            <w:tcW w:w="1947"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水土流失治理达标面积</w:t>
            </w:r>
          </w:p>
        </w:tc>
        <w:tc>
          <w:tcPr>
            <w:tcW w:w="508"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h</w:t>
            </w:r>
            <w:r>
              <w:rPr>
                <w:rFonts w:cs="Times New Roman"/>
                <w:snapToGrid/>
                <w:color w:val="auto"/>
                <w:sz w:val="20"/>
                <w:szCs w:val="20"/>
                <w:lang w:eastAsia="zh-CN"/>
              </w:rPr>
              <w:t>m</w:t>
            </w:r>
            <w:r>
              <w:rPr>
                <w:rFonts w:cs="Times New Roman"/>
                <w:snapToGrid/>
                <w:color w:val="auto"/>
                <w:sz w:val="20"/>
                <w:szCs w:val="20"/>
                <w:vertAlign w:val="superscript"/>
                <w:lang w:eastAsia="zh-CN"/>
              </w:rPr>
              <w:t>2</w:t>
            </w:r>
          </w:p>
        </w:tc>
        <w:tc>
          <w:tcPr>
            <w:tcW w:w="535"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3.805</w:t>
            </w:r>
          </w:p>
        </w:tc>
        <w:tc>
          <w:tcPr>
            <w:tcW w:w="435"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 xml:space="preserve">99.87 </w:t>
            </w:r>
          </w:p>
        </w:tc>
        <w:tc>
          <w:tcPr>
            <w:tcW w:w="357"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06"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412"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1947"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水土流失总面积</w:t>
            </w:r>
          </w:p>
        </w:tc>
        <w:tc>
          <w:tcPr>
            <w:tcW w:w="508"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h</w:t>
            </w:r>
            <w:r>
              <w:rPr>
                <w:rFonts w:cs="Times New Roman"/>
                <w:snapToGrid/>
                <w:color w:val="auto"/>
                <w:sz w:val="20"/>
                <w:szCs w:val="20"/>
                <w:lang w:eastAsia="zh-CN"/>
              </w:rPr>
              <w:t>m</w:t>
            </w:r>
            <w:r>
              <w:rPr>
                <w:rFonts w:cs="Times New Roman"/>
                <w:snapToGrid/>
                <w:color w:val="auto"/>
                <w:sz w:val="20"/>
                <w:szCs w:val="20"/>
                <w:vertAlign w:val="superscript"/>
                <w:lang w:eastAsia="zh-CN"/>
              </w:rPr>
              <w:t>2</w:t>
            </w:r>
          </w:p>
        </w:tc>
        <w:tc>
          <w:tcPr>
            <w:tcW w:w="535"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3.81</w:t>
            </w:r>
          </w:p>
        </w:tc>
        <w:tc>
          <w:tcPr>
            <w:tcW w:w="435"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357"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06"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土壤流失控制比</w:t>
            </w:r>
          </w:p>
        </w:tc>
        <w:tc>
          <w:tcPr>
            <w:tcW w:w="412"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color w:val="auto"/>
                <w:sz w:val="20"/>
                <w:szCs w:val="20"/>
              </w:rPr>
              <w:t>1.0</w:t>
            </w:r>
          </w:p>
        </w:tc>
        <w:tc>
          <w:tcPr>
            <w:tcW w:w="1947"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容许土壤流失量</w:t>
            </w:r>
          </w:p>
        </w:tc>
        <w:tc>
          <w:tcPr>
            <w:tcW w:w="508"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t/(km</w:t>
            </w:r>
            <w:r>
              <w:rPr>
                <w:rFonts w:cs="Times New Roman"/>
                <w:snapToGrid/>
                <w:color w:val="auto"/>
                <w:sz w:val="20"/>
                <w:szCs w:val="20"/>
                <w:vertAlign w:val="superscript"/>
                <w:lang w:eastAsia="zh-CN"/>
              </w:rPr>
              <w:t>2</w:t>
            </w:r>
            <w:r>
              <w:rPr>
                <w:rFonts w:cs="Times New Roman"/>
                <w:snapToGrid/>
                <w:color w:val="auto"/>
                <w:sz w:val="20"/>
                <w:szCs w:val="20"/>
                <w:lang w:eastAsia="zh-CN"/>
              </w:rPr>
              <w:t>·a)</w:t>
            </w:r>
          </w:p>
        </w:tc>
        <w:tc>
          <w:tcPr>
            <w:tcW w:w="535"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500</w:t>
            </w:r>
          </w:p>
        </w:tc>
        <w:tc>
          <w:tcPr>
            <w:tcW w:w="435"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 xml:space="preserve">1.09 </w:t>
            </w:r>
          </w:p>
        </w:tc>
        <w:tc>
          <w:tcPr>
            <w:tcW w:w="357"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06"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412"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1947"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治理后平均土壤流失量</w:t>
            </w:r>
          </w:p>
        </w:tc>
        <w:tc>
          <w:tcPr>
            <w:tcW w:w="508"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t/(km</w:t>
            </w:r>
            <w:r>
              <w:rPr>
                <w:rFonts w:cs="Times New Roman"/>
                <w:snapToGrid/>
                <w:color w:val="auto"/>
                <w:sz w:val="20"/>
                <w:szCs w:val="20"/>
                <w:vertAlign w:val="superscript"/>
                <w:lang w:eastAsia="zh-CN"/>
              </w:rPr>
              <w:t>2</w:t>
            </w:r>
            <w:r>
              <w:rPr>
                <w:rFonts w:cs="Times New Roman"/>
                <w:snapToGrid/>
                <w:color w:val="auto"/>
                <w:sz w:val="20"/>
                <w:szCs w:val="20"/>
                <w:lang w:eastAsia="zh-CN"/>
              </w:rPr>
              <w:t>·a)</w:t>
            </w:r>
          </w:p>
        </w:tc>
        <w:tc>
          <w:tcPr>
            <w:tcW w:w="535"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460</w:t>
            </w:r>
          </w:p>
        </w:tc>
        <w:tc>
          <w:tcPr>
            <w:tcW w:w="435"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357"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06"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渣土防护率</w:t>
            </w:r>
          </w:p>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w:t>
            </w:r>
          </w:p>
        </w:tc>
        <w:tc>
          <w:tcPr>
            <w:tcW w:w="412"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color w:val="auto"/>
                <w:sz w:val="20"/>
                <w:szCs w:val="20"/>
              </w:rPr>
              <w:t>92</w:t>
            </w:r>
          </w:p>
        </w:tc>
        <w:tc>
          <w:tcPr>
            <w:tcW w:w="1947"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实际挡护的永久弃渣、临时堆土数量</w:t>
            </w:r>
          </w:p>
        </w:tc>
        <w:tc>
          <w:tcPr>
            <w:tcW w:w="508"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vertAlign w:val="superscript"/>
                <w:lang w:eastAsia="zh-CN"/>
              </w:rPr>
            </w:pPr>
            <w:r>
              <w:rPr>
                <w:rFonts w:hint="eastAsia" w:cs="Times New Roman"/>
                <w:snapToGrid/>
                <w:color w:val="auto"/>
                <w:sz w:val="20"/>
                <w:szCs w:val="20"/>
                <w:lang w:eastAsia="zh-CN"/>
              </w:rPr>
              <w:t>万</w:t>
            </w:r>
            <w:r>
              <w:rPr>
                <w:rFonts w:cs="Times New Roman"/>
                <w:snapToGrid/>
                <w:color w:val="auto"/>
                <w:sz w:val="20"/>
                <w:szCs w:val="20"/>
                <w:lang w:eastAsia="zh-CN"/>
              </w:rPr>
              <w:t>m</w:t>
            </w:r>
            <w:r>
              <w:rPr>
                <w:rFonts w:cs="Times New Roman"/>
                <w:snapToGrid/>
                <w:color w:val="auto"/>
                <w:sz w:val="20"/>
                <w:szCs w:val="20"/>
                <w:vertAlign w:val="superscript"/>
                <w:lang w:eastAsia="zh-CN"/>
              </w:rPr>
              <w:t>3</w:t>
            </w:r>
          </w:p>
        </w:tc>
        <w:tc>
          <w:tcPr>
            <w:tcW w:w="535"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0.53</w:t>
            </w:r>
          </w:p>
        </w:tc>
        <w:tc>
          <w:tcPr>
            <w:tcW w:w="435"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 xml:space="preserve">98.15 </w:t>
            </w:r>
          </w:p>
        </w:tc>
        <w:tc>
          <w:tcPr>
            <w:tcW w:w="357"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06"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412"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1947"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永久弃渣和临时堆土总量</w:t>
            </w:r>
          </w:p>
        </w:tc>
        <w:tc>
          <w:tcPr>
            <w:tcW w:w="508"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万</w:t>
            </w:r>
            <w:r>
              <w:rPr>
                <w:rFonts w:cs="Times New Roman"/>
                <w:snapToGrid/>
                <w:color w:val="auto"/>
                <w:sz w:val="20"/>
                <w:szCs w:val="20"/>
                <w:lang w:eastAsia="zh-CN"/>
              </w:rPr>
              <w:t>m</w:t>
            </w:r>
            <w:r>
              <w:rPr>
                <w:rFonts w:cs="Times New Roman"/>
                <w:snapToGrid/>
                <w:color w:val="auto"/>
                <w:sz w:val="20"/>
                <w:szCs w:val="20"/>
                <w:vertAlign w:val="superscript"/>
                <w:lang w:eastAsia="zh-CN"/>
              </w:rPr>
              <w:t>3</w:t>
            </w:r>
          </w:p>
        </w:tc>
        <w:tc>
          <w:tcPr>
            <w:tcW w:w="535"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0.54</w:t>
            </w:r>
          </w:p>
        </w:tc>
        <w:tc>
          <w:tcPr>
            <w:tcW w:w="435"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357"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06"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表土保护率</w:t>
            </w:r>
          </w:p>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w:t>
            </w:r>
          </w:p>
        </w:tc>
        <w:tc>
          <w:tcPr>
            <w:tcW w:w="412"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92</w:t>
            </w:r>
          </w:p>
        </w:tc>
        <w:tc>
          <w:tcPr>
            <w:tcW w:w="1947"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保护的表土数量</w:t>
            </w:r>
          </w:p>
        </w:tc>
        <w:tc>
          <w:tcPr>
            <w:tcW w:w="508"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vertAlign w:val="superscript"/>
                <w:lang w:eastAsia="zh-CN"/>
              </w:rPr>
            </w:pPr>
            <w:r>
              <w:rPr>
                <w:rFonts w:hint="eastAsia" w:cs="Times New Roman"/>
                <w:snapToGrid/>
                <w:color w:val="auto"/>
                <w:sz w:val="20"/>
                <w:szCs w:val="20"/>
                <w:lang w:eastAsia="zh-CN"/>
              </w:rPr>
              <w:t>万</w:t>
            </w:r>
            <w:r>
              <w:rPr>
                <w:rFonts w:cs="Times New Roman"/>
                <w:snapToGrid/>
                <w:color w:val="auto"/>
                <w:sz w:val="20"/>
                <w:szCs w:val="20"/>
                <w:lang w:eastAsia="zh-CN"/>
              </w:rPr>
              <w:t>m</w:t>
            </w:r>
            <w:r>
              <w:rPr>
                <w:rFonts w:cs="Times New Roman"/>
                <w:snapToGrid/>
                <w:color w:val="auto"/>
                <w:sz w:val="20"/>
                <w:szCs w:val="20"/>
                <w:vertAlign w:val="superscript"/>
                <w:lang w:eastAsia="zh-CN"/>
              </w:rPr>
              <w:t>3</w:t>
            </w:r>
          </w:p>
        </w:tc>
        <w:tc>
          <w:tcPr>
            <w:tcW w:w="535"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0.165</w:t>
            </w:r>
          </w:p>
        </w:tc>
        <w:tc>
          <w:tcPr>
            <w:tcW w:w="435"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 xml:space="preserve">97.06 </w:t>
            </w:r>
          </w:p>
        </w:tc>
        <w:tc>
          <w:tcPr>
            <w:tcW w:w="357"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06"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412"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1947"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可剥离表土总量</w:t>
            </w:r>
          </w:p>
        </w:tc>
        <w:tc>
          <w:tcPr>
            <w:tcW w:w="508"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万</w:t>
            </w:r>
            <w:r>
              <w:rPr>
                <w:rFonts w:cs="Times New Roman"/>
                <w:snapToGrid/>
                <w:color w:val="auto"/>
                <w:sz w:val="20"/>
                <w:szCs w:val="20"/>
                <w:lang w:eastAsia="zh-CN"/>
              </w:rPr>
              <w:t>m</w:t>
            </w:r>
            <w:r>
              <w:rPr>
                <w:rFonts w:cs="Times New Roman"/>
                <w:snapToGrid/>
                <w:color w:val="auto"/>
                <w:sz w:val="20"/>
                <w:szCs w:val="20"/>
                <w:vertAlign w:val="superscript"/>
                <w:lang w:eastAsia="zh-CN"/>
              </w:rPr>
              <w:t>3</w:t>
            </w:r>
          </w:p>
        </w:tc>
        <w:tc>
          <w:tcPr>
            <w:tcW w:w="535"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0.17</w:t>
            </w:r>
          </w:p>
        </w:tc>
        <w:tc>
          <w:tcPr>
            <w:tcW w:w="435"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357"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06"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林草植被恢复率（%）</w:t>
            </w:r>
          </w:p>
        </w:tc>
        <w:tc>
          <w:tcPr>
            <w:tcW w:w="412"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color w:val="auto"/>
                <w:sz w:val="20"/>
                <w:szCs w:val="20"/>
              </w:rPr>
              <w:t>97</w:t>
            </w:r>
          </w:p>
        </w:tc>
        <w:tc>
          <w:tcPr>
            <w:tcW w:w="1947"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林草类植被面积</w:t>
            </w:r>
          </w:p>
        </w:tc>
        <w:tc>
          <w:tcPr>
            <w:tcW w:w="508"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h</w:t>
            </w:r>
            <w:r>
              <w:rPr>
                <w:rFonts w:cs="Times New Roman"/>
                <w:snapToGrid/>
                <w:color w:val="auto"/>
                <w:sz w:val="20"/>
                <w:szCs w:val="20"/>
                <w:lang w:eastAsia="zh-CN"/>
              </w:rPr>
              <w:t>m</w:t>
            </w:r>
            <w:r>
              <w:rPr>
                <w:rFonts w:cs="Times New Roman"/>
                <w:snapToGrid/>
                <w:color w:val="auto"/>
                <w:sz w:val="20"/>
                <w:szCs w:val="20"/>
                <w:vertAlign w:val="superscript"/>
                <w:lang w:eastAsia="zh-CN"/>
              </w:rPr>
              <w:t>2</w:t>
            </w:r>
          </w:p>
        </w:tc>
        <w:tc>
          <w:tcPr>
            <w:tcW w:w="535"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2.175</w:t>
            </w:r>
          </w:p>
        </w:tc>
        <w:tc>
          <w:tcPr>
            <w:tcW w:w="435"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 xml:space="preserve">99.77 </w:t>
            </w:r>
          </w:p>
        </w:tc>
        <w:tc>
          <w:tcPr>
            <w:tcW w:w="357"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06"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412"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1947"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可恢复林草植被面积</w:t>
            </w:r>
          </w:p>
        </w:tc>
        <w:tc>
          <w:tcPr>
            <w:tcW w:w="508"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h</w:t>
            </w:r>
            <w:r>
              <w:rPr>
                <w:rFonts w:cs="Times New Roman"/>
                <w:snapToGrid/>
                <w:color w:val="auto"/>
                <w:sz w:val="20"/>
                <w:szCs w:val="20"/>
                <w:lang w:eastAsia="zh-CN"/>
              </w:rPr>
              <w:t>m</w:t>
            </w:r>
            <w:r>
              <w:rPr>
                <w:rFonts w:cs="Times New Roman"/>
                <w:snapToGrid/>
                <w:color w:val="auto"/>
                <w:sz w:val="20"/>
                <w:szCs w:val="20"/>
                <w:vertAlign w:val="superscript"/>
                <w:lang w:eastAsia="zh-CN"/>
              </w:rPr>
              <w:t>2</w:t>
            </w:r>
          </w:p>
        </w:tc>
        <w:tc>
          <w:tcPr>
            <w:tcW w:w="535"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2.18</w:t>
            </w:r>
          </w:p>
        </w:tc>
        <w:tc>
          <w:tcPr>
            <w:tcW w:w="435"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357"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06"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林草覆盖率</w:t>
            </w:r>
          </w:p>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w:t>
            </w:r>
          </w:p>
        </w:tc>
        <w:tc>
          <w:tcPr>
            <w:tcW w:w="412"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color w:val="auto"/>
                <w:sz w:val="20"/>
                <w:szCs w:val="20"/>
              </w:rPr>
              <w:t>25</w:t>
            </w:r>
          </w:p>
        </w:tc>
        <w:tc>
          <w:tcPr>
            <w:tcW w:w="1947"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林草类植被面积</w:t>
            </w:r>
          </w:p>
        </w:tc>
        <w:tc>
          <w:tcPr>
            <w:tcW w:w="508"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h</w:t>
            </w:r>
            <w:r>
              <w:rPr>
                <w:rFonts w:cs="Times New Roman"/>
                <w:snapToGrid/>
                <w:color w:val="auto"/>
                <w:sz w:val="20"/>
                <w:szCs w:val="20"/>
                <w:lang w:eastAsia="zh-CN"/>
              </w:rPr>
              <w:t>m</w:t>
            </w:r>
            <w:r>
              <w:rPr>
                <w:rFonts w:cs="Times New Roman"/>
                <w:snapToGrid/>
                <w:color w:val="auto"/>
                <w:sz w:val="20"/>
                <w:szCs w:val="20"/>
                <w:vertAlign w:val="superscript"/>
                <w:lang w:eastAsia="zh-CN"/>
              </w:rPr>
              <w:t>2</w:t>
            </w:r>
          </w:p>
        </w:tc>
        <w:tc>
          <w:tcPr>
            <w:tcW w:w="535"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2.175</w:t>
            </w:r>
          </w:p>
        </w:tc>
        <w:tc>
          <w:tcPr>
            <w:tcW w:w="435"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 xml:space="preserve">57.09 </w:t>
            </w:r>
          </w:p>
        </w:tc>
        <w:tc>
          <w:tcPr>
            <w:tcW w:w="357" w:type="pct"/>
            <w:vMerge w:val="restar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06"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412"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1947"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cs="Times New Roman"/>
                <w:snapToGrid/>
                <w:color w:val="auto"/>
                <w:sz w:val="20"/>
                <w:szCs w:val="20"/>
                <w:lang w:eastAsia="zh-CN"/>
              </w:rPr>
              <w:t>项目建设区占地面积</w:t>
            </w:r>
          </w:p>
        </w:tc>
        <w:tc>
          <w:tcPr>
            <w:tcW w:w="508"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h</w:t>
            </w:r>
            <w:r>
              <w:rPr>
                <w:rFonts w:cs="Times New Roman"/>
                <w:snapToGrid/>
                <w:color w:val="auto"/>
                <w:sz w:val="20"/>
                <w:szCs w:val="20"/>
                <w:lang w:eastAsia="zh-CN"/>
              </w:rPr>
              <w:t>m</w:t>
            </w:r>
            <w:r>
              <w:rPr>
                <w:rFonts w:cs="Times New Roman"/>
                <w:snapToGrid/>
                <w:color w:val="auto"/>
                <w:sz w:val="20"/>
                <w:szCs w:val="20"/>
                <w:vertAlign w:val="superscript"/>
                <w:lang w:eastAsia="zh-CN"/>
              </w:rPr>
              <w:t>2</w:t>
            </w:r>
          </w:p>
        </w:tc>
        <w:tc>
          <w:tcPr>
            <w:tcW w:w="535" w:type="pct"/>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r>
              <w:rPr>
                <w:rFonts w:hint="eastAsia" w:cs="Times New Roman"/>
                <w:snapToGrid/>
                <w:color w:val="auto"/>
                <w:sz w:val="20"/>
                <w:szCs w:val="20"/>
                <w:lang w:eastAsia="zh-CN"/>
              </w:rPr>
              <w:t>3.81</w:t>
            </w:r>
          </w:p>
        </w:tc>
        <w:tc>
          <w:tcPr>
            <w:tcW w:w="435"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c>
          <w:tcPr>
            <w:tcW w:w="357" w:type="pct"/>
            <w:vMerge w:val="continue"/>
            <w:vAlign w:val="center"/>
          </w:tcPr>
          <w:p>
            <w:pPr>
              <w:widowControl w:val="0"/>
              <w:kinsoku/>
              <w:autoSpaceDE/>
              <w:autoSpaceDN/>
              <w:snapToGrid/>
              <w:spacing w:line="240" w:lineRule="exact"/>
              <w:ind w:firstLine="0" w:firstLineChars="0"/>
              <w:contextualSpacing/>
              <w:jc w:val="center"/>
              <w:rPr>
                <w:rFonts w:cs="Times New Roman"/>
                <w:snapToGrid/>
                <w:color w:val="auto"/>
                <w:sz w:val="20"/>
                <w:szCs w:val="20"/>
                <w:lang w:eastAsia="zh-CN"/>
              </w:rPr>
            </w:pPr>
          </w:p>
        </w:tc>
      </w:tr>
    </w:tbl>
    <w:p>
      <w:pPr>
        <w:kinsoku/>
        <w:topLinePunct/>
        <w:autoSpaceDE/>
        <w:autoSpaceDN/>
        <w:adjustRightInd/>
        <w:snapToGrid/>
        <w:spacing w:line="360" w:lineRule="auto"/>
        <w:contextualSpacing/>
        <w:jc w:val="both"/>
        <w:textAlignment w:val="auto"/>
        <w:rPr>
          <w:rFonts w:cs="Times New Roman"/>
          <w:snapToGrid/>
          <w:color w:val="auto"/>
          <w:sz w:val="10"/>
          <w:szCs w:val="10"/>
          <w:lang w:eastAsia="zh-CN"/>
        </w:rPr>
      </w:pPr>
    </w:p>
    <w:p>
      <w:pPr>
        <w:kinsoku/>
        <w:topLinePunct/>
        <w:autoSpaceDE/>
        <w:autoSpaceDN/>
        <w:adjustRightInd/>
        <w:snapToGrid/>
        <w:spacing w:line="360" w:lineRule="auto"/>
        <w:ind w:firstLine="480"/>
        <w:contextualSpacing/>
        <w:jc w:val="both"/>
        <w:textAlignment w:val="auto"/>
        <w:rPr>
          <w:rFonts w:cs="Times New Roman"/>
          <w:snapToGrid/>
          <w:color w:val="auto"/>
          <w:szCs w:val="20"/>
          <w:lang w:eastAsia="zh-CN"/>
        </w:rPr>
      </w:pPr>
      <w:r>
        <w:rPr>
          <w:rFonts w:cs="Times New Roman"/>
          <w:snapToGrid/>
          <w:color w:val="auto"/>
          <w:szCs w:val="20"/>
          <w:lang w:eastAsia="zh-CN"/>
        </w:rPr>
        <w:t>由上表各项计算可以看出，通过水土保持措施治理后，完全达到水土保持拟定的目标要求，水土保持效益较好。工程建设中，根据《方案》采取水土保持工程措施、植被措施、临时措施综合防治后，将取得显著的保水、保土、改善生态环境、保障工程安全等多方面的作用和效益。</w:t>
      </w:r>
    </w:p>
    <w:p>
      <w:pPr>
        <w:kinsoku/>
        <w:topLinePunct/>
        <w:autoSpaceDE/>
        <w:autoSpaceDN/>
        <w:adjustRightInd/>
        <w:snapToGrid/>
        <w:spacing w:line="360" w:lineRule="auto"/>
        <w:ind w:firstLine="480"/>
        <w:contextualSpacing/>
        <w:jc w:val="both"/>
        <w:textAlignment w:val="auto"/>
        <w:rPr>
          <w:rFonts w:cs="Times New Roman"/>
          <w:snapToGrid/>
          <w:color w:val="auto"/>
          <w:szCs w:val="20"/>
          <w:lang w:eastAsia="zh-CN"/>
        </w:rPr>
      </w:pPr>
      <w:bookmarkStart w:id="71" w:name="_Hlk171930618"/>
      <w:r>
        <w:rPr>
          <w:rFonts w:cs="Times New Roman"/>
          <w:snapToGrid/>
          <w:color w:val="auto"/>
          <w:szCs w:val="20"/>
          <w:lang w:eastAsia="zh-CN"/>
        </w:rPr>
        <w:t>经分析计算，本水土保持方案实施后，到方案设计水平年，</w:t>
      </w:r>
      <w:r>
        <w:rPr>
          <w:rFonts w:cs="Times New Roman"/>
          <w:snapToGrid/>
          <w:color w:val="auto"/>
          <w:szCs w:val="20"/>
          <w:lang w:val="zh-CN" w:eastAsia="zh-CN"/>
        </w:rPr>
        <w:t>六项指标达到水土保持拟定的目标要求，水土保持效益较好。其中，水土流失治理度目标值为97%，本方案达到99.</w:t>
      </w:r>
      <w:r>
        <w:rPr>
          <w:rFonts w:hint="eastAsia" w:cs="Times New Roman"/>
          <w:snapToGrid/>
          <w:color w:val="auto"/>
          <w:szCs w:val="20"/>
          <w:lang w:val="zh-CN" w:eastAsia="zh-CN"/>
        </w:rPr>
        <w:t>87</w:t>
      </w:r>
      <w:r>
        <w:rPr>
          <w:rFonts w:cs="Times New Roman"/>
          <w:snapToGrid/>
          <w:color w:val="auto"/>
          <w:szCs w:val="20"/>
          <w:lang w:val="zh-CN" w:eastAsia="zh-CN"/>
        </w:rPr>
        <w:t>%；土壤流失控制比目标值为1.0，本方案达到1.0</w:t>
      </w:r>
      <w:r>
        <w:rPr>
          <w:rFonts w:hint="eastAsia" w:cs="Times New Roman"/>
          <w:snapToGrid/>
          <w:color w:val="auto"/>
          <w:szCs w:val="20"/>
          <w:lang w:val="zh-CN" w:eastAsia="zh-CN"/>
        </w:rPr>
        <w:t>9</w:t>
      </w:r>
      <w:r>
        <w:rPr>
          <w:rFonts w:cs="Times New Roman"/>
          <w:snapToGrid/>
          <w:color w:val="auto"/>
          <w:szCs w:val="20"/>
          <w:lang w:val="zh-CN" w:eastAsia="zh-CN"/>
        </w:rPr>
        <w:t>；渣土防护率目标值为92%，本方案达到9</w:t>
      </w:r>
      <w:r>
        <w:rPr>
          <w:rFonts w:hint="eastAsia" w:cs="Times New Roman"/>
          <w:snapToGrid/>
          <w:color w:val="auto"/>
          <w:szCs w:val="20"/>
          <w:lang w:val="zh-CN" w:eastAsia="zh-CN"/>
        </w:rPr>
        <w:t>8</w:t>
      </w:r>
      <w:r>
        <w:rPr>
          <w:rFonts w:cs="Times New Roman"/>
          <w:snapToGrid/>
          <w:color w:val="auto"/>
          <w:szCs w:val="20"/>
          <w:lang w:val="zh-CN" w:eastAsia="zh-CN"/>
        </w:rPr>
        <w:t>.</w:t>
      </w:r>
      <w:r>
        <w:rPr>
          <w:rFonts w:hint="eastAsia" w:cs="Times New Roman"/>
          <w:snapToGrid/>
          <w:color w:val="auto"/>
          <w:szCs w:val="20"/>
          <w:lang w:val="zh-CN" w:eastAsia="zh-CN"/>
        </w:rPr>
        <w:t>15</w:t>
      </w:r>
      <w:r>
        <w:rPr>
          <w:rFonts w:cs="Times New Roman"/>
          <w:snapToGrid/>
          <w:color w:val="auto"/>
          <w:szCs w:val="20"/>
          <w:lang w:val="zh-CN" w:eastAsia="zh-CN"/>
        </w:rPr>
        <w:t>%；表土保护率目标值为92%，本方案达为9</w:t>
      </w:r>
      <w:r>
        <w:rPr>
          <w:rFonts w:hint="eastAsia" w:cs="Times New Roman"/>
          <w:snapToGrid/>
          <w:color w:val="auto"/>
          <w:szCs w:val="20"/>
          <w:lang w:val="zh-CN" w:eastAsia="zh-CN"/>
        </w:rPr>
        <w:t>7</w:t>
      </w:r>
      <w:r>
        <w:rPr>
          <w:rFonts w:cs="Times New Roman"/>
          <w:snapToGrid/>
          <w:color w:val="auto"/>
          <w:szCs w:val="20"/>
          <w:lang w:val="zh-CN" w:eastAsia="zh-CN"/>
        </w:rPr>
        <w:t>.</w:t>
      </w:r>
      <w:r>
        <w:rPr>
          <w:rFonts w:hint="eastAsia" w:cs="Times New Roman"/>
          <w:snapToGrid/>
          <w:color w:val="auto"/>
          <w:szCs w:val="20"/>
          <w:lang w:val="zh-CN" w:eastAsia="zh-CN"/>
        </w:rPr>
        <w:t>06</w:t>
      </w:r>
      <w:r>
        <w:rPr>
          <w:rFonts w:cs="Times New Roman"/>
          <w:snapToGrid/>
          <w:color w:val="auto"/>
          <w:szCs w:val="20"/>
          <w:lang w:val="zh-CN" w:eastAsia="zh-CN"/>
        </w:rPr>
        <w:t>%；林草植被恢复率目标值为97%，本方案达到99.</w:t>
      </w:r>
      <w:r>
        <w:rPr>
          <w:rFonts w:hint="eastAsia" w:cs="Times New Roman"/>
          <w:snapToGrid/>
          <w:color w:val="auto"/>
          <w:szCs w:val="20"/>
          <w:lang w:val="zh-CN" w:eastAsia="zh-CN"/>
        </w:rPr>
        <w:t>77</w:t>
      </w:r>
      <w:r>
        <w:rPr>
          <w:rFonts w:cs="Times New Roman"/>
          <w:snapToGrid/>
          <w:color w:val="auto"/>
          <w:szCs w:val="20"/>
          <w:lang w:val="zh-CN" w:eastAsia="zh-CN"/>
        </w:rPr>
        <w:t>%；林草覆盖率目标值为25%，本方案达到57.</w:t>
      </w:r>
      <w:r>
        <w:rPr>
          <w:rFonts w:hint="eastAsia" w:cs="Times New Roman"/>
          <w:snapToGrid/>
          <w:color w:val="auto"/>
          <w:szCs w:val="20"/>
          <w:lang w:val="zh-CN" w:eastAsia="zh-CN"/>
        </w:rPr>
        <w:t>0</w:t>
      </w:r>
      <w:r>
        <w:rPr>
          <w:rFonts w:cs="Times New Roman"/>
          <w:snapToGrid/>
          <w:color w:val="auto"/>
          <w:szCs w:val="20"/>
          <w:lang w:val="zh-CN" w:eastAsia="zh-CN"/>
        </w:rPr>
        <w:t>9%。六</w:t>
      </w:r>
      <w:r>
        <w:rPr>
          <w:rFonts w:cs="Times New Roman"/>
          <w:snapToGrid/>
          <w:color w:val="auto"/>
          <w:szCs w:val="20"/>
          <w:lang w:eastAsia="zh-CN"/>
        </w:rPr>
        <w:t>项生态效益指标均达到或超过方案制定的目标值，具有良好的生态效益。</w:t>
      </w:r>
    </w:p>
    <w:bookmarkEnd w:id="71"/>
    <w:p>
      <w:pPr>
        <w:kinsoku/>
        <w:topLinePunct/>
        <w:autoSpaceDE/>
        <w:autoSpaceDN/>
        <w:adjustRightInd/>
        <w:snapToGrid/>
        <w:spacing w:line="360" w:lineRule="auto"/>
        <w:ind w:firstLine="480"/>
        <w:contextualSpacing/>
        <w:jc w:val="both"/>
        <w:textAlignment w:val="auto"/>
        <w:rPr>
          <w:rFonts w:cs="Times New Roman"/>
          <w:snapToGrid/>
          <w:color w:val="auto"/>
          <w:szCs w:val="20"/>
          <w:lang w:eastAsia="zh-CN"/>
        </w:rPr>
      </w:pPr>
      <w:r>
        <w:rPr>
          <w:rFonts w:cs="Times New Roman"/>
          <w:snapToGrid/>
          <w:color w:val="auto"/>
          <w:szCs w:val="20"/>
          <w:lang w:eastAsia="zh-CN"/>
        </w:rPr>
        <w:t>水土保持方案实施后，可治理水土流失面积3</w:t>
      </w:r>
      <w:r>
        <w:rPr>
          <w:rFonts w:hint="eastAsia" w:cs="Times New Roman"/>
          <w:snapToGrid/>
          <w:color w:val="auto"/>
          <w:szCs w:val="20"/>
          <w:lang w:eastAsia="zh-CN"/>
        </w:rPr>
        <w:t>.</w:t>
      </w:r>
      <w:r>
        <w:rPr>
          <w:rFonts w:cs="Times New Roman"/>
          <w:snapToGrid/>
          <w:color w:val="auto"/>
          <w:szCs w:val="20"/>
          <w:lang w:eastAsia="zh-CN"/>
        </w:rPr>
        <w:t>81hm</w:t>
      </w:r>
      <w:r>
        <w:rPr>
          <w:rFonts w:cs="Times New Roman"/>
          <w:snapToGrid/>
          <w:color w:val="auto"/>
          <w:szCs w:val="20"/>
          <w:vertAlign w:val="superscript"/>
          <w:lang w:eastAsia="zh-CN"/>
        </w:rPr>
        <w:t>2</w:t>
      </w:r>
      <w:r>
        <w:rPr>
          <w:rFonts w:cs="Times New Roman"/>
          <w:snapToGrid/>
          <w:color w:val="auto"/>
          <w:szCs w:val="20"/>
          <w:lang w:eastAsia="zh-CN"/>
        </w:rPr>
        <w:t>，植被恢复面积2</w:t>
      </w:r>
      <w:r>
        <w:rPr>
          <w:rFonts w:hint="eastAsia" w:cs="Times New Roman"/>
          <w:snapToGrid/>
          <w:color w:val="auto"/>
          <w:szCs w:val="20"/>
          <w:lang w:eastAsia="zh-CN"/>
        </w:rPr>
        <w:t>.</w:t>
      </w:r>
      <w:r>
        <w:rPr>
          <w:rFonts w:cs="Times New Roman"/>
          <w:snapToGrid/>
          <w:color w:val="auto"/>
          <w:szCs w:val="20"/>
          <w:lang w:eastAsia="zh-CN"/>
        </w:rPr>
        <w:t>18hm</w:t>
      </w:r>
      <w:r>
        <w:rPr>
          <w:rFonts w:cs="Times New Roman"/>
          <w:snapToGrid/>
          <w:color w:val="auto"/>
          <w:szCs w:val="20"/>
          <w:vertAlign w:val="superscript"/>
          <w:lang w:eastAsia="zh-CN"/>
        </w:rPr>
        <w:t>2</w:t>
      </w:r>
      <w:r>
        <w:rPr>
          <w:rFonts w:cs="Times New Roman"/>
          <w:snapToGrid/>
          <w:color w:val="auto"/>
          <w:szCs w:val="20"/>
          <w:lang w:eastAsia="zh-CN"/>
        </w:rPr>
        <w:t>，减少水土流失量114.74t。六项水土流失防治指标均达到防治目标值，项目建设区水土流失可基本得到有效治理和控制，生态环境得到恢复或改善。</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7.2.2 保水保土效益</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（1）采取水土保持措施后增加了土壤入渗，降低了径流量，减少暴雨对项目区可能产生的水土流失危害。</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（2）通过平整土地，恢复植被，提高了项目区土壤植被涵养水源能力，减少了项目区土、肥流失，有效地提高土地生产力。</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采取水土保持措施后，增强了土壤抗侵蚀能力，保持土壤免受降雨、重力等各类外营力所引起的剧烈侵蚀，如溅蚀、面蚀和沟蚀，从而有效地减少项目建设造成的新增土壤流失量。本方案水土保持措施实施后，达到较好的保土效益。</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7.2.3 生态环境</w:t>
      </w:r>
      <w:r>
        <w:rPr>
          <w:rFonts w:hint="eastAsia" w:cs="Times New Roman"/>
          <w:color w:val="auto"/>
          <w:sz w:val="28"/>
          <w:szCs w:val="28"/>
          <w:lang w:eastAsia="zh-CN"/>
        </w:rPr>
        <w:t>效益</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方案实施以后，项目区及周边影响区范围内的生态环境将得到明显的改善。可绿化的占地几乎都采取了植被恢复措施，随着林草的逐年生长，植被郁闭度将不断提高，植物根系也逐渐发达，这样使得被治理坡面的拦截径流蓄水能力、以及保护坡面土壤不受侵蚀的能力都会逐年增强，从而使项目区内重塑坡面的新增土壤侵蚀及固有自然侵蚀从根本上得到有效的主动控制。</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7.2.4 社会效益</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方案实施以后，项目区及周边影响区范围内的生态环境将得到明显的改善。可绿化的占地几乎都采取了植被恢复措施，随着林草的逐年生长，植被郁闭度将不断提高，植物根系也逐渐发达，这样使得被治理坡面的拦截径流蓄水能力、以及保护坡面土壤不受侵蚀的能力都会逐年增强，从而使项目区内重塑坡面的新增土壤侵蚀及固有自然侵蚀从根本上得到有效的主动控制。</w:t>
      </w:r>
    </w:p>
    <w:p>
      <w:pPr>
        <w:pStyle w:val="4"/>
        <w:widowControl w:val="0"/>
        <w:kinsoku/>
        <w:topLinePunct/>
        <w:autoSpaceDE/>
        <w:autoSpaceDN/>
        <w:spacing w:before="120" w:after="120" w:line="300" w:lineRule="auto"/>
        <w:ind w:firstLine="0" w:firstLineChars="0"/>
        <w:rPr>
          <w:rFonts w:cs="Times New Roman"/>
          <w:color w:val="auto"/>
          <w:sz w:val="28"/>
          <w:szCs w:val="28"/>
          <w:lang w:eastAsia="zh-CN"/>
        </w:rPr>
      </w:pPr>
      <w:r>
        <w:rPr>
          <w:rFonts w:cs="Times New Roman"/>
          <w:color w:val="auto"/>
          <w:sz w:val="28"/>
          <w:szCs w:val="28"/>
          <w:lang w:eastAsia="zh-CN"/>
        </w:rPr>
        <w:t>7.2.5 经济效益</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方案水土保持工程施工后，不存在直接经济效益的问题，主要是会增加一些间接经济效益，主要体现在保证道路的运营安全，可降低项目营运的维修防护、清扫清淤等费用，一定程度上消除了对周边道路的不利影响。使环境与经济发展走上良性循环，间接地促进当地和周边地区的经济发展。</w:t>
      </w:r>
    </w:p>
    <w:p>
      <w:pPr>
        <w:widowControl w:val="0"/>
        <w:kinsoku/>
        <w:topLinePunct/>
        <w:autoSpaceDE/>
        <w:autoSpaceDN/>
        <w:spacing w:line="300" w:lineRule="auto"/>
        <w:ind w:firstLine="480"/>
        <w:jc w:val="both"/>
        <w:rPr>
          <w:rFonts w:cs="Times New Roman"/>
          <w:color w:val="auto"/>
          <w:szCs w:val="24"/>
          <w:lang w:eastAsia="zh-CN"/>
        </w:rPr>
        <w:sectPr>
          <w:pgSz w:w="11906" w:h="16838"/>
          <w:pgMar w:top="1440" w:right="1797" w:bottom="1440" w:left="1797" w:header="851" w:footer="992" w:gutter="0"/>
          <w:cols w:space="425" w:num="1"/>
          <w:docGrid w:linePitch="312" w:charSpace="0"/>
        </w:sectPr>
      </w:pPr>
    </w:p>
    <w:p>
      <w:pPr>
        <w:pStyle w:val="2"/>
        <w:widowControl w:val="0"/>
        <w:kinsoku/>
        <w:topLinePunct/>
        <w:autoSpaceDE/>
        <w:autoSpaceDN/>
        <w:spacing w:before="120" w:after="120" w:line="300" w:lineRule="auto"/>
        <w:ind w:firstLine="0" w:firstLineChars="0"/>
        <w:jc w:val="center"/>
        <w:rPr>
          <w:rFonts w:cs="Times New Roman"/>
          <w:color w:val="auto"/>
          <w:sz w:val="32"/>
          <w:szCs w:val="32"/>
          <w:lang w:eastAsia="zh-CN"/>
        </w:rPr>
      </w:pPr>
      <w:bookmarkStart w:id="72" w:name="_Toc171533306"/>
      <w:r>
        <w:rPr>
          <w:rFonts w:cs="Times New Roman"/>
          <w:color w:val="auto"/>
          <w:sz w:val="32"/>
          <w:szCs w:val="32"/>
          <w:lang w:eastAsia="zh-CN"/>
        </w:rPr>
        <w:t>8  水土保持管理</w:t>
      </w:r>
      <w:bookmarkEnd w:id="72"/>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为保证本方案顺利实施、水土流失得到有效控制、项目区及周边生态环境良性发展，应建立健全水土保持领导协调组织、机构，落实方案实施的技术力量和资金来源，严格资金管理，加强项目管理，实行全方位监督。</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73" w:name="_Toc171533307"/>
      <w:r>
        <w:rPr>
          <w:rFonts w:ascii="Times New Roman" w:hAnsi="Times New Roman" w:eastAsia="仿宋_GB2312" w:cs="Times New Roman"/>
          <w:color w:val="auto"/>
          <w:sz w:val="30"/>
          <w:szCs w:val="30"/>
          <w:lang w:eastAsia="zh-CN"/>
        </w:rPr>
        <w:t>8.1 组织管理</w:t>
      </w:r>
      <w:bookmarkEnd w:id="73"/>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中华人民共和国水土保持法》，水土保持方案报水行政主管部门批准后，建设单位应尽快成立与环境保护相结合的水土保持方案实施管理机构，并专人（专职或兼职）负责水土保持工作，协调好本方案与主体工程的关系，负责组织实施审批的水土保持方案，进行水土保持方案的实施管理，保证该项工程水土保持工作按年度、按计划进行，并在方案的实施过程中，主动与当地水行政主管部门密切配合，自觉接受水行政主管部门的监督、检查。水土保持管理机构的主要职责如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（1）认真贯彻、执行“预防为主、保护优先、全面规划、综合治理、因地制宜、突出重点、科学管理、注重效益”的水土保持工作方针。</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（2）建立水土保持目标责任制，把水土保持列为工程进度、质量考核的内容之一，按年度向水行政主管部门报告水土流失治理情况，制定水土保持方案详细实施计划。</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（3）工程施工期间，负责与设计、施工、监理单位保持联系，协调好水土保持措施与主体工程的关系，确保工程的正常开展和顺利进行，并按时竣工，最大限度减少人为造成的水土流失和生态环境的破坏。</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（4）经常深入工程现场进行检查，掌握工程施工和运行期间的水土流失状况及其防治措施落实情况，为有关部门决策提供第一手资料。</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（5）水土保持工程建成后，为保证工程安全和正常运行，充分发挥工程效益，制定科学的、切实可行的运行规程。</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（6）加强管理机构人员的有关水土保持法律、法规及技术的培训，增强职工的责任心，提高职工的技术水平。</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74" w:name="_Toc171533308"/>
      <w:r>
        <w:rPr>
          <w:rFonts w:ascii="Times New Roman" w:hAnsi="Times New Roman" w:eastAsia="仿宋_GB2312" w:cs="Times New Roman"/>
          <w:color w:val="auto"/>
          <w:sz w:val="30"/>
          <w:szCs w:val="30"/>
          <w:lang w:eastAsia="zh-CN"/>
        </w:rPr>
        <w:t>8.2 后续设计</w:t>
      </w:r>
      <w:bookmarkEnd w:id="74"/>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水利部关于进一步深化“放管服”改革全面加强水土保持监管的意见》（水保〔2019〕160号），各级水行政主管部门和流域管理机构要把设计和施工管理作为监督检查的重要内容。生产建设单位应当依据批准的水土保持方案与主体工程同步开展水土保持初步设计和施工图设计，按程序与主体工程设计一并报经有关部门审核，作为水土保持措施实施的依据。</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如果主体工程设计发生重大变更，还需重新编报水土保持方案，并报送原审批部门。</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75" w:name="_Toc171533309"/>
      <w:r>
        <w:rPr>
          <w:rFonts w:ascii="Times New Roman" w:hAnsi="Times New Roman" w:eastAsia="仿宋_GB2312" w:cs="Times New Roman"/>
          <w:color w:val="auto"/>
          <w:sz w:val="30"/>
          <w:szCs w:val="30"/>
          <w:lang w:eastAsia="zh-CN"/>
        </w:rPr>
        <w:t>8.3 水土保持监测</w:t>
      </w:r>
      <w:bookmarkEnd w:id="75"/>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根据《水利部办公厅关于进一步加强生产建设项目水土保持监测工作的通知》（办水保〔2020]161号）对编制水土保持方案报告书的生产建设项目（即征占地面积在5公顷以上或者石方总量在5万立方米以上的生产建设项目)，生产建设单自行或者委托具备相应技术条件的机构开展水土保持监测工作。本方案为水土保持方案报告表，水土保持监测工作不作具体要求。工程水土保持监测将由施工单位、监理单位以及验收调查单位通过巡查方式进行调查监测。</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76" w:name="_Toc171533310"/>
      <w:r>
        <w:rPr>
          <w:rFonts w:ascii="Times New Roman" w:hAnsi="Times New Roman" w:eastAsia="仿宋_GB2312" w:cs="Times New Roman"/>
          <w:color w:val="auto"/>
          <w:sz w:val="30"/>
          <w:szCs w:val="30"/>
          <w:lang w:eastAsia="zh-CN"/>
        </w:rPr>
        <w:t>8.4 水土保持工程监理</w:t>
      </w:r>
      <w:bookmarkEnd w:id="76"/>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水土保持工程监理的主要任务是对建设项目水土保持工程实施质量控制、进度控制、投资控制，实行项目的合同管理和信息管理，协调有关各方的关系，简称为“三控制、三管理、一协调”，为实现水土保持方案的总体目标服务。根据《水利部关于进一步深化“放管服”改革全面加强水土保持监管的意见》（水保〔2019〕160 号），凡主体工程开展监理工作的项目，应当按照水土保持贴理标准和规范开展水土保持工程施工监理，其中，征占地面积在20hm</w:t>
      </w:r>
      <w:r>
        <w:rPr>
          <w:rFonts w:cs="Times New Roman"/>
          <w:color w:val="auto"/>
          <w:szCs w:val="24"/>
          <w:vertAlign w:val="superscript"/>
          <w:lang w:eastAsia="zh-CN"/>
        </w:rPr>
        <w:t>2</w:t>
      </w:r>
      <w:r>
        <w:rPr>
          <w:rFonts w:cs="Times New Roman"/>
          <w:color w:val="auto"/>
          <w:szCs w:val="24"/>
          <w:lang w:eastAsia="zh-CN"/>
        </w:rPr>
        <w:t>以上或者挖填土石方总量在20万m</w:t>
      </w:r>
      <w:r>
        <w:rPr>
          <w:rFonts w:cs="Times New Roman"/>
          <w:color w:val="auto"/>
          <w:szCs w:val="24"/>
          <w:vertAlign w:val="superscript"/>
          <w:lang w:eastAsia="zh-CN"/>
        </w:rPr>
        <w:t>3</w:t>
      </w:r>
      <w:r>
        <w:rPr>
          <w:rFonts w:cs="Times New Roman"/>
          <w:color w:val="auto"/>
          <w:szCs w:val="24"/>
          <w:lang w:eastAsia="zh-CN"/>
        </w:rPr>
        <w:t>以上的项目，应当配务具有水土保持专业监理资格的工程师。</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本项目占地面积小于20hm</w:t>
      </w:r>
      <w:r>
        <w:rPr>
          <w:rFonts w:cs="Times New Roman"/>
          <w:color w:val="auto"/>
          <w:szCs w:val="24"/>
          <w:vertAlign w:val="superscript"/>
          <w:lang w:eastAsia="zh-CN"/>
        </w:rPr>
        <w:t>2</w:t>
      </w:r>
      <w:r>
        <w:rPr>
          <w:rFonts w:cs="Times New Roman"/>
          <w:color w:val="auto"/>
          <w:szCs w:val="24"/>
          <w:lang w:eastAsia="zh-CN"/>
        </w:rPr>
        <w:t>，挖填方量小于20万m</w:t>
      </w:r>
      <w:r>
        <w:rPr>
          <w:rFonts w:cs="Times New Roman"/>
          <w:color w:val="auto"/>
          <w:szCs w:val="24"/>
          <w:vertAlign w:val="superscript"/>
          <w:lang w:eastAsia="zh-CN"/>
        </w:rPr>
        <w:t>3</w:t>
      </w:r>
      <w:r>
        <w:rPr>
          <w:rFonts w:cs="Times New Roman"/>
          <w:color w:val="auto"/>
          <w:szCs w:val="24"/>
          <w:lang w:eastAsia="zh-CN"/>
        </w:rPr>
        <w:t>，水土保持监理对于监理单位没有资质要求，建议可由主体工程监理单位一并承担水土保持工程监理工作。</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77" w:name="_Toc171533311"/>
      <w:r>
        <w:rPr>
          <w:rFonts w:ascii="Times New Roman" w:hAnsi="Times New Roman" w:eastAsia="仿宋_GB2312" w:cs="Times New Roman"/>
          <w:color w:val="auto"/>
          <w:sz w:val="30"/>
          <w:szCs w:val="30"/>
          <w:lang w:eastAsia="zh-CN"/>
        </w:rPr>
        <w:t>8.5 水土保持施工</w:t>
      </w:r>
      <w:bookmarkEnd w:id="77"/>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施工过程中坚持质量第一、安全第一的方针，把施工安全工作摆在重要位置，行之有效的贯彻到各个环节中去。</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项目成立安全管理小组，并设有专职安全员，小组主要职责是对工人的安全技术交底，贯彻上级精神，在施工过程中每天检查工程施工安全工作，每周召开 工程安全会议一次，制定具体的安全规程和违章处理措施，并向公司安全领导小组汇报一次。各作业班组设立兼职安全员，带领各班组认真操作，对每个工人耐心指导，发现问题时及时进行处理并及时向工地安全管理小组汇报工作。</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在施工期间，需按以下要求进行施工：</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（1）施工期间，施工单位应严格按照工程设计图纸和施工技术要求施工，并满足施工进度的要求。</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施工过程中，应采取各种有效措施防止在其占用的土地上发生不必要的水土流失，尽量避免其对占用地范围外土地的侵占及植被资源的损坏，严格控制和管理车辆机械的运行范围，防止扩大对地表的扰动并注意施工及生活用火的安全。</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（3）施工期间，应对工程区排水设施进行经常性检查维护，保证其排水效果的通畅，防止工程施工开挖料和其他土石方在沟道淤积。</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（4）各类水土保持措施，从总体部署、施工设计到设备安装等全部完成，各道工序的质量都应及时测定，不合要求的及时改正，以确保工程安全和治理效果。</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5）水土保持方案经批准后，主动与各级水行政主管部门取得联系，自觉接受地方水行政主管部门的监督检查。在水土保持工程施工过程中，如需进行设计变更，施工单位需及时与建设单位、设计单位和监理单位协商，按相关程序要求实施变更或补充设计，并经批准后方可实施。</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6）要求施工单位制定详细的水土保持方案实施进度计划，加强水土保持工程的计划管理，以确保各项水土保持设施与主体工程能同步进行。加强对工程建设的监督管理，成立专业的技术监督队伍，预防人为活动造成新的水土流失，并及时对开发建设活动造成的水土流失进行治理，确保水土保持工程质量。</w:t>
      </w:r>
    </w:p>
    <w:p>
      <w:pPr>
        <w:pStyle w:val="3"/>
        <w:widowControl w:val="0"/>
        <w:kinsoku/>
        <w:topLinePunct/>
        <w:autoSpaceDE/>
        <w:autoSpaceDN/>
        <w:spacing w:before="120" w:after="120" w:line="300" w:lineRule="auto"/>
        <w:ind w:firstLine="0" w:firstLineChars="0"/>
        <w:rPr>
          <w:rFonts w:ascii="Times New Roman" w:hAnsi="Times New Roman" w:eastAsia="仿宋_GB2312" w:cs="Times New Roman"/>
          <w:color w:val="auto"/>
          <w:sz w:val="30"/>
          <w:szCs w:val="30"/>
          <w:lang w:eastAsia="zh-CN"/>
        </w:rPr>
      </w:pPr>
      <w:bookmarkStart w:id="78" w:name="_Toc171533312"/>
      <w:r>
        <w:rPr>
          <w:rFonts w:ascii="Times New Roman" w:hAnsi="Times New Roman" w:eastAsia="仿宋_GB2312" w:cs="Times New Roman"/>
          <w:color w:val="auto"/>
          <w:sz w:val="30"/>
          <w:szCs w:val="30"/>
          <w:lang w:eastAsia="zh-CN"/>
        </w:rPr>
        <w:t>8.6 水土保持设施验收</w:t>
      </w:r>
      <w:bookmarkEnd w:id="78"/>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建设项目土建工程完工后，应当及时开展水土保持设施的验收工作。依据批复的水土保持方案报告表、设计文件的内容和工程量，对水土保持设施完成情况进行检查。项目完工后及时开展水土保持设施验收，并将水土保持设施验收材料向水行政主管部门报备。水土保持设施未建成、未经验收或者验收不合格的，主体工程不得正式投入生产或者使用。</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水土保持设施的验收按照《水利部关于加强事中事后监管规范生产建设项目水土保持设施自主验收的通知（水保〔2017〕365号）》及《四川省水利厅转发水利部关于加强事中事后监管规范生产建设项目水土保持设施自住验收的通知》（川水函[2018]887号）、《水利部办公厅关于印发生产建设项目水土保持设施自主验收规程（试行）的通知》（办水保[2018]133号）相关文件精神执行。水土保持设施验收合格并交付使用后，本公司应当加强水土保持设施的管理和维护，确保水土保持设施安全、有效运行。</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土建完工后，建设单位应组织开展水土保持设施验收；委托第三方编制验收资料，建设单位组织成立验收工作组，按以下程序开展自主验收：</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（1）验收组织。在生产建设项目投产使用前，由生产建设单位组织有关参建单位及水土保持专家对水土保持设施进行验收，形成验收鉴定书。</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2）验收公示。对验收合格的项目，除按照国家规定需要保密的情形外，生产建设单位应在10个工作日内将水土保持设施验收鉴定书通过其官方网站或上级单位网站、行业网站、项目属地政府部门网站向社会公开，公示的时间不得少于20个工作日，并注明该项目建设单位和水土保持设施验收报备机关的联系电话，对于公众反映的主要问题和意见，生产建设单位应当及时给予处理或者回应。</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（3）验收报备。生产建设单位应当在向社会公开水土保持设施验收材料后、生产建设项目投产使用前，向水土保持设施验收报备机关报备验收材料。</w:t>
      </w:r>
    </w:p>
    <w:p>
      <w:pPr>
        <w:widowControl w:val="0"/>
        <w:kinsoku/>
        <w:topLinePunct/>
        <w:autoSpaceDE/>
        <w:autoSpaceDN/>
        <w:spacing w:line="360" w:lineRule="auto"/>
        <w:ind w:firstLine="480"/>
        <w:jc w:val="both"/>
        <w:rPr>
          <w:rFonts w:cs="Times New Roman"/>
          <w:color w:val="auto"/>
          <w:szCs w:val="24"/>
          <w:lang w:eastAsia="zh-CN"/>
        </w:rPr>
      </w:pPr>
      <w:r>
        <w:rPr>
          <w:rFonts w:cs="Times New Roman"/>
          <w:color w:val="auto"/>
          <w:szCs w:val="24"/>
          <w:lang w:eastAsia="zh-CN"/>
        </w:rPr>
        <w:t>（4）简化验收报备。水土保持设施自主验收报备应当提交水土保持设施验收鉴定书、水土保持设施验收报告和水土保持监测总结报告。其中，实行承诺制或者备案制管理的项目，只需要提交水土保持设施验收鉴定书，其水土保持设施验收组中应当有至少一名省级水行政主管部门水土保持方案专家库专家。</w:t>
      </w:r>
    </w:p>
    <w:sectPr>
      <w:pgSz w:w="11906" w:h="16838"/>
      <w:pgMar w:top="1440" w:right="1797" w:bottom="1440" w:left="1797" w:header="851" w:footer="992"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圆B5"/>
    <w:panose1 w:val="02010600030101010101"/>
    <w:charset w:val="86"/>
    <w:family w:val="auto"/>
    <w:pitch w:val="default"/>
    <w:sig w:usb0="00000000" w:usb1="00000000" w:usb2="00000016" w:usb3="00000000" w:csb0="0004000F" w:csb1="00000000"/>
  </w:font>
  <w:font w:name="等线">
    <w:altName w:val="汉仪仿宋S"/>
    <w:panose1 w:val="00000000000000000000"/>
    <w:charset w:val="86"/>
    <w:family w:val="auto"/>
    <w:pitch w:val="default"/>
    <w:sig w:usb0="00000000" w:usb1="00000000" w:usb2="00000000" w:usb3="00000000" w:csb0="00000000" w:csb1="00000000"/>
  </w:font>
  <w:font w:name="等线">
    <w:altName w:val="汉仪仿宋S"/>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Arial">
    <w:altName w:val="Times New Roman"/>
    <w:panose1 w:val="020B0604020202020204"/>
    <w:charset w:val="00"/>
    <w:family w:val="swiss"/>
    <w:pitch w:val="default"/>
    <w:sig w:usb0="00000000" w:usb1="00000000" w:usb2="00000009" w:usb3="00000000" w:csb0="000001FF" w:csb1="00000000"/>
  </w:font>
  <w:font w:name="等线 Light">
    <w:altName w:val="汉仪中圆B5"/>
    <w:panose1 w:val="02010600030101010101"/>
    <w:charset w:val="86"/>
    <w:family w:val="auto"/>
    <w:pitch w:val="default"/>
    <w:sig w:usb0="00000000" w:usb1="00000000" w:usb2="00000016" w:usb3="00000000" w:csb0="0004000F" w:csb1="00000000"/>
  </w:font>
  <w:font w:name="Century">
    <w:altName w:val="Times New Roman"/>
    <w:panose1 w:val="02040604050505020304"/>
    <w:charset w:val="00"/>
    <w:family w:val="roman"/>
    <w:pitch w:val="default"/>
    <w:sig w:usb0="00000000" w:usb1="00000000" w:usb2="00000000" w:usb3="00000000" w:csb0="0000009F" w:csb1="00000000"/>
  </w:font>
  <w:font w:name="Courier New">
    <w:altName w:val="DejaVu Sans"/>
    <w:panose1 w:val="02070309020205020404"/>
    <w:charset w:val="00"/>
    <w:family w:val="modern"/>
    <w:pitch w:val="default"/>
    <w:sig w:usb0="00000000" w:usb1="00000000" w:usb2="00000009" w:usb3="00000000" w:csb0="000001FF" w:csb1="00000000"/>
  </w:font>
  <w:font w:name="仿宋">
    <w:altName w:val="方正仿宋_GBK"/>
    <w:panose1 w:val="02010609060101010101"/>
    <w:charset w:val="86"/>
    <w:family w:val="modern"/>
    <w:pitch w:val="default"/>
    <w:sig w:usb0="00000000" w:usb1="00000000"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Yu Gothic">
    <w:altName w:val="汉仪仿宋S"/>
    <w:panose1 w:val="020B0400000000000000"/>
    <w:charset w:val="80"/>
    <w:family w:val="swiss"/>
    <w:pitch w:val="default"/>
    <w:sig w:usb0="00000000" w:usb1="00000000" w:usb2="00000016" w:usb3="00000000" w:csb0="0002009F" w:csb1="00000000"/>
  </w:font>
  <w:font w:name="汉仪仿宋S">
    <w:panose1 w:val="00020600040101000101"/>
    <w:charset w:val="86"/>
    <w:family w:val="auto"/>
    <w:pitch w:val="default"/>
    <w:sig w:usb0="A00002BF" w:usb1="38CF7CFA" w:usb2="00000016" w:usb3="00000000" w:csb0="0004009F" w:csb1="00000000"/>
  </w:font>
  <w:font w:name="文泉驿正黑">
    <w:panose1 w:val="02000603000000000000"/>
    <w:charset w:val="86"/>
    <w:family w:val="auto"/>
    <w:pitch w:val="default"/>
    <w:sig w:usb0="900002BF" w:usb1="2BDF7DFB" w:usb2="00000036" w:usb3="00000000" w:csb0="603E000D" w:csb1="D2D7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等线 Light">
    <w:altName w:val="汉仪仿宋S"/>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Noto Sans">
    <w:panose1 w:val="020B0502040504020204"/>
    <w:charset w:val="00"/>
    <w:family w:val="auto"/>
    <w:pitch w:val="default"/>
    <w:sig w:usb0="E00002FF" w:usb1="4000201F" w:usb2="08000029" w:usb3="00100000" w:csb0="0000019F" w:csb1="00000000"/>
  </w:font>
  <w:font w:name="汉仪中圆B5">
    <w:panose1 w:val="02010600000101010101"/>
    <w:charset w:val="88"/>
    <w:family w:val="auto"/>
    <w:pitch w:val="default"/>
    <w:sig w:usb0="00000001" w:usb1="080E0800" w:usb2="00000002" w:usb3="00000000" w:csb0="0010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line="300" w:lineRule="auto"/>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3287099"/>
      <w:docPartObj>
        <w:docPartGallery w:val="AutoText"/>
      </w:docPartObj>
    </w:sdtPr>
    <w:sdtEndPr>
      <w:rPr>
        <w:rFonts w:cs="Times New Roman"/>
      </w:rPr>
    </w:sdtEndPr>
    <w:sdtContent>
      <w:p>
        <w:pPr>
          <w:pStyle w:val="17"/>
          <w:spacing w:line="300" w:lineRule="auto"/>
          <w:ind w:firstLine="0" w:firstLineChars="0"/>
          <w:rPr>
            <w:rFonts w:cs="Times New Roman"/>
            <w:lang w:eastAsia="zh-CN"/>
          </w:rPr>
        </w:pPr>
        <w:r>
          <w:rPr>
            <w:rFonts w:cs="Times New Roman"/>
          </w:rPr>
          <w:fldChar w:fldCharType="begin"/>
        </w:r>
        <w:r>
          <w:rPr>
            <w:rFonts w:cs="Times New Roman"/>
            <w:lang w:eastAsia="zh-CN"/>
          </w:rPr>
          <w:instrText xml:space="preserve">PAGE   \* MERGEFORMAT</w:instrText>
        </w:r>
        <w:r>
          <w:rPr>
            <w:rFonts w:cs="Times New Roman"/>
          </w:rPr>
          <w:fldChar w:fldCharType="separate"/>
        </w:r>
        <w:r>
          <w:rPr>
            <w:rFonts w:cs="Times New Roman"/>
            <w:lang w:val="zh-CN" w:eastAsia="zh-CN"/>
          </w:rPr>
          <w:t>67</w:t>
        </w:r>
        <w:r>
          <w:rPr>
            <w:rFonts w:cs="Times New Roman"/>
          </w:rPr>
          <w:fldChar w:fldCharType="end"/>
        </w:r>
        <w:r>
          <w:rPr>
            <w:rFonts w:cs="Times New Roman"/>
            <w:lang w:eastAsia="zh-CN"/>
          </w:rPr>
          <w:t xml:space="preserve">                                                                                                                          四川省川核鑫达地质工程有限公司</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97609096"/>
      <w:docPartObj>
        <w:docPartGallery w:val="AutoText"/>
      </w:docPartObj>
    </w:sdtPr>
    <w:sdtEndPr>
      <w:rPr>
        <w:rFonts w:cs="Times New Roman"/>
      </w:rPr>
    </w:sdtEndPr>
    <w:sdtContent>
      <w:p>
        <w:pPr>
          <w:pStyle w:val="17"/>
          <w:spacing w:line="300" w:lineRule="auto"/>
          <w:ind w:firstLine="0" w:firstLineChars="0"/>
          <w:rPr>
            <w:rFonts w:cs="Times New Roman"/>
            <w:lang w:eastAsia="zh-CN"/>
          </w:rPr>
        </w:pPr>
        <w:r>
          <w:rPr>
            <w:rFonts w:cs="Times New Roman"/>
          </w:rPr>
          <w:fldChar w:fldCharType="begin"/>
        </w:r>
        <w:r>
          <w:rPr>
            <w:rFonts w:cs="Times New Roman"/>
            <w:lang w:eastAsia="zh-CN"/>
          </w:rPr>
          <w:instrText xml:space="preserve">PAGE   \* MERGEFORMAT</w:instrText>
        </w:r>
        <w:r>
          <w:rPr>
            <w:rFonts w:cs="Times New Roman"/>
          </w:rPr>
          <w:fldChar w:fldCharType="separate"/>
        </w:r>
        <w:r>
          <w:rPr>
            <w:rFonts w:cs="Times New Roman"/>
            <w:lang w:val="zh-CN" w:eastAsia="zh-CN"/>
          </w:rPr>
          <w:t>69</w:t>
        </w:r>
        <w:r>
          <w:rPr>
            <w:rFonts w:cs="Times New Roman"/>
          </w:rPr>
          <w:fldChar w:fldCharType="end"/>
        </w:r>
        <w:r>
          <w:rPr>
            <w:rFonts w:cs="Times New Roman"/>
            <w:lang w:eastAsia="zh-CN"/>
          </w:rPr>
          <w:t xml:space="preserve">                                                           四川省川核鑫达地质工程有限公司</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7784603"/>
      <w:docPartObj>
        <w:docPartGallery w:val="AutoText"/>
      </w:docPartObj>
    </w:sdtPr>
    <w:sdtEndPr>
      <w:rPr>
        <w:rFonts w:cs="Times New Roman"/>
      </w:rPr>
    </w:sdtEndPr>
    <w:sdtContent>
      <w:p>
        <w:pPr>
          <w:pStyle w:val="17"/>
          <w:spacing w:line="300" w:lineRule="auto"/>
          <w:ind w:firstLine="0" w:firstLineChars="0"/>
          <w:rPr>
            <w:rFonts w:cs="Times New Roman"/>
            <w:lang w:eastAsia="zh-CN"/>
          </w:rPr>
        </w:pPr>
        <w:r>
          <w:rPr>
            <w:rFonts w:cs="Times New Roman"/>
          </w:rPr>
          <w:fldChar w:fldCharType="begin"/>
        </w:r>
        <w:r>
          <w:rPr>
            <w:rFonts w:cs="Times New Roman"/>
            <w:lang w:eastAsia="zh-CN"/>
          </w:rPr>
          <w:instrText xml:space="preserve">PAGE   \* MERGEFORMAT</w:instrText>
        </w:r>
        <w:r>
          <w:rPr>
            <w:rFonts w:cs="Times New Roman"/>
          </w:rPr>
          <w:fldChar w:fldCharType="separate"/>
        </w:r>
        <w:r>
          <w:rPr>
            <w:rFonts w:cs="Times New Roman"/>
            <w:lang w:val="zh-CN" w:eastAsia="zh-CN"/>
          </w:rPr>
          <w:t>89</w:t>
        </w:r>
        <w:r>
          <w:rPr>
            <w:rFonts w:cs="Times New Roman"/>
          </w:rPr>
          <w:fldChar w:fldCharType="end"/>
        </w:r>
        <w:r>
          <w:rPr>
            <w:rFonts w:cs="Times New Roman"/>
            <w:lang w:eastAsia="zh-CN"/>
          </w:rPr>
          <w:t xml:space="preserve">                                                                                                                          四川省川核鑫达地质工程有限公司</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77889115"/>
      <w:docPartObj>
        <w:docPartGallery w:val="AutoText"/>
      </w:docPartObj>
    </w:sdtPr>
    <w:sdtEndPr>
      <w:rPr>
        <w:rFonts w:cs="Times New Roman"/>
      </w:rPr>
    </w:sdtEndPr>
    <w:sdtContent>
      <w:p>
        <w:pPr>
          <w:pStyle w:val="17"/>
          <w:spacing w:line="300" w:lineRule="auto"/>
          <w:ind w:firstLine="0" w:firstLineChars="0"/>
          <w:rPr>
            <w:rFonts w:cs="Times New Roman"/>
            <w:lang w:eastAsia="zh-CN"/>
          </w:rPr>
        </w:pPr>
        <w:r>
          <w:rPr>
            <w:rFonts w:cs="Times New Roman"/>
          </w:rPr>
          <w:fldChar w:fldCharType="begin"/>
        </w:r>
        <w:r>
          <w:rPr>
            <w:rFonts w:cs="Times New Roman"/>
            <w:lang w:eastAsia="zh-CN"/>
          </w:rPr>
          <w:instrText xml:space="preserve">PAGE   \* MERGEFORMAT</w:instrText>
        </w:r>
        <w:r>
          <w:rPr>
            <w:rFonts w:cs="Times New Roman"/>
          </w:rPr>
          <w:fldChar w:fldCharType="separate"/>
        </w:r>
        <w:r>
          <w:rPr>
            <w:rFonts w:cs="Times New Roman"/>
            <w:lang w:val="zh-CN" w:eastAsia="zh-CN"/>
          </w:rPr>
          <w:t>108</w:t>
        </w:r>
        <w:r>
          <w:rPr>
            <w:rFonts w:cs="Times New Roman"/>
          </w:rPr>
          <w:fldChar w:fldCharType="end"/>
        </w:r>
        <w:r>
          <w:rPr>
            <w:rFonts w:cs="Times New Roman"/>
            <w:lang w:eastAsia="zh-CN"/>
          </w:rPr>
          <w:t xml:space="preserve">                                                           四川省川核鑫达地质工程有限公司</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391816"/>
      <w:docPartObj>
        <w:docPartGallery w:val="AutoText"/>
      </w:docPartObj>
    </w:sdtPr>
    <w:sdtContent>
      <w:p>
        <w:pPr>
          <w:pStyle w:val="17"/>
          <w:spacing w:line="300" w:lineRule="auto"/>
          <w:ind w:firstLine="360"/>
          <w:jc w:val="right"/>
          <w:rPr>
            <w:lang w:eastAsia="zh-CN"/>
          </w:rPr>
        </w:pPr>
        <w:r>
          <w:rPr>
            <w:rFonts w:hint="eastAsia"/>
            <w:lang w:eastAsia="zh-CN"/>
          </w:rPr>
          <w:t xml:space="preserve">四川省川核鑫达地质工程有限公司 </w:t>
        </w:r>
        <w:r>
          <w:rPr>
            <w:lang w:eastAsia="zh-CN"/>
          </w:rPr>
          <w:t xml:space="preserve">                                                           </w:t>
        </w:r>
        <w:r>
          <w:fldChar w:fldCharType="begin"/>
        </w:r>
        <w:r>
          <w:rPr>
            <w:lang w:eastAsia="zh-CN"/>
          </w:rPr>
          <w:instrText xml:space="preserve">PAGE   \* MERGEFORMAT</w:instrText>
        </w:r>
        <w:r>
          <w:fldChar w:fldCharType="separate"/>
        </w:r>
        <w:r>
          <w:rPr>
            <w:lang w:eastAsia="zh-CN"/>
          </w:rPr>
          <w:t>IV</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line="300" w:lineRule="auto"/>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6865266"/>
      <w:docPartObj>
        <w:docPartGallery w:val="AutoText"/>
      </w:docPartObj>
    </w:sdtPr>
    <w:sdtEndPr>
      <w:rPr>
        <w:rFonts w:cs="Times New Roman"/>
      </w:rPr>
    </w:sdtEndPr>
    <w:sdtContent>
      <w:p>
        <w:pPr>
          <w:pStyle w:val="17"/>
          <w:spacing w:line="300" w:lineRule="auto"/>
          <w:ind w:firstLine="0" w:firstLineChars="0"/>
          <w:rPr>
            <w:rFonts w:cs="Times New Roman"/>
            <w:lang w:eastAsia="zh-CN"/>
          </w:rPr>
        </w:pPr>
        <w:r>
          <w:rPr>
            <w:rFonts w:cs="Times New Roman"/>
          </w:rPr>
          <w:fldChar w:fldCharType="begin"/>
        </w:r>
        <w:r>
          <w:rPr>
            <w:rFonts w:cs="Times New Roman"/>
            <w:lang w:eastAsia="zh-CN"/>
          </w:rPr>
          <w:instrText xml:space="preserve">PAGE   \* MERGEFORMAT</w:instrText>
        </w:r>
        <w:r>
          <w:rPr>
            <w:rFonts w:cs="Times New Roman"/>
          </w:rPr>
          <w:fldChar w:fldCharType="separate"/>
        </w:r>
        <w:r>
          <w:rPr>
            <w:rFonts w:cs="Times New Roman"/>
            <w:lang w:val="zh-CN" w:eastAsia="zh-CN"/>
          </w:rPr>
          <w:t>I</w:t>
        </w:r>
        <w:r>
          <w:rPr>
            <w:rFonts w:cs="Times New Roman"/>
          </w:rPr>
          <w:fldChar w:fldCharType="end"/>
        </w:r>
        <w:r>
          <w:rPr>
            <w:rFonts w:cs="Times New Roman"/>
            <w:lang w:eastAsia="zh-CN"/>
          </w:rPr>
          <w:t xml:space="preserve">                                                            四川省川核鑫达地质工程有限公司</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9122081"/>
      <w:docPartObj>
        <w:docPartGallery w:val="AutoText"/>
      </w:docPartObj>
    </w:sdtPr>
    <w:sdtEndPr>
      <w:rPr>
        <w:rFonts w:cs="Times New Roman"/>
      </w:rPr>
    </w:sdtEndPr>
    <w:sdtContent>
      <w:p>
        <w:pPr>
          <w:pStyle w:val="17"/>
          <w:spacing w:line="300" w:lineRule="auto"/>
          <w:ind w:firstLine="0" w:firstLineChars="0"/>
          <w:rPr>
            <w:rFonts w:cs="Times New Roman"/>
            <w:lang w:eastAsia="zh-CN"/>
          </w:rPr>
        </w:pPr>
        <w:r>
          <w:rPr>
            <w:rFonts w:cs="Times New Roman"/>
          </w:rPr>
          <w:fldChar w:fldCharType="begin"/>
        </w:r>
        <w:r>
          <w:rPr>
            <w:rFonts w:cs="Times New Roman"/>
            <w:lang w:eastAsia="zh-CN"/>
          </w:rPr>
          <w:instrText xml:space="preserve">PAGE   \* MERGEFORMAT</w:instrText>
        </w:r>
        <w:r>
          <w:rPr>
            <w:rFonts w:cs="Times New Roman"/>
          </w:rPr>
          <w:fldChar w:fldCharType="separate"/>
        </w:r>
        <w:r>
          <w:rPr>
            <w:rFonts w:cs="Times New Roman"/>
            <w:lang w:val="zh-CN" w:eastAsia="zh-CN"/>
          </w:rPr>
          <w:t>36</w:t>
        </w:r>
        <w:r>
          <w:rPr>
            <w:rFonts w:cs="Times New Roman"/>
          </w:rPr>
          <w:fldChar w:fldCharType="end"/>
        </w:r>
        <w:r>
          <w:rPr>
            <w:rFonts w:cs="Times New Roman"/>
            <w:lang w:eastAsia="zh-CN"/>
          </w:rPr>
          <w:t xml:space="preserve">                                                                                                                   四川省川核鑫达地质工程有限公司</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87051159"/>
      <w:docPartObj>
        <w:docPartGallery w:val="AutoText"/>
      </w:docPartObj>
    </w:sdtPr>
    <w:sdtEndPr>
      <w:rPr>
        <w:rFonts w:cs="Times New Roman"/>
      </w:rPr>
    </w:sdtEndPr>
    <w:sdtContent>
      <w:p>
        <w:pPr>
          <w:pStyle w:val="17"/>
          <w:spacing w:line="300" w:lineRule="auto"/>
          <w:ind w:firstLine="0" w:firstLineChars="0"/>
          <w:rPr>
            <w:rFonts w:cs="Times New Roman"/>
            <w:lang w:eastAsia="zh-CN"/>
          </w:rPr>
        </w:pPr>
        <w:r>
          <w:rPr>
            <w:rFonts w:cs="Times New Roman"/>
          </w:rPr>
          <w:fldChar w:fldCharType="begin"/>
        </w:r>
        <w:r>
          <w:rPr>
            <w:rFonts w:cs="Times New Roman"/>
            <w:lang w:eastAsia="zh-CN"/>
          </w:rPr>
          <w:instrText xml:space="preserve">PAGE   \* MERGEFORMAT</w:instrText>
        </w:r>
        <w:r>
          <w:rPr>
            <w:rFonts w:cs="Times New Roman"/>
          </w:rPr>
          <w:fldChar w:fldCharType="separate"/>
        </w:r>
        <w:r>
          <w:rPr>
            <w:rFonts w:cs="Times New Roman"/>
            <w:lang w:val="zh-CN" w:eastAsia="zh-CN"/>
          </w:rPr>
          <w:t>37</w:t>
        </w:r>
        <w:r>
          <w:rPr>
            <w:rFonts w:cs="Times New Roman"/>
          </w:rPr>
          <w:fldChar w:fldCharType="end"/>
        </w:r>
        <w:r>
          <w:rPr>
            <w:rFonts w:cs="Times New Roman"/>
            <w:lang w:eastAsia="zh-CN"/>
          </w:rPr>
          <w:t xml:space="preserve">                                                                                                                  四川省川核鑫达地质工程有限公司</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2034806"/>
      <w:docPartObj>
        <w:docPartGallery w:val="AutoText"/>
      </w:docPartObj>
    </w:sdtPr>
    <w:sdtEndPr>
      <w:rPr>
        <w:rFonts w:cs="Times New Roman"/>
      </w:rPr>
    </w:sdtEndPr>
    <w:sdtContent>
      <w:p>
        <w:pPr>
          <w:pStyle w:val="17"/>
          <w:spacing w:line="300" w:lineRule="auto"/>
          <w:ind w:firstLine="0" w:firstLineChars="0"/>
          <w:rPr>
            <w:rFonts w:cs="Times New Roman"/>
            <w:lang w:eastAsia="zh-CN"/>
          </w:rPr>
        </w:pPr>
        <w:r>
          <w:rPr>
            <w:rFonts w:cs="Times New Roman"/>
          </w:rPr>
          <w:fldChar w:fldCharType="begin"/>
        </w:r>
        <w:r>
          <w:rPr>
            <w:rFonts w:cs="Times New Roman"/>
            <w:lang w:eastAsia="zh-CN"/>
          </w:rPr>
          <w:instrText xml:space="preserve">PAGE   \* MERGEFORMAT</w:instrText>
        </w:r>
        <w:r>
          <w:rPr>
            <w:rFonts w:cs="Times New Roman"/>
          </w:rPr>
          <w:fldChar w:fldCharType="separate"/>
        </w:r>
        <w:r>
          <w:rPr>
            <w:rFonts w:cs="Times New Roman"/>
            <w:lang w:val="zh-CN" w:eastAsia="zh-CN"/>
          </w:rPr>
          <w:t>40</w:t>
        </w:r>
        <w:r>
          <w:rPr>
            <w:rFonts w:cs="Times New Roman"/>
          </w:rPr>
          <w:fldChar w:fldCharType="end"/>
        </w:r>
        <w:r>
          <w:rPr>
            <w:rFonts w:cs="Times New Roman"/>
            <w:lang w:eastAsia="zh-CN"/>
          </w:rPr>
          <w:t xml:space="preserve">                                                            四川省川核鑫达地质工程有限公司</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1072914"/>
      <w:docPartObj>
        <w:docPartGallery w:val="AutoText"/>
      </w:docPartObj>
    </w:sdtPr>
    <w:sdtEndPr>
      <w:rPr>
        <w:rFonts w:cs="Times New Roman"/>
      </w:rPr>
    </w:sdtEndPr>
    <w:sdtContent>
      <w:p>
        <w:pPr>
          <w:pStyle w:val="17"/>
          <w:spacing w:line="300" w:lineRule="auto"/>
          <w:ind w:firstLine="0" w:firstLineChars="0"/>
          <w:rPr>
            <w:rFonts w:cs="Times New Roman"/>
            <w:lang w:eastAsia="zh-CN"/>
          </w:rPr>
        </w:pPr>
        <w:r>
          <w:rPr>
            <w:rFonts w:cs="Times New Roman"/>
          </w:rPr>
          <w:fldChar w:fldCharType="begin"/>
        </w:r>
        <w:r>
          <w:rPr>
            <w:rFonts w:cs="Times New Roman"/>
            <w:lang w:eastAsia="zh-CN"/>
          </w:rPr>
          <w:instrText xml:space="preserve">PAGE   \* MERGEFORMAT</w:instrText>
        </w:r>
        <w:r>
          <w:rPr>
            <w:rFonts w:cs="Times New Roman"/>
          </w:rPr>
          <w:fldChar w:fldCharType="separate"/>
        </w:r>
        <w:r>
          <w:rPr>
            <w:rFonts w:cs="Times New Roman"/>
            <w:lang w:val="zh-CN" w:eastAsia="zh-CN"/>
          </w:rPr>
          <w:t>42</w:t>
        </w:r>
        <w:r>
          <w:rPr>
            <w:rFonts w:cs="Times New Roman"/>
          </w:rPr>
          <w:fldChar w:fldCharType="end"/>
        </w:r>
        <w:r>
          <w:rPr>
            <w:rFonts w:cs="Times New Roman"/>
            <w:lang w:eastAsia="zh-CN"/>
          </w:rPr>
          <w:t xml:space="preserve">                                                                                                                  四川省川核鑫达地质工程有限公司</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030712"/>
      <w:docPartObj>
        <w:docPartGallery w:val="AutoText"/>
      </w:docPartObj>
    </w:sdtPr>
    <w:sdtEndPr>
      <w:rPr>
        <w:rFonts w:cs="Times New Roman"/>
      </w:rPr>
    </w:sdtEndPr>
    <w:sdtContent>
      <w:p>
        <w:pPr>
          <w:pStyle w:val="17"/>
          <w:spacing w:line="300" w:lineRule="auto"/>
          <w:ind w:firstLine="0" w:firstLineChars="0"/>
          <w:rPr>
            <w:rFonts w:cs="Times New Roman"/>
            <w:lang w:eastAsia="zh-CN"/>
          </w:rPr>
        </w:pPr>
        <w:r>
          <w:rPr>
            <w:rFonts w:cs="Times New Roman"/>
          </w:rPr>
          <w:fldChar w:fldCharType="begin"/>
        </w:r>
        <w:r>
          <w:rPr>
            <w:rFonts w:cs="Times New Roman"/>
            <w:lang w:eastAsia="zh-CN"/>
          </w:rPr>
          <w:instrText xml:space="preserve">PAGE   \* MERGEFORMAT</w:instrText>
        </w:r>
        <w:r>
          <w:rPr>
            <w:rFonts w:cs="Times New Roman"/>
          </w:rPr>
          <w:fldChar w:fldCharType="separate"/>
        </w:r>
        <w:r>
          <w:rPr>
            <w:rFonts w:cs="Times New Roman"/>
            <w:lang w:val="zh-CN" w:eastAsia="zh-CN"/>
          </w:rPr>
          <w:t>66</w:t>
        </w:r>
        <w:r>
          <w:rPr>
            <w:rFonts w:cs="Times New Roman"/>
          </w:rPr>
          <w:fldChar w:fldCharType="end"/>
        </w:r>
        <w:r>
          <w:rPr>
            <w:rFonts w:cs="Times New Roman"/>
            <w:lang w:eastAsia="zh-CN"/>
          </w:rPr>
          <w:t xml:space="preserve">                                                           四川省川核鑫达地质工程有限公司</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line="300" w:lineRule="auto"/>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center"/>
      <w:rPr>
        <w:rFonts w:ascii="仿宋" w:hAnsi="仿宋" w:eastAsia="仿宋" w:cs="仿宋"/>
        <w:sz w:val="18"/>
        <w:szCs w:val="18"/>
        <w:lang w:eastAsia="zh-CN"/>
      </w:rPr>
    </w:pPr>
    <w:r>
      <w:rPr>
        <w:rFonts w:hint="eastAsia" w:ascii="仿宋" w:hAnsi="仿宋" w:eastAsia="仿宋" w:cs="仿宋"/>
        <w:snapToGrid/>
        <w:spacing w:val="-2"/>
        <w:sz w:val="18"/>
        <w:szCs w:val="18"/>
        <w:lang w:val="zh-CN" w:eastAsia="zh-CN"/>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193675</wp:posOffset>
              </wp:positionV>
              <wp:extent cx="5271135" cy="0"/>
              <wp:effectExtent l="0" t="0" r="0" b="0"/>
              <wp:wrapNone/>
              <wp:docPr id="2120864347" name="直接连接符 5"/>
              <wp:cNvGraphicFramePr/>
              <a:graphic xmlns:a="http://schemas.openxmlformats.org/drawingml/2006/main">
                <a:graphicData uri="http://schemas.microsoft.com/office/word/2010/wordprocessingShape">
                  <wps:wsp>
                    <wps:cNvCnPr/>
                    <wps:spPr>
                      <a:xfrm>
                        <a:off x="0" y="0"/>
                        <a:ext cx="5271135"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5" o:spid="_x0000_s1026" o:spt="20" style="position:absolute;left:0pt;margin-left:0.3pt;margin-top:15.25pt;height:0pt;width:415.05pt;z-index:251671552;mso-width-relative:page;mso-height-relative:page;" filled="f" stroked="t" coordsize="21600,21600" o:gfxdata="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xvJ/M1AAAAAYB&#10;AAAPAAAAAAAAAAEAIAAAADgAAABkcnMvZG93bnJldi54bWxQSwECFAAUAAAACACHTuJAvcKupdAB&#10;AABsAwAADgAAAAAAAAABACAAAAA5AQAAZHJzL2Uyb0RvYy54bWxQSwUGAAAAAAYABgBZAQAAewUA&#10;AAAA&#10;">
              <v:fill on="f" focussize="0,0"/>
              <v:stroke color="#000000 [3200]" miterlimit="8" joinstyle="miter"/>
              <v:imagedata o:title=""/>
              <o:lock v:ext="edit" aspectratio="f"/>
            </v:line>
          </w:pict>
        </mc:Fallback>
      </mc:AlternateContent>
    </w:r>
    <w:r>
      <w:rPr>
        <w:rFonts w:hint="eastAsia" w:ascii="仿宋" w:hAnsi="仿宋" w:eastAsia="仿宋" w:cs="仿宋"/>
        <w:spacing w:val="-2"/>
        <w:sz w:val="18"/>
        <w:szCs w:val="18"/>
        <w:lang w:eastAsia="zh-CN"/>
      </w:rPr>
      <w:t>达州正达凯乙二醇220千伏输电线路工程</w:t>
    </w:r>
    <w:r>
      <w:rPr>
        <w:rFonts w:ascii="仿宋" w:hAnsi="仿宋" w:eastAsia="仿宋" w:cs="仿宋"/>
        <w:spacing w:val="-2"/>
        <w:sz w:val="18"/>
        <w:szCs w:val="18"/>
        <w:lang w:eastAsia="zh-CN"/>
      </w:rPr>
      <w:t>水土保持方案报</w:t>
    </w:r>
    <w:r>
      <w:rPr>
        <w:rFonts w:ascii="仿宋" w:hAnsi="仿宋" w:eastAsia="仿宋" w:cs="仿宋"/>
        <w:spacing w:val="-3"/>
        <w:sz w:val="18"/>
        <w:szCs w:val="18"/>
        <w:lang w:eastAsia="zh-CN"/>
      </w:rPr>
      <w:t>告表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center"/>
      <w:rPr>
        <w:rFonts w:ascii="仿宋" w:hAnsi="仿宋" w:eastAsia="仿宋" w:cs="仿宋"/>
        <w:sz w:val="18"/>
        <w:szCs w:val="18"/>
        <w:lang w:eastAsia="zh-CN"/>
      </w:rPr>
    </w:pPr>
    <w:r>
      <w:rPr>
        <w:rFonts w:hint="eastAsia" w:ascii="仿宋" w:hAnsi="仿宋" w:eastAsia="仿宋" w:cs="仿宋"/>
        <w:snapToGrid/>
        <w:spacing w:val="-2"/>
        <w:sz w:val="18"/>
        <w:szCs w:val="18"/>
        <w:lang w:val="zh-CN" w:eastAsia="zh-CN"/>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193675</wp:posOffset>
              </wp:positionV>
              <wp:extent cx="8835390" cy="0"/>
              <wp:effectExtent l="0" t="0" r="0" b="0"/>
              <wp:wrapNone/>
              <wp:docPr id="5586094" name="直接连接符 3"/>
              <wp:cNvGraphicFramePr/>
              <a:graphic xmlns:a="http://schemas.openxmlformats.org/drawingml/2006/main">
                <a:graphicData uri="http://schemas.microsoft.com/office/word/2010/wordprocessingShape">
                  <wps:wsp>
                    <wps:cNvCnPr/>
                    <wps:spPr>
                      <a:xfrm>
                        <a:off x="0" y="0"/>
                        <a:ext cx="883539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3" o:spid="_x0000_s1026" o:spt="20" style="position:absolute;left:0pt;margin-left:0.3pt;margin-top:15.25pt;height:0pt;width:695.7pt;z-index:251674624;mso-width-relative:page;mso-height-relative:page;" filled="f" stroked="t" coordsize="21600,21600" o:gfxdata="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FxdNMHWAAAABwEA&#10;AA8AAAAAAAAAAQAgAAAAOAAAAGRycy9kb3ducmV2LnhtbFBLAQIUABQAAAAIAIdO4kC1CCjlzQEA&#10;AGkDAAAOAAAAAAAAAAEAIAAAADsBAABkcnMvZTJvRG9jLnhtbFBLBQYAAAAABgAGAFkBAAB6BQAA&#10;AAA=&#10;">
              <v:fill on="f" focussize="0,0"/>
              <v:stroke color="#000000 [3200]" miterlimit="8" joinstyle="miter"/>
              <v:imagedata o:title=""/>
              <o:lock v:ext="edit" aspectratio="f"/>
            </v:line>
          </w:pict>
        </mc:Fallback>
      </mc:AlternateContent>
    </w:r>
    <w:r>
      <w:rPr>
        <w:rFonts w:hint="eastAsia" w:ascii="仿宋" w:hAnsi="仿宋" w:eastAsia="仿宋" w:cs="仿宋"/>
        <w:spacing w:val="-2"/>
        <w:sz w:val="18"/>
        <w:szCs w:val="18"/>
        <w:lang w:eastAsia="zh-CN"/>
      </w:rPr>
      <w:t>达州正达凯乙二醇220千伏输电线路工程</w:t>
    </w:r>
    <w:r>
      <w:rPr>
        <w:rFonts w:ascii="仿宋" w:hAnsi="仿宋" w:eastAsia="仿宋" w:cs="仿宋"/>
        <w:spacing w:val="-2"/>
        <w:sz w:val="18"/>
        <w:szCs w:val="18"/>
        <w:lang w:eastAsia="zh-CN"/>
      </w:rPr>
      <w:t>水土保持方案报</w:t>
    </w:r>
    <w:r>
      <w:rPr>
        <w:rFonts w:ascii="仿宋" w:hAnsi="仿宋" w:eastAsia="仿宋" w:cs="仿宋"/>
        <w:spacing w:val="-3"/>
        <w:sz w:val="18"/>
        <w:szCs w:val="18"/>
        <w:lang w:eastAsia="zh-CN"/>
      </w:rPr>
      <w:t>告表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center"/>
      <w:rPr>
        <w:rFonts w:ascii="仿宋" w:hAnsi="仿宋" w:eastAsia="仿宋" w:cs="仿宋"/>
        <w:sz w:val="18"/>
        <w:szCs w:val="18"/>
        <w:lang w:eastAsia="zh-CN"/>
      </w:rPr>
    </w:pPr>
    <w:r>
      <w:rPr>
        <w:rFonts w:hint="eastAsia" w:ascii="仿宋" w:hAnsi="仿宋" w:eastAsia="仿宋" w:cs="仿宋"/>
        <w:snapToGrid/>
        <w:spacing w:val="-2"/>
        <w:sz w:val="18"/>
        <w:szCs w:val="18"/>
        <w:lang w:val="zh-CN" w:eastAsia="zh-CN"/>
      </w:rPr>
      <mc:AlternateContent>
        <mc:Choice Requires="wps">
          <w:drawing>
            <wp:anchor distT="0" distB="0" distL="114300" distR="114300" simplePos="0" relativeHeight="251676672" behindDoc="0" locked="0" layoutInCell="1" allowOverlap="1">
              <wp:simplePos x="0" y="0"/>
              <wp:positionH relativeFrom="column">
                <wp:posOffset>3810</wp:posOffset>
              </wp:positionH>
              <wp:positionV relativeFrom="paragraph">
                <wp:posOffset>193675</wp:posOffset>
              </wp:positionV>
              <wp:extent cx="5271135" cy="0"/>
              <wp:effectExtent l="0" t="0" r="0" b="0"/>
              <wp:wrapNone/>
              <wp:docPr id="491049734" name="直接连接符 1"/>
              <wp:cNvGraphicFramePr/>
              <a:graphic xmlns:a="http://schemas.openxmlformats.org/drawingml/2006/main">
                <a:graphicData uri="http://schemas.microsoft.com/office/word/2010/wordprocessingShape">
                  <wps:wsp>
                    <wps:cNvCnPr/>
                    <wps:spPr>
                      <a:xfrm>
                        <a:off x="0" y="0"/>
                        <a:ext cx="5271135"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1" o:spid="_x0000_s1026" o:spt="20" style="position:absolute;left:0pt;margin-left:0.3pt;margin-top:15.25pt;height:0pt;width:415.05pt;z-index:251676672;mso-width-relative:page;mso-height-relative:page;" filled="f" stroked="t" coordsize="21600,21600" o:gfxdata="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8byfzNQAAAAGAQAA&#10;DwAAAAAAAAABACAAAAA4AAAAZHJzL2Rvd25yZXYueG1sUEsBAhQAFAAAAAgAh07iQAA4VCjOAQAA&#10;awMAAA4AAAAAAAAAAQAgAAAAOQEAAGRycy9lMm9Eb2MueG1sUEsFBgAAAAAGAAYAWQEAAHkFAAAA&#10;AA==&#10;">
              <v:fill on="f" focussize="0,0"/>
              <v:stroke color="#000000 [3200]" miterlimit="8" joinstyle="miter"/>
              <v:imagedata o:title=""/>
              <o:lock v:ext="edit" aspectratio="f"/>
            </v:line>
          </w:pict>
        </mc:Fallback>
      </mc:AlternateContent>
    </w:r>
    <w:r>
      <w:rPr>
        <w:rFonts w:hint="eastAsia" w:ascii="仿宋" w:hAnsi="仿宋" w:eastAsia="仿宋" w:cs="仿宋"/>
        <w:spacing w:val="-2"/>
        <w:sz w:val="18"/>
        <w:szCs w:val="18"/>
        <w:lang w:eastAsia="zh-CN"/>
      </w:rPr>
      <w:t>达州正达凯乙二醇220千伏输电线路工程</w:t>
    </w:r>
    <w:r>
      <w:rPr>
        <w:rFonts w:ascii="仿宋" w:hAnsi="仿宋" w:eastAsia="仿宋" w:cs="仿宋"/>
        <w:spacing w:val="-2"/>
        <w:sz w:val="18"/>
        <w:szCs w:val="18"/>
        <w:lang w:eastAsia="zh-CN"/>
      </w:rPr>
      <w:t>水土保持方案报</w:t>
    </w:r>
    <w:r>
      <w:rPr>
        <w:rFonts w:ascii="仿宋" w:hAnsi="仿宋" w:eastAsia="仿宋" w:cs="仿宋"/>
        <w:spacing w:val="-3"/>
        <w:sz w:val="18"/>
        <w:szCs w:val="18"/>
        <w:lang w:eastAsia="zh-CN"/>
      </w:rPr>
      <w:t>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line="300" w:lineRule="auto"/>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line="300" w:lineRule="auto"/>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center"/>
      <w:rPr>
        <w:rFonts w:ascii="仿宋" w:hAnsi="仿宋" w:eastAsia="仿宋" w:cs="仿宋"/>
        <w:sz w:val="18"/>
        <w:szCs w:val="18"/>
        <w:lang w:eastAsia="zh-CN"/>
      </w:rPr>
    </w:pPr>
    <w:r>
      <w:rPr>
        <w:rFonts w:hint="eastAsia" w:ascii="仿宋" w:hAnsi="仿宋" w:eastAsia="仿宋" w:cs="仿宋"/>
        <w:spacing w:val="-2"/>
        <w:sz w:val="18"/>
        <w:szCs w:val="18"/>
        <w:lang w:eastAsia="zh-CN"/>
      </w:rPr>
      <w:t>达州正达凯乙二醇220千伏输电线路工程</w:t>
    </w:r>
    <w:r>
      <w:rPr>
        <w:rFonts w:ascii="仿宋" w:hAnsi="仿宋" w:eastAsia="仿宋" w:cs="仿宋"/>
        <w:spacing w:val="-2"/>
        <w:sz w:val="18"/>
        <w:szCs w:val="18"/>
        <w:lang w:eastAsia="zh-CN"/>
      </w:rPr>
      <w:t>水土保持方案报</w:t>
    </w:r>
    <w:r>
      <w:rPr>
        <w:rFonts w:ascii="仿宋" w:hAnsi="仿宋" w:eastAsia="仿宋" w:cs="仿宋"/>
        <w:spacing w:val="-3"/>
        <w:sz w:val="18"/>
        <w:szCs w:val="18"/>
        <w:lang w:eastAsia="zh-CN"/>
      </w:rPr>
      <w:t>告表</w:t>
    </w:r>
  </w:p>
  <w:p>
    <w:pPr>
      <w:spacing w:line="174" w:lineRule="auto"/>
      <w:ind w:left="34" w:firstLine="360"/>
      <w:jc w:val="both"/>
      <w:rPr>
        <w:rFonts w:ascii="宋体" w:hAnsi="宋体" w:eastAsia="宋体" w:cs="宋体"/>
        <w:sz w:val="18"/>
        <w:szCs w:val="18"/>
        <w:lang w:eastAsia="zh-CN"/>
      </w:rPr>
    </w:pPr>
    <w:r>
      <w:rPr>
        <w:rFonts w:hint="eastAsia" w:ascii="宋体" w:hAnsi="宋体" w:eastAsia="宋体" w:cs="宋体"/>
        <w:snapToGrid/>
        <w:sz w:val="18"/>
        <w:szCs w:val="18"/>
        <w:lang w:eastAsia="zh-CN"/>
      </w:rPr>
      <mc:AlternateContent>
        <mc:Choice Requires="wps">
          <w:drawing>
            <wp:anchor distT="0" distB="0" distL="114300" distR="114300" simplePos="0" relativeHeight="251666432" behindDoc="0" locked="0" layoutInCell="1" allowOverlap="1">
              <wp:simplePos x="0" y="0"/>
              <wp:positionH relativeFrom="column">
                <wp:posOffset>15240</wp:posOffset>
              </wp:positionH>
              <wp:positionV relativeFrom="paragraph">
                <wp:posOffset>17780</wp:posOffset>
              </wp:positionV>
              <wp:extent cx="5262880" cy="0"/>
              <wp:effectExtent l="0" t="0" r="0" b="0"/>
              <wp:wrapNone/>
              <wp:docPr id="1668445466" name="直接连接符 17"/>
              <wp:cNvGraphicFramePr/>
              <a:graphic xmlns:a="http://schemas.openxmlformats.org/drawingml/2006/main">
                <a:graphicData uri="http://schemas.microsoft.com/office/word/2010/wordprocessingShape">
                  <wps:wsp>
                    <wps:cNvCnPr/>
                    <wps:spPr>
                      <a:xfrm>
                        <a:off x="0" y="0"/>
                        <a:ext cx="52628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17" o:spid="_x0000_s1026" o:spt="20" style="position:absolute;left:0pt;margin-left:1.2pt;margin-top:1.4pt;height:0pt;width:414.4pt;z-index:251666432;mso-width-relative:page;mso-height-relative:page;" filled="f" stroked="t" coordsize="21600,21600" o:gfxdata="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5LmCt1AAAAAUB&#10;AAAPAAAAAAAAAAEAIAAAADgAAABkcnMvZG93bnJldi54bWxQSwECFAAUAAAACACHTuJARzW4ntAB&#10;AABtAwAADgAAAAAAAAABACAAAAA5AQAAZHJzL2Uyb0RvYy54bWxQSwUGAAAAAAYABgBZAQAAewUA&#10;AAAA&#10;">
              <v:fill on="f" focussize="0,0"/>
              <v:stroke color="#000000 [3200]" miterlimit="8" joinstyle="miter"/>
              <v:imagedata o:title=""/>
              <o:lock v:ext="edit" aspectratio="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center"/>
      <w:rPr>
        <w:rFonts w:ascii="仿宋" w:hAnsi="仿宋" w:eastAsia="仿宋" w:cs="仿宋"/>
        <w:sz w:val="18"/>
        <w:szCs w:val="18"/>
        <w:lang w:eastAsia="zh-CN"/>
      </w:rPr>
    </w:pPr>
    <w:r>
      <w:rPr>
        <w:rFonts w:hint="eastAsia" w:ascii="仿宋" w:hAnsi="仿宋" w:eastAsia="仿宋" w:cs="仿宋"/>
        <w:spacing w:val="-2"/>
        <w:sz w:val="18"/>
        <w:szCs w:val="18"/>
        <w:lang w:eastAsia="zh-CN"/>
      </w:rPr>
      <w:t>达州正达凯乙二醇220千伏输电线路工程</w:t>
    </w:r>
    <w:r>
      <w:rPr>
        <w:rFonts w:ascii="仿宋" w:hAnsi="仿宋" w:eastAsia="仿宋" w:cs="仿宋"/>
        <w:spacing w:val="-2"/>
        <w:sz w:val="18"/>
        <w:szCs w:val="18"/>
        <w:lang w:eastAsia="zh-CN"/>
      </w:rPr>
      <w:t>水土保持方案报</w:t>
    </w:r>
    <w:r>
      <w:rPr>
        <w:rFonts w:ascii="仿宋" w:hAnsi="仿宋" w:eastAsia="仿宋" w:cs="仿宋"/>
        <w:spacing w:val="-3"/>
        <w:sz w:val="18"/>
        <w:szCs w:val="18"/>
        <w:lang w:eastAsia="zh-CN"/>
      </w:rPr>
      <w:t>告表</w:t>
    </w:r>
  </w:p>
  <w:p>
    <w:pPr>
      <w:spacing w:line="174" w:lineRule="auto"/>
      <w:ind w:left="34" w:firstLine="360"/>
      <w:jc w:val="both"/>
      <w:rPr>
        <w:rFonts w:ascii="宋体" w:hAnsi="宋体" w:eastAsia="宋体" w:cs="宋体"/>
        <w:sz w:val="18"/>
        <w:szCs w:val="18"/>
        <w:lang w:eastAsia="zh-CN"/>
      </w:rPr>
    </w:pPr>
    <w:r>
      <w:rPr>
        <w:rFonts w:hint="eastAsia" w:ascii="宋体" w:hAnsi="宋体" w:eastAsia="宋体" w:cs="宋体"/>
        <w:snapToGrid/>
        <w:sz w:val="18"/>
        <w:szCs w:val="18"/>
        <w:lang w:eastAsia="zh-CN"/>
      </w:rPr>
      <mc:AlternateContent>
        <mc:Choice Requires="wps">
          <w:drawing>
            <wp:anchor distT="0" distB="0" distL="114300" distR="114300" simplePos="0" relativeHeight="251668480" behindDoc="0" locked="0" layoutInCell="1" allowOverlap="1">
              <wp:simplePos x="0" y="0"/>
              <wp:positionH relativeFrom="column">
                <wp:posOffset>34925</wp:posOffset>
              </wp:positionH>
              <wp:positionV relativeFrom="paragraph">
                <wp:posOffset>45720</wp:posOffset>
              </wp:positionV>
              <wp:extent cx="8794750" cy="28575"/>
              <wp:effectExtent l="0" t="0" r="6350" b="9525"/>
              <wp:wrapNone/>
              <wp:docPr id="126023718" name="直接连接符 15"/>
              <wp:cNvGraphicFramePr/>
              <a:graphic xmlns:a="http://schemas.openxmlformats.org/drawingml/2006/main">
                <a:graphicData uri="http://schemas.microsoft.com/office/word/2010/wordprocessingShape">
                  <wps:wsp>
                    <wps:cNvCnPr/>
                    <wps:spPr>
                      <a:xfrm>
                        <a:off x="0" y="0"/>
                        <a:ext cx="8794750" cy="2857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15" o:spid="_x0000_s1026" o:spt="20" style="position:absolute;left:0pt;margin-left:2.75pt;margin-top:3.6pt;height:2.25pt;width:692.5pt;z-index:251668480;mso-width-relative:page;mso-height-relative:page;" filled="f" stroked="t" coordsize="21600,21600" o:gfxdata="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D0jHXjW&#10;AAAABwEAAA8AAAAAAAAAAQAgAAAAOAAAAGRycy9kb3ducmV2LnhtbFBLAQIUABQAAAAIAIdO4kC/&#10;s6KG0wEAAHADAAAOAAAAAAAAAAEAIAAAADsBAABkcnMvZTJvRG9jLnhtbFBLBQYAAAAABgAGAFkB&#10;AACABQAAAAA=&#10;">
              <v:fill on="f" focussize="0,0"/>
              <v:stroke color="#000000 [3200]" miterlimit="8" joinstyle="miter"/>
              <v:imagedata o:title=""/>
              <o:lock v:ext="edit" aspectratio="f"/>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center"/>
      <w:rPr>
        <w:rFonts w:ascii="仿宋" w:hAnsi="仿宋" w:eastAsia="仿宋" w:cs="仿宋"/>
        <w:sz w:val="18"/>
        <w:szCs w:val="18"/>
        <w:lang w:eastAsia="zh-CN"/>
      </w:rPr>
    </w:pPr>
    <w:r>
      <w:rPr>
        <w:rFonts w:hint="eastAsia" w:ascii="仿宋" w:hAnsi="仿宋" w:eastAsia="仿宋" w:cs="仿宋"/>
        <w:spacing w:val="-2"/>
        <w:sz w:val="18"/>
        <w:szCs w:val="18"/>
        <w:lang w:eastAsia="zh-CN"/>
      </w:rPr>
      <w:t>达州正达凯乙二醇220千伏输电线路工程</w:t>
    </w:r>
    <w:r>
      <w:rPr>
        <w:rFonts w:ascii="仿宋" w:hAnsi="仿宋" w:eastAsia="仿宋" w:cs="仿宋"/>
        <w:spacing w:val="-2"/>
        <w:sz w:val="18"/>
        <w:szCs w:val="18"/>
        <w:lang w:eastAsia="zh-CN"/>
      </w:rPr>
      <w:t>水土保持方案报</w:t>
    </w:r>
    <w:r>
      <w:rPr>
        <w:rFonts w:ascii="仿宋" w:hAnsi="仿宋" w:eastAsia="仿宋" w:cs="仿宋"/>
        <w:spacing w:val="-3"/>
        <w:sz w:val="18"/>
        <w:szCs w:val="18"/>
        <w:lang w:eastAsia="zh-CN"/>
      </w:rPr>
      <w:t>告表</w:t>
    </w:r>
  </w:p>
  <w:p>
    <w:pPr>
      <w:spacing w:line="174" w:lineRule="auto"/>
      <w:ind w:left="34" w:firstLine="480"/>
      <w:jc w:val="both"/>
      <w:rPr>
        <w:rFonts w:ascii="宋体" w:hAnsi="宋体" w:eastAsia="宋体" w:cs="宋体"/>
        <w:sz w:val="18"/>
        <w:szCs w:val="18"/>
        <w:lang w:eastAsia="zh-CN"/>
      </w:rPr>
    </w:pPr>
    <w:r>
      <w:rPr>
        <w:rFonts w:hint="eastAsia" w:eastAsia="Arial"/>
      </w:rPr>
      <mc:AlternateContent>
        <mc:Choice Requires="wps">
          <w:drawing>
            <wp:anchor distT="0" distB="0" distL="114300" distR="114300" simplePos="0" relativeHeight="251665408" behindDoc="0" locked="0" layoutInCell="0" allowOverlap="1">
              <wp:simplePos x="0" y="0"/>
              <wp:positionH relativeFrom="page">
                <wp:posOffset>1138555</wp:posOffset>
              </wp:positionH>
              <wp:positionV relativeFrom="page">
                <wp:posOffset>740410</wp:posOffset>
              </wp:positionV>
              <wp:extent cx="5312410" cy="9525"/>
              <wp:effectExtent l="0" t="0" r="0" b="0"/>
              <wp:wrapNone/>
              <wp:docPr id="1948398428" name="任意多边形: 形状 13"/>
              <wp:cNvGraphicFramePr/>
              <a:graphic xmlns:a="http://schemas.openxmlformats.org/drawingml/2006/main">
                <a:graphicData uri="http://schemas.microsoft.com/office/word/2010/wordprocessingShape">
                  <wps:wsp>
                    <wps:cNvSpPr>
                      <a:spLocks noChangeArrowheads="true"/>
                    </wps:cNvSpPr>
                    <wps:spPr bwMode="auto">
                      <a:xfrm>
                        <a:off x="0" y="0"/>
                        <a:ext cx="5312410" cy="9525"/>
                      </a:xfrm>
                      <a:custGeom>
                        <a:avLst/>
                        <a:gdLst>
                          <a:gd name="T0" fmla="*/ 0 w 8365"/>
                          <a:gd name="T1" fmla="*/ 14 h 15"/>
                          <a:gd name="T2" fmla="*/ 8365 w 8365"/>
                          <a:gd name="T3" fmla="*/ 14 h 15"/>
                          <a:gd name="T4" fmla="*/ 8365 w 8365"/>
                          <a:gd name="T5" fmla="*/ 0 h 15"/>
                          <a:gd name="T6" fmla="*/ 0 w 8365"/>
                          <a:gd name="T7" fmla="*/ 0 h 15"/>
                          <a:gd name="T8" fmla="*/ 0 w 8365"/>
                          <a:gd name="T9" fmla="*/ 14 h 15"/>
                        </a:gdLst>
                        <a:ahLst/>
                        <a:cxnLst>
                          <a:cxn ang="0">
                            <a:pos x="T0" y="T1"/>
                          </a:cxn>
                          <a:cxn ang="0">
                            <a:pos x="T2" y="T3"/>
                          </a:cxn>
                          <a:cxn ang="0">
                            <a:pos x="T4" y="T5"/>
                          </a:cxn>
                          <a:cxn ang="0">
                            <a:pos x="T6" y="T7"/>
                          </a:cxn>
                          <a:cxn ang="0">
                            <a:pos x="T8" y="T9"/>
                          </a:cxn>
                        </a:cxnLst>
                        <a:rect l="0" t="0" r="r" b="b"/>
                        <a:pathLst>
                          <a:path w="8365" h="15">
                            <a:moveTo>
                              <a:pt x="0" y="14"/>
                            </a:moveTo>
                            <a:lnTo>
                              <a:pt x="8365" y="14"/>
                            </a:lnTo>
                            <a:lnTo>
                              <a:pt x="8365" y="0"/>
                            </a:lnTo>
                            <a:lnTo>
                              <a:pt x="0" y="0"/>
                            </a:lnTo>
                            <a:lnTo>
                              <a:pt x="0" y="14"/>
                            </a:lnTo>
                            <a:close/>
                          </a:path>
                        </a:pathLst>
                      </a:custGeom>
                      <a:solidFill>
                        <a:srgbClr val="000000"/>
                      </a:solidFill>
                      <a:ln>
                        <a:noFill/>
                      </a:ln>
                    </wps:spPr>
                    <wps:txbx>
                      <w:txbxContent>
                        <w:p>
                          <w:pPr>
                            <w:spacing w:line="300" w:lineRule="auto"/>
                            <w:ind w:firstLine="480"/>
                            <w:jc w:val="center"/>
                            <w:rPr>
                              <w:lang w:eastAsia="zh-CN"/>
                            </w:rPr>
                          </w:pPr>
                          <w:r>
                            <w:rPr>
                              <w:rFonts w:hint="eastAsia"/>
                              <w:lang w:eastAsia="zh-CN"/>
                            </w:rPr>
                            <w:t>z</w:t>
                          </w:r>
                        </w:p>
                      </w:txbxContent>
                    </wps:txbx>
                    <wps:bodyPr rot="0" vert="horz" wrap="square" lIns="91440" tIns="45720" rIns="91440" bIns="45720" anchor="t" anchorCtr="false" upright="true">
                      <a:noAutofit/>
                    </wps:bodyPr>
                  </wps:wsp>
                </a:graphicData>
              </a:graphic>
            </wp:anchor>
          </w:drawing>
        </mc:Choice>
        <mc:Fallback>
          <w:pict>
            <v:shape id="任意多边形: 形状 13" o:spid="_x0000_s1026" o:spt="100" style="position:absolute;left:0pt;margin-left:89.65pt;margin-top:58.3pt;height:0.75pt;width:418.3pt;mso-position-horizontal-relative:page;mso-position-vertical-relative:page;z-index:251665408;mso-width-relative:page;mso-height-relative:page;" fillcolor="#000000" filled="t" stroked="f" coordsize="8365,15" o:allowincell="f" o:gfxdata="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" path="m0,14l8365,14,8365,0,0,0,0,14xe">
              <v:path textboxrect="0,0,8365,15" o:connectlocs="0,8890;5312410,8890;5312410,0;0,0;0,8890" o:connectangles="0,0,0,0,0"/>
              <v:fill on="t" focussize="0,0"/>
              <v:stroke on="f"/>
              <v:imagedata o:title=""/>
              <o:lock v:ext="edit" aspectratio="f"/>
              <v:textbox>
                <w:txbxContent>
                  <w:p>
                    <w:pPr>
                      <w:spacing w:line="300" w:lineRule="auto"/>
                      <w:ind w:firstLine="480"/>
                      <w:jc w:val="center"/>
                      <w:rPr>
                        <w:lang w:eastAsia="zh-CN"/>
                      </w:rPr>
                    </w:pPr>
                    <w:r>
                      <w:rPr>
                        <w:rFonts w:hint="eastAsia"/>
                        <w:lang w:eastAsia="zh-CN"/>
                      </w:rPr>
                      <w:t>z</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center"/>
      <w:rPr>
        <w:rFonts w:ascii="仿宋" w:hAnsi="仿宋" w:eastAsia="仿宋" w:cs="仿宋"/>
        <w:sz w:val="18"/>
        <w:szCs w:val="18"/>
        <w:lang w:eastAsia="zh-CN"/>
      </w:rPr>
    </w:pPr>
    <w:r>
      <w:rPr>
        <w:rFonts w:hint="eastAsia" w:ascii="仿宋" w:hAnsi="仿宋" w:eastAsia="仿宋" w:cs="仿宋"/>
        <w:snapToGrid/>
        <w:spacing w:val="-2"/>
        <w:sz w:val="18"/>
        <w:szCs w:val="18"/>
        <w:lang w:val="zh-CN" w:eastAsia="zh-CN"/>
      </w:rPr>
      <mc:AlternateContent>
        <mc:Choice Requires="wps">
          <w:drawing>
            <wp:anchor distT="0" distB="0" distL="114300" distR="114300" simplePos="0" relativeHeight="251663360" behindDoc="0" locked="0" layoutInCell="1" allowOverlap="1">
              <wp:simplePos x="0" y="0"/>
              <wp:positionH relativeFrom="column">
                <wp:posOffset>52070</wp:posOffset>
              </wp:positionH>
              <wp:positionV relativeFrom="paragraph">
                <wp:posOffset>233680</wp:posOffset>
              </wp:positionV>
              <wp:extent cx="8817610" cy="29210"/>
              <wp:effectExtent l="0" t="0" r="2540" b="8890"/>
              <wp:wrapNone/>
              <wp:docPr id="430784413" name="直接连接符 11"/>
              <wp:cNvGraphicFramePr/>
              <a:graphic xmlns:a="http://schemas.openxmlformats.org/drawingml/2006/main">
                <a:graphicData uri="http://schemas.microsoft.com/office/word/2010/wordprocessingShape">
                  <wps:wsp>
                    <wps:cNvCnPr/>
                    <wps:spPr>
                      <a:xfrm>
                        <a:off x="0" y="0"/>
                        <a:ext cx="8817610" cy="2921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11" o:spid="_x0000_s1026" o:spt="20" style="position:absolute;left:0pt;margin-left:4.1pt;margin-top:18.4pt;height:2.3pt;width:694.3pt;z-index:251663360;mso-width-relative:page;mso-height-relative:page;" filled="f" stroked="t" coordsize="21600,21600" o:gfxdata="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1UgK&#10;aNgAAAAIAQAADwAAAAAAAAABACAAAAA4AAAAZHJzL2Rvd25yZXYueG1sUEsBAhQAFAAAAAgAh07i&#10;QF8WXVzTAQAAcAMAAA4AAAAAAAAAAQAgAAAAPQEAAGRycy9lMm9Eb2MueG1sUEsFBgAAAAAGAAYA&#10;WQEAAIIFAAAAAA==&#10;">
              <v:fill on="f" focussize="0,0"/>
              <v:stroke color="#000000 [3200]" miterlimit="8" joinstyle="miter"/>
              <v:imagedata o:title=""/>
              <o:lock v:ext="edit" aspectratio="f"/>
            </v:line>
          </w:pict>
        </mc:Fallback>
      </mc:AlternateContent>
    </w:r>
    <w:r>
      <w:rPr>
        <w:rFonts w:hint="eastAsia" w:ascii="仿宋" w:hAnsi="仿宋" w:eastAsia="仿宋" w:cs="仿宋"/>
        <w:spacing w:val="-2"/>
        <w:sz w:val="18"/>
        <w:szCs w:val="18"/>
        <w:lang w:eastAsia="zh-CN"/>
      </w:rPr>
      <w:t>达州正达凯乙二醇220千伏输电线路工程</w:t>
    </w:r>
    <w:r>
      <w:rPr>
        <w:rFonts w:ascii="仿宋" w:hAnsi="仿宋" w:eastAsia="仿宋" w:cs="仿宋"/>
        <w:spacing w:val="-2"/>
        <w:sz w:val="18"/>
        <w:szCs w:val="18"/>
        <w:lang w:eastAsia="zh-CN"/>
      </w:rPr>
      <w:t>水土保持方案报</w:t>
    </w:r>
    <w:r>
      <w:rPr>
        <w:rFonts w:ascii="仿宋" w:hAnsi="仿宋" w:eastAsia="仿宋" w:cs="仿宋"/>
        <w:spacing w:val="-3"/>
        <w:sz w:val="18"/>
        <w:szCs w:val="18"/>
        <w:lang w:eastAsia="zh-CN"/>
      </w:rPr>
      <w:t>告表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center"/>
      <w:rPr>
        <w:rFonts w:ascii="仿宋" w:hAnsi="仿宋" w:eastAsia="仿宋" w:cs="仿宋"/>
        <w:sz w:val="18"/>
        <w:szCs w:val="18"/>
        <w:lang w:eastAsia="zh-CN"/>
      </w:rPr>
    </w:pPr>
    <w:r>
      <w:rPr>
        <w:rFonts w:hint="eastAsia" w:ascii="仿宋" w:hAnsi="仿宋" w:eastAsia="仿宋" w:cs="仿宋"/>
        <w:spacing w:val="-2"/>
        <w:sz w:val="18"/>
        <w:szCs w:val="18"/>
        <w:lang w:eastAsia="zh-CN"/>
      </w:rPr>
      <w:t>达州正达凯乙二醇220千伏输电线路工程</w:t>
    </w:r>
    <w:r>
      <w:rPr>
        <w:rFonts w:ascii="仿宋" w:hAnsi="仿宋" w:eastAsia="仿宋" w:cs="仿宋"/>
        <w:spacing w:val="-2"/>
        <w:sz w:val="18"/>
        <w:szCs w:val="18"/>
        <w:lang w:eastAsia="zh-CN"/>
      </w:rPr>
      <w:t>水土保持方案报</w:t>
    </w:r>
    <w:r>
      <w:rPr>
        <w:rFonts w:ascii="仿宋" w:hAnsi="仿宋" w:eastAsia="仿宋" w:cs="仿宋"/>
        <w:spacing w:val="-3"/>
        <w:sz w:val="18"/>
        <w:szCs w:val="18"/>
        <w:lang w:eastAsia="zh-CN"/>
      </w:rPr>
      <w:t>告表</w:t>
    </w:r>
    <w:r>
      <w:rPr>
        <w:rFonts w:hint="eastAsia" w:eastAsia="Arial"/>
      </w:rPr>
      <mc:AlternateContent>
        <mc:Choice Requires="wps">
          <w:drawing>
            <wp:anchor distT="0" distB="0" distL="114300" distR="114300" simplePos="0" relativeHeight="251662336" behindDoc="0" locked="0" layoutInCell="0" allowOverlap="1">
              <wp:simplePos x="0" y="0"/>
              <wp:positionH relativeFrom="page">
                <wp:posOffset>1138555</wp:posOffset>
              </wp:positionH>
              <wp:positionV relativeFrom="page">
                <wp:posOffset>740410</wp:posOffset>
              </wp:positionV>
              <wp:extent cx="5312410" cy="9525"/>
              <wp:effectExtent l="0" t="0" r="0" b="0"/>
              <wp:wrapNone/>
              <wp:docPr id="1690284606" name="任意多边形: 形状 9"/>
              <wp:cNvGraphicFramePr/>
              <a:graphic xmlns:a="http://schemas.openxmlformats.org/drawingml/2006/main">
                <a:graphicData uri="http://schemas.microsoft.com/office/word/2010/wordprocessingShape">
                  <wps:wsp>
                    <wps:cNvSpPr>
                      <a:spLocks noChangeArrowheads="true"/>
                    </wps:cNvSpPr>
                    <wps:spPr bwMode="auto">
                      <a:xfrm>
                        <a:off x="0" y="0"/>
                        <a:ext cx="5312410" cy="9525"/>
                      </a:xfrm>
                      <a:custGeom>
                        <a:avLst/>
                        <a:gdLst>
                          <a:gd name="T0" fmla="*/ 0 w 8365"/>
                          <a:gd name="T1" fmla="*/ 14 h 15"/>
                          <a:gd name="T2" fmla="*/ 8365 w 8365"/>
                          <a:gd name="T3" fmla="*/ 14 h 15"/>
                          <a:gd name="T4" fmla="*/ 8365 w 8365"/>
                          <a:gd name="T5" fmla="*/ 0 h 15"/>
                          <a:gd name="T6" fmla="*/ 0 w 8365"/>
                          <a:gd name="T7" fmla="*/ 0 h 15"/>
                          <a:gd name="T8" fmla="*/ 0 w 8365"/>
                          <a:gd name="T9" fmla="*/ 14 h 15"/>
                        </a:gdLst>
                        <a:ahLst/>
                        <a:cxnLst>
                          <a:cxn ang="0">
                            <a:pos x="T0" y="T1"/>
                          </a:cxn>
                          <a:cxn ang="0">
                            <a:pos x="T2" y="T3"/>
                          </a:cxn>
                          <a:cxn ang="0">
                            <a:pos x="T4" y="T5"/>
                          </a:cxn>
                          <a:cxn ang="0">
                            <a:pos x="T6" y="T7"/>
                          </a:cxn>
                          <a:cxn ang="0">
                            <a:pos x="T8" y="T9"/>
                          </a:cxn>
                        </a:cxnLst>
                        <a:rect l="0" t="0" r="r" b="b"/>
                        <a:pathLst>
                          <a:path w="8365" h="15">
                            <a:moveTo>
                              <a:pt x="0" y="14"/>
                            </a:moveTo>
                            <a:lnTo>
                              <a:pt x="8365" y="14"/>
                            </a:lnTo>
                            <a:lnTo>
                              <a:pt x="8365" y="0"/>
                            </a:lnTo>
                            <a:lnTo>
                              <a:pt x="0" y="0"/>
                            </a:lnTo>
                            <a:lnTo>
                              <a:pt x="0" y="14"/>
                            </a:lnTo>
                            <a:close/>
                          </a:path>
                        </a:pathLst>
                      </a:custGeom>
                      <a:solidFill>
                        <a:srgbClr val="000000"/>
                      </a:solidFill>
                      <a:ln>
                        <a:noFill/>
                      </a:ln>
                    </wps:spPr>
                    <wps:txbx>
                      <w:txbxContent>
                        <w:p>
                          <w:pPr>
                            <w:spacing w:line="300" w:lineRule="auto"/>
                            <w:ind w:firstLine="480"/>
                            <w:jc w:val="center"/>
                            <w:rPr>
                              <w:lang w:eastAsia="zh-CN"/>
                            </w:rPr>
                          </w:pPr>
                          <w:r>
                            <w:rPr>
                              <w:rFonts w:hint="eastAsia"/>
                              <w:lang w:eastAsia="zh-CN"/>
                            </w:rPr>
                            <w:t>z</w:t>
                          </w:r>
                        </w:p>
                      </w:txbxContent>
                    </wps:txbx>
                    <wps:bodyPr rot="0" vert="horz" wrap="square" lIns="91440" tIns="45720" rIns="91440" bIns="45720" anchor="t" anchorCtr="false" upright="true">
                      <a:noAutofit/>
                    </wps:bodyPr>
                  </wps:wsp>
                </a:graphicData>
              </a:graphic>
            </wp:anchor>
          </w:drawing>
        </mc:Choice>
        <mc:Fallback>
          <w:pict>
            <v:shape id="任意多边形: 形状 9" o:spid="_x0000_s1026" o:spt="100" style="position:absolute;left:0pt;margin-left:89.65pt;margin-top:58.3pt;height:0.75pt;width:418.3pt;mso-position-horizontal-relative:page;mso-position-vertical-relative:page;z-index:251662336;mso-width-relative:page;mso-height-relative:page;" fillcolor="#000000" filled="t" stroked="f" coordsize="8365,15" o:allowincell="f" o:gfxdata="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BYAAABkcnMvUEsBAhQAFAAAAAgAh07iQNrRkLbZAAAADAEAAA8A&#10;AAAAAAAAAQAgAAAAOAAAAGRycy9kb3ducmV2LnhtbFBLAQIUABQAAAAIAIdO4kBusc4XHQMAAJcH&#10;AAAOAAAAAAAAAAEAIAAAAD4BAABkcnMvZTJvRG9jLnhtbFBLBQYAAAAABgAGAFkBAADNBgAAAAA=&#10;" path="m0,14l8365,14,8365,0,0,0,0,14xe">
              <v:path textboxrect="0,0,8365,15" o:connectlocs="0,8890;5312410,8890;5312410,0;0,0;0,8890" o:connectangles="0,0,0,0,0"/>
              <v:fill on="t" focussize="0,0"/>
              <v:stroke on="f"/>
              <v:imagedata o:title=""/>
              <o:lock v:ext="edit" aspectratio="f"/>
              <v:textbox>
                <w:txbxContent>
                  <w:p>
                    <w:pPr>
                      <w:spacing w:line="300" w:lineRule="auto"/>
                      <w:ind w:firstLine="480"/>
                      <w:jc w:val="center"/>
                      <w:rPr>
                        <w:lang w:eastAsia="zh-CN"/>
                      </w:rPr>
                    </w:pPr>
                    <w:r>
                      <w:rPr>
                        <w:rFonts w:hint="eastAsia"/>
                        <w:lang w:eastAsia="zh-CN"/>
                      </w:rPr>
                      <w:t>z</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center"/>
      <w:rPr>
        <w:rFonts w:ascii="仿宋" w:hAnsi="仿宋" w:eastAsia="仿宋" w:cs="仿宋"/>
        <w:sz w:val="18"/>
        <w:szCs w:val="18"/>
        <w:lang w:eastAsia="zh-CN"/>
      </w:rPr>
    </w:pPr>
    <w:r>
      <w:rPr>
        <w:rFonts w:hint="eastAsia" w:ascii="仿宋" w:hAnsi="仿宋" w:eastAsia="仿宋" w:cs="仿宋"/>
        <w:snapToGrid/>
        <w:spacing w:val="-2"/>
        <w:sz w:val="18"/>
        <w:szCs w:val="18"/>
        <w:lang w:eastAsia="zh-CN"/>
      </w:rPr>
      <mc:AlternateContent>
        <mc:Choice Requires="wps">
          <w:drawing>
            <wp:anchor distT="0" distB="0" distL="114300" distR="114300" simplePos="0" relativeHeight="251672576" behindDoc="0" locked="0" layoutInCell="1" allowOverlap="1">
              <wp:simplePos x="0" y="0"/>
              <wp:positionH relativeFrom="column">
                <wp:posOffset>5715</wp:posOffset>
              </wp:positionH>
              <wp:positionV relativeFrom="paragraph">
                <wp:posOffset>379095</wp:posOffset>
              </wp:positionV>
              <wp:extent cx="8858885" cy="0"/>
              <wp:effectExtent l="0" t="0" r="0" b="0"/>
              <wp:wrapNone/>
              <wp:docPr id="1372042693" name="直接连接符 7"/>
              <wp:cNvGraphicFramePr/>
              <a:graphic xmlns:a="http://schemas.openxmlformats.org/drawingml/2006/main">
                <a:graphicData uri="http://schemas.microsoft.com/office/word/2010/wordprocessingShape">
                  <wps:wsp>
                    <wps:cNvCnPr/>
                    <wps:spPr>
                      <a:xfrm>
                        <a:off x="0" y="0"/>
                        <a:ext cx="8858885"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7" o:spid="_x0000_s1026" o:spt="20" style="position:absolute;left:0pt;margin-left:0.45pt;margin-top:29.85pt;height:0pt;width:697.55pt;z-index:251672576;mso-width-relative:page;mso-height-relative:page;" filled="f" stroked="t" coordsize="21600,21600" o:gfxdata="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CW0w/h1gAAAAcB&#10;AAAPAAAAAAAAAAEAIAAAADgAAABkcnMvZG93bnJldi54bWxQSwECFAAUAAAACACHTuJAa+9Gss4B&#10;AABsAwAADgAAAAAAAAABACAAAAA7AQAAZHJzL2Uyb0RvYy54bWxQSwUGAAAAAAYABgBZAQAAewUA&#10;AAAA&#10;">
              <v:fill on="f" focussize="0,0"/>
              <v:stroke color="#000000 [3200]" miterlimit="8" joinstyle="miter"/>
              <v:imagedata o:title=""/>
              <o:lock v:ext="edit" aspectratio="f"/>
            </v:line>
          </w:pict>
        </mc:Fallback>
      </mc:AlternateContent>
    </w:r>
    <w:r>
      <w:rPr>
        <w:rFonts w:hint="eastAsia" w:ascii="仿宋" w:hAnsi="仿宋" w:eastAsia="仿宋" w:cs="仿宋"/>
        <w:spacing w:val="-2"/>
        <w:sz w:val="18"/>
        <w:szCs w:val="18"/>
        <w:lang w:eastAsia="zh-CN"/>
      </w:rPr>
      <w:t>达州正达凯乙二醇220千伏输电线路工程</w:t>
    </w:r>
    <w:r>
      <w:rPr>
        <w:rFonts w:ascii="仿宋" w:hAnsi="仿宋" w:eastAsia="仿宋" w:cs="仿宋"/>
        <w:spacing w:val="-2"/>
        <w:sz w:val="18"/>
        <w:szCs w:val="18"/>
        <w:lang w:eastAsia="zh-CN"/>
      </w:rPr>
      <w:t>水土保持方案报</w:t>
    </w:r>
    <w:r>
      <w:rPr>
        <w:rFonts w:ascii="仿宋" w:hAnsi="仿宋" w:eastAsia="仿宋" w:cs="仿宋"/>
        <w:spacing w:val="-3"/>
        <w:sz w:val="18"/>
        <w:szCs w:val="18"/>
        <w:lang w:eastAsia="zh-CN"/>
      </w:rPr>
      <w:t>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344C48"/>
    <w:multiLevelType w:val="multilevel"/>
    <w:tmpl w:val="01344C48"/>
    <w:lvl w:ilvl="0" w:tentative="0">
      <w:start w:val="1"/>
      <w:numFmt w:val="decimalEnclosedParen"/>
      <w:lvlText w:val="%1"/>
      <w:lvlJc w:val="left"/>
      <w:pPr>
        <w:ind w:left="240" w:hanging="360"/>
      </w:pPr>
      <w:rPr>
        <w:rFonts w:hint="default" w:ascii="宋体" w:hAnsi="宋体" w:cs="宋体"/>
      </w:rPr>
    </w:lvl>
    <w:lvl w:ilvl="1" w:tentative="0">
      <w:start w:val="1"/>
      <w:numFmt w:val="lowerLetter"/>
      <w:lvlText w:val="%2)"/>
      <w:lvlJc w:val="left"/>
      <w:pPr>
        <w:ind w:left="720" w:hanging="420"/>
      </w:pPr>
    </w:lvl>
    <w:lvl w:ilvl="2" w:tentative="0">
      <w:start w:val="1"/>
      <w:numFmt w:val="lowerRoman"/>
      <w:lvlText w:val="%3."/>
      <w:lvlJc w:val="right"/>
      <w:pPr>
        <w:ind w:left="1140" w:hanging="420"/>
      </w:pPr>
    </w:lvl>
    <w:lvl w:ilvl="3" w:tentative="0">
      <w:start w:val="1"/>
      <w:numFmt w:val="decimal"/>
      <w:lvlText w:val="%4."/>
      <w:lvlJc w:val="left"/>
      <w:pPr>
        <w:ind w:left="1560" w:hanging="420"/>
      </w:pPr>
    </w:lvl>
    <w:lvl w:ilvl="4" w:tentative="0">
      <w:start w:val="1"/>
      <w:numFmt w:val="lowerLetter"/>
      <w:lvlText w:val="%5)"/>
      <w:lvlJc w:val="left"/>
      <w:pPr>
        <w:ind w:left="1980" w:hanging="420"/>
      </w:pPr>
    </w:lvl>
    <w:lvl w:ilvl="5" w:tentative="0">
      <w:start w:val="1"/>
      <w:numFmt w:val="lowerRoman"/>
      <w:lvlText w:val="%6."/>
      <w:lvlJc w:val="right"/>
      <w:pPr>
        <w:ind w:left="2400" w:hanging="420"/>
      </w:pPr>
    </w:lvl>
    <w:lvl w:ilvl="6" w:tentative="0">
      <w:start w:val="1"/>
      <w:numFmt w:val="decimal"/>
      <w:lvlText w:val="%7."/>
      <w:lvlJc w:val="left"/>
      <w:pPr>
        <w:ind w:left="2820" w:hanging="420"/>
      </w:pPr>
    </w:lvl>
    <w:lvl w:ilvl="7" w:tentative="0">
      <w:start w:val="1"/>
      <w:numFmt w:val="lowerLetter"/>
      <w:lvlText w:val="%8)"/>
      <w:lvlJc w:val="left"/>
      <w:pPr>
        <w:ind w:left="3240" w:hanging="420"/>
      </w:pPr>
    </w:lvl>
    <w:lvl w:ilvl="8" w:tentative="0">
      <w:start w:val="1"/>
      <w:numFmt w:val="lowerRoman"/>
      <w:lvlText w:val="%9."/>
      <w:lvlJc w:val="right"/>
      <w:pPr>
        <w:ind w:left="3660" w:hanging="420"/>
      </w:pPr>
    </w:lvl>
  </w:abstractNum>
  <w:abstractNum w:abstractNumId="1">
    <w:nsid w:val="056A762C"/>
    <w:multiLevelType w:val="multilevel"/>
    <w:tmpl w:val="056A762C"/>
    <w:lvl w:ilvl="0" w:tentative="0">
      <w:start w:val="1"/>
      <w:numFmt w:val="decimalEnclosedParen"/>
      <w:lvlText w:val="%1"/>
      <w:lvlJc w:val="left"/>
      <w:pPr>
        <w:ind w:left="240" w:hanging="360"/>
      </w:pPr>
      <w:rPr>
        <w:rFonts w:hint="default" w:ascii="宋体" w:hAnsi="宋体" w:cs="宋体"/>
      </w:rPr>
    </w:lvl>
    <w:lvl w:ilvl="1" w:tentative="0">
      <w:start w:val="1"/>
      <w:numFmt w:val="lowerLetter"/>
      <w:lvlText w:val="%2)"/>
      <w:lvlJc w:val="left"/>
      <w:pPr>
        <w:ind w:left="720" w:hanging="420"/>
      </w:pPr>
    </w:lvl>
    <w:lvl w:ilvl="2" w:tentative="0">
      <w:start w:val="1"/>
      <w:numFmt w:val="lowerRoman"/>
      <w:lvlText w:val="%3."/>
      <w:lvlJc w:val="right"/>
      <w:pPr>
        <w:ind w:left="1140" w:hanging="420"/>
      </w:pPr>
    </w:lvl>
    <w:lvl w:ilvl="3" w:tentative="0">
      <w:start w:val="1"/>
      <w:numFmt w:val="decimal"/>
      <w:lvlText w:val="%4."/>
      <w:lvlJc w:val="left"/>
      <w:pPr>
        <w:ind w:left="1560" w:hanging="420"/>
      </w:pPr>
    </w:lvl>
    <w:lvl w:ilvl="4" w:tentative="0">
      <w:start w:val="1"/>
      <w:numFmt w:val="lowerLetter"/>
      <w:lvlText w:val="%5)"/>
      <w:lvlJc w:val="left"/>
      <w:pPr>
        <w:ind w:left="1980" w:hanging="420"/>
      </w:pPr>
    </w:lvl>
    <w:lvl w:ilvl="5" w:tentative="0">
      <w:start w:val="1"/>
      <w:numFmt w:val="lowerRoman"/>
      <w:lvlText w:val="%6."/>
      <w:lvlJc w:val="right"/>
      <w:pPr>
        <w:ind w:left="2400" w:hanging="420"/>
      </w:pPr>
    </w:lvl>
    <w:lvl w:ilvl="6" w:tentative="0">
      <w:start w:val="1"/>
      <w:numFmt w:val="decimal"/>
      <w:lvlText w:val="%7."/>
      <w:lvlJc w:val="left"/>
      <w:pPr>
        <w:ind w:left="2820" w:hanging="420"/>
      </w:pPr>
    </w:lvl>
    <w:lvl w:ilvl="7" w:tentative="0">
      <w:start w:val="1"/>
      <w:numFmt w:val="lowerLetter"/>
      <w:lvlText w:val="%8)"/>
      <w:lvlJc w:val="left"/>
      <w:pPr>
        <w:ind w:left="3240" w:hanging="420"/>
      </w:pPr>
    </w:lvl>
    <w:lvl w:ilvl="8" w:tentative="0">
      <w:start w:val="1"/>
      <w:numFmt w:val="lowerRoman"/>
      <w:lvlText w:val="%9."/>
      <w:lvlJc w:val="right"/>
      <w:pPr>
        <w:ind w:left="3660" w:hanging="420"/>
      </w:pPr>
    </w:lvl>
  </w:abstractNum>
  <w:abstractNum w:abstractNumId="2">
    <w:nsid w:val="07E922DE"/>
    <w:multiLevelType w:val="multilevel"/>
    <w:tmpl w:val="07E922DE"/>
    <w:lvl w:ilvl="0" w:tentative="0">
      <w:start w:val="1"/>
      <w:numFmt w:val="decimalEnclosedCircle"/>
      <w:lvlText w:val="%1"/>
      <w:lvlJc w:val="left"/>
      <w:pPr>
        <w:ind w:left="240" w:hanging="360"/>
      </w:pPr>
      <w:rPr>
        <w:rFonts w:hint="default" w:ascii="宋体" w:hAnsi="宋体" w:eastAsia="宋体"/>
      </w:rPr>
    </w:lvl>
    <w:lvl w:ilvl="1" w:tentative="0">
      <w:start w:val="1"/>
      <w:numFmt w:val="lowerLetter"/>
      <w:lvlText w:val="%2)"/>
      <w:lvlJc w:val="left"/>
      <w:pPr>
        <w:ind w:left="720" w:hanging="420"/>
      </w:pPr>
    </w:lvl>
    <w:lvl w:ilvl="2" w:tentative="0">
      <w:start w:val="1"/>
      <w:numFmt w:val="lowerRoman"/>
      <w:lvlText w:val="%3."/>
      <w:lvlJc w:val="right"/>
      <w:pPr>
        <w:ind w:left="1140" w:hanging="420"/>
      </w:pPr>
    </w:lvl>
    <w:lvl w:ilvl="3" w:tentative="0">
      <w:start w:val="1"/>
      <w:numFmt w:val="decimal"/>
      <w:lvlText w:val="%4."/>
      <w:lvlJc w:val="left"/>
      <w:pPr>
        <w:ind w:left="1560" w:hanging="420"/>
      </w:pPr>
    </w:lvl>
    <w:lvl w:ilvl="4" w:tentative="0">
      <w:start w:val="1"/>
      <w:numFmt w:val="lowerLetter"/>
      <w:lvlText w:val="%5)"/>
      <w:lvlJc w:val="left"/>
      <w:pPr>
        <w:ind w:left="1980" w:hanging="420"/>
      </w:pPr>
    </w:lvl>
    <w:lvl w:ilvl="5" w:tentative="0">
      <w:start w:val="1"/>
      <w:numFmt w:val="lowerRoman"/>
      <w:lvlText w:val="%6."/>
      <w:lvlJc w:val="right"/>
      <w:pPr>
        <w:ind w:left="2400" w:hanging="420"/>
      </w:pPr>
    </w:lvl>
    <w:lvl w:ilvl="6" w:tentative="0">
      <w:start w:val="1"/>
      <w:numFmt w:val="decimal"/>
      <w:lvlText w:val="%7."/>
      <w:lvlJc w:val="left"/>
      <w:pPr>
        <w:ind w:left="2820" w:hanging="420"/>
      </w:pPr>
    </w:lvl>
    <w:lvl w:ilvl="7" w:tentative="0">
      <w:start w:val="1"/>
      <w:numFmt w:val="lowerLetter"/>
      <w:lvlText w:val="%8)"/>
      <w:lvlJc w:val="left"/>
      <w:pPr>
        <w:ind w:left="3240" w:hanging="420"/>
      </w:pPr>
    </w:lvl>
    <w:lvl w:ilvl="8" w:tentative="0">
      <w:start w:val="1"/>
      <w:numFmt w:val="lowerRoman"/>
      <w:lvlText w:val="%9."/>
      <w:lvlJc w:val="right"/>
      <w:pPr>
        <w:ind w:left="3660" w:hanging="420"/>
      </w:pPr>
    </w:lvl>
  </w:abstractNum>
  <w:abstractNum w:abstractNumId="3">
    <w:nsid w:val="09DB52A4"/>
    <w:multiLevelType w:val="multilevel"/>
    <w:tmpl w:val="09DB52A4"/>
    <w:lvl w:ilvl="0" w:tentative="0">
      <w:start w:val="1"/>
      <w:numFmt w:val="decimalEnclosedParen"/>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5D83D0E"/>
    <w:multiLevelType w:val="multilevel"/>
    <w:tmpl w:val="15D83D0E"/>
    <w:lvl w:ilvl="0" w:tentative="0">
      <w:start w:val="1"/>
      <w:numFmt w:val="decimalEnclosedParen"/>
      <w:lvlText w:val="%1"/>
      <w:lvlJc w:val="left"/>
      <w:pPr>
        <w:ind w:left="240" w:hanging="360"/>
      </w:pPr>
      <w:rPr>
        <w:rFonts w:hint="default" w:ascii="宋体" w:hAnsi="宋体" w:eastAsia="宋体"/>
      </w:rPr>
    </w:lvl>
    <w:lvl w:ilvl="1" w:tentative="0">
      <w:start w:val="1"/>
      <w:numFmt w:val="lowerLetter"/>
      <w:lvlText w:val="%2)"/>
      <w:lvlJc w:val="left"/>
      <w:pPr>
        <w:ind w:left="720" w:hanging="420"/>
      </w:pPr>
    </w:lvl>
    <w:lvl w:ilvl="2" w:tentative="0">
      <w:start w:val="1"/>
      <w:numFmt w:val="lowerRoman"/>
      <w:lvlText w:val="%3."/>
      <w:lvlJc w:val="right"/>
      <w:pPr>
        <w:ind w:left="1140" w:hanging="420"/>
      </w:pPr>
    </w:lvl>
    <w:lvl w:ilvl="3" w:tentative="0">
      <w:start w:val="1"/>
      <w:numFmt w:val="decimal"/>
      <w:lvlText w:val="%4."/>
      <w:lvlJc w:val="left"/>
      <w:pPr>
        <w:ind w:left="1560" w:hanging="420"/>
      </w:pPr>
    </w:lvl>
    <w:lvl w:ilvl="4" w:tentative="0">
      <w:start w:val="1"/>
      <w:numFmt w:val="lowerLetter"/>
      <w:lvlText w:val="%5)"/>
      <w:lvlJc w:val="left"/>
      <w:pPr>
        <w:ind w:left="1980" w:hanging="420"/>
      </w:pPr>
    </w:lvl>
    <w:lvl w:ilvl="5" w:tentative="0">
      <w:start w:val="1"/>
      <w:numFmt w:val="lowerRoman"/>
      <w:lvlText w:val="%6."/>
      <w:lvlJc w:val="right"/>
      <w:pPr>
        <w:ind w:left="2400" w:hanging="420"/>
      </w:pPr>
    </w:lvl>
    <w:lvl w:ilvl="6" w:tentative="0">
      <w:start w:val="1"/>
      <w:numFmt w:val="decimal"/>
      <w:lvlText w:val="%7."/>
      <w:lvlJc w:val="left"/>
      <w:pPr>
        <w:ind w:left="2820" w:hanging="420"/>
      </w:pPr>
    </w:lvl>
    <w:lvl w:ilvl="7" w:tentative="0">
      <w:start w:val="1"/>
      <w:numFmt w:val="lowerLetter"/>
      <w:lvlText w:val="%8)"/>
      <w:lvlJc w:val="left"/>
      <w:pPr>
        <w:ind w:left="3240" w:hanging="420"/>
      </w:pPr>
    </w:lvl>
    <w:lvl w:ilvl="8" w:tentative="0">
      <w:start w:val="1"/>
      <w:numFmt w:val="lowerRoman"/>
      <w:lvlText w:val="%9."/>
      <w:lvlJc w:val="right"/>
      <w:pPr>
        <w:ind w:left="3660" w:hanging="420"/>
      </w:pPr>
    </w:lvl>
  </w:abstractNum>
  <w:abstractNum w:abstractNumId="5">
    <w:nsid w:val="24865E2B"/>
    <w:multiLevelType w:val="multilevel"/>
    <w:tmpl w:val="24865E2B"/>
    <w:lvl w:ilvl="0" w:tentative="0">
      <w:start w:val="1"/>
      <w:numFmt w:val="decimalEnclosedParen"/>
      <w:lvlText w:val="%1"/>
      <w:lvlJc w:val="left"/>
      <w:pPr>
        <w:ind w:left="240" w:hanging="360"/>
      </w:pPr>
      <w:rPr>
        <w:rFonts w:hint="default" w:ascii="宋体" w:hAnsi="宋体" w:eastAsia="宋体"/>
      </w:rPr>
    </w:lvl>
    <w:lvl w:ilvl="1" w:tentative="0">
      <w:start w:val="1"/>
      <w:numFmt w:val="lowerLetter"/>
      <w:lvlText w:val="%2)"/>
      <w:lvlJc w:val="left"/>
      <w:pPr>
        <w:ind w:left="720" w:hanging="420"/>
      </w:pPr>
    </w:lvl>
    <w:lvl w:ilvl="2" w:tentative="0">
      <w:start w:val="1"/>
      <w:numFmt w:val="lowerRoman"/>
      <w:lvlText w:val="%3."/>
      <w:lvlJc w:val="right"/>
      <w:pPr>
        <w:ind w:left="1140" w:hanging="420"/>
      </w:pPr>
    </w:lvl>
    <w:lvl w:ilvl="3" w:tentative="0">
      <w:start w:val="1"/>
      <w:numFmt w:val="decimal"/>
      <w:lvlText w:val="%4."/>
      <w:lvlJc w:val="left"/>
      <w:pPr>
        <w:ind w:left="1560" w:hanging="420"/>
      </w:pPr>
    </w:lvl>
    <w:lvl w:ilvl="4" w:tentative="0">
      <w:start w:val="1"/>
      <w:numFmt w:val="lowerLetter"/>
      <w:lvlText w:val="%5)"/>
      <w:lvlJc w:val="left"/>
      <w:pPr>
        <w:ind w:left="1980" w:hanging="420"/>
      </w:pPr>
    </w:lvl>
    <w:lvl w:ilvl="5" w:tentative="0">
      <w:start w:val="1"/>
      <w:numFmt w:val="lowerRoman"/>
      <w:lvlText w:val="%6."/>
      <w:lvlJc w:val="right"/>
      <w:pPr>
        <w:ind w:left="2400" w:hanging="420"/>
      </w:pPr>
    </w:lvl>
    <w:lvl w:ilvl="6" w:tentative="0">
      <w:start w:val="1"/>
      <w:numFmt w:val="decimal"/>
      <w:lvlText w:val="%7."/>
      <w:lvlJc w:val="left"/>
      <w:pPr>
        <w:ind w:left="2820" w:hanging="420"/>
      </w:pPr>
    </w:lvl>
    <w:lvl w:ilvl="7" w:tentative="0">
      <w:start w:val="1"/>
      <w:numFmt w:val="lowerLetter"/>
      <w:lvlText w:val="%8)"/>
      <w:lvlJc w:val="left"/>
      <w:pPr>
        <w:ind w:left="3240" w:hanging="420"/>
      </w:pPr>
    </w:lvl>
    <w:lvl w:ilvl="8" w:tentative="0">
      <w:start w:val="1"/>
      <w:numFmt w:val="lowerRoman"/>
      <w:lvlText w:val="%9."/>
      <w:lvlJc w:val="right"/>
      <w:pPr>
        <w:ind w:left="3660" w:hanging="420"/>
      </w:pPr>
    </w:lvl>
  </w:abstractNum>
  <w:abstractNum w:abstractNumId="6">
    <w:nsid w:val="59A554CD"/>
    <w:multiLevelType w:val="multilevel"/>
    <w:tmpl w:val="59A554CD"/>
    <w:lvl w:ilvl="0" w:tentative="0">
      <w:start w:val="1"/>
      <w:numFmt w:val="decimalEnclosedCircle"/>
      <w:lvlText w:val="%1"/>
      <w:lvlJc w:val="left"/>
      <w:pPr>
        <w:ind w:left="240" w:hanging="360"/>
      </w:pPr>
      <w:rPr>
        <w:rFonts w:hint="default" w:ascii="宋体" w:hAnsi="宋体" w:eastAsia="宋体"/>
      </w:rPr>
    </w:lvl>
    <w:lvl w:ilvl="1" w:tentative="0">
      <w:start w:val="1"/>
      <w:numFmt w:val="lowerLetter"/>
      <w:lvlText w:val="%2)"/>
      <w:lvlJc w:val="left"/>
      <w:pPr>
        <w:ind w:left="720" w:hanging="420"/>
      </w:pPr>
    </w:lvl>
    <w:lvl w:ilvl="2" w:tentative="0">
      <w:start w:val="1"/>
      <w:numFmt w:val="lowerRoman"/>
      <w:lvlText w:val="%3."/>
      <w:lvlJc w:val="right"/>
      <w:pPr>
        <w:ind w:left="1140" w:hanging="420"/>
      </w:pPr>
    </w:lvl>
    <w:lvl w:ilvl="3" w:tentative="0">
      <w:start w:val="1"/>
      <w:numFmt w:val="decimal"/>
      <w:lvlText w:val="%4."/>
      <w:lvlJc w:val="left"/>
      <w:pPr>
        <w:ind w:left="1560" w:hanging="420"/>
      </w:pPr>
    </w:lvl>
    <w:lvl w:ilvl="4" w:tentative="0">
      <w:start w:val="1"/>
      <w:numFmt w:val="lowerLetter"/>
      <w:lvlText w:val="%5)"/>
      <w:lvlJc w:val="left"/>
      <w:pPr>
        <w:ind w:left="1980" w:hanging="420"/>
      </w:pPr>
    </w:lvl>
    <w:lvl w:ilvl="5" w:tentative="0">
      <w:start w:val="1"/>
      <w:numFmt w:val="lowerRoman"/>
      <w:lvlText w:val="%6."/>
      <w:lvlJc w:val="right"/>
      <w:pPr>
        <w:ind w:left="2400" w:hanging="420"/>
      </w:pPr>
    </w:lvl>
    <w:lvl w:ilvl="6" w:tentative="0">
      <w:start w:val="1"/>
      <w:numFmt w:val="decimal"/>
      <w:lvlText w:val="%7."/>
      <w:lvlJc w:val="left"/>
      <w:pPr>
        <w:ind w:left="2820" w:hanging="420"/>
      </w:pPr>
    </w:lvl>
    <w:lvl w:ilvl="7" w:tentative="0">
      <w:start w:val="1"/>
      <w:numFmt w:val="lowerLetter"/>
      <w:lvlText w:val="%8)"/>
      <w:lvlJc w:val="left"/>
      <w:pPr>
        <w:ind w:left="3240" w:hanging="420"/>
      </w:pPr>
    </w:lvl>
    <w:lvl w:ilvl="8" w:tentative="0">
      <w:start w:val="1"/>
      <w:numFmt w:val="lowerRoman"/>
      <w:lvlText w:val="%9."/>
      <w:lvlJc w:val="right"/>
      <w:pPr>
        <w:ind w:left="3660" w:hanging="420"/>
      </w:pPr>
    </w:lvl>
  </w:abstractNum>
  <w:abstractNum w:abstractNumId="7">
    <w:nsid w:val="5BDD7996"/>
    <w:multiLevelType w:val="multilevel"/>
    <w:tmpl w:val="5BDD7996"/>
    <w:lvl w:ilvl="0" w:tentative="0">
      <w:start w:val="1"/>
      <w:numFmt w:val="decimalEnclosedParen"/>
      <w:lvlText w:val="%1"/>
      <w:lvlJc w:val="left"/>
      <w:pPr>
        <w:ind w:left="240" w:hanging="360"/>
      </w:pPr>
      <w:rPr>
        <w:rFonts w:hint="default" w:ascii="宋体" w:hAnsi="宋体" w:eastAsia="宋体" w:cs="宋体"/>
      </w:rPr>
    </w:lvl>
    <w:lvl w:ilvl="1" w:tentative="0">
      <w:start w:val="1"/>
      <w:numFmt w:val="lowerLetter"/>
      <w:lvlText w:val="%2)"/>
      <w:lvlJc w:val="left"/>
      <w:pPr>
        <w:ind w:left="720" w:hanging="420"/>
      </w:pPr>
    </w:lvl>
    <w:lvl w:ilvl="2" w:tentative="0">
      <w:start w:val="1"/>
      <w:numFmt w:val="lowerRoman"/>
      <w:lvlText w:val="%3."/>
      <w:lvlJc w:val="right"/>
      <w:pPr>
        <w:ind w:left="1140" w:hanging="420"/>
      </w:pPr>
    </w:lvl>
    <w:lvl w:ilvl="3" w:tentative="0">
      <w:start w:val="1"/>
      <w:numFmt w:val="decimal"/>
      <w:lvlText w:val="%4."/>
      <w:lvlJc w:val="left"/>
      <w:pPr>
        <w:ind w:left="1560" w:hanging="420"/>
      </w:pPr>
    </w:lvl>
    <w:lvl w:ilvl="4" w:tentative="0">
      <w:start w:val="1"/>
      <w:numFmt w:val="lowerLetter"/>
      <w:lvlText w:val="%5)"/>
      <w:lvlJc w:val="left"/>
      <w:pPr>
        <w:ind w:left="1980" w:hanging="420"/>
      </w:pPr>
    </w:lvl>
    <w:lvl w:ilvl="5" w:tentative="0">
      <w:start w:val="1"/>
      <w:numFmt w:val="lowerRoman"/>
      <w:lvlText w:val="%6."/>
      <w:lvlJc w:val="right"/>
      <w:pPr>
        <w:ind w:left="2400" w:hanging="420"/>
      </w:pPr>
    </w:lvl>
    <w:lvl w:ilvl="6" w:tentative="0">
      <w:start w:val="1"/>
      <w:numFmt w:val="decimal"/>
      <w:lvlText w:val="%7."/>
      <w:lvlJc w:val="left"/>
      <w:pPr>
        <w:ind w:left="2820" w:hanging="420"/>
      </w:pPr>
    </w:lvl>
    <w:lvl w:ilvl="7" w:tentative="0">
      <w:start w:val="1"/>
      <w:numFmt w:val="lowerLetter"/>
      <w:lvlText w:val="%8)"/>
      <w:lvlJc w:val="left"/>
      <w:pPr>
        <w:ind w:left="3240" w:hanging="420"/>
      </w:pPr>
    </w:lvl>
    <w:lvl w:ilvl="8" w:tentative="0">
      <w:start w:val="1"/>
      <w:numFmt w:val="lowerRoman"/>
      <w:lvlText w:val="%9."/>
      <w:lvlJc w:val="right"/>
      <w:pPr>
        <w:ind w:left="3660" w:hanging="420"/>
      </w:pPr>
    </w:lvl>
  </w:abstractNum>
  <w:abstractNum w:abstractNumId="8">
    <w:nsid w:val="5DF43178"/>
    <w:multiLevelType w:val="multilevel"/>
    <w:tmpl w:val="5DF43178"/>
    <w:lvl w:ilvl="0" w:tentative="0">
      <w:start w:val="1"/>
      <w:numFmt w:val="decimalEnclosedParen"/>
      <w:lvlText w:val="%1"/>
      <w:lvlJc w:val="left"/>
      <w:pPr>
        <w:ind w:left="240" w:hanging="360"/>
      </w:pPr>
      <w:rPr>
        <w:rFonts w:hint="default" w:ascii="宋体" w:hAnsi="宋体" w:cs="宋体"/>
      </w:rPr>
    </w:lvl>
    <w:lvl w:ilvl="1" w:tentative="0">
      <w:start w:val="1"/>
      <w:numFmt w:val="lowerLetter"/>
      <w:lvlText w:val="%2)"/>
      <w:lvlJc w:val="left"/>
      <w:pPr>
        <w:ind w:left="720" w:hanging="420"/>
      </w:pPr>
    </w:lvl>
    <w:lvl w:ilvl="2" w:tentative="0">
      <w:start w:val="1"/>
      <w:numFmt w:val="lowerRoman"/>
      <w:lvlText w:val="%3."/>
      <w:lvlJc w:val="right"/>
      <w:pPr>
        <w:ind w:left="1140" w:hanging="420"/>
      </w:pPr>
    </w:lvl>
    <w:lvl w:ilvl="3" w:tentative="0">
      <w:start w:val="1"/>
      <w:numFmt w:val="decimal"/>
      <w:lvlText w:val="%4."/>
      <w:lvlJc w:val="left"/>
      <w:pPr>
        <w:ind w:left="1560" w:hanging="420"/>
      </w:pPr>
    </w:lvl>
    <w:lvl w:ilvl="4" w:tentative="0">
      <w:start w:val="1"/>
      <w:numFmt w:val="lowerLetter"/>
      <w:lvlText w:val="%5)"/>
      <w:lvlJc w:val="left"/>
      <w:pPr>
        <w:ind w:left="1980" w:hanging="420"/>
      </w:pPr>
    </w:lvl>
    <w:lvl w:ilvl="5" w:tentative="0">
      <w:start w:val="1"/>
      <w:numFmt w:val="lowerRoman"/>
      <w:lvlText w:val="%6."/>
      <w:lvlJc w:val="right"/>
      <w:pPr>
        <w:ind w:left="2400" w:hanging="420"/>
      </w:pPr>
    </w:lvl>
    <w:lvl w:ilvl="6" w:tentative="0">
      <w:start w:val="1"/>
      <w:numFmt w:val="decimal"/>
      <w:lvlText w:val="%7."/>
      <w:lvlJc w:val="left"/>
      <w:pPr>
        <w:ind w:left="2820" w:hanging="420"/>
      </w:pPr>
    </w:lvl>
    <w:lvl w:ilvl="7" w:tentative="0">
      <w:start w:val="1"/>
      <w:numFmt w:val="lowerLetter"/>
      <w:lvlText w:val="%8)"/>
      <w:lvlJc w:val="left"/>
      <w:pPr>
        <w:ind w:left="3240" w:hanging="420"/>
      </w:pPr>
    </w:lvl>
    <w:lvl w:ilvl="8" w:tentative="0">
      <w:start w:val="1"/>
      <w:numFmt w:val="lowerRoman"/>
      <w:lvlText w:val="%9."/>
      <w:lvlJc w:val="right"/>
      <w:pPr>
        <w:ind w:left="3660" w:hanging="420"/>
      </w:pPr>
    </w:lvl>
  </w:abstractNum>
  <w:abstractNum w:abstractNumId="9">
    <w:nsid w:val="5FA7442F"/>
    <w:multiLevelType w:val="multilevel"/>
    <w:tmpl w:val="5FA7442F"/>
    <w:lvl w:ilvl="0" w:tentative="0">
      <w:start w:val="1"/>
      <w:numFmt w:val="decimalEnclosedParen"/>
      <w:lvlText w:val="%1"/>
      <w:lvlJc w:val="left"/>
      <w:pPr>
        <w:ind w:left="240" w:hanging="360"/>
      </w:pPr>
      <w:rPr>
        <w:rFonts w:hint="default" w:ascii="宋体" w:hAnsi="宋体" w:eastAsia="宋体" w:cs="宋体"/>
      </w:rPr>
    </w:lvl>
    <w:lvl w:ilvl="1" w:tentative="0">
      <w:start w:val="1"/>
      <w:numFmt w:val="lowerLetter"/>
      <w:lvlText w:val="%2)"/>
      <w:lvlJc w:val="left"/>
      <w:pPr>
        <w:ind w:left="720" w:hanging="420"/>
      </w:pPr>
    </w:lvl>
    <w:lvl w:ilvl="2" w:tentative="0">
      <w:start w:val="1"/>
      <w:numFmt w:val="lowerRoman"/>
      <w:lvlText w:val="%3."/>
      <w:lvlJc w:val="right"/>
      <w:pPr>
        <w:ind w:left="1140" w:hanging="420"/>
      </w:pPr>
    </w:lvl>
    <w:lvl w:ilvl="3" w:tentative="0">
      <w:start w:val="1"/>
      <w:numFmt w:val="decimal"/>
      <w:lvlText w:val="%4."/>
      <w:lvlJc w:val="left"/>
      <w:pPr>
        <w:ind w:left="1560" w:hanging="420"/>
      </w:pPr>
    </w:lvl>
    <w:lvl w:ilvl="4" w:tentative="0">
      <w:start w:val="1"/>
      <w:numFmt w:val="lowerLetter"/>
      <w:lvlText w:val="%5)"/>
      <w:lvlJc w:val="left"/>
      <w:pPr>
        <w:ind w:left="1980" w:hanging="420"/>
      </w:pPr>
    </w:lvl>
    <w:lvl w:ilvl="5" w:tentative="0">
      <w:start w:val="1"/>
      <w:numFmt w:val="lowerRoman"/>
      <w:lvlText w:val="%6."/>
      <w:lvlJc w:val="right"/>
      <w:pPr>
        <w:ind w:left="2400" w:hanging="420"/>
      </w:pPr>
    </w:lvl>
    <w:lvl w:ilvl="6" w:tentative="0">
      <w:start w:val="1"/>
      <w:numFmt w:val="decimal"/>
      <w:lvlText w:val="%7."/>
      <w:lvlJc w:val="left"/>
      <w:pPr>
        <w:ind w:left="2820" w:hanging="420"/>
      </w:pPr>
    </w:lvl>
    <w:lvl w:ilvl="7" w:tentative="0">
      <w:start w:val="1"/>
      <w:numFmt w:val="lowerLetter"/>
      <w:lvlText w:val="%8)"/>
      <w:lvlJc w:val="left"/>
      <w:pPr>
        <w:ind w:left="3240" w:hanging="420"/>
      </w:pPr>
    </w:lvl>
    <w:lvl w:ilvl="8" w:tentative="0">
      <w:start w:val="1"/>
      <w:numFmt w:val="lowerRoman"/>
      <w:lvlText w:val="%9."/>
      <w:lvlJc w:val="right"/>
      <w:pPr>
        <w:ind w:left="3660" w:hanging="420"/>
      </w:pPr>
    </w:lvl>
  </w:abstractNum>
  <w:abstractNum w:abstractNumId="10">
    <w:nsid w:val="69BA5046"/>
    <w:multiLevelType w:val="multilevel"/>
    <w:tmpl w:val="69BA5046"/>
    <w:lvl w:ilvl="0" w:tentative="0">
      <w:start w:val="1"/>
      <w:numFmt w:val="decimalEnclosedParen"/>
      <w:lvlText w:val="%1"/>
      <w:lvlJc w:val="left"/>
      <w:pPr>
        <w:ind w:left="240" w:hanging="360"/>
      </w:pPr>
      <w:rPr>
        <w:rFonts w:hint="default" w:ascii="宋体" w:hAnsi="宋体" w:eastAsia="宋体"/>
      </w:rPr>
    </w:lvl>
    <w:lvl w:ilvl="1" w:tentative="0">
      <w:start w:val="1"/>
      <w:numFmt w:val="lowerLetter"/>
      <w:lvlText w:val="%2)"/>
      <w:lvlJc w:val="left"/>
      <w:pPr>
        <w:ind w:left="720" w:hanging="420"/>
      </w:pPr>
    </w:lvl>
    <w:lvl w:ilvl="2" w:tentative="0">
      <w:start w:val="1"/>
      <w:numFmt w:val="lowerRoman"/>
      <w:lvlText w:val="%3."/>
      <w:lvlJc w:val="right"/>
      <w:pPr>
        <w:ind w:left="1140" w:hanging="420"/>
      </w:pPr>
    </w:lvl>
    <w:lvl w:ilvl="3" w:tentative="0">
      <w:start w:val="1"/>
      <w:numFmt w:val="decimal"/>
      <w:lvlText w:val="%4."/>
      <w:lvlJc w:val="left"/>
      <w:pPr>
        <w:ind w:left="1560" w:hanging="420"/>
      </w:pPr>
    </w:lvl>
    <w:lvl w:ilvl="4" w:tentative="0">
      <w:start w:val="1"/>
      <w:numFmt w:val="lowerLetter"/>
      <w:lvlText w:val="%5)"/>
      <w:lvlJc w:val="left"/>
      <w:pPr>
        <w:ind w:left="1980" w:hanging="420"/>
      </w:pPr>
    </w:lvl>
    <w:lvl w:ilvl="5" w:tentative="0">
      <w:start w:val="1"/>
      <w:numFmt w:val="lowerRoman"/>
      <w:lvlText w:val="%6."/>
      <w:lvlJc w:val="right"/>
      <w:pPr>
        <w:ind w:left="2400" w:hanging="420"/>
      </w:pPr>
    </w:lvl>
    <w:lvl w:ilvl="6" w:tentative="0">
      <w:start w:val="1"/>
      <w:numFmt w:val="decimal"/>
      <w:lvlText w:val="%7."/>
      <w:lvlJc w:val="left"/>
      <w:pPr>
        <w:ind w:left="2820" w:hanging="420"/>
      </w:pPr>
    </w:lvl>
    <w:lvl w:ilvl="7" w:tentative="0">
      <w:start w:val="1"/>
      <w:numFmt w:val="lowerLetter"/>
      <w:lvlText w:val="%8)"/>
      <w:lvlJc w:val="left"/>
      <w:pPr>
        <w:ind w:left="3240" w:hanging="420"/>
      </w:pPr>
    </w:lvl>
    <w:lvl w:ilvl="8" w:tentative="0">
      <w:start w:val="1"/>
      <w:numFmt w:val="lowerRoman"/>
      <w:lvlText w:val="%9."/>
      <w:lvlJc w:val="right"/>
      <w:pPr>
        <w:ind w:left="3660" w:hanging="420"/>
      </w:pPr>
    </w:lvl>
  </w:abstractNum>
  <w:abstractNum w:abstractNumId="11">
    <w:nsid w:val="6FC2365F"/>
    <w:multiLevelType w:val="multilevel"/>
    <w:tmpl w:val="6FC2365F"/>
    <w:lvl w:ilvl="0" w:tentative="0">
      <w:start w:val="1"/>
      <w:numFmt w:val="decimalEnclosedParen"/>
      <w:lvlText w:val="%1"/>
      <w:lvlJc w:val="left"/>
      <w:pPr>
        <w:ind w:left="240" w:hanging="360"/>
      </w:pPr>
      <w:rPr>
        <w:rFonts w:hint="default" w:ascii="宋体" w:hAnsi="宋体" w:eastAsia="宋体"/>
      </w:rPr>
    </w:lvl>
    <w:lvl w:ilvl="1" w:tentative="0">
      <w:start w:val="1"/>
      <w:numFmt w:val="lowerLetter"/>
      <w:lvlText w:val="%2)"/>
      <w:lvlJc w:val="left"/>
      <w:pPr>
        <w:ind w:left="720" w:hanging="420"/>
      </w:pPr>
    </w:lvl>
    <w:lvl w:ilvl="2" w:tentative="0">
      <w:start w:val="1"/>
      <w:numFmt w:val="lowerRoman"/>
      <w:lvlText w:val="%3."/>
      <w:lvlJc w:val="right"/>
      <w:pPr>
        <w:ind w:left="1140" w:hanging="420"/>
      </w:pPr>
    </w:lvl>
    <w:lvl w:ilvl="3" w:tentative="0">
      <w:start w:val="1"/>
      <w:numFmt w:val="decimal"/>
      <w:lvlText w:val="%4."/>
      <w:lvlJc w:val="left"/>
      <w:pPr>
        <w:ind w:left="1560" w:hanging="420"/>
      </w:pPr>
    </w:lvl>
    <w:lvl w:ilvl="4" w:tentative="0">
      <w:start w:val="1"/>
      <w:numFmt w:val="lowerLetter"/>
      <w:lvlText w:val="%5)"/>
      <w:lvlJc w:val="left"/>
      <w:pPr>
        <w:ind w:left="1980" w:hanging="420"/>
      </w:pPr>
    </w:lvl>
    <w:lvl w:ilvl="5" w:tentative="0">
      <w:start w:val="1"/>
      <w:numFmt w:val="lowerRoman"/>
      <w:lvlText w:val="%6."/>
      <w:lvlJc w:val="right"/>
      <w:pPr>
        <w:ind w:left="2400" w:hanging="420"/>
      </w:pPr>
    </w:lvl>
    <w:lvl w:ilvl="6" w:tentative="0">
      <w:start w:val="1"/>
      <w:numFmt w:val="decimal"/>
      <w:lvlText w:val="%7."/>
      <w:lvlJc w:val="left"/>
      <w:pPr>
        <w:ind w:left="2820" w:hanging="420"/>
      </w:pPr>
    </w:lvl>
    <w:lvl w:ilvl="7" w:tentative="0">
      <w:start w:val="1"/>
      <w:numFmt w:val="lowerLetter"/>
      <w:lvlText w:val="%8)"/>
      <w:lvlJc w:val="left"/>
      <w:pPr>
        <w:ind w:left="3240" w:hanging="420"/>
      </w:pPr>
    </w:lvl>
    <w:lvl w:ilvl="8" w:tentative="0">
      <w:start w:val="1"/>
      <w:numFmt w:val="lowerRoman"/>
      <w:lvlText w:val="%9."/>
      <w:lvlJc w:val="right"/>
      <w:pPr>
        <w:ind w:left="3660" w:hanging="420"/>
      </w:pPr>
    </w:lvl>
  </w:abstractNum>
  <w:abstractNum w:abstractNumId="12">
    <w:nsid w:val="732701D3"/>
    <w:multiLevelType w:val="multilevel"/>
    <w:tmpl w:val="732701D3"/>
    <w:lvl w:ilvl="0" w:tentative="0">
      <w:start w:val="1"/>
      <w:numFmt w:val="decimalEnclosedParen"/>
      <w:lvlText w:val="%1"/>
      <w:lvlJc w:val="left"/>
      <w:pPr>
        <w:ind w:left="240" w:hanging="360"/>
      </w:pPr>
      <w:rPr>
        <w:rFonts w:hint="default" w:ascii="宋体" w:hAnsi="宋体" w:eastAsia="宋体"/>
      </w:rPr>
    </w:lvl>
    <w:lvl w:ilvl="1" w:tentative="0">
      <w:start w:val="1"/>
      <w:numFmt w:val="lowerLetter"/>
      <w:lvlText w:val="%2)"/>
      <w:lvlJc w:val="left"/>
      <w:pPr>
        <w:ind w:left="720" w:hanging="420"/>
      </w:pPr>
    </w:lvl>
    <w:lvl w:ilvl="2" w:tentative="0">
      <w:start w:val="1"/>
      <w:numFmt w:val="lowerRoman"/>
      <w:lvlText w:val="%3."/>
      <w:lvlJc w:val="right"/>
      <w:pPr>
        <w:ind w:left="1140" w:hanging="420"/>
      </w:pPr>
    </w:lvl>
    <w:lvl w:ilvl="3" w:tentative="0">
      <w:start w:val="1"/>
      <w:numFmt w:val="decimal"/>
      <w:lvlText w:val="%4."/>
      <w:lvlJc w:val="left"/>
      <w:pPr>
        <w:ind w:left="1560" w:hanging="420"/>
      </w:pPr>
    </w:lvl>
    <w:lvl w:ilvl="4" w:tentative="0">
      <w:start w:val="1"/>
      <w:numFmt w:val="lowerLetter"/>
      <w:lvlText w:val="%5)"/>
      <w:lvlJc w:val="left"/>
      <w:pPr>
        <w:ind w:left="1980" w:hanging="420"/>
      </w:pPr>
    </w:lvl>
    <w:lvl w:ilvl="5" w:tentative="0">
      <w:start w:val="1"/>
      <w:numFmt w:val="lowerRoman"/>
      <w:lvlText w:val="%6."/>
      <w:lvlJc w:val="right"/>
      <w:pPr>
        <w:ind w:left="2400" w:hanging="420"/>
      </w:pPr>
    </w:lvl>
    <w:lvl w:ilvl="6" w:tentative="0">
      <w:start w:val="1"/>
      <w:numFmt w:val="decimal"/>
      <w:lvlText w:val="%7."/>
      <w:lvlJc w:val="left"/>
      <w:pPr>
        <w:ind w:left="2820" w:hanging="420"/>
      </w:pPr>
    </w:lvl>
    <w:lvl w:ilvl="7" w:tentative="0">
      <w:start w:val="1"/>
      <w:numFmt w:val="lowerLetter"/>
      <w:lvlText w:val="%8)"/>
      <w:lvlJc w:val="left"/>
      <w:pPr>
        <w:ind w:left="3240" w:hanging="420"/>
      </w:pPr>
    </w:lvl>
    <w:lvl w:ilvl="8" w:tentative="0">
      <w:start w:val="1"/>
      <w:numFmt w:val="lowerRoman"/>
      <w:lvlText w:val="%9."/>
      <w:lvlJc w:val="right"/>
      <w:pPr>
        <w:ind w:left="3660" w:hanging="420"/>
      </w:pPr>
    </w:lvl>
  </w:abstractNum>
  <w:abstractNum w:abstractNumId="13">
    <w:nsid w:val="7AFC5E43"/>
    <w:multiLevelType w:val="multilevel"/>
    <w:tmpl w:val="7AFC5E43"/>
    <w:lvl w:ilvl="0" w:tentative="0">
      <w:start w:val="1"/>
      <w:numFmt w:val="decimalEnclosedParen"/>
      <w:lvlText w:val="%1"/>
      <w:lvlJc w:val="left"/>
      <w:pPr>
        <w:ind w:left="240" w:hanging="360"/>
      </w:pPr>
      <w:rPr>
        <w:rFonts w:hint="default" w:ascii="宋体" w:hAnsi="宋体" w:cs="宋体"/>
      </w:rPr>
    </w:lvl>
    <w:lvl w:ilvl="1" w:tentative="0">
      <w:start w:val="1"/>
      <w:numFmt w:val="lowerLetter"/>
      <w:lvlText w:val="%2)"/>
      <w:lvlJc w:val="left"/>
      <w:pPr>
        <w:ind w:left="720" w:hanging="420"/>
      </w:pPr>
    </w:lvl>
    <w:lvl w:ilvl="2" w:tentative="0">
      <w:start w:val="1"/>
      <w:numFmt w:val="lowerRoman"/>
      <w:lvlText w:val="%3."/>
      <w:lvlJc w:val="right"/>
      <w:pPr>
        <w:ind w:left="1140" w:hanging="420"/>
      </w:pPr>
    </w:lvl>
    <w:lvl w:ilvl="3" w:tentative="0">
      <w:start w:val="1"/>
      <w:numFmt w:val="decimal"/>
      <w:lvlText w:val="%4."/>
      <w:lvlJc w:val="left"/>
      <w:pPr>
        <w:ind w:left="1560" w:hanging="420"/>
      </w:pPr>
    </w:lvl>
    <w:lvl w:ilvl="4" w:tentative="0">
      <w:start w:val="1"/>
      <w:numFmt w:val="lowerLetter"/>
      <w:lvlText w:val="%5)"/>
      <w:lvlJc w:val="left"/>
      <w:pPr>
        <w:ind w:left="1980" w:hanging="420"/>
      </w:pPr>
    </w:lvl>
    <w:lvl w:ilvl="5" w:tentative="0">
      <w:start w:val="1"/>
      <w:numFmt w:val="lowerRoman"/>
      <w:lvlText w:val="%6."/>
      <w:lvlJc w:val="right"/>
      <w:pPr>
        <w:ind w:left="2400" w:hanging="420"/>
      </w:pPr>
    </w:lvl>
    <w:lvl w:ilvl="6" w:tentative="0">
      <w:start w:val="1"/>
      <w:numFmt w:val="decimal"/>
      <w:lvlText w:val="%7."/>
      <w:lvlJc w:val="left"/>
      <w:pPr>
        <w:ind w:left="2820" w:hanging="420"/>
      </w:pPr>
    </w:lvl>
    <w:lvl w:ilvl="7" w:tentative="0">
      <w:start w:val="1"/>
      <w:numFmt w:val="lowerLetter"/>
      <w:lvlText w:val="%8)"/>
      <w:lvlJc w:val="left"/>
      <w:pPr>
        <w:ind w:left="3240" w:hanging="420"/>
      </w:pPr>
    </w:lvl>
    <w:lvl w:ilvl="8" w:tentative="0">
      <w:start w:val="1"/>
      <w:numFmt w:val="lowerRoman"/>
      <w:lvlText w:val="%9."/>
      <w:lvlJc w:val="right"/>
      <w:pPr>
        <w:ind w:left="3660" w:hanging="420"/>
      </w:pPr>
    </w:lvl>
  </w:abstractNum>
  <w:abstractNum w:abstractNumId="14">
    <w:nsid w:val="7E3B013A"/>
    <w:multiLevelType w:val="multilevel"/>
    <w:tmpl w:val="7E3B013A"/>
    <w:lvl w:ilvl="0" w:tentative="0">
      <w:start w:val="1"/>
      <w:numFmt w:val="decimalEnclosedParen"/>
      <w:lvlText w:val="%1"/>
      <w:lvlJc w:val="left"/>
      <w:pPr>
        <w:ind w:left="240" w:hanging="360"/>
      </w:pPr>
      <w:rPr>
        <w:rFonts w:hint="default" w:ascii="宋体" w:hAnsi="宋体" w:cs="宋体"/>
      </w:rPr>
    </w:lvl>
    <w:lvl w:ilvl="1" w:tentative="0">
      <w:start w:val="1"/>
      <w:numFmt w:val="lowerLetter"/>
      <w:lvlText w:val="%2)"/>
      <w:lvlJc w:val="left"/>
      <w:pPr>
        <w:ind w:left="720" w:hanging="420"/>
      </w:pPr>
    </w:lvl>
    <w:lvl w:ilvl="2" w:tentative="0">
      <w:start w:val="1"/>
      <w:numFmt w:val="lowerRoman"/>
      <w:lvlText w:val="%3."/>
      <w:lvlJc w:val="right"/>
      <w:pPr>
        <w:ind w:left="1140" w:hanging="420"/>
      </w:pPr>
    </w:lvl>
    <w:lvl w:ilvl="3" w:tentative="0">
      <w:start w:val="1"/>
      <w:numFmt w:val="decimal"/>
      <w:lvlText w:val="%4."/>
      <w:lvlJc w:val="left"/>
      <w:pPr>
        <w:ind w:left="1560" w:hanging="420"/>
      </w:pPr>
    </w:lvl>
    <w:lvl w:ilvl="4" w:tentative="0">
      <w:start w:val="1"/>
      <w:numFmt w:val="lowerLetter"/>
      <w:lvlText w:val="%5)"/>
      <w:lvlJc w:val="left"/>
      <w:pPr>
        <w:ind w:left="1980" w:hanging="420"/>
      </w:pPr>
    </w:lvl>
    <w:lvl w:ilvl="5" w:tentative="0">
      <w:start w:val="1"/>
      <w:numFmt w:val="lowerRoman"/>
      <w:lvlText w:val="%6."/>
      <w:lvlJc w:val="right"/>
      <w:pPr>
        <w:ind w:left="2400" w:hanging="420"/>
      </w:pPr>
    </w:lvl>
    <w:lvl w:ilvl="6" w:tentative="0">
      <w:start w:val="1"/>
      <w:numFmt w:val="decimal"/>
      <w:lvlText w:val="%7."/>
      <w:lvlJc w:val="left"/>
      <w:pPr>
        <w:ind w:left="2820" w:hanging="420"/>
      </w:pPr>
    </w:lvl>
    <w:lvl w:ilvl="7" w:tentative="0">
      <w:start w:val="1"/>
      <w:numFmt w:val="lowerLetter"/>
      <w:lvlText w:val="%8)"/>
      <w:lvlJc w:val="left"/>
      <w:pPr>
        <w:ind w:left="3240" w:hanging="420"/>
      </w:pPr>
    </w:lvl>
    <w:lvl w:ilvl="8" w:tentative="0">
      <w:start w:val="1"/>
      <w:numFmt w:val="lowerRoman"/>
      <w:lvlText w:val="%9."/>
      <w:lvlJc w:val="right"/>
      <w:pPr>
        <w:ind w:left="3660" w:hanging="420"/>
      </w:pPr>
    </w:lvl>
  </w:abstractNum>
  <w:num w:numId="1">
    <w:abstractNumId w:val="9"/>
  </w:num>
  <w:num w:numId="2">
    <w:abstractNumId w:val="7"/>
  </w:num>
  <w:num w:numId="3">
    <w:abstractNumId w:val="6"/>
  </w:num>
  <w:num w:numId="4">
    <w:abstractNumId w:val="5"/>
  </w:num>
  <w:num w:numId="5">
    <w:abstractNumId w:val="11"/>
  </w:num>
  <w:num w:numId="6">
    <w:abstractNumId w:val="10"/>
  </w:num>
  <w:num w:numId="7">
    <w:abstractNumId w:val="4"/>
  </w:num>
  <w:num w:numId="8">
    <w:abstractNumId w:val="12"/>
  </w:num>
  <w:num w:numId="9">
    <w:abstractNumId w:val="2"/>
  </w:num>
  <w:num w:numId="10">
    <w:abstractNumId w:val="3"/>
  </w:num>
  <w:num w:numId="11">
    <w:abstractNumId w:val="1"/>
  </w:num>
  <w:num w:numId="12">
    <w:abstractNumId w:val="13"/>
  </w:num>
  <w:num w:numId="13">
    <w:abstractNumId w:val="0"/>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k5ZDc3YjRkOTlkNDE3ZjFhMTg5YzliZDMyZWVlMTkifQ=="/>
  </w:docVars>
  <w:rsids>
    <w:rsidRoot w:val="00F24271"/>
    <w:rsid w:val="0000055B"/>
    <w:rsid w:val="00001FC2"/>
    <w:rsid w:val="000050F9"/>
    <w:rsid w:val="000053F7"/>
    <w:rsid w:val="00006A89"/>
    <w:rsid w:val="00011B78"/>
    <w:rsid w:val="00011CD6"/>
    <w:rsid w:val="00012EF8"/>
    <w:rsid w:val="00013A43"/>
    <w:rsid w:val="00014794"/>
    <w:rsid w:val="00017EDA"/>
    <w:rsid w:val="0002044F"/>
    <w:rsid w:val="00020AA5"/>
    <w:rsid w:val="00022136"/>
    <w:rsid w:val="00024ECE"/>
    <w:rsid w:val="00026F0E"/>
    <w:rsid w:val="00027F3A"/>
    <w:rsid w:val="00031C77"/>
    <w:rsid w:val="00031C82"/>
    <w:rsid w:val="0003226E"/>
    <w:rsid w:val="00032495"/>
    <w:rsid w:val="0003254E"/>
    <w:rsid w:val="00032948"/>
    <w:rsid w:val="0003631E"/>
    <w:rsid w:val="00041E8C"/>
    <w:rsid w:val="00044173"/>
    <w:rsid w:val="000451F5"/>
    <w:rsid w:val="000458D5"/>
    <w:rsid w:val="000466C3"/>
    <w:rsid w:val="00050920"/>
    <w:rsid w:val="0005194D"/>
    <w:rsid w:val="00052C23"/>
    <w:rsid w:val="00053210"/>
    <w:rsid w:val="00053253"/>
    <w:rsid w:val="00055581"/>
    <w:rsid w:val="00055973"/>
    <w:rsid w:val="000565E3"/>
    <w:rsid w:val="00060764"/>
    <w:rsid w:val="00061095"/>
    <w:rsid w:val="00062070"/>
    <w:rsid w:val="0006235B"/>
    <w:rsid w:val="000627B2"/>
    <w:rsid w:val="000636F1"/>
    <w:rsid w:val="00064670"/>
    <w:rsid w:val="00065A44"/>
    <w:rsid w:val="00065B04"/>
    <w:rsid w:val="00066E3B"/>
    <w:rsid w:val="00067E40"/>
    <w:rsid w:val="0007069F"/>
    <w:rsid w:val="00071CFE"/>
    <w:rsid w:val="0007228F"/>
    <w:rsid w:val="0007280D"/>
    <w:rsid w:val="00084433"/>
    <w:rsid w:val="00084A06"/>
    <w:rsid w:val="00085203"/>
    <w:rsid w:val="000877D3"/>
    <w:rsid w:val="00090BE8"/>
    <w:rsid w:val="00092299"/>
    <w:rsid w:val="000934C0"/>
    <w:rsid w:val="0009434C"/>
    <w:rsid w:val="00095C98"/>
    <w:rsid w:val="00097516"/>
    <w:rsid w:val="000A1114"/>
    <w:rsid w:val="000A6C27"/>
    <w:rsid w:val="000B00B6"/>
    <w:rsid w:val="000B18B3"/>
    <w:rsid w:val="000B4609"/>
    <w:rsid w:val="000B55E6"/>
    <w:rsid w:val="000B592D"/>
    <w:rsid w:val="000B6A2E"/>
    <w:rsid w:val="000B706F"/>
    <w:rsid w:val="000B7B14"/>
    <w:rsid w:val="000C7210"/>
    <w:rsid w:val="000C7D1D"/>
    <w:rsid w:val="000D78FB"/>
    <w:rsid w:val="000D7CDB"/>
    <w:rsid w:val="000E270B"/>
    <w:rsid w:val="000E2993"/>
    <w:rsid w:val="000E64C9"/>
    <w:rsid w:val="000E664F"/>
    <w:rsid w:val="000E7DB8"/>
    <w:rsid w:val="000F012C"/>
    <w:rsid w:val="000F0767"/>
    <w:rsid w:val="000F0AFE"/>
    <w:rsid w:val="000F2FC5"/>
    <w:rsid w:val="000F525F"/>
    <w:rsid w:val="000F5B8F"/>
    <w:rsid w:val="000F6DCA"/>
    <w:rsid w:val="000F6DE6"/>
    <w:rsid w:val="00101780"/>
    <w:rsid w:val="001028D4"/>
    <w:rsid w:val="00103468"/>
    <w:rsid w:val="001036E4"/>
    <w:rsid w:val="001050E0"/>
    <w:rsid w:val="00106A5E"/>
    <w:rsid w:val="00107629"/>
    <w:rsid w:val="00107B76"/>
    <w:rsid w:val="0011055B"/>
    <w:rsid w:val="00112546"/>
    <w:rsid w:val="00112813"/>
    <w:rsid w:val="0011603C"/>
    <w:rsid w:val="001179F7"/>
    <w:rsid w:val="00121DE9"/>
    <w:rsid w:val="001234AC"/>
    <w:rsid w:val="0012421E"/>
    <w:rsid w:val="001257B9"/>
    <w:rsid w:val="00125E74"/>
    <w:rsid w:val="0012624C"/>
    <w:rsid w:val="0012650D"/>
    <w:rsid w:val="001305A3"/>
    <w:rsid w:val="001310BA"/>
    <w:rsid w:val="0013347E"/>
    <w:rsid w:val="00133BA5"/>
    <w:rsid w:val="00135424"/>
    <w:rsid w:val="00136C52"/>
    <w:rsid w:val="00142099"/>
    <w:rsid w:val="0014216D"/>
    <w:rsid w:val="00144559"/>
    <w:rsid w:val="001448CB"/>
    <w:rsid w:val="00144EAA"/>
    <w:rsid w:val="001478B7"/>
    <w:rsid w:val="00155191"/>
    <w:rsid w:val="00155500"/>
    <w:rsid w:val="001565D8"/>
    <w:rsid w:val="001575D4"/>
    <w:rsid w:val="001626D9"/>
    <w:rsid w:val="00163383"/>
    <w:rsid w:val="00164289"/>
    <w:rsid w:val="00165F4E"/>
    <w:rsid w:val="001665CF"/>
    <w:rsid w:val="001711E6"/>
    <w:rsid w:val="0017306C"/>
    <w:rsid w:val="00174289"/>
    <w:rsid w:val="001801F2"/>
    <w:rsid w:val="0018289E"/>
    <w:rsid w:val="00183824"/>
    <w:rsid w:val="001864FC"/>
    <w:rsid w:val="00193AE8"/>
    <w:rsid w:val="00194DDB"/>
    <w:rsid w:val="0019736D"/>
    <w:rsid w:val="001A00F0"/>
    <w:rsid w:val="001A46BE"/>
    <w:rsid w:val="001A4A04"/>
    <w:rsid w:val="001A50A7"/>
    <w:rsid w:val="001A5F8A"/>
    <w:rsid w:val="001A6D0E"/>
    <w:rsid w:val="001A74FC"/>
    <w:rsid w:val="001B02E3"/>
    <w:rsid w:val="001B4133"/>
    <w:rsid w:val="001B44AA"/>
    <w:rsid w:val="001B51E4"/>
    <w:rsid w:val="001B66E8"/>
    <w:rsid w:val="001B6D73"/>
    <w:rsid w:val="001B7E0F"/>
    <w:rsid w:val="001C0348"/>
    <w:rsid w:val="001C080B"/>
    <w:rsid w:val="001C2232"/>
    <w:rsid w:val="001C2BBF"/>
    <w:rsid w:val="001C3221"/>
    <w:rsid w:val="001C527B"/>
    <w:rsid w:val="001C57BB"/>
    <w:rsid w:val="001C6606"/>
    <w:rsid w:val="001C765B"/>
    <w:rsid w:val="001D139B"/>
    <w:rsid w:val="001D24C3"/>
    <w:rsid w:val="001D2A9E"/>
    <w:rsid w:val="001D2C87"/>
    <w:rsid w:val="001E0B4F"/>
    <w:rsid w:val="001E0D77"/>
    <w:rsid w:val="001E117E"/>
    <w:rsid w:val="001E4FB2"/>
    <w:rsid w:val="001E66EF"/>
    <w:rsid w:val="001F05DC"/>
    <w:rsid w:val="001F207D"/>
    <w:rsid w:val="001F41E3"/>
    <w:rsid w:val="001F6921"/>
    <w:rsid w:val="001F6DBA"/>
    <w:rsid w:val="001F6E5E"/>
    <w:rsid w:val="001F6E9D"/>
    <w:rsid w:val="00201CA0"/>
    <w:rsid w:val="00204F4A"/>
    <w:rsid w:val="00205411"/>
    <w:rsid w:val="00206939"/>
    <w:rsid w:val="00207B71"/>
    <w:rsid w:val="00207D9F"/>
    <w:rsid w:val="00211A30"/>
    <w:rsid w:val="00211BA5"/>
    <w:rsid w:val="00211D04"/>
    <w:rsid w:val="00212557"/>
    <w:rsid w:val="00213A39"/>
    <w:rsid w:val="00214320"/>
    <w:rsid w:val="00214F4D"/>
    <w:rsid w:val="002164AE"/>
    <w:rsid w:val="00217274"/>
    <w:rsid w:val="002173D3"/>
    <w:rsid w:val="00220BB8"/>
    <w:rsid w:val="00221F01"/>
    <w:rsid w:val="002223A3"/>
    <w:rsid w:val="00225479"/>
    <w:rsid w:val="0022631E"/>
    <w:rsid w:val="002263FF"/>
    <w:rsid w:val="00226F6B"/>
    <w:rsid w:val="00227FBB"/>
    <w:rsid w:val="002304E1"/>
    <w:rsid w:val="0023394D"/>
    <w:rsid w:val="00234B7F"/>
    <w:rsid w:val="00237ADF"/>
    <w:rsid w:val="00237B09"/>
    <w:rsid w:val="00241FAD"/>
    <w:rsid w:val="0024244F"/>
    <w:rsid w:val="002438E3"/>
    <w:rsid w:val="0024528E"/>
    <w:rsid w:val="002464CC"/>
    <w:rsid w:val="00247540"/>
    <w:rsid w:val="00247767"/>
    <w:rsid w:val="00250BDE"/>
    <w:rsid w:val="00250E23"/>
    <w:rsid w:val="00252223"/>
    <w:rsid w:val="00252FDB"/>
    <w:rsid w:val="00255107"/>
    <w:rsid w:val="002570B7"/>
    <w:rsid w:val="002606BA"/>
    <w:rsid w:val="00260F8E"/>
    <w:rsid w:val="002616CD"/>
    <w:rsid w:val="00262D8A"/>
    <w:rsid w:val="00263E52"/>
    <w:rsid w:val="00266E40"/>
    <w:rsid w:val="00267ECE"/>
    <w:rsid w:val="002725D8"/>
    <w:rsid w:val="00277D12"/>
    <w:rsid w:val="0028265C"/>
    <w:rsid w:val="00282D36"/>
    <w:rsid w:val="00285678"/>
    <w:rsid w:val="002860F6"/>
    <w:rsid w:val="002871C9"/>
    <w:rsid w:val="00293279"/>
    <w:rsid w:val="002956ED"/>
    <w:rsid w:val="00297487"/>
    <w:rsid w:val="002A0A62"/>
    <w:rsid w:val="002A0F47"/>
    <w:rsid w:val="002A2E2A"/>
    <w:rsid w:val="002A5368"/>
    <w:rsid w:val="002A6802"/>
    <w:rsid w:val="002A6CBB"/>
    <w:rsid w:val="002B0666"/>
    <w:rsid w:val="002B069F"/>
    <w:rsid w:val="002B06BE"/>
    <w:rsid w:val="002B29E2"/>
    <w:rsid w:val="002B324D"/>
    <w:rsid w:val="002B3A8A"/>
    <w:rsid w:val="002B523D"/>
    <w:rsid w:val="002B5CC5"/>
    <w:rsid w:val="002B5FE7"/>
    <w:rsid w:val="002B7FF5"/>
    <w:rsid w:val="002C08A0"/>
    <w:rsid w:val="002C1DC6"/>
    <w:rsid w:val="002C2082"/>
    <w:rsid w:val="002C27CA"/>
    <w:rsid w:val="002C5733"/>
    <w:rsid w:val="002C7BC0"/>
    <w:rsid w:val="002D063F"/>
    <w:rsid w:val="002D1868"/>
    <w:rsid w:val="002D20CA"/>
    <w:rsid w:val="002D46B5"/>
    <w:rsid w:val="002D6DF1"/>
    <w:rsid w:val="002D776E"/>
    <w:rsid w:val="002D7936"/>
    <w:rsid w:val="002D7F0A"/>
    <w:rsid w:val="002E0524"/>
    <w:rsid w:val="002E20D5"/>
    <w:rsid w:val="002E2CB7"/>
    <w:rsid w:val="002E7017"/>
    <w:rsid w:val="002F131E"/>
    <w:rsid w:val="002F37FC"/>
    <w:rsid w:val="002F4DF5"/>
    <w:rsid w:val="002F58C0"/>
    <w:rsid w:val="002F598E"/>
    <w:rsid w:val="002F7247"/>
    <w:rsid w:val="002F79DF"/>
    <w:rsid w:val="00302859"/>
    <w:rsid w:val="0030696B"/>
    <w:rsid w:val="00307236"/>
    <w:rsid w:val="00307A79"/>
    <w:rsid w:val="0031294D"/>
    <w:rsid w:val="00313A70"/>
    <w:rsid w:val="00315DE6"/>
    <w:rsid w:val="003167A0"/>
    <w:rsid w:val="00316D4F"/>
    <w:rsid w:val="00321408"/>
    <w:rsid w:val="00321EDB"/>
    <w:rsid w:val="003259A6"/>
    <w:rsid w:val="0032733F"/>
    <w:rsid w:val="00327DCB"/>
    <w:rsid w:val="00327EF7"/>
    <w:rsid w:val="00330DD2"/>
    <w:rsid w:val="00331B73"/>
    <w:rsid w:val="00332783"/>
    <w:rsid w:val="003441FC"/>
    <w:rsid w:val="003443F7"/>
    <w:rsid w:val="00344422"/>
    <w:rsid w:val="00351382"/>
    <w:rsid w:val="003517F2"/>
    <w:rsid w:val="003521A4"/>
    <w:rsid w:val="00352EC1"/>
    <w:rsid w:val="0035332F"/>
    <w:rsid w:val="00354D7B"/>
    <w:rsid w:val="003550CB"/>
    <w:rsid w:val="00365A31"/>
    <w:rsid w:val="00365D70"/>
    <w:rsid w:val="00365F11"/>
    <w:rsid w:val="00366B57"/>
    <w:rsid w:val="00374887"/>
    <w:rsid w:val="003749EC"/>
    <w:rsid w:val="00380C78"/>
    <w:rsid w:val="0038273F"/>
    <w:rsid w:val="00386158"/>
    <w:rsid w:val="00386DB9"/>
    <w:rsid w:val="00392EE7"/>
    <w:rsid w:val="003935E3"/>
    <w:rsid w:val="00396E2E"/>
    <w:rsid w:val="003A1FB0"/>
    <w:rsid w:val="003A4D0D"/>
    <w:rsid w:val="003A5688"/>
    <w:rsid w:val="003B0C88"/>
    <w:rsid w:val="003B3AF1"/>
    <w:rsid w:val="003B653B"/>
    <w:rsid w:val="003B6F63"/>
    <w:rsid w:val="003B6FFE"/>
    <w:rsid w:val="003C29A8"/>
    <w:rsid w:val="003C3E12"/>
    <w:rsid w:val="003C3E5F"/>
    <w:rsid w:val="003C4D28"/>
    <w:rsid w:val="003C4D33"/>
    <w:rsid w:val="003D0A4A"/>
    <w:rsid w:val="003D2CFA"/>
    <w:rsid w:val="003D3247"/>
    <w:rsid w:val="003D3CAD"/>
    <w:rsid w:val="003D3CFF"/>
    <w:rsid w:val="003D4064"/>
    <w:rsid w:val="003D78BA"/>
    <w:rsid w:val="003E1A95"/>
    <w:rsid w:val="003E6540"/>
    <w:rsid w:val="003E7678"/>
    <w:rsid w:val="003E7E0C"/>
    <w:rsid w:val="003E7F41"/>
    <w:rsid w:val="003E7FC0"/>
    <w:rsid w:val="003F342E"/>
    <w:rsid w:val="003F6EC7"/>
    <w:rsid w:val="004027CD"/>
    <w:rsid w:val="00402B33"/>
    <w:rsid w:val="00403984"/>
    <w:rsid w:val="0040772D"/>
    <w:rsid w:val="00410033"/>
    <w:rsid w:val="00410197"/>
    <w:rsid w:val="00411DBD"/>
    <w:rsid w:val="00421809"/>
    <w:rsid w:val="00421AEC"/>
    <w:rsid w:val="004222C6"/>
    <w:rsid w:val="00422F33"/>
    <w:rsid w:val="00423764"/>
    <w:rsid w:val="00423F21"/>
    <w:rsid w:val="00424DBF"/>
    <w:rsid w:val="00424F87"/>
    <w:rsid w:val="004255F9"/>
    <w:rsid w:val="00430BC2"/>
    <w:rsid w:val="004316A0"/>
    <w:rsid w:val="00431C0C"/>
    <w:rsid w:val="004332EE"/>
    <w:rsid w:val="00433AFB"/>
    <w:rsid w:val="004378E8"/>
    <w:rsid w:val="00440AFD"/>
    <w:rsid w:val="00440E70"/>
    <w:rsid w:val="0044209E"/>
    <w:rsid w:val="004455A0"/>
    <w:rsid w:val="00445D8D"/>
    <w:rsid w:val="00447752"/>
    <w:rsid w:val="00451D57"/>
    <w:rsid w:val="00453F49"/>
    <w:rsid w:val="004558E9"/>
    <w:rsid w:val="004565E0"/>
    <w:rsid w:val="0046157B"/>
    <w:rsid w:val="0046410B"/>
    <w:rsid w:val="00464FDB"/>
    <w:rsid w:val="00465473"/>
    <w:rsid w:val="00465FD6"/>
    <w:rsid w:val="0046602B"/>
    <w:rsid w:val="00466AFC"/>
    <w:rsid w:val="00467480"/>
    <w:rsid w:val="00470F29"/>
    <w:rsid w:val="00475722"/>
    <w:rsid w:val="00477918"/>
    <w:rsid w:val="0048008B"/>
    <w:rsid w:val="004820E5"/>
    <w:rsid w:val="004821D6"/>
    <w:rsid w:val="0048243E"/>
    <w:rsid w:val="00485748"/>
    <w:rsid w:val="00486E35"/>
    <w:rsid w:val="00497194"/>
    <w:rsid w:val="00497350"/>
    <w:rsid w:val="004A024D"/>
    <w:rsid w:val="004A0361"/>
    <w:rsid w:val="004A06EB"/>
    <w:rsid w:val="004A4094"/>
    <w:rsid w:val="004A4468"/>
    <w:rsid w:val="004A510D"/>
    <w:rsid w:val="004A5A59"/>
    <w:rsid w:val="004B0D06"/>
    <w:rsid w:val="004B1F18"/>
    <w:rsid w:val="004B29B5"/>
    <w:rsid w:val="004B383A"/>
    <w:rsid w:val="004B417C"/>
    <w:rsid w:val="004B496B"/>
    <w:rsid w:val="004B5C66"/>
    <w:rsid w:val="004B5F59"/>
    <w:rsid w:val="004C03D6"/>
    <w:rsid w:val="004C0CD4"/>
    <w:rsid w:val="004C3186"/>
    <w:rsid w:val="004C4152"/>
    <w:rsid w:val="004C5B6B"/>
    <w:rsid w:val="004C6BC7"/>
    <w:rsid w:val="004C7806"/>
    <w:rsid w:val="004C7865"/>
    <w:rsid w:val="004C78D3"/>
    <w:rsid w:val="004D2B1F"/>
    <w:rsid w:val="004D2F3A"/>
    <w:rsid w:val="004D3362"/>
    <w:rsid w:val="004D6BD5"/>
    <w:rsid w:val="004D7455"/>
    <w:rsid w:val="004E0250"/>
    <w:rsid w:val="004E0690"/>
    <w:rsid w:val="004E35A6"/>
    <w:rsid w:val="004E43FA"/>
    <w:rsid w:val="004E5012"/>
    <w:rsid w:val="004E6770"/>
    <w:rsid w:val="004E6D2D"/>
    <w:rsid w:val="004F1F19"/>
    <w:rsid w:val="004F3A89"/>
    <w:rsid w:val="004F497D"/>
    <w:rsid w:val="004F541B"/>
    <w:rsid w:val="004F795F"/>
    <w:rsid w:val="00500425"/>
    <w:rsid w:val="0050287A"/>
    <w:rsid w:val="00502CA2"/>
    <w:rsid w:val="00503B45"/>
    <w:rsid w:val="00511DC7"/>
    <w:rsid w:val="00512AF9"/>
    <w:rsid w:val="0051406C"/>
    <w:rsid w:val="005147DA"/>
    <w:rsid w:val="0051487D"/>
    <w:rsid w:val="00514F1B"/>
    <w:rsid w:val="00521B5E"/>
    <w:rsid w:val="00521C44"/>
    <w:rsid w:val="0052378D"/>
    <w:rsid w:val="005239D1"/>
    <w:rsid w:val="00526BF3"/>
    <w:rsid w:val="00533D10"/>
    <w:rsid w:val="00536238"/>
    <w:rsid w:val="005367FE"/>
    <w:rsid w:val="00537A8A"/>
    <w:rsid w:val="0054079B"/>
    <w:rsid w:val="005413B9"/>
    <w:rsid w:val="00542448"/>
    <w:rsid w:val="0054318B"/>
    <w:rsid w:val="005438DA"/>
    <w:rsid w:val="00543C4F"/>
    <w:rsid w:val="00543EEC"/>
    <w:rsid w:val="00545293"/>
    <w:rsid w:val="005457FC"/>
    <w:rsid w:val="00546F4F"/>
    <w:rsid w:val="00547833"/>
    <w:rsid w:val="00550D94"/>
    <w:rsid w:val="00551A73"/>
    <w:rsid w:val="00553568"/>
    <w:rsid w:val="0055453A"/>
    <w:rsid w:val="005552BA"/>
    <w:rsid w:val="0055681D"/>
    <w:rsid w:val="005617EA"/>
    <w:rsid w:val="00563064"/>
    <w:rsid w:val="005656C1"/>
    <w:rsid w:val="00566AED"/>
    <w:rsid w:val="00567A74"/>
    <w:rsid w:val="00570F91"/>
    <w:rsid w:val="00571112"/>
    <w:rsid w:val="005716E8"/>
    <w:rsid w:val="00573BF7"/>
    <w:rsid w:val="005768C3"/>
    <w:rsid w:val="0058315F"/>
    <w:rsid w:val="0058354B"/>
    <w:rsid w:val="005848F4"/>
    <w:rsid w:val="00585295"/>
    <w:rsid w:val="005871FE"/>
    <w:rsid w:val="00587288"/>
    <w:rsid w:val="0059139E"/>
    <w:rsid w:val="00593086"/>
    <w:rsid w:val="0059459B"/>
    <w:rsid w:val="005958F5"/>
    <w:rsid w:val="005A051F"/>
    <w:rsid w:val="005A254D"/>
    <w:rsid w:val="005A2756"/>
    <w:rsid w:val="005A2DE5"/>
    <w:rsid w:val="005A3C06"/>
    <w:rsid w:val="005B1656"/>
    <w:rsid w:val="005B26A9"/>
    <w:rsid w:val="005B38CF"/>
    <w:rsid w:val="005B40E5"/>
    <w:rsid w:val="005B732A"/>
    <w:rsid w:val="005B7548"/>
    <w:rsid w:val="005C183B"/>
    <w:rsid w:val="005C500F"/>
    <w:rsid w:val="005C657C"/>
    <w:rsid w:val="005D169F"/>
    <w:rsid w:val="005D1ABC"/>
    <w:rsid w:val="005D4DFF"/>
    <w:rsid w:val="005D5A5B"/>
    <w:rsid w:val="005D5B29"/>
    <w:rsid w:val="005D7B84"/>
    <w:rsid w:val="005E2005"/>
    <w:rsid w:val="005E2826"/>
    <w:rsid w:val="005E284B"/>
    <w:rsid w:val="005E3EE7"/>
    <w:rsid w:val="005E4219"/>
    <w:rsid w:val="005E64DF"/>
    <w:rsid w:val="005E67E6"/>
    <w:rsid w:val="005E786F"/>
    <w:rsid w:val="005E7BC8"/>
    <w:rsid w:val="005F3C5F"/>
    <w:rsid w:val="005F448A"/>
    <w:rsid w:val="005F54C0"/>
    <w:rsid w:val="00603941"/>
    <w:rsid w:val="006048F1"/>
    <w:rsid w:val="006054AD"/>
    <w:rsid w:val="0061103C"/>
    <w:rsid w:val="00611F66"/>
    <w:rsid w:val="00613D7D"/>
    <w:rsid w:val="00614DEB"/>
    <w:rsid w:val="006169B2"/>
    <w:rsid w:val="00620EA6"/>
    <w:rsid w:val="00622017"/>
    <w:rsid w:val="0062416F"/>
    <w:rsid w:val="00624EAA"/>
    <w:rsid w:val="00625489"/>
    <w:rsid w:val="006255B8"/>
    <w:rsid w:val="00625CF8"/>
    <w:rsid w:val="00626D39"/>
    <w:rsid w:val="006311E4"/>
    <w:rsid w:val="0063136F"/>
    <w:rsid w:val="00634D31"/>
    <w:rsid w:val="00635ED9"/>
    <w:rsid w:val="006379C8"/>
    <w:rsid w:val="00637F78"/>
    <w:rsid w:val="00641A0C"/>
    <w:rsid w:val="00641F89"/>
    <w:rsid w:val="00642B82"/>
    <w:rsid w:val="00642D14"/>
    <w:rsid w:val="00643BE7"/>
    <w:rsid w:val="00645835"/>
    <w:rsid w:val="00645C7A"/>
    <w:rsid w:val="006515FA"/>
    <w:rsid w:val="006516B8"/>
    <w:rsid w:val="00651E78"/>
    <w:rsid w:val="00652DE4"/>
    <w:rsid w:val="00655564"/>
    <w:rsid w:val="00662D6A"/>
    <w:rsid w:val="00664EB8"/>
    <w:rsid w:val="006650BF"/>
    <w:rsid w:val="00665A76"/>
    <w:rsid w:val="0066785F"/>
    <w:rsid w:val="006719E7"/>
    <w:rsid w:val="00671D0B"/>
    <w:rsid w:val="00672A11"/>
    <w:rsid w:val="0067352D"/>
    <w:rsid w:val="00676B6C"/>
    <w:rsid w:val="00683F25"/>
    <w:rsid w:val="006855CC"/>
    <w:rsid w:val="00685823"/>
    <w:rsid w:val="00685C40"/>
    <w:rsid w:val="006875E9"/>
    <w:rsid w:val="00692C8A"/>
    <w:rsid w:val="00693A4A"/>
    <w:rsid w:val="00694D92"/>
    <w:rsid w:val="00695B83"/>
    <w:rsid w:val="00696186"/>
    <w:rsid w:val="00696FFE"/>
    <w:rsid w:val="00697AA2"/>
    <w:rsid w:val="006A14BF"/>
    <w:rsid w:val="006A513E"/>
    <w:rsid w:val="006A5CBE"/>
    <w:rsid w:val="006A6054"/>
    <w:rsid w:val="006A665C"/>
    <w:rsid w:val="006A74A7"/>
    <w:rsid w:val="006A7E9A"/>
    <w:rsid w:val="006A7EF9"/>
    <w:rsid w:val="006B0E95"/>
    <w:rsid w:val="006B2221"/>
    <w:rsid w:val="006B29E3"/>
    <w:rsid w:val="006B3AB4"/>
    <w:rsid w:val="006B49EA"/>
    <w:rsid w:val="006C0176"/>
    <w:rsid w:val="006C10AD"/>
    <w:rsid w:val="006C1F12"/>
    <w:rsid w:val="006C5AD1"/>
    <w:rsid w:val="006C7B5B"/>
    <w:rsid w:val="006D02B3"/>
    <w:rsid w:val="006D2104"/>
    <w:rsid w:val="006D52E5"/>
    <w:rsid w:val="006D58C5"/>
    <w:rsid w:val="006E10ED"/>
    <w:rsid w:val="006E3812"/>
    <w:rsid w:val="006E6448"/>
    <w:rsid w:val="006E67BC"/>
    <w:rsid w:val="006E7117"/>
    <w:rsid w:val="006E7AF8"/>
    <w:rsid w:val="006F73EA"/>
    <w:rsid w:val="007020CC"/>
    <w:rsid w:val="00704770"/>
    <w:rsid w:val="007063EB"/>
    <w:rsid w:val="00707282"/>
    <w:rsid w:val="0071154B"/>
    <w:rsid w:val="007119CA"/>
    <w:rsid w:val="00712130"/>
    <w:rsid w:val="00712F91"/>
    <w:rsid w:val="00715816"/>
    <w:rsid w:val="007207D3"/>
    <w:rsid w:val="00721283"/>
    <w:rsid w:val="0072392F"/>
    <w:rsid w:val="007245F3"/>
    <w:rsid w:val="007277D3"/>
    <w:rsid w:val="007310B7"/>
    <w:rsid w:val="00734651"/>
    <w:rsid w:val="007362B8"/>
    <w:rsid w:val="007365BF"/>
    <w:rsid w:val="00736680"/>
    <w:rsid w:val="007409A7"/>
    <w:rsid w:val="00741326"/>
    <w:rsid w:val="007413EB"/>
    <w:rsid w:val="00741483"/>
    <w:rsid w:val="0074313E"/>
    <w:rsid w:val="00744DE5"/>
    <w:rsid w:val="00745D8E"/>
    <w:rsid w:val="007468AB"/>
    <w:rsid w:val="00750DEE"/>
    <w:rsid w:val="007525C5"/>
    <w:rsid w:val="0075397C"/>
    <w:rsid w:val="00754DE1"/>
    <w:rsid w:val="007616AF"/>
    <w:rsid w:val="0076375F"/>
    <w:rsid w:val="007638D8"/>
    <w:rsid w:val="00764111"/>
    <w:rsid w:val="007642B0"/>
    <w:rsid w:val="00765F7C"/>
    <w:rsid w:val="00766354"/>
    <w:rsid w:val="00771D82"/>
    <w:rsid w:val="007738D5"/>
    <w:rsid w:val="00775AD0"/>
    <w:rsid w:val="007776D4"/>
    <w:rsid w:val="00777EAA"/>
    <w:rsid w:val="00780F20"/>
    <w:rsid w:val="0078507F"/>
    <w:rsid w:val="00785BFB"/>
    <w:rsid w:val="00787A1D"/>
    <w:rsid w:val="00792248"/>
    <w:rsid w:val="007949C5"/>
    <w:rsid w:val="00795AE7"/>
    <w:rsid w:val="00795E55"/>
    <w:rsid w:val="00797B2F"/>
    <w:rsid w:val="00797BAD"/>
    <w:rsid w:val="007A0CB1"/>
    <w:rsid w:val="007A1B85"/>
    <w:rsid w:val="007A1F0C"/>
    <w:rsid w:val="007A393F"/>
    <w:rsid w:val="007A4821"/>
    <w:rsid w:val="007B1C8A"/>
    <w:rsid w:val="007B5038"/>
    <w:rsid w:val="007B55BC"/>
    <w:rsid w:val="007C053B"/>
    <w:rsid w:val="007C672A"/>
    <w:rsid w:val="007C6D89"/>
    <w:rsid w:val="007D0550"/>
    <w:rsid w:val="007D21DE"/>
    <w:rsid w:val="007D2862"/>
    <w:rsid w:val="007D28D9"/>
    <w:rsid w:val="007D2E1C"/>
    <w:rsid w:val="007D390D"/>
    <w:rsid w:val="007D776E"/>
    <w:rsid w:val="007E01AC"/>
    <w:rsid w:val="007E24D5"/>
    <w:rsid w:val="007E28CF"/>
    <w:rsid w:val="007E55B2"/>
    <w:rsid w:val="007E59F1"/>
    <w:rsid w:val="007F0C09"/>
    <w:rsid w:val="007F0CA7"/>
    <w:rsid w:val="007F1081"/>
    <w:rsid w:val="007F21FA"/>
    <w:rsid w:val="007F3158"/>
    <w:rsid w:val="007F36FE"/>
    <w:rsid w:val="007F420F"/>
    <w:rsid w:val="007F471C"/>
    <w:rsid w:val="007F6903"/>
    <w:rsid w:val="007F6C2F"/>
    <w:rsid w:val="00800F12"/>
    <w:rsid w:val="0080119C"/>
    <w:rsid w:val="00801263"/>
    <w:rsid w:val="00801351"/>
    <w:rsid w:val="00801600"/>
    <w:rsid w:val="00802141"/>
    <w:rsid w:val="008049E2"/>
    <w:rsid w:val="00805156"/>
    <w:rsid w:val="00805BCD"/>
    <w:rsid w:val="00806539"/>
    <w:rsid w:val="00806919"/>
    <w:rsid w:val="00806ECB"/>
    <w:rsid w:val="008077EF"/>
    <w:rsid w:val="00810C73"/>
    <w:rsid w:val="00811692"/>
    <w:rsid w:val="0081192B"/>
    <w:rsid w:val="0081294A"/>
    <w:rsid w:val="00812BE4"/>
    <w:rsid w:val="00812CF1"/>
    <w:rsid w:val="008131C6"/>
    <w:rsid w:val="0081396E"/>
    <w:rsid w:val="008139D8"/>
    <w:rsid w:val="0081648A"/>
    <w:rsid w:val="00816E7B"/>
    <w:rsid w:val="00820298"/>
    <w:rsid w:val="008202AC"/>
    <w:rsid w:val="00820C7D"/>
    <w:rsid w:val="00820EBC"/>
    <w:rsid w:val="00823D28"/>
    <w:rsid w:val="0082452D"/>
    <w:rsid w:val="00824639"/>
    <w:rsid w:val="00824675"/>
    <w:rsid w:val="00825D76"/>
    <w:rsid w:val="008272E7"/>
    <w:rsid w:val="00827A56"/>
    <w:rsid w:val="00830A2D"/>
    <w:rsid w:val="00830C6B"/>
    <w:rsid w:val="00831624"/>
    <w:rsid w:val="00831E0D"/>
    <w:rsid w:val="00834292"/>
    <w:rsid w:val="008367B9"/>
    <w:rsid w:val="0084028D"/>
    <w:rsid w:val="00842991"/>
    <w:rsid w:val="00842B0F"/>
    <w:rsid w:val="008433F5"/>
    <w:rsid w:val="00845A74"/>
    <w:rsid w:val="008460E6"/>
    <w:rsid w:val="00846F30"/>
    <w:rsid w:val="00850519"/>
    <w:rsid w:val="00850FA1"/>
    <w:rsid w:val="00853146"/>
    <w:rsid w:val="00857182"/>
    <w:rsid w:val="00857184"/>
    <w:rsid w:val="00861E7F"/>
    <w:rsid w:val="0086242B"/>
    <w:rsid w:val="00863F85"/>
    <w:rsid w:val="00865473"/>
    <w:rsid w:val="008667D6"/>
    <w:rsid w:val="008670D7"/>
    <w:rsid w:val="00867460"/>
    <w:rsid w:val="00870708"/>
    <w:rsid w:val="00871616"/>
    <w:rsid w:val="00873366"/>
    <w:rsid w:val="008762FC"/>
    <w:rsid w:val="00876902"/>
    <w:rsid w:val="00876B2D"/>
    <w:rsid w:val="008776C9"/>
    <w:rsid w:val="00877A00"/>
    <w:rsid w:val="00877FFD"/>
    <w:rsid w:val="008805FC"/>
    <w:rsid w:val="00880CC8"/>
    <w:rsid w:val="008811D9"/>
    <w:rsid w:val="0088200A"/>
    <w:rsid w:val="008835A3"/>
    <w:rsid w:val="008835ED"/>
    <w:rsid w:val="0088580B"/>
    <w:rsid w:val="00886A21"/>
    <w:rsid w:val="00890F45"/>
    <w:rsid w:val="0089167B"/>
    <w:rsid w:val="00891736"/>
    <w:rsid w:val="00891E19"/>
    <w:rsid w:val="00892F4D"/>
    <w:rsid w:val="00896116"/>
    <w:rsid w:val="00896C4D"/>
    <w:rsid w:val="00897480"/>
    <w:rsid w:val="008A0375"/>
    <w:rsid w:val="008A0F8B"/>
    <w:rsid w:val="008A2E6C"/>
    <w:rsid w:val="008A33E7"/>
    <w:rsid w:val="008A4468"/>
    <w:rsid w:val="008A61D8"/>
    <w:rsid w:val="008B28D0"/>
    <w:rsid w:val="008B465C"/>
    <w:rsid w:val="008B4735"/>
    <w:rsid w:val="008B4EDB"/>
    <w:rsid w:val="008B5FD1"/>
    <w:rsid w:val="008C5519"/>
    <w:rsid w:val="008C70FC"/>
    <w:rsid w:val="008C77B6"/>
    <w:rsid w:val="008D036B"/>
    <w:rsid w:val="008D18CB"/>
    <w:rsid w:val="008D1942"/>
    <w:rsid w:val="008D22AA"/>
    <w:rsid w:val="008D5FA8"/>
    <w:rsid w:val="008D723E"/>
    <w:rsid w:val="008D7BFB"/>
    <w:rsid w:val="008E0136"/>
    <w:rsid w:val="008E4A36"/>
    <w:rsid w:val="008E5485"/>
    <w:rsid w:val="008E559E"/>
    <w:rsid w:val="008E7DCA"/>
    <w:rsid w:val="008F0267"/>
    <w:rsid w:val="008F111E"/>
    <w:rsid w:val="008F18AC"/>
    <w:rsid w:val="008F1BBF"/>
    <w:rsid w:val="008F6F0D"/>
    <w:rsid w:val="008F720E"/>
    <w:rsid w:val="00901285"/>
    <w:rsid w:val="00901545"/>
    <w:rsid w:val="00901693"/>
    <w:rsid w:val="00901ED6"/>
    <w:rsid w:val="00902345"/>
    <w:rsid w:val="009041F2"/>
    <w:rsid w:val="00904968"/>
    <w:rsid w:val="009077F6"/>
    <w:rsid w:val="00910939"/>
    <w:rsid w:val="00913938"/>
    <w:rsid w:val="00915B25"/>
    <w:rsid w:val="0091614C"/>
    <w:rsid w:val="009163EE"/>
    <w:rsid w:val="00916889"/>
    <w:rsid w:val="009168E9"/>
    <w:rsid w:val="00916C61"/>
    <w:rsid w:val="0091766E"/>
    <w:rsid w:val="00917A5E"/>
    <w:rsid w:val="00920878"/>
    <w:rsid w:val="00923585"/>
    <w:rsid w:val="00924209"/>
    <w:rsid w:val="009274D7"/>
    <w:rsid w:val="00927B41"/>
    <w:rsid w:val="00927C65"/>
    <w:rsid w:val="0093081A"/>
    <w:rsid w:val="00931EEE"/>
    <w:rsid w:val="00931F67"/>
    <w:rsid w:val="00932170"/>
    <w:rsid w:val="00937F6A"/>
    <w:rsid w:val="00941F1F"/>
    <w:rsid w:val="009430FD"/>
    <w:rsid w:val="00943912"/>
    <w:rsid w:val="00944A3C"/>
    <w:rsid w:val="00944D21"/>
    <w:rsid w:val="009456BC"/>
    <w:rsid w:val="00945B9B"/>
    <w:rsid w:val="00950B2A"/>
    <w:rsid w:val="00950D70"/>
    <w:rsid w:val="00951546"/>
    <w:rsid w:val="00951FB0"/>
    <w:rsid w:val="009539A8"/>
    <w:rsid w:val="00955364"/>
    <w:rsid w:val="00957488"/>
    <w:rsid w:val="0096026F"/>
    <w:rsid w:val="00963860"/>
    <w:rsid w:val="00963E81"/>
    <w:rsid w:val="00965399"/>
    <w:rsid w:val="00966958"/>
    <w:rsid w:val="00970C3D"/>
    <w:rsid w:val="00971905"/>
    <w:rsid w:val="00971A9D"/>
    <w:rsid w:val="00972CD2"/>
    <w:rsid w:val="009737AE"/>
    <w:rsid w:val="009750CB"/>
    <w:rsid w:val="00975816"/>
    <w:rsid w:val="00975E6C"/>
    <w:rsid w:val="00977F8E"/>
    <w:rsid w:val="009801B3"/>
    <w:rsid w:val="00980A1B"/>
    <w:rsid w:val="00980B4B"/>
    <w:rsid w:val="0098316E"/>
    <w:rsid w:val="0098442E"/>
    <w:rsid w:val="00986D03"/>
    <w:rsid w:val="0098710E"/>
    <w:rsid w:val="00990C08"/>
    <w:rsid w:val="0099404C"/>
    <w:rsid w:val="00994ED8"/>
    <w:rsid w:val="00995054"/>
    <w:rsid w:val="009A135B"/>
    <w:rsid w:val="009A1F8F"/>
    <w:rsid w:val="009A2391"/>
    <w:rsid w:val="009A3967"/>
    <w:rsid w:val="009A4ED0"/>
    <w:rsid w:val="009A74CF"/>
    <w:rsid w:val="009A7737"/>
    <w:rsid w:val="009B04ED"/>
    <w:rsid w:val="009B44E8"/>
    <w:rsid w:val="009B50AF"/>
    <w:rsid w:val="009B6616"/>
    <w:rsid w:val="009B6619"/>
    <w:rsid w:val="009B798B"/>
    <w:rsid w:val="009C2117"/>
    <w:rsid w:val="009C4030"/>
    <w:rsid w:val="009C54E6"/>
    <w:rsid w:val="009C5D1B"/>
    <w:rsid w:val="009C64A0"/>
    <w:rsid w:val="009C6EC5"/>
    <w:rsid w:val="009C7297"/>
    <w:rsid w:val="009D060E"/>
    <w:rsid w:val="009D13DB"/>
    <w:rsid w:val="009D1F6C"/>
    <w:rsid w:val="009D2F25"/>
    <w:rsid w:val="009D3C55"/>
    <w:rsid w:val="009D3DE0"/>
    <w:rsid w:val="009D546F"/>
    <w:rsid w:val="009D5C1B"/>
    <w:rsid w:val="009D5F98"/>
    <w:rsid w:val="009E0E8D"/>
    <w:rsid w:val="009E2A3D"/>
    <w:rsid w:val="009E2EFB"/>
    <w:rsid w:val="009E38E0"/>
    <w:rsid w:val="009E6F5B"/>
    <w:rsid w:val="009E7800"/>
    <w:rsid w:val="009F0C25"/>
    <w:rsid w:val="009F1AB6"/>
    <w:rsid w:val="009F203C"/>
    <w:rsid w:val="009F345B"/>
    <w:rsid w:val="009F4115"/>
    <w:rsid w:val="009F46E5"/>
    <w:rsid w:val="00A003CE"/>
    <w:rsid w:val="00A009C8"/>
    <w:rsid w:val="00A01987"/>
    <w:rsid w:val="00A01D31"/>
    <w:rsid w:val="00A03936"/>
    <w:rsid w:val="00A052CE"/>
    <w:rsid w:val="00A05BF1"/>
    <w:rsid w:val="00A07D64"/>
    <w:rsid w:val="00A1114E"/>
    <w:rsid w:val="00A1262E"/>
    <w:rsid w:val="00A1606C"/>
    <w:rsid w:val="00A165B0"/>
    <w:rsid w:val="00A2081B"/>
    <w:rsid w:val="00A217C3"/>
    <w:rsid w:val="00A261C8"/>
    <w:rsid w:val="00A267B4"/>
    <w:rsid w:val="00A27294"/>
    <w:rsid w:val="00A27F24"/>
    <w:rsid w:val="00A36258"/>
    <w:rsid w:val="00A36FE5"/>
    <w:rsid w:val="00A41A75"/>
    <w:rsid w:val="00A42176"/>
    <w:rsid w:val="00A42E0E"/>
    <w:rsid w:val="00A43218"/>
    <w:rsid w:val="00A43481"/>
    <w:rsid w:val="00A43D0D"/>
    <w:rsid w:val="00A4450E"/>
    <w:rsid w:val="00A45713"/>
    <w:rsid w:val="00A46C0B"/>
    <w:rsid w:val="00A5281E"/>
    <w:rsid w:val="00A53FC2"/>
    <w:rsid w:val="00A54754"/>
    <w:rsid w:val="00A56D55"/>
    <w:rsid w:val="00A5765D"/>
    <w:rsid w:val="00A6158F"/>
    <w:rsid w:val="00A63F87"/>
    <w:rsid w:val="00A65DB7"/>
    <w:rsid w:val="00A66408"/>
    <w:rsid w:val="00A678E1"/>
    <w:rsid w:val="00A67E5D"/>
    <w:rsid w:val="00A70778"/>
    <w:rsid w:val="00A715C7"/>
    <w:rsid w:val="00A71C9A"/>
    <w:rsid w:val="00A721BF"/>
    <w:rsid w:val="00A734D3"/>
    <w:rsid w:val="00A73A8E"/>
    <w:rsid w:val="00A74151"/>
    <w:rsid w:val="00A74F95"/>
    <w:rsid w:val="00A75E02"/>
    <w:rsid w:val="00A75FBD"/>
    <w:rsid w:val="00A7757B"/>
    <w:rsid w:val="00A80D29"/>
    <w:rsid w:val="00A84F73"/>
    <w:rsid w:val="00A852E6"/>
    <w:rsid w:val="00A87561"/>
    <w:rsid w:val="00A90565"/>
    <w:rsid w:val="00A91E20"/>
    <w:rsid w:val="00A91E52"/>
    <w:rsid w:val="00A93A13"/>
    <w:rsid w:val="00A93C4C"/>
    <w:rsid w:val="00A94109"/>
    <w:rsid w:val="00A94E06"/>
    <w:rsid w:val="00A953CF"/>
    <w:rsid w:val="00A955E3"/>
    <w:rsid w:val="00A95696"/>
    <w:rsid w:val="00A959C6"/>
    <w:rsid w:val="00A976A0"/>
    <w:rsid w:val="00A97D76"/>
    <w:rsid w:val="00AA1218"/>
    <w:rsid w:val="00AA168A"/>
    <w:rsid w:val="00AA16F6"/>
    <w:rsid w:val="00AA2B10"/>
    <w:rsid w:val="00AA344E"/>
    <w:rsid w:val="00AA6ACB"/>
    <w:rsid w:val="00AB029C"/>
    <w:rsid w:val="00AB05E5"/>
    <w:rsid w:val="00AB378F"/>
    <w:rsid w:val="00AB561D"/>
    <w:rsid w:val="00AC1129"/>
    <w:rsid w:val="00AC3EED"/>
    <w:rsid w:val="00AC4311"/>
    <w:rsid w:val="00AC4755"/>
    <w:rsid w:val="00AC6686"/>
    <w:rsid w:val="00AC6C04"/>
    <w:rsid w:val="00AD1B8A"/>
    <w:rsid w:val="00AD2A77"/>
    <w:rsid w:val="00AD3253"/>
    <w:rsid w:val="00AD4B18"/>
    <w:rsid w:val="00AD4BDB"/>
    <w:rsid w:val="00AD59EB"/>
    <w:rsid w:val="00AE0382"/>
    <w:rsid w:val="00AE0F46"/>
    <w:rsid w:val="00AE18FF"/>
    <w:rsid w:val="00AE4720"/>
    <w:rsid w:val="00AE62E6"/>
    <w:rsid w:val="00AE7511"/>
    <w:rsid w:val="00AF0721"/>
    <w:rsid w:val="00AF0CE9"/>
    <w:rsid w:val="00AF1399"/>
    <w:rsid w:val="00AF229F"/>
    <w:rsid w:val="00AF56AE"/>
    <w:rsid w:val="00AF5993"/>
    <w:rsid w:val="00AF7514"/>
    <w:rsid w:val="00B021B0"/>
    <w:rsid w:val="00B02D1A"/>
    <w:rsid w:val="00B03110"/>
    <w:rsid w:val="00B04800"/>
    <w:rsid w:val="00B13FB3"/>
    <w:rsid w:val="00B146E4"/>
    <w:rsid w:val="00B14960"/>
    <w:rsid w:val="00B175E4"/>
    <w:rsid w:val="00B20014"/>
    <w:rsid w:val="00B20A88"/>
    <w:rsid w:val="00B22188"/>
    <w:rsid w:val="00B278D2"/>
    <w:rsid w:val="00B3020E"/>
    <w:rsid w:val="00B30C18"/>
    <w:rsid w:val="00B32C43"/>
    <w:rsid w:val="00B32F4A"/>
    <w:rsid w:val="00B33DF8"/>
    <w:rsid w:val="00B34285"/>
    <w:rsid w:val="00B345B9"/>
    <w:rsid w:val="00B355CB"/>
    <w:rsid w:val="00B35CBD"/>
    <w:rsid w:val="00B4183D"/>
    <w:rsid w:val="00B4282B"/>
    <w:rsid w:val="00B42AF7"/>
    <w:rsid w:val="00B43A13"/>
    <w:rsid w:val="00B43D63"/>
    <w:rsid w:val="00B443D7"/>
    <w:rsid w:val="00B45284"/>
    <w:rsid w:val="00B45F25"/>
    <w:rsid w:val="00B46CC5"/>
    <w:rsid w:val="00B50491"/>
    <w:rsid w:val="00B5471A"/>
    <w:rsid w:val="00B556BF"/>
    <w:rsid w:val="00B64532"/>
    <w:rsid w:val="00B64C7F"/>
    <w:rsid w:val="00B65980"/>
    <w:rsid w:val="00B66E33"/>
    <w:rsid w:val="00B70029"/>
    <w:rsid w:val="00B719B4"/>
    <w:rsid w:val="00B722DB"/>
    <w:rsid w:val="00B73EAE"/>
    <w:rsid w:val="00B802BF"/>
    <w:rsid w:val="00B86E15"/>
    <w:rsid w:val="00B92B41"/>
    <w:rsid w:val="00B92B7F"/>
    <w:rsid w:val="00B9407E"/>
    <w:rsid w:val="00B9533A"/>
    <w:rsid w:val="00B96996"/>
    <w:rsid w:val="00B97233"/>
    <w:rsid w:val="00BA051C"/>
    <w:rsid w:val="00BA0C58"/>
    <w:rsid w:val="00BB00E2"/>
    <w:rsid w:val="00BB111C"/>
    <w:rsid w:val="00BB2299"/>
    <w:rsid w:val="00BB30CB"/>
    <w:rsid w:val="00BB4DCC"/>
    <w:rsid w:val="00BB5580"/>
    <w:rsid w:val="00BB76EF"/>
    <w:rsid w:val="00BC00C0"/>
    <w:rsid w:val="00BC0B52"/>
    <w:rsid w:val="00BC0D4D"/>
    <w:rsid w:val="00BC1383"/>
    <w:rsid w:val="00BC3129"/>
    <w:rsid w:val="00BC3646"/>
    <w:rsid w:val="00BC3D3F"/>
    <w:rsid w:val="00BC44E5"/>
    <w:rsid w:val="00BC49EB"/>
    <w:rsid w:val="00BC5FCB"/>
    <w:rsid w:val="00BC717D"/>
    <w:rsid w:val="00BC72D9"/>
    <w:rsid w:val="00BC79DD"/>
    <w:rsid w:val="00BD02B3"/>
    <w:rsid w:val="00BD11E9"/>
    <w:rsid w:val="00BD352D"/>
    <w:rsid w:val="00BD3773"/>
    <w:rsid w:val="00BD4EE6"/>
    <w:rsid w:val="00BD613F"/>
    <w:rsid w:val="00BD6C6E"/>
    <w:rsid w:val="00BE01C0"/>
    <w:rsid w:val="00BE01E1"/>
    <w:rsid w:val="00BE0C36"/>
    <w:rsid w:val="00BE27F3"/>
    <w:rsid w:val="00BE7FF2"/>
    <w:rsid w:val="00BF063C"/>
    <w:rsid w:val="00BF0ABF"/>
    <w:rsid w:val="00BF0BDD"/>
    <w:rsid w:val="00BF0C5A"/>
    <w:rsid w:val="00BF6C84"/>
    <w:rsid w:val="00BF6DDD"/>
    <w:rsid w:val="00BF74B0"/>
    <w:rsid w:val="00C006AC"/>
    <w:rsid w:val="00C019A5"/>
    <w:rsid w:val="00C029A0"/>
    <w:rsid w:val="00C0682C"/>
    <w:rsid w:val="00C10D83"/>
    <w:rsid w:val="00C12773"/>
    <w:rsid w:val="00C14EFE"/>
    <w:rsid w:val="00C15059"/>
    <w:rsid w:val="00C15EC0"/>
    <w:rsid w:val="00C2251E"/>
    <w:rsid w:val="00C23151"/>
    <w:rsid w:val="00C249AE"/>
    <w:rsid w:val="00C24A58"/>
    <w:rsid w:val="00C250E4"/>
    <w:rsid w:val="00C26A8F"/>
    <w:rsid w:val="00C27BCA"/>
    <w:rsid w:val="00C30ABB"/>
    <w:rsid w:val="00C30D2A"/>
    <w:rsid w:val="00C32B9F"/>
    <w:rsid w:val="00C35350"/>
    <w:rsid w:val="00C378E1"/>
    <w:rsid w:val="00C40DB4"/>
    <w:rsid w:val="00C41B58"/>
    <w:rsid w:val="00C41EF6"/>
    <w:rsid w:val="00C428FF"/>
    <w:rsid w:val="00C450A2"/>
    <w:rsid w:val="00C455A2"/>
    <w:rsid w:val="00C45997"/>
    <w:rsid w:val="00C4642A"/>
    <w:rsid w:val="00C465BE"/>
    <w:rsid w:val="00C50879"/>
    <w:rsid w:val="00C540B2"/>
    <w:rsid w:val="00C54302"/>
    <w:rsid w:val="00C55758"/>
    <w:rsid w:val="00C5598A"/>
    <w:rsid w:val="00C571FA"/>
    <w:rsid w:val="00C57510"/>
    <w:rsid w:val="00C612F6"/>
    <w:rsid w:val="00C613F9"/>
    <w:rsid w:val="00C659F7"/>
    <w:rsid w:val="00C67DF7"/>
    <w:rsid w:val="00C717CD"/>
    <w:rsid w:val="00C71D41"/>
    <w:rsid w:val="00C739D4"/>
    <w:rsid w:val="00C75425"/>
    <w:rsid w:val="00C769C6"/>
    <w:rsid w:val="00C77139"/>
    <w:rsid w:val="00C84A06"/>
    <w:rsid w:val="00C86709"/>
    <w:rsid w:val="00C914E3"/>
    <w:rsid w:val="00C91BF7"/>
    <w:rsid w:val="00C94A62"/>
    <w:rsid w:val="00C95A6F"/>
    <w:rsid w:val="00C96739"/>
    <w:rsid w:val="00C96D8E"/>
    <w:rsid w:val="00C97485"/>
    <w:rsid w:val="00C97A00"/>
    <w:rsid w:val="00CA1BDD"/>
    <w:rsid w:val="00CA1DD6"/>
    <w:rsid w:val="00CA32F2"/>
    <w:rsid w:val="00CA332F"/>
    <w:rsid w:val="00CA3DA7"/>
    <w:rsid w:val="00CA4BDA"/>
    <w:rsid w:val="00CA6EE1"/>
    <w:rsid w:val="00CB30CA"/>
    <w:rsid w:val="00CB50C6"/>
    <w:rsid w:val="00CB51FC"/>
    <w:rsid w:val="00CC00D8"/>
    <w:rsid w:val="00CC0BFC"/>
    <w:rsid w:val="00CC4C44"/>
    <w:rsid w:val="00CC5040"/>
    <w:rsid w:val="00CC5F15"/>
    <w:rsid w:val="00CC70FB"/>
    <w:rsid w:val="00CC7D0D"/>
    <w:rsid w:val="00CC7DB2"/>
    <w:rsid w:val="00CD0CE5"/>
    <w:rsid w:val="00CD1C57"/>
    <w:rsid w:val="00CD2912"/>
    <w:rsid w:val="00CD2AC3"/>
    <w:rsid w:val="00CD2C47"/>
    <w:rsid w:val="00CD3159"/>
    <w:rsid w:val="00CD4C8C"/>
    <w:rsid w:val="00CD5068"/>
    <w:rsid w:val="00CD5676"/>
    <w:rsid w:val="00CD6A09"/>
    <w:rsid w:val="00CD6E00"/>
    <w:rsid w:val="00CE00B4"/>
    <w:rsid w:val="00CE07D5"/>
    <w:rsid w:val="00CE13AB"/>
    <w:rsid w:val="00CE1693"/>
    <w:rsid w:val="00CE4596"/>
    <w:rsid w:val="00CF11BD"/>
    <w:rsid w:val="00CF1D36"/>
    <w:rsid w:val="00CF225A"/>
    <w:rsid w:val="00CF5202"/>
    <w:rsid w:val="00CF59EA"/>
    <w:rsid w:val="00CF732A"/>
    <w:rsid w:val="00CF7D52"/>
    <w:rsid w:val="00D01A57"/>
    <w:rsid w:val="00D04367"/>
    <w:rsid w:val="00D06143"/>
    <w:rsid w:val="00D07DA0"/>
    <w:rsid w:val="00D1100D"/>
    <w:rsid w:val="00D12732"/>
    <w:rsid w:val="00D1304B"/>
    <w:rsid w:val="00D132B8"/>
    <w:rsid w:val="00D141CB"/>
    <w:rsid w:val="00D148FD"/>
    <w:rsid w:val="00D1793C"/>
    <w:rsid w:val="00D21A6B"/>
    <w:rsid w:val="00D220F8"/>
    <w:rsid w:val="00D2235E"/>
    <w:rsid w:val="00D22715"/>
    <w:rsid w:val="00D22A04"/>
    <w:rsid w:val="00D233B3"/>
    <w:rsid w:val="00D24A9D"/>
    <w:rsid w:val="00D24AD7"/>
    <w:rsid w:val="00D261E2"/>
    <w:rsid w:val="00D26485"/>
    <w:rsid w:val="00D26515"/>
    <w:rsid w:val="00D26C6A"/>
    <w:rsid w:val="00D26DB5"/>
    <w:rsid w:val="00D2743F"/>
    <w:rsid w:val="00D278EF"/>
    <w:rsid w:val="00D3230B"/>
    <w:rsid w:val="00D3331A"/>
    <w:rsid w:val="00D34F7F"/>
    <w:rsid w:val="00D35C95"/>
    <w:rsid w:val="00D3642F"/>
    <w:rsid w:val="00D366F6"/>
    <w:rsid w:val="00D3725B"/>
    <w:rsid w:val="00D43217"/>
    <w:rsid w:val="00D435FE"/>
    <w:rsid w:val="00D46066"/>
    <w:rsid w:val="00D50152"/>
    <w:rsid w:val="00D50277"/>
    <w:rsid w:val="00D50746"/>
    <w:rsid w:val="00D52CBF"/>
    <w:rsid w:val="00D54557"/>
    <w:rsid w:val="00D5597C"/>
    <w:rsid w:val="00D55A0A"/>
    <w:rsid w:val="00D5756B"/>
    <w:rsid w:val="00D57B02"/>
    <w:rsid w:val="00D60C26"/>
    <w:rsid w:val="00D61A19"/>
    <w:rsid w:val="00D643A8"/>
    <w:rsid w:val="00D65DB4"/>
    <w:rsid w:val="00D7199E"/>
    <w:rsid w:val="00D730F5"/>
    <w:rsid w:val="00D74169"/>
    <w:rsid w:val="00D76362"/>
    <w:rsid w:val="00D77A67"/>
    <w:rsid w:val="00D81B81"/>
    <w:rsid w:val="00D82665"/>
    <w:rsid w:val="00D84F6E"/>
    <w:rsid w:val="00D87C06"/>
    <w:rsid w:val="00D9113E"/>
    <w:rsid w:val="00D923FF"/>
    <w:rsid w:val="00D9285E"/>
    <w:rsid w:val="00D94CCB"/>
    <w:rsid w:val="00D951EF"/>
    <w:rsid w:val="00D95D40"/>
    <w:rsid w:val="00D96D06"/>
    <w:rsid w:val="00D97BC2"/>
    <w:rsid w:val="00DA174F"/>
    <w:rsid w:val="00DA1D61"/>
    <w:rsid w:val="00DA4510"/>
    <w:rsid w:val="00DA457F"/>
    <w:rsid w:val="00DA668D"/>
    <w:rsid w:val="00DB1AEC"/>
    <w:rsid w:val="00DB2A6C"/>
    <w:rsid w:val="00DB4471"/>
    <w:rsid w:val="00DB4580"/>
    <w:rsid w:val="00DB482E"/>
    <w:rsid w:val="00DC077E"/>
    <w:rsid w:val="00DC4074"/>
    <w:rsid w:val="00DC4F96"/>
    <w:rsid w:val="00DC5C03"/>
    <w:rsid w:val="00DC7226"/>
    <w:rsid w:val="00DD2A22"/>
    <w:rsid w:val="00DD2D3E"/>
    <w:rsid w:val="00DD33B7"/>
    <w:rsid w:val="00DD40D6"/>
    <w:rsid w:val="00DD639D"/>
    <w:rsid w:val="00DE082C"/>
    <w:rsid w:val="00DE0DDB"/>
    <w:rsid w:val="00DE1C90"/>
    <w:rsid w:val="00DE2089"/>
    <w:rsid w:val="00DE2682"/>
    <w:rsid w:val="00DE4592"/>
    <w:rsid w:val="00DE506F"/>
    <w:rsid w:val="00DE51E2"/>
    <w:rsid w:val="00DE5690"/>
    <w:rsid w:val="00DE69F6"/>
    <w:rsid w:val="00DE7226"/>
    <w:rsid w:val="00DE74AB"/>
    <w:rsid w:val="00DE7BBA"/>
    <w:rsid w:val="00DE7BF3"/>
    <w:rsid w:val="00DF12D8"/>
    <w:rsid w:val="00DF7C51"/>
    <w:rsid w:val="00E00BEA"/>
    <w:rsid w:val="00E012A5"/>
    <w:rsid w:val="00E0161F"/>
    <w:rsid w:val="00E02D79"/>
    <w:rsid w:val="00E03EB1"/>
    <w:rsid w:val="00E10039"/>
    <w:rsid w:val="00E135C4"/>
    <w:rsid w:val="00E16079"/>
    <w:rsid w:val="00E17F58"/>
    <w:rsid w:val="00E201CA"/>
    <w:rsid w:val="00E2065E"/>
    <w:rsid w:val="00E225B4"/>
    <w:rsid w:val="00E252EA"/>
    <w:rsid w:val="00E317A4"/>
    <w:rsid w:val="00E336C3"/>
    <w:rsid w:val="00E34656"/>
    <w:rsid w:val="00E34BDF"/>
    <w:rsid w:val="00E34D93"/>
    <w:rsid w:val="00E366D4"/>
    <w:rsid w:val="00E41573"/>
    <w:rsid w:val="00E43146"/>
    <w:rsid w:val="00E45C87"/>
    <w:rsid w:val="00E46CBE"/>
    <w:rsid w:val="00E46DEA"/>
    <w:rsid w:val="00E5112F"/>
    <w:rsid w:val="00E51624"/>
    <w:rsid w:val="00E51846"/>
    <w:rsid w:val="00E522E9"/>
    <w:rsid w:val="00E569F0"/>
    <w:rsid w:val="00E5719D"/>
    <w:rsid w:val="00E605ED"/>
    <w:rsid w:val="00E6079F"/>
    <w:rsid w:val="00E60953"/>
    <w:rsid w:val="00E61280"/>
    <w:rsid w:val="00E61C5E"/>
    <w:rsid w:val="00E62CFA"/>
    <w:rsid w:val="00E63227"/>
    <w:rsid w:val="00E633C7"/>
    <w:rsid w:val="00E65666"/>
    <w:rsid w:val="00E6609C"/>
    <w:rsid w:val="00E66227"/>
    <w:rsid w:val="00E728DE"/>
    <w:rsid w:val="00E74046"/>
    <w:rsid w:val="00E757F3"/>
    <w:rsid w:val="00E75D94"/>
    <w:rsid w:val="00E75EA7"/>
    <w:rsid w:val="00E7614D"/>
    <w:rsid w:val="00E777D4"/>
    <w:rsid w:val="00E81CF7"/>
    <w:rsid w:val="00E82A1D"/>
    <w:rsid w:val="00E8323A"/>
    <w:rsid w:val="00E8336B"/>
    <w:rsid w:val="00E837C4"/>
    <w:rsid w:val="00E85ED6"/>
    <w:rsid w:val="00E915A9"/>
    <w:rsid w:val="00E93EAB"/>
    <w:rsid w:val="00E97AAB"/>
    <w:rsid w:val="00EA071E"/>
    <w:rsid w:val="00EA0CD3"/>
    <w:rsid w:val="00EA1A56"/>
    <w:rsid w:val="00EA3C09"/>
    <w:rsid w:val="00EA3C2A"/>
    <w:rsid w:val="00EA67DD"/>
    <w:rsid w:val="00EA7C76"/>
    <w:rsid w:val="00EB0979"/>
    <w:rsid w:val="00EB3EB7"/>
    <w:rsid w:val="00EB4C7F"/>
    <w:rsid w:val="00EB4DFF"/>
    <w:rsid w:val="00EB61AA"/>
    <w:rsid w:val="00EB6363"/>
    <w:rsid w:val="00EB76FD"/>
    <w:rsid w:val="00EC232A"/>
    <w:rsid w:val="00EC33E4"/>
    <w:rsid w:val="00EC3E35"/>
    <w:rsid w:val="00ED1E37"/>
    <w:rsid w:val="00ED2E85"/>
    <w:rsid w:val="00ED2F19"/>
    <w:rsid w:val="00ED7A02"/>
    <w:rsid w:val="00EE091B"/>
    <w:rsid w:val="00EE0F29"/>
    <w:rsid w:val="00EE432D"/>
    <w:rsid w:val="00EE443A"/>
    <w:rsid w:val="00EE5A01"/>
    <w:rsid w:val="00EE60FD"/>
    <w:rsid w:val="00EE65BE"/>
    <w:rsid w:val="00EF0752"/>
    <w:rsid w:val="00EF0757"/>
    <w:rsid w:val="00EF09BC"/>
    <w:rsid w:val="00EF56FF"/>
    <w:rsid w:val="00EF58F9"/>
    <w:rsid w:val="00EF6AEE"/>
    <w:rsid w:val="00F00D1A"/>
    <w:rsid w:val="00F03AC9"/>
    <w:rsid w:val="00F04B25"/>
    <w:rsid w:val="00F05CEC"/>
    <w:rsid w:val="00F05D71"/>
    <w:rsid w:val="00F06BB9"/>
    <w:rsid w:val="00F10708"/>
    <w:rsid w:val="00F15448"/>
    <w:rsid w:val="00F15C30"/>
    <w:rsid w:val="00F164C0"/>
    <w:rsid w:val="00F20E6E"/>
    <w:rsid w:val="00F21906"/>
    <w:rsid w:val="00F21A17"/>
    <w:rsid w:val="00F21DD2"/>
    <w:rsid w:val="00F24271"/>
    <w:rsid w:val="00F26C2D"/>
    <w:rsid w:val="00F273AE"/>
    <w:rsid w:val="00F27F2F"/>
    <w:rsid w:val="00F30227"/>
    <w:rsid w:val="00F31F3C"/>
    <w:rsid w:val="00F341A0"/>
    <w:rsid w:val="00F40710"/>
    <w:rsid w:val="00F46E3F"/>
    <w:rsid w:val="00F4783F"/>
    <w:rsid w:val="00F56225"/>
    <w:rsid w:val="00F56D5C"/>
    <w:rsid w:val="00F579B6"/>
    <w:rsid w:val="00F60A6B"/>
    <w:rsid w:val="00F629B2"/>
    <w:rsid w:val="00F66FDA"/>
    <w:rsid w:val="00F7208C"/>
    <w:rsid w:val="00F72F0D"/>
    <w:rsid w:val="00F777CB"/>
    <w:rsid w:val="00F81BF6"/>
    <w:rsid w:val="00F83EDF"/>
    <w:rsid w:val="00F8582F"/>
    <w:rsid w:val="00F87A92"/>
    <w:rsid w:val="00F91211"/>
    <w:rsid w:val="00F92704"/>
    <w:rsid w:val="00F92C21"/>
    <w:rsid w:val="00F93BE0"/>
    <w:rsid w:val="00FA1855"/>
    <w:rsid w:val="00FA5965"/>
    <w:rsid w:val="00FA6905"/>
    <w:rsid w:val="00FB204C"/>
    <w:rsid w:val="00FB222A"/>
    <w:rsid w:val="00FB24CD"/>
    <w:rsid w:val="00FB2DE5"/>
    <w:rsid w:val="00FB5EDA"/>
    <w:rsid w:val="00FB68BB"/>
    <w:rsid w:val="00FB7CD2"/>
    <w:rsid w:val="00FC073B"/>
    <w:rsid w:val="00FC1A9C"/>
    <w:rsid w:val="00FC392E"/>
    <w:rsid w:val="00FC5124"/>
    <w:rsid w:val="00FC568F"/>
    <w:rsid w:val="00FC5AE9"/>
    <w:rsid w:val="00FC6032"/>
    <w:rsid w:val="00FD1873"/>
    <w:rsid w:val="00FD2803"/>
    <w:rsid w:val="00FD288F"/>
    <w:rsid w:val="00FD4D7C"/>
    <w:rsid w:val="00FD5A38"/>
    <w:rsid w:val="00FD736E"/>
    <w:rsid w:val="00FD7EE3"/>
    <w:rsid w:val="00FE1229"/>
    <w:rsid w:val="00FE2790"/>
    <w:rsid w:val="00FE3006"/>
    <w:rsid w:val="00FE4052"/>
    <w:rsid w:val="00FE42C9"/>
    <w:rsid w:val="00FE52A9"/>
    <w:rsid w:val="00FE54E4"/>
    <w:rsid w:val="00FE654B"/>
    <w:rsid w:val="00FF1DAC"/>
    <w:rsid w:val="00FF70ED"/>
    <w:rsid w:val="00FF78B5"/>
    <w:rsid w:val="00FF7EB1"/>
    <w:rsid w:val="2D29742C"/>
    <w:rsid w:val="5E723D6D"/>
    <w:rsid w:val="7EFE4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329" w:lineRule="auto"/>
      <w:ind w:firstLine="200" w:firstLineChars="200"/>
      <w:textAlignment w:val="baseline"/>
    </w:pPr>
    <w:rPr>
      <w:rFonts w:ascii="Times New Roman" w:hAnsi="Times New Roman" w:eastAsia="仿宋_GB2312" w:cs="Arial"/>
      <w:snapToGrid w:val="0"/>
      <w:color w:val="000000"/>
      <w:sz w:val="24"/>
      <w:szCs w:val="21"/>
      <w:lang w:val="en-US" w:eastAsia="en-US" w:bidi="ar-SA"/>
    </w:rPr>
  </w:style>
  <w:style w:type="paragraph" w:styleId="2">
    <w:name w:val="heading 1"/>
    <w:basedOn w:val="1"/>
    <w:next w:val="1"/>
    <w:link w:val="3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widowControl w:val="0"/>
      <w:kinsoku/>
      <w:autoSpaceDE/>
      <w:autoSpaceDN/>
      <w:adjustRightInd/>
      <w:snapToGrid/>
      <w:ind w:left="2520" w:leftChars="1200"/>
      <w:jc w:val="both"/>
      <w:textAlignment w:val="auto"/>
    </w:pPr>
    <w:rPr>
      <w:rFonts w:asciiTheme="minorHAnsi" w:hAnsiTheme="minorHAnsi" w:cstheme="minorBidi"/>
      <w:snapToGrid/>
      <w:color w:val="auto"/>
      <w:kern w:val="2"/>
      <w:szCs w:val="22"/>
      <w:lang w:eastAsia="zh-CN"/>
    </w:rPr>
  </w:style>
  <w:style w:type="paragraph" w:styleId="7">
    <w:name w:val="caption"/>
    <w:basedOn w:val="1"/>
    <w:next w:val="1"/>
    <w:link w:val="90"/>
    <w:unhideWhenUsed/>
    <w:qFormat/>
    <w:uiPriority w:val="0"/>
    <w:pPr>
      <w:widowControl w:val="0"/>
      <w:kinsoku/>
      <w:autoSpaceDE/>
      <w:autoSpaceDN/>
      <w:adjustRightInd/>
      <w:snapToGrid/>
      <w:spacing w:line="240" w:lineRule="auto"/>
      <w:ind w:firstLine="0" w:firstLineChars="0"/>
      <w:textAlignment w:val="auto"/>
    </w:pPr>
    <w:rPr>
      <w:rFonts w:eastAsia="黑体" w:cs="黑体"/>
      <w:snapToGrid/>
      <w:color w:val="auto"/>
      <w:kern w:val="2"/>
      <w:sz w:val="18"/>
      <w:szCs w:val="20"/>
      <w:lang w:eastAsia="zh-CN"/>
    </w:rPr>
  </w:style>
  <w:style w:type="paragraph" w:styleId="8">
    <w:name w:val="Document Map"/>
    <w:basedOn w:val="1"/>
    <w:link w:val="83"/>
    <w:semiHidden/>
    <w:unhideWhenUsed/>
    <w:qFormat/>
    <w:uiPriority w:val="99"/>
    <w:rPr>
      <w:rFonts w:ascii="宋体" w:eastAsia="宋体"/>
      <w:sz w:val="18"/>
      <w:szCs w:val="18"/>
    </w:rPr>
  </w:style>
  <w:style w:type="paragraph" w:styleId="9">
    <w:name w:val="annotation text"/>
    <w:basedOn w:val="1"/>
    <w:link w:val="51"/>
    <w:semiHidden/>
    <w:unhideWhenUsed/>
    <w:qFormat/>
    <w:uiPriority w:val="99"/>
  </w:style>
  <w:style w:type="paragraph" w:styleId="10">
    <w:name w:val="Body Text"/>
    <w:basedOn w:val="1"/>
    <w:link w:val="36"/>
    <w:semiHidden/>
    <w:qFormat/>
    <w:uiPriority w:val="0"/>
    <w:rPr>
      <w:rFonts w:eastAsia="Arial"/>
    </w:rPr>
  </w:style>
  <w:style w:type="paragraph" w:styleId="11">
    <w:name w:val="toc 5"/>
    <w:basedOn w:val="1"/>
    <w:next w:val="1"/>
    <w:unhideWhenUsed/>
    <w:qFormat/>
    <w:uiPriority w:val="39"/>
    <w:pPr>
      <w:widowControl w:val="0"/>
      <w:kinsoku/>
      <w:autoSpaceDE/>
      <w:autoSpaceDN/>
      <w:adjustRightInd/>
      <w:snapToGrid/>
      <w:ind w:left="1680" w:leftChars="800"/>
      <w:jc w:val="both"/>
      <w:textAlignment w:val="auto"/>
    </w:pPr>
    <w:rPr>
      <w:rFonts w:asciiTheme="minorHAnsi" w:hAnsiTheme="minorHAnsi" w:cstheme="minorBidi"/>
      <w:snapToGrid/>
      <w:color w:val="auto"/>
      <w:kern w:val="2"/>
      <w:szCs w:val="22"/>
      <w:lang w:eastAsia="zh-CN"/>
    </w:rPr>
  </w:style>
  <w:style w:type="paragraph" w:styleId="12">
    <w:name w:val="toc 3"/>
    <w:basedOn w:val="1"/>
    <w:next w:val="1"/>
    <w:unhideWhenUsed/>
    <w:qFormat/>
    <w:uiPriority w:val="39"/>
    <w:pPr>
      <w:kinsoku/>
      <w:autoSpaceDE/>
      <w:autoSpaceDN/>
      <w:adjustRightInd/>
      <w:snapToGrid/>
      <w:spacing w:after="100" w:line="259" w:lineRule="auto"/>
      <w:ind w:left="440"/>
      <w:textAlignment w:val="auto"/>
    </w:pPr>
    <w:rPr>
      <w:rFonts w:cs="Times New Roman" w:asciiTheme="minorHAnsi" w:hAnsiTheme="minorHAnsi"/>
      <w:snapToGrid/>
      <w:color w:val="auto"/>
      <w:sz w:val="22"/>
      <w:szCs w:val="22"/>
      <w:lang w:eastAsia="zh-CN"/>
    </w:rPr>
  </w:style>
  <w:style w:type="paragraph" w:styleId="13">
    <w:name w:val="Plain Text"/>
    <w:basedOn w:val="1"/>
    <w:link w:val="47"/>
    <w:qFormat/>
    <w:uiPriority w:val="0"/>
    <w:pPr>
      <w:widowControl w:val="0"/>
      <w:kinsoku/>
      <w:autoSpaceDE/>
      <w:autoSpaceDN/>
      <w:spacing w:line="240" w:lineRule="auto"/>
      <w:ind w:firstLine="0" w:firstLineChars="0"/>
      <w:jc w:val="center"/>
      <w:textAlignment w:val="auto"/>
    </w:pPr>
    <w:rPr>
      <w:rFonts w:cs="Century"/>
      <w:snapToGrid/>
      <w:color w:val="auto"/>
      <w:sz w:val="21"/>
      <w:lang w:eastAsia="zh-CN"/>
    </w:rPr>
  </w:style>
  <w:style w:type="paragraph" w:styleId="14">
    <w:name w:val="toc 8"/>
    <w:basedOn w:val="1"/>
    <w:next w:val="1"/>
    <w:unhideWhenUsed/>
    <w:qFormat/>
    <w:uiPriority w:val="39"/>
    <w:pPr>
      <w:widowControl w:val="0"/>
      <w:kinsoku/>
      <w:autoSpaceDE/>
      <w:autoSpaceDN/>
      <w:adjustRightInd/>
      <w:snapToGrid/>
      <w:ind w:left="2940" w:leftChars="1400"/>
      <w:jc w:val="both"/>
      <w:textAlignment w:val="auto"/>
    </w:pPr>
    <w:rPr>
      <w:rFonts w:asciiTheme="minorHAnsi" w:hAnsiTheme="minorHAnsi" w:cstheme="minorBidi"/>
      <w:snapToGrid/>
      <w:color w:val="auto"/>
      <w:kern w:val="2"/>
      <w:szCs w:val="22"/>
      <w:lang w:eastAsia="zh-CN"/>
    </w:rPr>
  </w:style>
  <w:style w:type="paragraph" w:styleId="15">
    <w:name w:val="Date"/>
    <w:basedOn w:val="1"/>
    <w:next w:val="1"/>
    <w:link w:val="85"/>
    <w:semiHidden/>
    <w:unhideWhenUsed/>
    <w:qFormat/>
    <w:uiPriority w:val="99"/>
    <w:pPr>
      <w:ind w:left="100" w:leftChars="2500"/>
    </w:pPr>
  </w:style>
  <w:style w:type="paragraph" w:styleId="16">
    <w:name w:val="Balloon Text"/>
    <w:basedOn w:val="1"/>
    <w:link w:val="84"/>
    <w:semiHidden/>
    <w:unhideWhenUsed/>
    <w:qFormat/>
    <w:uiPriority w:val="99"/>
    <w:pPr>
      <w:spacing w:line="240" w:lineRule="auto"/>
    </w:pPr>
    <w:rPr>
      <w:sz w:val="18"/>
      <w:szCs w:val="18"/>
    </w:rPr>
  </w:style>
  <w:style w:type="paragraph" w:styleId="17">
    <w:name w:val="footer"/>
    <w:basedOn w:val="1"/>
    <w:link w:val="33"/>
    <w:unhideWhenUsed/>
    <w:qFormat/>
    <w:uiPriority w:val="99"/>
    <w:pPr>
      <w:tabs>
        <w:tab w:val="center" w:pos="4153"/>
        <w:tab w:val="right" w:pos="8306"/>
      </w:tabs>
    </w:pPr>
    <w:rPr>
      <w:sz w:val="18"/>
      <w:szCs w:val="18"/>
    </w:rPr>
  </w:style>
  <w:style w:type="paragraph" w:styleId="18">
    <w:name w:val="header"/>
    <w:basedOn w:val="1"/>
    <w:link w:val="32"/>
    <w:unhideWhenUsed/>
    <w:qFormat/>
    <w:uiPriority w:val="99"/>
    <w:pPr>
      <w:tabs>
        <w:tab w:val="center" w:pos="4153"/>
        <w:tab w:val="right" w:pos="8306"/>
      </w:tabs>
      <w:jc w:val="center"/>
    </w:pPr>
    <w:rPr>
      <w:sz w:val="18"/>
      <w:szCs w:val="18"/>
    </w:rPr>
  </w:style>
  <w:style w:type="paragraph" w:styleId="19">
    <w:name w:val="toc 1"/>
    <w:basedOn w:val="1"/>
    <w:next w:val="1"/>
    <w:unhideWhenUsed/>
    <w:qFormat/>
    <w:uiPriority w:val="39"/>
    <w:pPr>
      <w:kinsoku/>
      <w:autoSpaceDE/>
      <w:autoSpaceDN/>
      <w:adjustRightInd/>
      <w:snapToGrid/>
      <w:spacing w:after="100" w:line="259" w:lineRule="auto"/>
      <w:textAlignment w:val="auto"/>
    </w:pPr>
    <w:rPr>
      <w:rFonts w:cs="Times New Roman" w:asciiTheme="minorHAnsi" w:hAnsiTheme="minorHAnsi"/>
      <w:snapToGrid/>
      <w:color w:val="auto"/>
      <w:sz w:val="22"/>
      <w:szCs w:val="22"/>
      <w:lang w:eastAsia="zh-CN"/>
    </w:rPr>
  </w:style>
  <w:style w:type="paragraph" w:styleId="20">
    <w:name w:val="toc 4"/>
    <w:basedOn w:val="1"/>
    <w:next w:val="1"/>
    <w:unhideWhenUsed/>
    <w:qFormat/>
    <w:uiPriority w:val="39"/>
    <w:pPr>
      <w:widowControl w:val="0"/>
      <w:kinsoku/>
      <w:autoSpaceDE/>
      <w:autoSpaceDN/>
      <w:adjustRightInd/>
      <w:snapToGrid/>
      <w:ind w:left="1260" w:leftChars="600"/>
      <w:jc w:val="both"/>
      <w:textAlignment w:val="auto"/>
    </w:pPr>
    <w:rPr>
      <w:rFonts w:asciiTheme="minorHAnsi" w:hAnsiTheme="minorHAnsi" w:cstheme="minorBidi"/>
      <w:snapToGrid/>
      <w:color w:val="auto"/>
      <w:kern w:val="2"/>
      <w:szCs w:val="22"/>
      <w:lang w:eastAsia="zh-CN"/>
    </w:rPr>
  </w:style>
  <w:style w:type="paragraph" w:styleId="21">
    <w:name w:val="toc 6"/>
    <w:basedOn w:val="1"/>
    <w:next w:val="1"/>
    <w:unhideWhenUsed/>
    <w:qFormat/>
    <w:uiPriority w:val="39"/>
    <w:pPr>
      <w:widowControl w:val="0"/>
      <w:kinsoku/>
      <w:autoSpaceDE/>
      <w:autoSpaceDN/>
      <w:adjustRightInd/>
      <w:snapToGrid/>
      <w:ind w:left="2100" w:leftChars="1000"/>
      <w:jc w:val="both"/>
      <w:textAlignment w:val="auto"/>
    </w:pPr>
    <w:rPr>
      <w:rFonts w:asciiTheme="minorHAnsi" w:hAnsiTheme="minorHAnsi" w:cstheme="minorBidi"/>
      <w:snapToGrid/>
      <w:color w:val="auto"/>
      <w:kern w:val="2"/>
      <w:szCs w:val="22"/>
      <w:lang w:eastAsia="zh-CN"/>
    </w:rPr>
  </w:style>
  <w:style w:type="paragraph" w:styleId="22">
    <w:name w:val="toc 2"/>
    <w:basedOn w:val="1"/>
    <w:next w:val="1"/>
    <w:unhideWhenUsed/>
    <w:qFormat/>
    <w:uiPriority w:val="39"/>
    <w:pPr>
      <w:kinsoku/>
      <w:autoSpaceDE/>
      <w:autoSpaceDN/>
      <w:adjustRightInd/>
      <w:snapToGrid/>
      <w:spacing w:after="100" w:line="259" w:lineRule="auto"/>
      <w:ind w:left="220"/>
      <w:textAlignment w:val="auto"/>
    </w:pPr>
    <w:rPr>
      <w:rFonts w:cs="Times New Roman" w:asciiTheme="minorHAnsi" w:hAnsiTheme="minorHAnsi"/>
      <w:snapToGrid/>
      <w:color w:val="auto"/>
      <w:sz w:val="22"/>
      <w:szCs w:val="22"/>
      <w:lang w:eastAsia="zh-CN"/>
    </w:rPr>
  </w:style>
  <w:style w:type="paragraph" w:styleId="23">
    <w:name w:val="toc 9"/>
    <w:basedOn w:val="1"/>
    <w:next w:val="1"/>
    <w:unhideWhenUsed/>
    <w:qFormat/>
    <w:uiPriority w:val="39"/>
    <w:pPr>
      <w:widowControl w:val="0"/>
      <w:kinsoku/>
      <w:autoSpaceDE/>
      <w:autoSpaceDN/>
      <w:adjustRightInd/>
      <w:snapToGrid/>
      <w:ind w:left="3360" w:leftChars="1600"/>
      <w:jc w:val="both"/>
      <w:textAlignment w:val="auto"/>
    </w:pPr>
    <w:rPr>
      <w:rFonts w:asciiTheme="minorHAnsi" w:hAnsiTheme="minorHAnsi" w:cstheme="minorBidi"/>
      <w:snapToGrid/>
      <w:color w:val="auto"/>
      <w:kern w:val="2"/>
      <w:szCs w:val="22"/>
      <w:lang w:eastAsia="zh-CN"/>
    </w:rPr>
  </w:style>
  <w:style w:type="paragraph" w:styleId="24">
    <w:name w:val="Normal (Web)"/>
    <w:basedOn w:val="1"/>
    <w:semiHidden/>
    <w:unhideWhenUsed/>
    <w:qFormat/>
    <w:uiPriority w:val="99"/>
    <w:pPr>
      <w:kinsoku/>
      <w:autoSpaceDE/>
      <w:autoSpaceDN/>
      <w:adjustRightInd/>
      <w:snapToGrid/>
      <w:spacing w:before="100" w:beforeAutospacing="1" w:after="100" w:afterAutospacing="1"/>
      <w:textAlignment w:val="auto"/>
    </w:pPr>
    <w:rPr>
      <w:rFonts w:ascii="宋体" w:hAnsi="宋体" w:eastAsia="宋体" w:cs="宋体"/>
      <w:snapToGrid/>
      <w:color w:val="auto"/>
      <w:szCs w:val="24"/>
      <w:lang w:eastAsia="zh-CN"/>
    </w:rPr>
  </w:style>
  <w:style w:type="paragraph" w:styleId="25">
    <w:name w:val="annotation subject"/>
    <w:basedOn w:val="9"/>
    <w:next w:val="9"/>
    <w:link w:val="52"/>
    <w:semiHidden/>
    <w:unhideWhenUsed/>
    <w:qFormat/>
    <w:uiPriority w:val="99"/>
    <w:rPr>
      <w:b/>
      <w:bCs/>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semiHidden/>
    <w:unhideWhenUsed/>
    <w:qFormat/>
    <w:uiPriority w:val="99"/>
    <w:rPr>
      <w:color w:val="954F72"/>
      <w:u w:val="single"/>
    </w:rPr>
  </w:style>
  <w:style w:type="character" w:styleId="30">
    <w:name w:val="Hyperlink"/>
    <w:basedOn w:val="28"/>
    <w:unhideWhenUsed/>
    <w:qFormat/>
    <w:uiPriority w:val="99"/>
    <w:rPr>
      <w:color w:val="0563C1" w:themeColor="hyperlink"/>
      <w:u w:val="single"/>
      <w14:textFill>
        <w14:solidFill>
          <w14:schemeClr w14:val="hlink"/>
        </w14:solidFill>
      </w14:textFill>
    </w:rPr>
  </w:style>
  <w:style w:type="character" w:styleId="31">
    <w:name w:val="annotation reference"/>
    <w:basedOn w:val="28"/>
    <w:semiHidden/>
    <w:unhideWhenUsed/>
    <w:qFormat/>
    <w:uiPriority w:val="99"/>
    <w:rPr>
      <w:sz w:val="21"/>
      <w:szCs w:val="21"/>
    </w:rPr>
  </w:style>
  <w:style w:type="character" w:customStyle="1" w:styleId="32">
    <w:name w:val="页眉 字符"/>
    <w:basedOn w:val="28"/>
    <w:link w:val="18"/>
    <w:qFormat/>
    <w:uiPriority w:val="99"/>
    <w:rPr>
      <w:sz w:val="18"/>
      <w:szCs w:val="18"/>
    </w:rPr>
  </w:style>
  <w:style w:type="character" w:customStyle="1" w:styleId="33">
    <w:name w:val="页脚 字符"/>
    <w:basedOn w:val="28"/>
    <w:link w:val="17"/>
    <w:qFormat/>
    <w:uiPriority w:val="99"/>
    <w:rPr>
      <w:sz w:val="18"/>
      <w:szCs w:val="18"/>
    </w:rPr>
  </w:style>
  <w:style w:type="table" w:customStyle="1" w:styleId="34">
    <w:name w:val="Table Normal"/>
    <w:semiHidden/>
    <w:unhideWhenUsed/>
    <w:qFormat/>
    <w:uiPriority w:val="0"/>
    <w:rPr>
      <w:rFonts w:ascii="Arial" w:hAnsi="Arial" w:cs="Arial"/>
      <w:snapToGrid w:val="0"/>
      <w:color w:val="000000"/>
      <w:szCs w:val="21"/>
      <w:lang w:eastAsia="en-US"/>
    </w:rPr>
    <w:tblPr>
      <w:tblCellMar>
        <w:top w:w="0" w:type="dxa"/>
        <w:left w:w="0" w:type="dxa"/>
        <w:bottom w:w="0" w:type="dxa"/>
        <w:right w:w="0" w:type="dxa"/>
      </w:tblCellMar>
    </w:tblPr>
  </w:style>
  <w:style w:type="paragraph" w:customStyle="1" w:styleId="35">
    <w:name w:val="Table Text"/>
    <w:basedOn w:val="1"/>
    <w:semiHidden/>
    <w:qFormat/>
    <w:uiPriority w:val="0"/>
    <w:rPr>
      <w:rFonts w:ascii="宋体" w:hAnsi="宋体" w:eastAsia="宋体" w:cs="宋体"/>
    </w:rPr>
  </w:style>
  <w:style w:type="character" w:customStyle="1" w:styleId="36">
    <w:name w:val="正文文本 字符"/>
    <w:basedOn w:val="28"/>
    <w:link w:val="10"/>
    <w:semiHidden/>
    <w:qFormat/>
    <w:uiPriority w:val="0"/>
    <w:rPr>
      <w:rFonts w:ascii="Arial" w:hAnsi="Arial" w:eastAsia="Arial" w:cs="Arial"/>
      <w:snapToGrid w:val="0"/>
      <w:color w:val="000000"/>
      <w:kern w:val="0"/>
      <w:szCs w:val="21"/>
      <w:lang w:eastAsia="en-US"/>
    </w:rPr>
  </w:style>
  <w:style w:type="table" w:customStyle="1" w:styleId="37">
    <w:name w:val="网格型1"/>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8">
    <w:name w:val="标题 1 字符"/>
    <w:basedOn w:val="28"/>
    <w:link w:val="2"/>
    <w:qFormat/>
    <w:uiPriority w:val="9"/>
    <w:rPr>
      <w:rFonts w:ascii="Arial" w:hAnsi="Arial" w:cs="Arial"/>
      <w:b/>
      <w:bCs/>
      <w:snapToGrid w:val="0"/>
      <w:color w:val="000000"/>
      <w:kern w:val="44"/>
      <w:sz w:val="44"/>
      <w:szCs w:val="44"/>
      <w:lang w:eastAsia="en-US"/>
    </w:rPr>
  </w:style>
  <w:style w:type="character" w:customStyle="1" w:styleId="39">
    <w:name w:val="标题 2 字符"/>
    <w:basedOn w:val="28"/>
    <w:link w:val="3"/>
    <w:qFormat/>
    <w:uiPriority w:val="9"/>
    <w:rPr>
      <w:rFonts w:asciiTheme="majorHAnsi" w:hAnsiTheme="majorHAnsi" w:eastAsiaTheme="majorEastAsia" w:cstheme="majorBidi"/>
      <w:b/>
      <w:bCs/>
      <w:snapToGrid w:val="0"/>
      <w:color w:val="000000"/>
      <w:kern w:val="0"/>
      <w:sz w:val="32"/>
      <w:szCs w:val="32"/>
      <w:lang w:eastAsia="en-US"/>
    </w:rPr>
  </w:style>
  <w:style w:type="character" w:customStyle="1" w:styleId="40">
    <w:name w:val="标题 3 字符"/>
    <w:basedOn w:val="28"/>
    <w:link w:val="4"/>
    <w:qFormat/>
    <w:uiPriority w:val="9"/>
    <w:rPr>
      <w:rFonts w:ascii="Arial" w:hAnsi="Arial" w:cs="Arial"/>
      <w:b/>
      <w:bCs/>
      <w:snapToGrid w:val="0"/>
      <w:color w:val="000000"/>
      <w:kern w:val="0"/>
      <w:sz w:val="32"/>
      <w:szCs w:val="32"/>
      <w:lang w:eastAsia="en-US"/>
    </w:rPr>
  </w:style>
  <w:style w:type="character" w:customStyle="1" w:styleId="41">
    <w:name w:val="标题 4 字符"/>
    <w:basedOn w:val="28"/>
    <w:link w:val="5"/>
    <w:semiHidden/>
    <w:qFormat/>
    <w:uiPriority w:val="9"/>
    <w:rPr>
      <w:rFonts w:asciiTheme="majorHAnsi" w:hAnsiTheme="majorHAnsi" w:eastAsiaTheme="majorEastAsia" w:cstheme="majorBidi"/>
      <w:b/>
      <w:bCs/>
      <w:snapToGrid w:val="0"/>
      <w:color w:val="000000"/>
      <w:kern w:val="0"/>
      <w:sz w:val="28"/>
      <w:szCs w:val="28"/>
      <w:lang w:eastAsia="en-US"/>
    </w:rPr>
  </w:style>
  <w:style w:type="paragraph" w:styleId="42">
    <w:name w:val="List Paragraph"/>
    <w:basedOn w:val="1"/>
    <w:qFormat/>
    <w:uiPriority w:val="34"/>
    <w:pPr>
      <w:ind w:firstLine="420"/>
    </w:pPr>
  </w:style>
  <w:style w:type="paragraph" w:customStyle="1" w:styleId="43">
    <w:name w:val="TOC 标题1"/>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F5597" w:themeColor="accent1" w:themeShade="BF"/>
      <w:kern w:val="0"/>
      <w:sz w:val="32"/>
      <w:szCs w:val="32"/>
      <w:lang w:eastAsia="zh-CN"/>
    </w:rPr>
  </w:style>
  <w:style w:type="character" w:customStyle="1" w:styleId="44">
    <w:name w:val="未处理的提及1"/>
    <w:basedOn w:val="28"/>
    <w:semiHidden/>
    <w:unhideWhenUsed/>
    <w:qFormat/>
    <w:uiPriority w:val="99"/>
    <w:rPr>
      <w:color w:val="605E5C"/>
      <w:shd w:val="clear" w:color="auto" w:fill="E1DFDD"/>
    </w:rPr>
  </w:style>
  <w:style w:type="character" w:customStyle="1" w:styleId="45">
    <w:name w:val="未处理的提及2"/>
    <w:basedOn w:val="28"/>
    <w:semiHidden/>
    <w:unhideWhenUsed/>
    <w:qFormat/>
    <w:uiPriority w:val="99"/>
    <w:rPr>
      <w:color w:val="605E5C"/>
      <w:shd w:val="clear" w:color="auto" w:fill="E1DFDD"/>
    </w:rPr>
  </w:style>
  <w:style w:type="table" w:customStyle="1" w:styleId="46">
    <w:name w:val="网格型2"/>
    <w:basedOn w:val="26"/>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纯文本 字符"/>
    <w:link w:val="13"/>
    <w:qFormat/>
    <w:uiPriority w:val="0"/>
    <w:rPr>
      <w:rFonts w:ascii="Times New Roman" w:hAnsi="Times New Roman" w:eastAsia="仿宋_GB2312" w:cs="Century"/>
      <w:sz w:val="21"/>
      <w:szCs w:val="21"/>
    </w:rPr>
  </w:style>
  <w:style w:type="character" w:customStyle="1" w:styleId="48">
    <w:name w:val="纯文本 字符1"/>
    <w:basedOn w:val="28"/>
    <w:semiHidden/>
    <w:qFormat/>
    <w:uiPriority w:val="99"/>
    <w:rPr>
      <w:rFonts w:hAnsi="Courier New" w:cs="Courier New" w:asciiTheme="minorEastAsia"/>
      <w:snapToGrid w:val="0"/>
      <w:color w:val="000000"/>
      <w:sz w:val="21"/>
      <w:szCs w:val="21"/>
      <w:lang w:eastAsia="en-US"/>
    </w:rPr>
  </w:style>
  <w:style w:type="table" w:customStyle="1" w:styleId="49">
    <w:name w:val="Table Normal1"/>
    <w:semiHidden/>
    <w:unhideWhenUsed/>
    <w:qFormat/>
    <w:uiPriority w:val="0"/>
    <w:rPr>
      <w:rFonts w:ascii="Arial" w:hAnsi="Arial" w:cs="Arial"/>
    </w:rPr>
    <w:tblPr>
      <w:tblCellMar>
        <w:top w:w="0" w:type="dxa"/>
        <w:left w:w="0" w:type="dxa"/>
        <w:bottom w:w="0" w:type="dxa"/>
        <w:right w:w="0" w:type="dxa"/>
      </w:tblCellMar>
    </w:tblPr>
  </w:style>
  <w:style w:type="table" w:customStyle="1" w:styleId="50">
    <w:name w:val="Table Normal2"/>
    <w:semiHidden/>
    <w:unhideWhenUsed/>
    <w:qFormat/>
    <w:uiPriority w:val="0"/>
    <w:rPr>
      <w:rFonts w:ascii="Arial" w:hAnsi="Arial" w:cs="Arial"/>
    </w:rPr>
    <w:tblPr>
      <w:tblCellMar>
        <w:top w:w="0" w:type="dxa"/>
        <w:left w:w="0" w:type="dxa"/>
        <w:bottom w:w="0" w:type="dxa"/>
        <w:right w:w="0" w:type="dxa"/>
      </w:tblCellMar>
    </w:tblPr>
  </w:style>
  <w:style w:type="character" w:customStyle="1" w:styleId="51">
    <w:name w:val="批注文字 字符"/>
    <w:basedOn w:val="28"/>
    <w:link w:val="9"/>
    <w:semiHidden/>
    <w:qFormat/>
    <w:uiPriority w:val="99"/>
    <w:rPr>
      <w:rFonts w:ascii="Times New Roman" w:hAnsi="Times New Roman" w:eastAsia="仿宋_GB2312" w:cs="Arial"/>
      <w:snapToGrid w:val="0"/>
      <w:color w:val="000000"/>
      <w:sz w:val="24"/>
      <w:szCs w:val="21"/>
      <w:lang w:eastAsia="en-US"/>
    </w:rPr>
  </w:style>
  <w:style w:type="character" w:customStyle="1" w:styleId="52">
    <w:name w:val="批注主题 字符"/>
    <w:basedOn w:val="51"/>
    <w:link w:val="25"/>
    <w:semiHidden/>
    <w:qFormat/>
    <w:uiPriority w:val="99"/>
    <w:rPr>
      <w:rFonts w:ascii="Times New Roman" w:hAnsi="Times New Roman" w:eastAsia="仿宋_GB2312" w:cs="Arial"/>
      <w:b/>
      <w:bCs/>
      <w:snapToGrid w:val="0"/>
      <w:color w:val="000000"/>
      <w:sz w:val="24"/>
      <w:szCs w:val="21"/>
      <w:lang w:eastAsia="en-US"/>
    </w:rPr>
  </w:style>
  <w:style w:type="character" w:customStyle="1" w:styleId="53">
    <w:name w:val="font21"/>
    <w:basedOn w:val="28"/>
    <w:qFormat/>
    <w:uiPriority w:val="0"/>
    <w:rPr>
      <w:rFonts w:hint="default" w:ascii="Times New Roman" w:hAnsi="Times New Roman" w:cs="Times New Roman"/>
      <w:color w:val="FF0000"/>
      <w:sz w:val="21"/>
      <w:szCs w:val="21"/>
      <w:u w:val="none"/>
    </w:rPr>
  </w:style>
  <w:style w:type="character" w:customStyle="1" w:styleId="54">
    <w:name w:val="font31"/>
    <w:basedOn w:val="28"/>
    <w:qFormat/>
    <w:uiPriority w:val="0"/>
    <w:rPr>
      <w:rFonts w:hint="default" w:ascii="Times New Roman" w:hAnsi="Times New Roman" w:cs="Times New Roman"/>
      <w:color w:val="FF0000"/>
      <w:sz w:val="21"/>
      <w:szCs w:val="21"/>
      <w:u w:val="none"/>
      <w:vertAlign w:val="superscript"/>
    </w:rPr>
  </w:style>
  <w:style w:type="character" w:customStyle="1" w:styleId="55">
    <w:name w:val="font11"/>
    <w:basedOn w:val="28"/>
    <w:qFormat/>
    <w:uiPriority w:val="0"/>
    <w:rPr>
      <w:rFonts w:hint="eastAsia" w:ascii="仿宋_GB2312" w:eastAsia="仿宋_GB2312"/>
      <w:color w:val="FF0000"/>
      <w:sz w:val="21"/>
      <w:szCs w:val="21"/>
      <w:u w:val="none"/>
    </w:rPr>
  </w:style>
  <w:style w:type="paragraph" w:customStyle="1" w:styleId="56">
    <w:name w:val="msonormal"/>
    <w:basedOn w:val="1"/>
    <w:qFormat/>
    <w:uiPriority w:val="0"/>
    <w:pPr>
      <w:kinsoku/>
      <w:autoSpaceDE/>
      <w:autoSpaceDN/>
      <w:adjustRightInd/>
      <w:snapToGrid/>
      <w:spacing w:before="100" w:beforeAutospacing="1" w:after="100" w:afterAutospacing="1" w:line="240" w:lineRule="auto"/>
      <w:ind w:firstLine="0" w:firstLineChars="0"/>
      <w:textAlignment w:val="auto"/>
    </w:pPr>
    <w:rPr>
      <w:rFonts w:ascii="宋体" w:hAnsi="宋体" w:eastAsia="宋体" w:cs="宋体"/>
      <w:snapToGrid/>
      <w:color w:val="auto"/>
      <w:szCs w:val="24"/>
      <w:lang w:eastAsia="zh-CN"/>
    </w:rPr>
  </w:style>
  <w:style w:type="paragraph" w:customStyle="1" w:styleId="57">
    <w:name w:val="font5"/>
    <w:basedOn w:val="1"/>
    <w:qFormat/>
    <w:uiPriority w:val="0"/>
    <w:pPr>
      <w:kinsoku/>
      <w:autoSpaceDE/>
      <w:autoSpaceDN/>
      <w:adjustRightInd/>
      <w:snapToGrid/>
      <w:spacing w:before="100" w:beforeAutospacing="1" w:after="100" w:afterAutospacing="1" w:line="240" w:lineRule="auto"/>
      <w:ind w:firstLine="0" w:firstLineChars="0"/>
      <w:textAlignment w:val="auto"/>
    </w:pPr>
    <w:rPr>
      <w:rFonts w:ascii="等线" w:hAnsi="等线" w:eastAsia="等线" w:cs="宋体"/>
      <w:snapToGrid/>
      <w:color w:val="auto"/>
      <w:sz w:val="18"/>
      <w:szCs w:val="18"/>
      <w:lang w:eastAsia="zh-CN"/>
    </w:rPr>
  </w:style>
  <w:style w:type="paragraph" w:customStyle="1" w:styleId="58">
    <w:name w:val="font6"/>
    <w:basedOn w:val="1"/>
    <w:qFormat/>
    <w:uiPriority w:val="0"/>
    <w:pPr>
      <w:kinsoku/>
      <w:autoSpaceDE/>
      <w:autoSpaceDN/>
      <w:adjustRightInd/>
      <w:snapToGrid/>
      <w:spacing w:before="100" w:beforeAutospacing="1" w:after="100" w:afterAutospacing="1" w:line="240" w:lineRule="auto"/>
      <w:ind w:firstLine="0" w:firstLineChars="0"/>
      <w:textAlignment w:val="auto"/>
    </w:pPr>
    <w:rPr>
      <w:rFonts w:ascii="仿宋_GB2312" w:hAnsi="宋体" w:cs="宋体"/>
      <w:snapToGrid/>
      <w:sz w:val="22"/>
      <w:szCs w:val="22"/>
      <w:lang w:eastAsia="zh-CN"/>
    </w:rPr>
  </w:style>
  <w:style w:type="paragraph" w:customStyle="1" w:styleId="59">
    <w:name w:val="font7"/>
    <w:basedOn w:val="1"/>
    <w:qFormat/>
    <w:uiPriority w:val="0"/>
    <w:pPr>
      <w:kinsoku/>
      <w:autoSpaceDE/>
      <w:autoSpaceDN/>
      <w:adjustRightInd/>
      <w:snapToGrid/>
      <w:spacing w:before="100" w:beforeAutospacing="1" w:after="100" w:afterAutospacing="1" w:line="240" w:lineRule="auto"/>
      <w:ind w:firstLine="0" w:firstLineChars="0"/>
      <w:textAlignment w:val="auto"/>
    </w:pPr>
    <w:rPr>
      <w:rFonts w:ascii="仿宋_GB2312" w:hAnsi="宋体" w:cs="宋体"/>
      <w:b/>
      <w:bCs/>
      <w:snapToGrid/>
      <w:sz w:val="22"/>
      <w:szCs w:val="22"/>
      <w:lang w:eastAsia="zh-CN"/>
    </w:rPr>
  </w:style>
  <w:style w:type="paragraph" w:customStyle="1" w:styleId="60">
    <w:name w:val="font8"/>
    <w:basedOn w:val="1"/>
    <w:qFormat/>
    <w:uiPriority w:val="0"/>
    <w:pPr>
      <w:kinsoku/>
      <w:autoSpaceDE/>
      <w:autoSpaceDN/>
      <w:adjustRightInd/>
      <w:snapToGrid/>
      <w:spacing w:before="100" w:beforeAutospacing="1" w:after="100" w:afterAutospacing="1" w:line="240" w:lineRule="auto"/>
      <w:ind w:firstLine="0" w:firstLineChars="0"/>
      <w:textAlignment w:val="auto"/>
    </w:pPr>
    <w:rPr>
      <w:rFonts w:ascii="仿宋_GB2312" w:hAnsi="宋体" w:cs="宋体"/>
      <w:b/>
      <w:bCs/>
      <w:snapToGrid/>
      <w:color w:val="auto"/>
      <w:sz w:val="22"/>
      <w:szCs w:val="22"/>
      <w:lang w:eastAsia="zh-CN"/>
    </w:rPr>
  </w:style>
  <w:style w:type="paragraph" w:customStyle="1" w:styleId="61">
    <w:name w:val="font9"/>
    <w:basedOn w:val="1"/>
    <w:qFormat/>
    <w:uiPriority w:val="0"/>
    <w:pPr>
      <w:kinsoku/>
      <w:autoSpaceDE/>
      <w:autoSpaceDN/>
      <w:adjustRightInd/>
      <w:snapToGrid/>
      <w:spacing w:before="100" w:beforeAutospacing="1" w:after="100" w:afterAutospacing="1" w:line="240" w:lineRule="auto"/>
      <w:ind w:firstLine="0" w:firstLineChars="0"/>
      <w:textAlignment w:val="auto"/>
    </w:pPr>
    <w:rPr>
      <w:rFonts w:ascii="仿宋_GB2312" w:hAnsi="宋体" w:cs="宋体"/>
      <w:snapToGrid/>
      <w:color w:val="auto"/>
      <w:sz w:val="22"/>
      <w:szCs w:val="22"/>
      <w:lang w:eastAsia="zh-CN"/>
    </w:rPr>
  </w:style>
  <w:style w:type="paragraph" w:customStyle="1" w:styleId="62">
    <w:name w:val="xl65"/>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line="240" w:lineRule="auto"/>
      <w:ind w:firstLine="0" w:firstLineChars="0"/>
      <w:jc w:val="center"/>
      <w:textAlignment w:val="center"/>
    </w:pPr>
    <w:rPr>
      <w:rFonts w:eastAsia="宋体" w:cs="Times New Roman"/>
      <w:b/>
      <w:bCs/>
      <w:snapToGrid/>
      <w:color w:val="auto"/>
      <w:szCs w:val="24"/>
      <w:lang w:eastAsia="zh-CN"/>
    </w:rPr>
  </w:style>
  <w:style w:type="paragraph" w:customStyle="1" w:styleId="63">
    <w:name w:val="xl66"/>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line="240" w:lineRule="auto"/>
      <w:ind w:firstLine="0" w:firstLineChars="0"/>
      <w:jc w:val="center"/>
      <w:textAlignment w:val="center"/>
    </w:pPr>
    <w:rPr>
      <w:rFonts w:eastAsia="宋体" w:cs="Times New Roman"/>
      <w:snapToGrid/>
      <w:color w:val="auto"/>
      <w:szCs w:val="24"/>
      <w:lang w:eastAsia="zh-CN"/>
    </w:rPr>
  </w:style>
  <w:style w:type="paragraph" w:customStyle="1" w:styleId="64">
    <w:name w:val="xl67"/>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line="240" w:lineRule="auto"/>
      <w:ind w:firstLine="0" w:firstLineChars="0"/>
      <w:jc w:val="center"/>
      <w:textAlignment w:val="auto"/>
    </w:pPr>
    <w:rPr>
      <w:rFonts w:eastAsia="宋体" w:cs="Times New Roman"/>
      <w:snapToGrid/>
      <w:color w:val="auto"/>
      <w:szCs w:val="24"/>
      <w:lang w:eastAsia="zh-CN"/>
    </w:rPr>
  </w:style>
  <w:style w:type="paragraph" w:customStyle="1" w:styleId="65">
    <w:name w:val="xl68"/>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line="240" w:lineRule="auto"/>
      <w:ind w:firstLine="0" w:firstLineChars="0"/>
      <w:jc w:val="center"/>
      <w:textAlignment w:val="auto"/>
    </w:pPr>
    <w:rPr>
      <w:rFonts w:eastAsia="宋体" w:cs="Times New Roman"/>
      <w:b/>
      <w:bCs/>
      <w:snapToGrid/>
      <w:color w:val="auto"/>
      <w:szCs w:val="24"/>
      <w:lang w:eastAsia="zh-CN"/>
    </w:rPr>
  </w:style>
  <w:style w:type="paragraph" w:customStyle="1" w:styleId="66">
    <w:name w:val="xl69"/>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line="240" w:lineRule="auto"/>
      <w:ind w:firstLine="0" w:firstLineChars="0"/>
      <w:jc w:val="center"/>
      <w:textAlignment w:val="auto"/>
    </w:pPr>
    <w:rPr>
      <w:rFonts w:eastAsia="宋体" w:cs="Times New Roman"/>
      <w:snapToGrid/>
      <w:color w:val="auto"/>
      <w:szCs w:val="24"/>
      <w:lang w:eastAsia="zh-CN"/>
    </w:rPr>
  </w:style>
  <w:style w:type="paragraph" w:customStyle="1" w:styleId="67">
    <w:name w:val="xl70"/>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line="240" w:lineRule="auto"/>
      <w:ind w:firstLine="0" w:firstLineChars="0"/>
      <w:jc w:val="center"/>
      <w:textAlignment w:val="auto"/>
    </w:pPr>
    <w:rPr>
      <w:rFonts w:eastAsia="宋体" w:cs="Times New Roman"/>
      <w:snapToGrid/>
      <w:color w:val="auto"/>
      <w:szCs w:val="24"/>
      <w:lang w:eastAsia="zh-CN"/>
    </w:rPr>
  </w:style>
  <w:style w:type="paragraph" w:customStyle="1" w:styleId="68">
    <w:name w:val="xl71"/>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line="240" w:lineRule="auto"/>
      <w:ind w:firstLine="0" w:firstLineChars="0"/>
      <w:jc w:val="center"/>
      <w:textAlignment w:val="auto"/>
    </w:pPr>
    <w:rPr>
      <w:rFonts w:eastAsia="宋体" w:cs="Times New Roman"/>
      <w:snapToGrid/>
      <w:color w:val="auto"/>
      <w:szCs w:val="24"/>
      <w:lang w:eastAsia="zh-CN"/>
    </w:rPr>
  </w:style>
  <w:style w:type="paragraph" w:customStyle="1" w:styleId="69">
    <w:name w:val="xl72"/>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line="240" w:lineRule="auto"/>
      <w:ind w:firstLine="0" w:firstLineChars="0"/>
      <w:jc w:val="center"/>
      <w:textAlignment w:val="auto"/>
    </w:pPr>
    <w:rPr>
      <w:rFonts w:eastAsia="宋体" w:cs="Times New Roman"/>
      <w:b/>
      <w:bCs/>
      <w:snapToGrid/>
      <w:color w:val="auto"/>
      <w:szCs w:val="24"/>
      <w:lang w:eastAsia="zh-CN"/>
    </w:rPr>
  </w:style>
  <w:style w:type="paragraph" w:customStyle="1" w:styleId="70">
    <w:name w:val="xl73"/>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line="240" w:lineRule="auto"/>
      <w:ind w:firstLine="0" w:firstLineChars="0"/>
      <w:jc w:val="center"/>
      <w:textAlignment w:val="auto"/>
    </w:pPr>
    <w:rPr>
      <w:rFonts w:eastAsia="宋体" w:cs="Times New Roman"/>
      <w:b/>
      <w:bCs/>
      <w:snapToGrid/>
      <w:color w:val="auto"/>
      <w:szCs w:val="24"/>
      <w:lang w:eastAsia="zh-CN"/>
    </w:rPr>
  </w:style>
  <w:style w:type="paragraph" w:customStyle="1" w:styleId="71">
    <w:name w:val="xl74"/>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line="240" w:lineRule="auto"/>
      <w:ind w:firstLine="0" w:firstLineChars="0"/>
      <w:jc w:val="center"/>
      <w:textAlignment w:val="center"/>
    </w:pPr>
    <w:rPr>
      <w:rFonts w:eastAsia="宋体" w:cs="Times New Roman"/>
      <w:b/>
      <w:bCs/>
      <w:snapToGrid/>
      <w:color w:val="auto"/>
      <w:szCs w:val="24"/>
      <w:lang w:eastAsia="zh-CN"/>
    </w:rPr>
  </w:style>
  <w:style w:type="paragraph" w:customStyle="1" w:styleId="72">
    <w:name w:val="xl75"/>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line="240" w:lineRule="auto"/>
      <w:ind w:firstLine="0" w:firstLineChars="0"/>
      <w:jc w:val="center"/>
      <w:textAlignment w:val="center"/>
    </w:pPr>
    <w:rPr>
      <w:rFonts w:eastAsia="宋体" w:cs="Times New Roman"/>
      <w:b/>
      <w:bCs/>
      <w:snapToGrid/>
      <w:color w:val="auto"/>
      <w:szCs w:val="24"/>
      <w:lang w:eastAsia="zh-CN"/>
    </w:rPr>
  </w:style>
  <w:style w:type="paragraph" w:customStyle="1" w:styleId="73">
    <w:name w:val="xl76"/>
    <w:basedOn w:val="1"/>
    <w:qFormat/>
    <w:uiPriority w:val="0"/>
    <w:pPr>
      <w:pBdr>
        <w:top w:val="single" w:color="auto" w:sz="4" w:space="0"/>
        <w:left w:val="single" w:color="auto" w:sz="4" w:space="0"/>
        <w:bottom w:val="single" w:color="auto" w:sz="4" w:space="0"/>
        <w:right w:val="single" w:color="auto" w:sz="4" w:space="0"/>
      </w:pBdr>
      <w:shd w:val="clear" w:color="000000" w:fill="D0CECE"/>
      <w:kinsoku/>
      <w:autoSpaceDE/>
      <w:autoSpaceDN/>
      <w:adjustRightInd/>
      <w:snapToGrid/>
      <w:spacing w:before="100" w:beforeAutospacing="1" w:after="100" w:afterAutospacing="1" w:line="240" w:lineRule="auto"/>
      <w:ind w:firstLine="0" w:firstLineChars="0"/>
      <w:jc w:val="center"/>
      <w:textAlignment w:val="center"/>
    </w:pPr>
    <w:rPr>
      <w:rFonts w:eastAsia="宋体" w:cs="Times New Roman"/>
      <w:b/>
      <w:bCs/>
      <w:snapToGrid/>
      <w:color w:val="auto"/>
      <w:szCs w:val="24"/>
      <w:lang w:eastAsia="zh-CN"/>
    </w:rPr>
  </w:style>
  <w:style w:type="paragraph" w:customStyle="1" w:styleId="74">
    <w:name w:val="xl77"/>
    <w:basedOn w:val="1"/>
    <w:qFormat/>
    <w:uiPriority w:val="0"/>
    <w:pPr>
      <w:pBdr>
        <w:top w:val="single" w:color="auto" w:sz="4" w:space="0"/>
        <w:left w:val="single" w:color="auto" w:sz="4" w:space="0"/>
        <w:bottom w:val="single" w:color="auto" w:sz="4" w:space="0"/>
        <w:right w:val="single" w:color="auto" w:sz="4" w:space="0"/>
      </w:pBdr>
      <w:shd w:val="clear" w:color="000000" w:fill="D0CECE"/>
      <w:kinsoku/>
      <w:autoSpaceDE/>
      <w:autoSpaceDN/>
      <w:adjustRightInd/>
      <w:snapToGrid/>
      <w:spacing w:before="100" w:beforeAutospacing="1" w:after="100" w:afterAutospacing="1" w:line="240" w:lineRule="auto"/>
      <w:ind w:firstLine="0" w:firstLineChars="0"/>
      <w:jc w:val="center"/>
      <w:textAlignment w:val="center"/>
    </w:pPr>
    <w:rPr>
      <w:rFonts w:eastAsia="宋体" w:cs="Times New Roman"/>
      <w:b/>
      <w:bCs/>
      <w:snapToGrid/>
      <w:color w:val="auto"/>
      <w:szCs w:val="24"/>
      <w:lang w:eastAsia="zh-CN"/>
    </w:rPr>
  </w:style>
  <w:style w:type="paragraph" w:customStyle="1" w:styleId="75">
    <w:name w:val="xl78"/>
    <w:basedOn w:val="1"/>
    <w:qFormat/>
    <w:uiPriority w:val="0"/>
    <w:pPr>
      <w:pBdr>
        <w:top w:val="single" w:color="auto" w:sz="4" w:space="0"/>
        <w:left w:val="single" w:color="auto" w:sz="4" w:space="0"/>
        <w:bottom w:val="single" w:color="auto" w:sz="4" w:space="0"/>
        <w:right w:val="single" w:color="auto" w:sz="4" w:space="0"/>
      </w:pBdr>
      <w:shd w:val="clear" w:color="000000" w:fill="D0CECE"/>
      <w:kinsoku/>
      <w:autoSpaceDE/>
      <w:autoSpaceDN/>
      <w:adjustRightInd/>
      <w:snapToGrid/>
      <w:spacing w:before="100" w:beforeAutospacing="1" w:after="100" w:afterAutospacing="1" w:line="240" w:lineRule="auto"/>
      <w:ind w:firstLine="0" w:firstLineChars="0"/>
      <w:jc w:val="center"/>
      <w:textAlignment w:val="center"/>
    </w:pPr>
    <w:rPr>
      <w:rFonts w:eastAsia="宋体" w:cs="Times New Roman"/>
      <w:b/>
      <w:bCs/>
      <w:snapToGrid/>
      <w:color w:val="auto"/>
      <w:szCs w:val="24"/>
      <w:lang w:eastAsia="zh-CN"/>
    </w:rPr>
  </w:style>
  <w:style w:type="paragraph" w:customStyle="1" w:styleId="76">
    <w:name w:val="xl79"/>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line="240" w:lineRule="auto"/>
      <w:ind w:firstLine="0" w:firstLineChars="0"/>
      <w:jc w:val="center"/>
      <w:textAlignment w:val="center"/>
    </w:pPr>
    <w:rPr>
      <w:rFonts w:eastAsia="宋体" w:cs="Times New Roman"/>
      <w:snapToGrid/>
      <w:color w:val="auto"/>
      <w:szCs w:val="24"/>
      <w:lang w:eastAsia="zh-CN"/>
    </w:rPr>
  </w:style>
  <w:style w:type="paragraph" w:customStyle="1" w:styleId="77">
    <w:name w:val="xl80"/>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line="240" w:lineRule="auto"/>
      <w:ind w:firstLine="0" w:firstLineChars="0"/>
      <w:jc w:val="center"/>
      <w:textAlignment w:val="center"/>
    </w:pPr>
    <w:rPr>
      <w:rFonts w:eastAsia="宋体" w:cs="Times New Roman"/>
      <w:b/>
      <w:bCs/>
      <w:snapToGrid/>
      <w:color w:val="auto"/>
      <w:szCs w:val="24"/>
      <w:lang w:eastAsia="zh-CN"/>
    </w:rPr>
  </w:style>
  <w:style w:type="paragraph" w:customStyle="1" w:styleId="78">
    <w:name w:val="xl81"/>
    <w:basedOn w:val="1"/>
    <w:qFormat/>
    <w:uiPriority w:val="0"/>
    <w:pPr>
      <w:kinsoku/>
      <w:autoSpaceDE/>
      <w:autoSpaceDN/>
      <w:adjustRightInd/>
      <w:snapToGrid/>
      <w:spacing w:before="100" w:beforeAutospacing="1" w:after="100" w:afterAutospacing="1" w:line="240" w:lineRule="auto"/>
      <w:ind w:firstLine="0" w:firstLineChars="0"/>
      <w:jc w:val="center"/>
      <w:textAlignment w:val="auto"/>
    </w:pPr>
    <w:rPr>
      <w:rFonts w:ascii="宋体" w:hAnsi="宋体" w:eastAsia="宋体" w:cs="宋体"/>
      <w:snapToGrid/>
      <w:color w:val="auto"/>
      <w:szCs w:val="24"/>
      <w:lang w:eastAsia="zh-CN"/>
    </w:rPr>
  </w:style>
  <w:style w:type="paragraph" w:customStyle="1" w:styleId="79">
    <w:name w:val="xl82"/>
    <w:basedOn w:val="1"/>
    <w:qFormat/>
    <w:uiPriority w:val="0"/>
    <w:pPr>
      <w:kinsoku/>
      <w:autoSpaceDE/>
      <w:autoSpaceDN/>
      <w:adjustRightInd/>
      <w:snapToGrid/>
      <w:spacing w:before="100" w:beforeAutospacing="1" w:after="100" w:afterAutospacing="1" w:line="240" w:lineRule="auto"/>
      <w:ind w:firstLine="0" w:firstLineChars="0"/>
      <w:jc w:val="center"/>
      <w:textAlignment w:val="center"/>
    </w:pPr>
    <w:rPr>
      <w:rFonts w:ascii="宋体" w:hAnsi="宋体" w:eastAsia="宋体" w:cs="宋体"/>
      <w:snapToGrid/>
      <w:color w:val="auto"/>
      <w:szCs w:val="24"/>
      <w:lang w:eastAsia="zh-CN"/>
    </w:rPr>
  </w:style>
  <w:style w:type="paragraph" w:customStyle="1" w:styleId="80">
    <w:name w:val="xl83"/>
    <w:basedOn w:val="1"/>
    <w:qFormat/>
    <w:uiPriority w:val="0"/>
    <w:pPr>
      <w:kinsoku/>
      <w:autoSpaceDE/>
      <w:autoSpaceDN/>
      <w:adjustRightInd/>
      <w:snapToGrid/>
      <w:spacing w:before="100" w:beforeAutospacing="1" w:after="100" w:afterAutospacing="1" w:line="240" w:lineRule="auto"/>
      <w:ind w:firstLine="0" w:firstLineChars="0"/>
      <w:jc w:val="center"/>
      <w:textAlignment w:val="auto"/>
    </w:pPr>
    <w:rPr>
      <w:rFonts w:ascii="宋体" w:hAnsi="宋体" w:eastAsia="宋体" w:cs="宋体"/>
      <w:snapToGrid/>
      <w:color w:val="auto"/>
      <w:szCs w:val="24"/>
      <w:lang w:eastAsia="zh-CN"/>
    </w:rPr>
  </w:style>
  <w:style w:type="paragraph" w:customStyle="1" w:styleId="81">
    <w:name w:val="xl84"/>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line="240" w:lineRule="auto"/>
      <w:ind w:firstLine="0" w:firstLineChars="0"/>
      <w:jc w:val="center"/>
      <w:textAlignment w:val="center"/>
    </w:pPr>
    <w:rPr>
      <w:rFonts w:eastAsia="宋体" w:cs="Times New Roman"/>
      <w:b/>
      <w:bCs/>
      <w:snapToGrid/>
      <w:color w:val="auto"/>
      <w:szCs w:val="24"/>
      <w:lang w:eastAsia="zh-CN"/>
    </w:rPr>
  </w:style>
  <w:style w:type="paragraph" w:customStyle="1" w:styleId="82">
    <w:name w:val="xl85"/>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line="240" w:lineRule="auto"/>
      <w:ind w:firstLine="0" w:firstLineChars="0"/>
      <w:jc w:val="center"/>
      <w:textAlignment w:val="center"/>
    </w:pPr>
    <w:rPr>
      <w:rFonts w:eastAsia="宋体" w:cs="Times New Roman"/>
      <w:snapToGrid/>
      <w:color w:val="auto"/>
      <w:szCs w:val="24"/>
      <w:lang w:eastAsia="zh-CN"/>
    </w:rPr>
  </w:style>
  <w:style w:type="character" w:customStyle="1" w:styleId="83">
    <w:name w:val="文档结构图 字符"/>
    <w:basedOn w:val="28"/>
    <w:link w:val="8"/>
    <w:semiHidden/>
    <w:qFormat/>
    <w:uiPriority w:val="99"/>
    <w:rPr>
      <w:rFonts w:ascii="宋体" w:hAnsi="Times New Roman" w:eastAsia="宋体" w:cs="Arial"/>
      <w:snapToGrid w:val="0"/>
      <w:color w:val="000000"/>
      <w:sz w:val="18"/>
      <w:szCs w:val="18"/>
      <w:lang w:eastAsia="en-US"/>
    </w:rPr>
  </w:style>
  <w:style w:type="character" w:customStyle="1" w:styleId="84">
    <w:name w:val="批注框文本 字符"/>
    <w:basedOn w:val="28"/>
    <w:link w:val="16"/>
    <w:semiHidden/>
    <w:qFormat/>
    <w:uiPriority w:val="99"/>
    <w:rPr>
      <w:rFonts w:ascii="Times New Roman" w:hAnsi="Times New Roman" w:eastAsia="仿宋_GB2312" w:cs="Arial"/>
      <w:snapToGrid w:val="0"/>
      <w:color w:val="000000"/>
      <w:sz w:val="18"/>
      <w:szCs w:val="18"/>
      <w:lang w:eastAsia="en-US"/>
    </w:rPr>
  </w:style>
  <w:style w:type="character" w:customStyle="1" w:styleId="85">
    <w:name w:val="日期 字符"/>
    <w:basedOn w:val="28"/>
    <w:link w:val="15"/>
    <w:semiHidden/>
    <w:qFormat/>
    <w:uiPriority w:val="99"/>
    <w:rPr>
      <w:rFonts w:ascii="Times New Roman" w:hAnsi="Times New Roman" w:eastAsia="仿宋_GB2312" w:cs="Arial"/>
      <w:snapToGrid w:val="0"/>
      <w:color w:val="000000"/>
      <w:sz w:val="24"/>
      <w:szCs w:val="21"/>
      <w:lang w:eastAsia="en-US"/>
    </w:rPr>
  </w:style>
  <w:style w:type="paragraph" w:customStyle="1" w:styleId="86">
    <w:name w:val="zy水保正文"/>
    <w:basedOn w:val="1"/>
    <w:qFormat/>
    <w:uiPriority w:val="0"/>
    <w:pPr>
      <w:widowControl w:val="0"/>
      <w:kinsoku/>
      <w:autoSpaceDE/>
      <w:autoSpaceDN/>
      <w:adjustRightInd/>
      <w:snapToGrid/>
      <w:spacing w:line="480" w:lineRule="exact"/>
      <w:jc w:val="both"/>
      <w:textAlignment w:val="auto"/>
    </w:pPr>
    <w:rPr>
      <w:rFonts w:cs="Times New Roman"/>
      <w:snapToGrid/>
      <w:color w:val="auto"/>
      <w:kern w:val="2"/>
      <w:szCs w:val="24"/>
      <w:lang w:eastAsia="zh-CN"/>
    </w:rPr>
  </w:style>
  <w:style w:type="character" w:customStyle="1" w:styleId="87">
    <w:name w:val="样式 首行缩进:  2 字符 Char Char"/>
    <w:link w:val="88"/>
    <w:qFormat/>
    <w:uiPriority w:val="0"/>
    <w:rPr>
      <w:rFonts w:eastAsia="宋体"/>
    </w:rPr>
  </w:style>
  <w:style w:type="paragraph" w:customStyle="1" w:styleId="88">
    <w:name w:val="样式 首行缩进:  2 字符"/>
    <w:basedOn w:val="1"/>
    <w:link w:val="87"/>
    <w:qFormat/>
    <w:uiPriority w:val="0"/>
    <w:pPr>
      <w:widowControl w:val="0"/>
      <w:kinsoku/>
      <w:autoSpaceDE/>
      <w:autoSpaceDN/>
      <w:adjustRightInd/>
      <w:snapToGrid/>
      <w:spacing w:line="440" w:lineRule="exact"/>
      <w:jc w:val="both"/>
      <w:textAlignment w:val="auto"/>
    </w:pPr>
    <w:rPr>
      <w:rFonts w:eastAsia="宋体" w:asciiTheme="minorHAnsi" w:hAnsiTheme="minorHAnsi" w:cstheme="minorBidi"/>
      <w:snapToGrid/>
      <w:color w:val="auto"/>
      <w:sz w:val="20"/>
      <w:szCs w:val="20"/>
      <w:lang w:eastAsia="zh-CN"/>
    </w:rPr>
  </w:style>
  <w:style w:type="paragraph" w:customStyle="1" w:styleId="89">
    <w:name w:val="文本"/>
    <w:basedOn w:val="1"/>
    <w:qFormat/>
    <w:uiPriority w:val="0"/>
    <w:pPr>
      <w:widowControl w:val="0"/>
      <w:kinsoku/>
      <w:autoSpaceDE/>
      <w:autoSpaceDN/>
      <w:adjustRightInd/>
      <w:snapToGrid/>
      <w:spacing w:beforeLines="20" w:line="460" w:lineRule="exact"/>
      <w:ind w:firstLine="561" w:firstLineChars="0"/>
      <w:jc w:val="both"/>
      <w:textAlignment w:val="auto"/>
    </w:pPr>
    <w:rPr>
      <w:rFonts w:eastAsia="宋体" w:cs="Times New Roman"/>
      <w:snapToGrid/>
      <w:color w:val="auto"/>
      <w:kern w:val="2"/>
      <w:sz w:val="28"/>
      <w:szCs w:val="28"/>
      <w:lang w:eastAsia="zh-CN"/>
    </w:rPr>
  </w:style>
  <w:style w:type="character" w:customStyle="1" w:styleId="90">
    <w:name w:val="题注 字符"/>
    <w:link w:val="7"/>
    <w:qFormat/>
    <w:locked/>
    <w:uiPriority w:val="0"/>
    <w:rPr>
      <w:rFonts w:ascii="Times New Roman" w:hAnsi="Times New Roman" w:eastAsia="黑体" w:cs="黑体"/>
      <w:kern w:val="2"/>
      <w:sz w:val="18"/>
    </w:rPr>
  </w:style>
  <w:style w:type="paragraph" w:customStyle="1" w:styleId="91">
    <w:name w:val="报告书正文"/>
    <w:link w:val="92"/>
    <w:qFormat/>
    <w:uiPriority w:val="0"/>
    <w:pPr>
      <w:spacing w:line="360" w:lineRule="auto"/>
      <w:ind w:firstLine="200" w:firstLineChars="200"/>
    </w:pPr>
    <w:rPr>
      <w:rFonts w:ascii="Times New Roman" w:hAnsi="Times New Roman" w:eastAsia="仿宋_GB2312" w:cstheme="minorBidi"/>
      <w:sz w:val="24"/>
      <w:lang w:val="en-US" w:eastAsia="zh-CN" w:bidi="ar-SA"/>
    </w:rPr>
  </w:style>
  <w:style w:type="character" w:customStyle="1" w:styleId="92">
    <w:name w:val="报告书正文 Char"/>
    <w:link w:val="91"/>
    <w:qFormat/>
    <w:uiPriority w:val="0"/>
    <w:rPr>
      <w:rFonts w:ascii="Times New Roman" w:hAnsi="Times New Roman" w:eastAsia="仿宋_GB2312"/>
      <w:sz w:val="24"/>
    </w:rPr>
  </w:style>
  <w:style w:type="paragraph" w:customStyle="1" w:styleId="93">
    <w:name w:val="题注（标题）"/>
    <w:basedOn w:val="1"/>
    <w:qFormat/>
    <w:uiPriority w:val="0"/>
    <w:pPr>
      <w:widowControl w:val="0"/>
      <w:kinsoku/>
      <w:autoSpaceDE/>
      <w:autoSpaceDN/>
      <w:adjustRightInd/>
      <w:snapToGrid/>
      <w:spacing w:line="240" w:lineRule="auto"/>
      <w:ind w:firstLine="0" w:firstLineChars="0"/>
      <w:jc w:val="center"/>
      <w:textAlignment w:val="auto"/>
    </w:pPr>
    <w:rPr>
      <w:rFonts w:eastAsia="黑体" w:cstheme="minorBidi"/>
      <w:snapToGrid/>
      <w:color w:val="auto"/>
      <w:kern w:val="2"/>
      <w:sz w:val="21"/>
      <w:lang w:eastAsia="zh-CN"/>
    </w:rPr>
  </w:style>
  <w:style w:type="paragraph" w:customStyle="1" w:styleId="94">
    <w:name w:val="Revision"/>
    <w:hidden/>
    <w:semiHidden/>
    <w:qFormat/>
    <w:uiPriority w:val="99"/>
    <w:rPr>
      <w:rFonts w:ascii="Times New Roman" w:hAnsi="Times New Roman" w:eastAsia="仿宋_GB2312" w:cs="Arial"/>
      <w:snapToGrid w:val="0"/>
      <w:color w:val="000000"/>
      <w:sz w:val="24"/>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25.png"/><Relationship Id="rId54" Type="http://schemas.openxmlformats.org/officeDocument/2006/relationships/image" Target="media/image24.png"/><Relationship Id="rId53" Type="http://schemas.openxmlformats.org/officeDocument/2006/relationships/image" Target="media/image23.png"/><Relationship Id="rId52" Type="http://schemas.openxmlformats.org/officeDocument/2006/relationships/image" Target="media/image22.png"/><Relationship Id="rId51" Type="http://schemas.openxmlformats.org/officeDocument/2006/relationships/image" Target="media/image21.png"/><Relationship Id="rId50" Type="http://schemas.openxmlformats.org/officeDocument/2006/relationships/image" Target="media/image20.png"/><Relationship Id="rId5" Type="http://schemas.openxmlformats.org/officeDocument/2006/relationships/header" Target="header1.xml"/><Relationship Id="rId49" Type="http://schemas.openxmlformats.org/officeDocument/2006/relationships/image" Target="media/image19.png"/><Relationship Id="rId48" Type="http://schemas.openxmlformats.org/officeDocument/2006/relationships/image" Target="media/image18.png"/><Relationship Id="rId47" Type="http://schemas.openxmlformats.org/officeDocument/2006/relationships/image" Target="media/image17.png"/><Relationship Id="rId46" Type="http://schemas.openxmlformats.org/officeDocument/2006/relationships/image" Target="media/image16.jpeg"/><Relationship Id="rId45" Type="http://schemas.openxmlformats.org/officeDocument/2006/relationships/image" Target="media/image15.jpeg"/><Relationship Id="rId44" Type="http://schemas.openxmlformats.org/officeDocument/2006/relationships/image" Target="media/image14.jpeg"/><Relationship Id="rId43" Type="http://schemas.openxmlformats.org/officeDocument/2006/relationships/image" Target="media/image13.jpeg"/><Relationship Id="rId42" Type="http://schemas.openxmlformats.org/officeDocument/2006/relationships/image" Target="media/image12.jpeg"/><Relationship Id="rId41" Type="http://schemas.openxmlformats.org/officeDocument/2006/relationships/image" Target="media/image11.jpeg"/><Relationship Id="rId40" Type="http://schemas.openxmlformats.org/officeDocument/2006/relationships/image" Target="media/image10.jpeg"/><Relationship Id="rId4" Type="http://schemas.openxmlformats.org/officeDocument/2006/relationships/endnotes" Target="endnotes.xml"/><Relationship Id="rId39" Type="http://schemas.openxmlformats.org/officeDocument/2006/relationships/image" Target="media/image9.jpeg"/><Relationship Id="rId38" Type="http://schemas.openxmlformats.org/officeDocument/2006/relationships/image" Target="media/image8.jpeg"/><Relationship Id="rId37" Type="http://schemas.openxmlformats.org/officeDocument/2006/relationships/image" Target="media/image7.jpeg"/><Relationship Id="rId36" Type="http://schemas.openxmlformats.org/officeDocument/2006/relationships/image" Target="media/image6.jpeg"/><Relationship Id="rId35" Type="http://schemas.openxmlformats.org/officeDocument/2006/relationships/image" Target="media/image5.jpeg"/><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header" Target="header11.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14644</Words>
  <Characters>83472</Characters>
  <Lines>695</Lines>
  <Paragraphs>195</Paragraphs>
  <TotalTime>94</TotalTime>
  <ScaleCrop>false</ScaleCrop>
  <LinksUpToDate>false</LinksUpToDate>
  <CharactersWithSpaces>97921</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2024-07-15T08:34:00Z</dcterms:created>
  <dc:creator>yu er</dc:creator>
  <cp:lastModifiedBy>user</cp:lastModifiedBy>
  <cp:lastPrinted>2024-01-25T11:19:00Z</cp:lastPrinted>
  <dcterms:modified xsi:type="dcterms:W3CDTF">2024-07-16T10:15:12Z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A5912AA36AC24CE7BB0E86EF60419640_12</vt:lpwstr>
  </property>
</Properties>
</file>