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8"/>
          <w:szCs w:val="48"/>
        </w:rPr>
      </w:pPr>
      <w:bookmarkStart w:id="1" w:name="_Toc15396597"/>
      <w:bookmarkStart w:id="2" w:name="_Toc15396475"/>
      <w:bookmarkStart w:id="3" w:name="_Toc15378441"/>
      <w:bookmarkStart w:id="4" w:name="_Toc15377193"/>
      <w:bookmarkStart w:id="5" w:name="_Toc15377425"/>
      <w:r>
        <w:rPr>
          <w:rFonts w:ascii="黑体" w:hAnsi="黑体" w:eastAsia="黑体"/>
          <w:color w:val="000000"/>
          <w:sz w:val="48"/>
          <w:szCs w:val="48"/>
        </w:rPr>
        <w:t>201</w:t>
      </w:r>
      <w:r>
        <w:rPr>
          <w:rFonts w:hint="eastAsia" w:ascii="黑体" w:hAnsi="黑体" w:eastAsia="黑体"/>
          <w:color w:val="000000"/>
          <w:sz w:val="48"/>
          <w:szCs w:val="48"/>
        </w:rPr>
        <w:t>9</w:t>
      </w:r>
      <w:r>
        <w:rPr>
          <w:rFonts w:hint="eastAsia" w:ascii="方正小标宋简体" w:hAnsi="宋体" w:eastAsia="方正小标宋简体"/>
          <w:color w:val="000000"/>
          <w:sz w:val="48"/>
          <w:szCs w:val="48"/>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48"/>
          <w:szCs w:val="48"/>
        </w:rPr>
      </w:pPr>
      <w:bookmarkStart w:id="6" w:name="_Toc15377194"/>
      <w:bookmarkStart w:id="7" w:name="_Toc15306268"/>
      <w:bookmarkStart w:id="8" w:name="_Toc15396476"/>
      <w:bookmarkStart w:id="9" w:name="_Toc15396598"/>
      <w:bookmarkStart w:id="10" w:name="_Toc15378442"/>
      <w:bookmarkStart w:id="11" w:name="_Toc15377426"/>
      <w:r>
        <w:rPr>
          <w:rFonts w:hint="eastAsia" w:ascii="方正小标宋简体" w:hAnsi="宋体" w:eastAsia="方正小标宋简体"/>
          <w:color w:val="000000"/>
          <w:sz w:val="48"/>
          <w:szCs w:val="48"/>
        </w:rPr>
        <w:t>宣汉县</w:t>
      </w:r>
      <w:r>
        <w:rPr>
          <w:rFonts w:hint="eastAsia" w:ascii="方正小标宋简体" w:hAnsi="宋体" w:eastAsia="方正小标宋简体"/>
          <w:color w:val="000000"/>
          <w:sz w:val="48"/>
          <w:szCs w:val="48"/>
          <w:lang w:eastAsia="zh-CN"/>
        </w:rPr>
        <w:t>地方志编纂中心</w:t>
      </w:r>
      <w:r>
        <w:rPr>
          <w:rFonts w:hint="eastAsia" w:ascii="方正小标宋简体" w:hAnsi="宋体" w:eastAsia="方正小标宋简体"/>
          <w:color w:val="000000"/>
          <w:sz w:val="48"/>
          <w:szCs w:val="48"/>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12</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pageBreakBefore w:val="0"/>
        <w:widowControl w:val="0"/>
        <w:kinsoku/>
        <w:wordWrap/>
        <w:overflowPunct/>
        <w:topLinePunct w:val="0"/>
        <w:autoSpaceDE/>
        <w:autoSpaceDN/>
        <w:bidi w:val="0"/>
        <w:ind w:firstLine="640" w:firstLineChars="200"/>
        <w:textAlignment w:val="auto"/>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2"/>
        <w:keepNext w:val="0"/>
        <w:keepLines w:val="0"/>
        <w:pageBreakBefore w:val="0"/>
        <w:widowControl w:val="0"/>
        <w:kinsoku/>
        <w:wordWrap/>
        <w:overflowPunct/>
        <w:topLinePunct w:val="0"/>
        <w:autoSpaceDE/>
        <w:autoSpaceDN/>
        <w:bidi w:val="0"/>
        <w:adjustRightInd w:val="0"/>
        <w:snapToGrid w:val="0"/>
        <w:spacing w:before="93" w:line="580" w:lineRule="exact"/>
        <w:ind w:firstLine="640" w:firstLineChars="200"/>
        <w:textAlignment w:val="auto"/>
        <w:outlineLvl w:val="2"/>
        <w:rPr>
          <w:rFonts w:hint="eastAsia" w:ascii="仿宋_GB2312" w:hAnsi="仿宋_GB2312" w:eastAsia="仿宋_GB2312" w:cs="仿宋_GB2312"/>
          <w:color w:val="000000"/>
          <w:kern w:val="0"/>
          <w:sz w:val="32"/>
          <w:szCs w:val="32"/>
          <w:lang w:val="en-US" w:eastAsia="zh-CN" w:bidi="ar-SA"/>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18" w:name="_Toc15378446"/>
      <w:bookmarkStart w:id="19" w:name="_Toc15377199"/>
      <w:r>
        <w:rPr>
          <w:rFonts w:hint="default" w:ascii="仿宋_GB2312" w:hAnsi="仿宋_GB2312" w:eastAsia="仿宋_GB2312" w:cs="仿宋_GB2312"/>
          <w:color w:val="000000" w:themeColor="text1"/>
          <w:sz w:val="32"/>
          <w:szCs w:val="32"/>
          <w:lang w:val="en-US" w:eastAsia="zh-CN"/>
          <w14:textFill>
            <w14:solidFill>
              <w14:schemeClr w14:val="tx1"/>
            </w14:solidFill>
          </w14:textFill>
        </w:rPr>
        <w:t>(1)组织、指导、督促和检查全县地方志工作；</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(2)拟定地方志工作规划和编纂方案；</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(3)组织编纂地方志书、地方综合年鉴；</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(4)搜集、保存地方志文献和资料，组织整理旧志，推动方志理论研究；</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(5)组织开发、利用地方志资源；</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(6)承办县政府交办的其他任务</w:t>
      </w:r>
      <w:r>
        <w:rPr>
          <w:rFonts w:hint="default" w:ascii="仿宋_GB2312" w:hAnsi="仿宋_GB2312" w:eastAsia="仿宋_GB2312" w:cs="仿宋_GB2312"/>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before="93" w:line="580" w:lineRule="exact"/>
        <w:ind w:firstLine="640" w:firstLineChars="20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20" w:name="_Toc15396601"/>
      <w:bookmarkStart w:id="21" w:name="_Toc15377200"/>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9年以来，我中心</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收集完善乡镇志资料，编纂《四川年鉴宣汉篇》《达州年鉴宣汉篇》，编纂地情资料《巴人民俗图志》及大事记、建设县志资料室数据库，修改完善《土家族志》，指导检查乡镇志、部门志编纂等。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二、机构设置</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本年机构数1个，属全额拨款参照公务员管理的事业单位，编制8人，本年总人数8人，其中，在职人员8人（参照公务员），属财政全额拨款人员。</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纳入2019年度部门决算编制范围的二级预算单位包括：</w:t>
      </w:r>
    </w:p>
    <w:p>
      <w:pPr>
        <w:keepNext w:val="0"/>
        <w:keepLines w:val="0"/>
        <w:pageBreakBefore w:val="0"/>
        <w:widowControl/>
        <w:kinsoku/>
        <w:wordWrap/>
        <w:overflowPunct/>
        <w:topLinePunct w:val="0"/>
        <w:autoSpaceDE/>
        <w:autoSpaceDN/>
        <w:bidi w:val="0"/>
        <w:spacing w:line="580" w:lineRule="exact"/>
        <w:jc w:val="left"/>
        <w:textAlignment w:val="auto"/>
        <w:rPr>
          <w:rFonts w:ascii="仿宋" w:hAnsi="仿宋" w:eastAsia="仿宋"/>
          <w:color w:val="000000"/>
          <w:kern w:val="0"/>
          <w:sz w:val="32"/>
          <w:szCs w:val="32"/>
        </w:rPr>
      </w:pPr>
      <w:r>
        <w:rPr>
          <w:rFonts w:hint="eastAsia" w:cs="Times New Roman"/>
          <w:kern w:val="2"/>
          <w:sz w:val="32"/>
          <w:szCs w:val="32"/>
          <w:lang w:val="en-US" w:eastAsia="zh-CN" w:bidi="ar-SA"/>
        </w:rPr>
        <w:t>宣汉县地方志编纂中心</w:t>
      </w:r>
    </w:p>
    <w:p>
      <w:pPr>
        <w:pStyle w:val="3"/>
        <w:ind w:right="440"/>
        <w:jc w:val="right"/>
        <w:rPr>
          <w:rFonts w:hint="eastAsia" w:ascii="黑体" w:hAnsi="黑体" w:eastAsia="黑体"/>
          <w:b w:val="0"/>
          <w:color w:val="000000"/>
        </w:rPr>
      </w:pPr>
      <w:bookmarkStart w:id="22" w:name="_Toc15396602"/>
      <w:bookmarkStart w:id="23" w:name="_Toc15377204"/>
      <w:r>
        <w:rPr>
          <w:rFonts w:hint="eastAsia" w:ascii="黑体" w:hAnsi="黑体" w:eastAsia="黑体"/>
          <w:b w:val="0"/>
          <w:color w:val="000000"/>
        </w:rPr>
        <w:br w:type="page"/>
      </w:r>
    </w:p>
    <w:p>
      <w:pPr>
        <w:pStyle w:val="3"/>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2019年收入166.35万元，支出166.35万元。为打造节约型机关，节约开支，项目支出减少，较</w:t>
      </w:r>
      <w:r>
        <w:rPr>
          <w:rFonts w:hint="eastAsia" w:ascii="仿宋_GB2312" w:eastAsia="仿宋_GB2312"/>
          <w:sz w:val="28"/>
          <w:szCs w:val="28"/>
          <w:lang w:val="en-US" w:eastAsia="zh-CN"/>
        </w:rPr>
        <w:t>2018年147.86万元增加18.49万元</w:t>
      </w:r>
      <w:r>
        <w:rPr>
          <w:rFonts w:hint="eastAsia" w:ascii="仿宋_GB2312" w:eastAsia="仿宋_GB2312"/>
          <w:sz w:val="28"/>
          <w:szCs w:val="28"/>
        </w:rPr>
        <w:t>，</w:t>
      </w:r>
      <w:r>
        <w:rPr>
          <w:rFonts w:hint="eastAsia" w:ascii="仿宋_GB2312" w:eastAsia="仿宋_GB2312"/>
          <w:sz w:val="28"/>
          <w:szCs w:val="28"/>
          <w:lang w:eastAsia="zh-CN"/>
        </w:rPr>
        <w:t>增加12.51</w:t>
      </w:r>
      <w:r>
        <w:rPr>
          <w:rFonts w:hint="eastAsia" w:ascii="仿宋_GB2312" w:eastAsia="仿宋_GB2312"/>
          <w:sz w:val="28"/>
          <w:szCs w:val="28"/>
          <w:lang w:val="en-US" w:eastAsia="zh-CN"/>
        </w:rPr>
        <w:t>%，主要原因是人员工资调整。</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eastAsia="仿宋_GB2312"/>
          <w:sz w:val="28"/>
          <w:szCs w:val="28"/>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lang w:eastAsia="zh-CN"/>
        </w:rPr>
        <w:drawing>
          <wp:anchor distT="0" distB="0" distL="114300" distR="114300" simplePos="0" relativeHeight="251658240" behindDoc="0" locked="0" layoutInCell="1" allowOverlap="1">
            <wp:simplePos x="0" y="0"/>
            <wp:positionH relativeFrom="column">
              <wp:posOffset>58420</wp:posOffset>
            </wp:positionH>
            <wp:positionV relativeFrom="paragraph">
              <wp:posOffset>95885</wp:posOffset>
            </wp:positionV>
            <wp:extent cx="5537200" cy="2496185"/>
            <wp:effectExtent l="4445" t="4445" r="20955"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_GB2312" w:eastAsia="仿宋_GB2312"/>
          <w:sz w:val="28"/>
          <w:szCs w:val="28"/>
          <w:lang w:eastAsia="zh-CN"/>
        </w:rPr>
        <w:t>166.35</w:t>
      </w:r>
      <w:r>
        <w:rPr>
          <w:rFonts w:hint="eastAsia" w:ascii="仿宋" w:hAnsi="仿宋" w:eastAsia="仿宋"/>
          <w:color w:val="000000"/>
          <w:sz w:val="32"/>
          <w:szCs w:val="32"/>
        </w:rPr>
        <w:t>万元，其中：一般公共预算财政拨款收入</w:t>
      </w:r>
      <w:r>
        <w:rPr>
          <w:rFonts w:hint="eastAsia" w:ascii="仿宋_GB2312" w:eastAsia="仿宋_GB2312"/>
          <w:sz w:val="28"/>
          <w:szCs w:val="28"/>
          <w:lang w:eastAsia="zh-CN"/>
        </w:rPr>
        <w:t>166.35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无</w:t>
      </w:r>
      <w:r>
        <w:rPr>
          <w:rFonts w:hint="eastAsia" w:ascii="仿宋" w:hAnsi="仿宋" w:eastAsia="仿宋"/>
          <w:color w:val="000000"/>
          <w:sz w:val="32"/>
          <w:szCs w:val="32"/>
        </w:rPr>
        <w:t>政府性基金预算财政拨款收入</w:t>
      </w:r>
      <w:r>
        <w:rPr>
          <w:rFonts w:hint="eastAsia" w:ascii="仿宋_GB2312" w:eastAsia="仿宋_GB2312"/>
          <w:sz w:val="28"/>
          <w:szCs w:val="28"/>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58420</wp:posOffset>
            </wp:positionH>
            <wp:positionV relativeFrom="paragraph">
              <wp:posOffset>224790</wp:posOffset>
            </wp:positionV>
            <wp:extent cx="5537200" cy="2372360"/>
            <wp:effectExtent l="4445" t="4445" r="20955" b="23495"/>
            <wp:wrapTight wrapText="bothSides">
              <wp:wrapPolygon>
                <wp:start x="-17" y="-40"/>
                <wp:lineTo x="-17" y="21467"/>
                <wp:lineTo x="21533" y="21467"/>
                <wp:lineTo x="21533" y="-40"/>
                <wp:lineTo x="-17" y="-4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eastAsia="仿宋_GB2312"/>
          <w:sz w:val="28"/>
          <w:szCs w:val="28"/>
          <w:lang w:eastAsia="zh-CN"/>
        </w:rPr>
        <w:t>166.35</w:t>
      </w:r>
      <w:r>
        <w:rPr>
          <w:rFonts w:hint="eastAsia" w:ascii="仿宋" w:hAnsi="仿宋" w:eastAsia="仿宋"/>
          <w:color w:val="000000"/>
          <w:sz w:val="32"/>
          <w:szCs w:val="32"/>
        </w:rPr>
        <w:t>万元，其中：基本支出</w:t>
      </w:r>
      <w:r>
        <w:rPr>
          <w:rFonts w:hint="eastAsia" w:ascii="仿宋" w:hAnsi="仿宋" w:eastAsia="仿宋"/>
          <w:color w:val="000000"/>
          <w:sz w:val="32"/>
          <w:szCs w:val="32"/>
          <w:lang w:eastAsia="zh-CN"/>
        </w:rPr>
        <w:t>122.10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44.25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34925</wp:posOffset>
            </wp:positionH>
            <wp:positionV relativeFrom="paragraph">
              <wp:posOffset>299720</wp:posOffset>
            </wp:positionV>
            <wp:extent cx="5537200" cy="2372360"/>
            <wp:effectExtent l="4445" t="4445" r="20955" b="23495"/>
            <wp:wrapTight wrapText="bothSides">
              <wp:wrapPolygon>
                <wp:start x="-17" y="-40"/>
                <wp:lineTo x="-17" y="21467"/>
                <wp:lineTo x="21533" y="21467"/>
                <wp:lineTo x="21533" y="-40"/>
                <wp:lineTo x="-17" y="-4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2019年财政拨款收</w:t>
      </w:r>
      <w:r>
        <w:rPr>
          <w:rFonts w:hint="eastAsia" w:ascii="仿宋" w:hAnsi="仿宋" w:eastAsia="仿宋"/>
          <w:color w:val="000000"/>
          <w:sz w:val="32"/>
          <w:szCs w:val="32"/>
          <w:lang w:eastAsia="zh-CN"/>
        </w:rPr>
        <w:t>入总计166.35万元，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166.35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为打造节约型机关，节约开支，项目支出减少，但人员工资晋升，较</w:t>
      </w:r>
      <w:r>
        <w:rPr>
          <w:rFonts w:hint="eastAsia" w:ascii="仿宋" w:hAnsi="仿宋" w:eastAsia="仿宋"/>
          <w:color w:val="000000"/>
          <w:sz w:val="32"/>
          <w:szCs w:val="32"/>
          <w:lang w:val="en-US" w:eastAsia="zh-CN"/>
        </w:rPr>
        <w:t>2018年147.86万元增加18.49万元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增加12.51</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_GB2312" w:eastAsia="仿宋_GB2312"/>
          <w:color w:val="000000"/>
          <w:sz w:val="32"/>
          <w:szCs w:val="32"/>
          <w:lang w:eastAsia="zh-CN"/>
        </w:rPr>
        <w:drawing>
          <wp:anchor distT="0" distB="0" distL="114300" distR="114300" simplePos="0" relativeHeight="251662336" behindDoc="0" locked="0" layoutInCell="1" allowOverlap="1">
            <wp:simplePos x="0" y="0"/>
            <wp:positionH relativeFrom="column">
              <wp:posOffset>73025</wp:posOffset>
            </wp:positionH>
            <wp:positionV relativeFrom="paragraph">
              <wp:posOffset>262890</wp:posOffset>
            </wp:positionV>
            <wp:extent cx="5537200" cy="2419350"/>
            <wp:effectExtent l="4445" t="4445" r="20955"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3" w:firstLineChars="200"/>
        <w:rPr>
          <w:rFonts w:ascii="仿宋" w:hAnsi="仿宋" w:eastAsia="仿宋"/>
          <w:b/>
          <w:color w:val="00B050"/>
          <w:sz w:val="32"/>
          <w:szCs w:val="32"/>
        </w:rPr>
      </w:pPr>
    </w:p>
    <w:p>
      <w:pPr>
        <w:spacing w:line="600" w:lineRule="exact"/>
        <w:ind w:firstLine="643" w:firstLineChars="20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eastAsia="zh-CN"/>
        </w:rPr>
        <w:t>166.35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为打造节约型机关，节约开支，项目支出减少，但人员工资晋升，较</w:t>
      </w:r>
      <w:r>
        <w:rPr>
          <w:rFonts w:hint="eastAsia" w:ascii="仿宋" w:hAnsi="仿宋" w:eastAsia="仿宋"/>
          <w:color w:val="000000"/>
          <w:sz w:val="32"/>
          <w:szCs w:val="32"/>
          <w:lang w:val="en-US" w:eastAsia="zh-CN"/>
        </w:rPr>
        <w:t>2018年147.86万元增加18.49万元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增加12.51</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sz w:val="32"/>
          <w:szCs w:val="32"/>
          <w:lang w:eastAsia="zh-CN"/>
        </w:rPr>
        <w:drawing>
          <wp:anchor distT="0" distB="0" distL="114300" distR="114300" simplePos="0" relativeHeight="251667456" behindDoc="0" locked="0" layoutInCell="1" allowOverlap="1">
            <wp:simplePos x="0" y="0"/>
            <wp:positionH relativeFrom="column">
              <wp:posOffset>44450</wp:posOffset>
            </wp:positionH>
            <wp:positionV relativeFrom="paragraph">
              <wp:posOffset>224790</wp:posOffset>
            </wp:positionV>
            <wp:extent cx="5537200" cy="2618740"/>
            <wp:effectExtent l="4445" t="4445" r="20955" b="57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71552" behindDoc="1" locked="0" layoutInCell="1" allowOverlap="1">
            <wp:simplePos x="0" y="0"/>
            <wp:positionH relativeFrom="column">
              <wp:posOffset>34925</wp:posOffset>
            </wp:positionH>
            <wp:positionV relativeFrom="paragraph">
              <wp:posOffset>2025015</wp:posOffset>
            </wp:positionV>
            <wp:extent cx="5537200" cy="2372360"/>
            <wp:effectExtent l="4445" t="4445" r="20955" b="23495"/>
            <wp:wrapTight wrapText="bothSides">
              <wp:wrapPolygon>
                <wp:start x="-17" y="-40"/>
                <wp:lineTo x="-17" y="21467"/>
                <wp:lineTo x="21533" y="21467"/>
                <wp:lineTo x="21533" y="-40"/>
                <wp:lineTo x="-17" y="-4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eastAsia="zh-CN"/>
        </w:rPr>
        <w:t>166.35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一般公共服务支出134.9万元，占</w:t>
      </w:r>
      <w:r>
        <w:rPr>
          <w:rFonts w:hint="eastAsia" w:ascii="仿宋" w:hAnsi="仿宋" w:eastAsia="仿宋"/>
          <w:color w:val="000000" w:themeColor="text1"/>
          <w:sz w:val="32"/>
          <w:szCs w:val="32"/>
          <w:lang w:val="en-US" w:eastAsia="zh-CN"/>
          <w14:textFill>
            <w14:solidFill>
              <w14:schemeClr w14:val="tx1"/>
            </w14:solidFill>
          </w14:textFill>
        </w:rPr>
        <w:t>71%；</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支出18.04万元，占</w:t>
      </w:r>
      <w:r>
        <w:rPr>
          <w:rFonts w:hint="eastAsia" w:ascii="仿宋" w:hAnsi="仿宋" w:eastAsia="仿宋"/>
          <w:color w:val="000000" w:themeColor="text1"/>
          <w:sz w:val="32"/>
          <w:szCs w:val="32"/>
          <w:lang w:val="en-US" w:eastAsia="zh-CN"/>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5.69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7.71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color w:val="000000"/>
          <w:sz w:val="32"/>
          <w:szCs w:val="32"/>
          <w:lang w:eastAsia="zh-CN"/>
        </w:rPr>
        <w:t>166.35万元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5"/>
          <w:rFonts w:hint="eastAsia" w:ascii="仿宋" w:hAnsi="仿宋" w:eastAsia="仿宋"/>
          <w:bCs/>
          <w:color w:val="000000"/>
          <w:sz w:val="32"/>
          <w:szCs w:val="32"/>
          <w:lang w:eastAsia="zh-CN"/>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lang w:eastAsia="zh-CN"/>
        </w:rPr>
        <w:t>一般公共服务支出</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（1）2010301行政运行：</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90.65万元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（2）2010305专项活动：</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44.25万元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2080505机关事业单位基本养老保险缴费支出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18.04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lang w:eastAsia="zh-CN"/>
        </w:rPr>
      </w:pPr>
      <w:r>
        <w:rPr>
          <w:rStyle w:val="15"/>
          <w:rFonts w:hint="eastAsia" w:ascii="仿宋" w:hAnsi="仿宋" w:eastAsia="仿宋"/>
          <w:b w:val="0"/>
          <w:bCs/>
          <w:color w:val="000000"/>
          <w:sz w:val="32"/>
          <w:szCs w:val="32"/>
          <w:lang w:val="en-US" w:eastAsia="zh-CN"/>
        </w:rPr>
        <w:t>3</w:t>
      </w:r>
      <w:r>
        <w:rPr>
          <w:rFonts w:hint="eastAsia" w:ascii="仿宋" w:hAnsi="仿宋" w:eastAsia="仿宋"/>
          <w:color w:val="000000"/>
          <w:sz w:val="32"/>
          <w:szCs w:val="32"/>
          <w:lang w:val="en-US" w:eastAsia="zh-CN"/>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val="en-US" w:eastAsia="zh-CN"/>
          <w14:textFill>
            <w14:solidFill>
              <w14:schemeClr w14:val="tx1"/>
            </w14:solidFill>
          </w14:textFill>
        </w:rPr>
        <w:t>2011102事业单位医疗</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5.69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w:t>
      </w:r>
      <w:r>
        <w:rPr>
          <w:rStyle w:val="15"/>
          <w:rFonts w:hint="eastAsia" w:ascii="仿宋" w:hAnsi="仿宋" w:eastAsia="仿宋"/>
          <w:b w:val="0"/>
          <w:bCs/>
          <w:color w:val="000000"/>
          <w:sz w:val="32"/>
          <w:szCs w:val="32"/>
          <w:lang w:eastAsia="zh-CN"/>
        </w:rPr>
        <w:t>完全执行预算法规定，按预算指标进行开支。</w:t>
      </w:r>
    </w:p>
    <w:p>
      <w:pPr>
        <w:spacing w:line="600" w:lineRule="exact"/>
        <w:ind w:firstLine="640" w:firstLineChars="200"/>
        <w:rPr>
          <w:rStyle w:val="15"/>
          <w:rFonts w:hint="eastAsia" w:ascii="仿宋" w:hAnsi="仿宋" w:eastAsia="仿宋"/>
          <w:b w:val="0"/>
          <w:bCs/>
          <w:color w:val="000000"/>
          <w:sz w:val="32"/>
          <w:szCs w:val="32"/>
          <w:lang w:val="en-US" w:eastAsia="zh-CN"/>
        </w:rPr>
      </w:pPr>
      <w:r>
        <w:rPr>
          <w:rFonts w:hint="eastAsia" w:ascii="仿宋" w:hAnsi="仿宋" w:eastAsia="仿宋"/>
          <w:color w:val="000000"/>
          <w:sz w:val="32"/>
          <w:szCs w:val="32"/>
          <w:lang w:val="en-US" w:eastAsia="zh-CN"/>
        </w:rPr>
        <w:t>4</w:t>
      </w:r>
      <w:r>
        <w:rPr>
          <w:rStyle w:val="15"/>
          <w:rFonts w:hint="eastAsia" w:ascii="仿宋" w:hAnsi="仿宋" w:eastAsia="仿宋"/>
          <w:b w:val="0"/>
          <w:bCs/>
          <w:color w:val="000000"/>
          <w:sz w:val="32"/>
          <w:szCs w:val="32"/>
          <w:lang w:val="en-US" w:eastAsia="zh-CN"/>
        </w:rPr>
        <w:t>、住房保障</w:t>
      </w:r>
      <w:r>
        <w:rPr>
          <w:rFonts w:hint="eastAsia" w:ascii="仿宋" w:hAnsi="仿宋" w:eastAsia="仿宋"/>
          <w:b/>
          <w:bCs/>
          <w:color w:val="000000" w:themeColor="text1"/>
          <w:sz w:val="32"/>
          <w:szCs w:val="32"/>
          <w:lang w:val="en-US" w:eastAsia="zh-CN"/>
          <w14:textFill>
            <w14:solidFill>
              <w14:schemeClr w14:val="tx1"/>
            </w14:solidFill>
          </w14:textFill>
        </w:rPr>
        <w:t>2210201住房公积金：</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7.71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w:t>
      </w:r>
      <w:r>
        <w:rPr>
          <w:rStyle w:val="15"/>
          <w:rFonts w:hint="eastAsia" w:ascii="仿宋" w:hAnsi="仿宋" w:eastAsia="仿宋"/>
          <w:b w:val="0"/>
          <w:bCs/>
          <w:color w:val="000000"/>
          <w:sz w:val="32"/>
          <w:szCs w:val="32"/>
          <w:lang w:eastAsia="zh-CN"/>
        </w:rPr>
        <w:t>完全执行预算法规定，按预算指标进行开支。</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122.10</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13.10</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，决算数或与预算数持平。</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75648" behindDoc="1" locked="0" layoutInCell="1" allowOverlap="1">
            <wp:simplePos x="0" y="0"/>
            <wp:positionH relativeFrom="column">
              <wp:posOffset>44450</wp:posOffset>
            </wp:positionH>
            <wp:positionV relativeFrom="paragraph">
              <wp:posOffset>148590</wp:posOffset>
            </wp:positionV>
            <wp:extent cx="5537200" cy="2372360"/>
            <wp:effectExtent l="4445" t="4445" r="20955" b="23495"/>
            <wp:wrapTight wrapText="bothSides">
              <wp:wrapPolygon>
                <wp:start x="-17" y="-40"/>
                <wp:lineTo x="-17" y="21467"/>
                <wp:lineTo x="21533" y="21467"/>
                <wp:lineTo x="21533" y="-40"/>
                <wp:lineTo x="-17" y="-4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w:t>
      </w:r>
      <w:r>
        <w:rPr>
          <w:rFonts w:hint="eastAsia" w:ascii="仿宋_GB2312" w:eastAsia="仿宋_GB2312"/>
          <w:color w:val="000000"/>
          <w:sz w:val="32"/>
          <w:szCs w:val="32"/>
        </w:rPr>
        <w:t>次，出国（境）</w:t>
      </w:r>
      <w:r>
        <w:rPr>
          <w:rFonts w:ascii="仿宋_GB2312" w:eastAsia="仿宋_GB2312"/>
          <w:color w:val="000000"/>
          <w:sz w:val="32"/>
          <w:szCs w:val="32"/>
        </w:rPr>
        <w:t>**</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w:t>
      </w:r>
      <w:r>
        <w:rPr>
          <w:rFonts w:hint="eastAsia" w:ascii="仿宋_GB2312" w:eastAsia="仿宋_GB2312"/>
          <w:color w:val="000000"/>
          <w:sz w:val="32"/>
          <w:szCs w:val="32"/>
        </w:rPr>
        <w:t>辆，其中：主要领导干部用车</w:t>
      </w:r>
      <w:r>
        <w:rPr>
          <w:rFonts w:ascii="仿宋_GB2312" w:eastAsia="仿宋_GB2312"/>
          <w:color w:val="000000"/>
          <w:sz w:val="32"/>
          <w:szCs w:val="32"/>
        </w:rPr>
        <w:t>**</w:t>
      </w:r>
      <w:r>
        <w:rPr>
          <w:rFonts w:hint="eastAsia" w:ascii="仿宋_GB2312" w:eastAsia="仿宋_GB2312"/>
          <w:color w:val="000000"/>
          <w:sz w:val="32"/>
          <w:szCs w:val="32"/>
        </w:rPr>
        <w:t>辆、机要通信用车</w:t>
      </w:r>
      <w:r>
        <w:rPr>
          <w:rFonts w:ascii="仿宋_GB2312" w:eastAsia="仿宋_GB2312"/>
          <w:color w:val="000000"/>
          <w:sz w:val="32"/>
          <w:szCs w:val="32"/>
        </w:rPr>
        <w:t>**</w:t>
      </w:r>
      <w:r>
        <w:rPr>
          <w:rFonts w:hint="eastAsia" w:ascii="仿宋_GB2312" w:eastAsia="仿宋_GB2312"/>
          <w:color w:val="000000"/>
          <w:sz w:val="32"/>
          <w:szCs w:val="32"/>
        </w:rPr>
        <w:t>辆、应急保障用车</w:t>
      </w:r>
      <w:r>
        <w:rPr>
          <w:rFonts w:ascii="仿宋_GB2312" w:eastAsia="仿宋_GB2312"/>
          <w:color w:val="000000"/>
          <w:sz w:val="32"/>
          <w:szCs w:val="32"/>
        </w:rPr>
        <w:t>**</w:t>
      </w:r>
      <w:r>
        <w:rPr>
          <w:rFonts w:hint="eastAsia" w:ascii="仿宋_GB2312" w:eastAsia="仿宋_GB2312"/>
          <w:color w:val="000000"/>
          <w:sz w:val="32"/>
          <w:szCs w:val="32"/>
        </w:rPr>
        <w:t>辆、 执法执勤用车</w:t>
      </w:r>
      <w:r>
        <w:rPr>
          <w:rFonts w:ascii="仿宋_GB2312" w:eastAsia="仿宋_GB2312"/>
          <w:color w:val="000000"/>
          <w:sz w:val="32"/>
          <w:szCs w:val="32"/>
        </w:rPr>
        <w:t>**</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1万元</w:t>
      </w:r>
      <w:r>
        <w:rPr>
          <w:rFonts w:hint="eastAsia" w:ascii="仿宋_GB2312" w:eastAsia="仿宋_GB2312"/>
          <w:color w:val="000000"/>
          <w:sz w:val="32"/>
          <w:szCs w:val="32"/>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1万元</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85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1万元</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ascii="仿宋" w:hAnsi="仿宋" w:eastAsia="仿宋"/>
          <w:color w:val="000000"/>
          <w:sz w:val="32"/>
          <w:szCs w:val="32"/>
        </w:rPr>
        <w:t>**</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批次，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人，共计支出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政府性基金预算拨款支出</w:t>
      </w:r>
      <w:r>
        <w:rPr>
          <w:rFonts w:hint="eastAsia" w:ascii="仿宋_GB2312" w:eastAsia="仿宋_GB2312"/>
          <w:color w:val="000000"/>
          <w:sz w:val="32"/>
          <w:szCs w:val="32"/>
          <w:lang w:eastAsia="zh-CN"/>
        </w:rPr>
        <w:t>。</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ascii="仿宋_GB2312" w:eastAsia="仿宋_GB2312"/>
          <w:color w:val="000000"/>
          <w:sz w:val="32"/>
          <w:szCs w:val="32"/>
        </w:rPr>
        <w:t>**</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 w:hAnsi="仿宋" w:eastAsia="仿宋"/>
          <w:color w:val="000000"/>
          <w:sz w:val="32"/>
          <w:szCs w:val="32"/>
          <w:lang w:val="en-US" w:eastAsia="zh-CN"/>
        </w:rPr>
        <w:t>13.10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w:t>
      </w:r>
      <w:r>
        <w:rPr>
          <w:rFonts w:hint="eastAsia" w:ascii="仿宋_GB2312" w:eastAsia="仿宋_GB2312"/>
          <w:color w:val="000000"/>
          <w:sz w:val="32"/>
          <w:szCs w:val="32"/>
          <w:lang w:eastAsia="zh-CN"/>
        </w:rPr>
        <w:t>年持平。</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ascii="仿宋_GB2312" w:eastAsia="仿宋_GB2312"/>
          <w:color w:val="000000"/>
          <w:sz w:val="32"/>
          <w:szCs w:val="32"/>
        </w:rPr>
        <w:t>**</w:t>
      </w:r>
      <w:r>
        <w:rPr>
          <w:rFonts w:hint="eastAsia" w:ascii="仿宋_GB2312" w:eastAsia="仿宋_GB2312"/>
          <w:color w:val="000000"/>
          <w:sz w:val="32"/>
          <w:szCs w:val="32"/>
        </w:rPr>
        <w:t>辆、机要通信用车</w:t>
      </w:r>
      <w:r>
        <w:rPr>
          <w:rFonts w:ascii="仿宋_GB2312" w:eastAsia="仿宋_GB2312"/>
          <w:color w:val="000000"/>
          <w:sz w:val="32"/>
          <w:szCs w:val="32"/>
        </w:rPr>
        <w:t>**</w:t>
      </w:r>
      <w:r>
        <w:rPr>
          <w:rFonts w:hint="eastAsia" w:ascii="仿宋_GB2312" w:eastAsia="仿宋_GB2312"/>
          <w:color w:val="000000"/>
          <w:sz w:val="32"/>
          <w:szCs w:val="32"/>
        </w:rPr>
        <w:t>辆、应急保障用车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县志专项业务活动</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比较良好。</w:t>
      </w:r>
      <w:r>
        <w:rPr>
          <w:rFonts w:hint="eastAsia" w:ascii="仿宋_GB2312" w:hAnsi="仿宋_GB2312" w:eastAsia="仿宋_GB2312" w:cs="仿宋_GB2312"/>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专项业务活动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项目绩效目标实际完成情况。（本单位部门项目绩效目标个数在5个以上的，选取5个项目进行公开，目标个数在5个以下的，全部进行公开，公开内容包括选取的全部项目完成情况综述和完成情况表）。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专项业务活动支出</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44.25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44.25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收集完善乡镇志资料，编纂《四川年鉴宣汉篇》《达州年鉴宣汉篇》，编纂地情资料《巴人民俗图志》及大事记、建设县志资料室数据库，修改完善《土家族志》，指导检查乡镇志、部门志编纂等。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专项业务活动</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宣汉县科学技术协会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44.25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44.25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收集完善乡镇志资料，编纂《四川年鉴宣汉篇》《达州年鉴宣汉篇》，编纂地情资料《巴人民俗图志》及大事记、建设县志资料室数据库，修改完善《土家族志》，指导检查乡镇志、部门志编纂等。</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收集完善乡镇志资料，编纂《四川年鉴宣汉篇》《达州年鉴宣汉篇》，编纂地情资料《巴人民俗图志》及大事记、建设县志资料室数据库，修改完善《土家族志》，指导检查乡镇志、部门志编纂等。</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全面完成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项目开展了绩效评价，《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hint="eastAsia" w:ascii="黑体" w:hAnsi="黑体" w:eastAsia="黑体" w:cs="黑体"/>
          <w:sz w:val="32"/>
          <w:szCs w:val="32"/>
        </w:rPr>
      </w:pP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部门整体支出绩效评价报告</w:t>
      </w:r>
    </w:p>
    <w:p>
      <w:pPr>
        <w:spacing w:line="580" w:lineRule="exact"/>
        <w:jc w:val="center"/>
        <w:rPr>
          <w:rFonts w:ascii="方正小标宋简体" w:hAnsi="方正小标宋简体" w:eastAsia="方正小标宋简体" w:cs="方正小标宋简体"/>
          <w:sz w:val="44"/>
          <w:szCs w:val="44"/>
        </w:rPr>
      </w:pPr>
    </w:p>
    <w:p>
      <w:pPr>
        <w:widowControl/>
        <w:adjustRightInd w:val="0"/>
        <w:snapToGrid w:val="0"/>
        <w:spacing w:line="560" w:lineRule="exact"/>
        <w:ind w:firstLine="720"/>
        <w:jc w:val="left"/>
        <w:rPr>
          <w:rFonts w:hint="eastAsia" w:ascii="方正楷体简体" w:hAnsi="宋体" w:eastAsia="方正楷体简体" w:cs="宋体"/>
          <w:color w:val="000000"/>
          <w:kern w:val="0"/>
          <w:sz w:val="32"/>
          <w:szCs w:val="32"/>
          <w:lang w:val="zh-CN"/>
        </w:rPr>
      </w:pPr>
      <w:r>
        <w:rPr>
          <w:rFonts w:hint="eastAsia" w:ascii="方正楷体简体" w:hAnsi="宋体" w:eastAsia="方正楷体简体" w:cs="宋体"/>
          <w:color w:val="000000"/>
          <w:kern w:val="0"/>
          <w:sz w:val="32"/>
          <w:szCs w:val="32"/>
        </w:rPr>
        <w:t>一、</w:t>
      </w:r>
      <w:r>
        <w:rPr>
          <w:rFonts w:hint="eastAsia" w:ascii="方正楷体简体" w:hAnsi="宋体" w:eastAsia="方正楷体简体" w:cs="宋体"/>
          <w:color w:val="000000"/>
          <w:kern w:val="0"/>
          <w:sz w:val="32"/>
          <w:szCs w:val="32"/>
          <w:lang w:val="zh-CN"/>
        </w:rPr>
        <w:t>部门（单位）概况</w:t>
      </w:r>
    </w:p>
    <w:p>
      <w:pPr>
        <w:widowControl/>
        <w:adjustRightInd w:val="0"/>
        <w:snapToGrid w:val="0"/>
        <w:spacing w:line="560" w:lineRule="exact"/>
        <w:ind w:firstLine="720"/>
        <w:jc w:val="left"/>
        <w:rPr>
          <w:rFonts w:hint="eastAsia" w:ascii="方正仿宋简体" w:hAnsi="宋体" w:eastAsia="方正仿宋简体" w:cs="宋体"/>
          <w:color w:val="000000"/>
          <w:kern w:val="0"/>
          <w:sz w:val="32"/>
          <w:szCs w:val="32"/>
          <w:lang w:val="zh-CN"/>
        </w:rPr>
      </w:pPr>
      <w:r>
        <w:rPr>
          <w:rFonts w:hint="eastAsia" w:ascii="方正仿宋简体" w:hAnsi="宋体" w:eastAsia="方正仿宋简体" w:cs="宋体"/>
          <w:color w:val="000000"/>
          <w:kern w:val="0"/>
          <w:sz w:val="32"/>
          <w:szCs w:val="32"/>
          <w:lang w:val="zh-CN"/>
        </w:rPr>
        <w:t>（一）机构组成。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本年机构数1个，属全额拨款参照公务员管理的事业单位，编制8人，本年总人数8人，其中，在职人员8人（参照公务员），属财政全额拨款人员。</w:t>
      </w:r>
    </w:p>
    <w:p>
      <w:pPr>
        <w:adjustRightInd w:val="0"/>
        <w:snapToGrid w:val="0"/>
        <w:spacing w:line="560" w:lineRule="exact"/>
        <w:ind w:firstLine="640" w:firstLineChars="200"/>
        <w:rPr>
          <w:rFonts w:hint="eastAsia" w:ascii="方正仿宋简体" w:hAnsi="宋体" w:eastAsia="方正仿宋简体" w:cs="宋体"/>
          <w:color w:val="000000"/>
          <w:kern w:val="0"/>
          <w:sz w:val="32"/>
          <w:szCs w:val="32"/>
          <w:lang w:val="zh-CN"/>
        </w:rPr>
      </w:pPr>
      <w:r>
        <w:rPr>
          <w:rFonts w:hint="eastAsia" w:ascii="方正仿宋简体" w:hAnsi="宋体" w:eastAsia="方正仿宋简体" w:cs="宋体"/>
          <w:color w:val="000000"/>
          <w:kern w:val="0"/>
          <w:sz w:val="32"/>
          <w:szCs w:val="32"/>
          <w:lang w:val="zh-CN"/>
        </w:rPr>
        <w:t>（二）机构职能。</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(1)组织、指导、督促和检查全县地方志工作；</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(2)拟定地方志工作规划和编纂方案；</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(3)组织编纂地方志书、地方综合年鉴；</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(4)搜集、保存地方志文献和资料，组织整理旧志，推动方志理论研究；</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(5)组织开发、利用地方志资源；</w:t>
      </w:r>
    </w:p>
    <w:p>
      <w:pPr>
        <w:keepNext w:val="0"/>
        <w:keepLines w:val="0"/>
        <w:pageBreakBefore w:val="0"/>
        <w:widowControl w:val="0"/>
        <w:kinsoku/>
        <w:wordWrap/>
        <w:overflowPunct/>
        <w:topLinePunct w:val="0"/>
        <w:autoSpaceDE w:val="0"/>
        <w:autoSpaceDN/>
        <w:bidi w:val="0"/>
        <w:adjustRightIn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(6)承办县政府交办的其他任务</w:t>
      </w:r>
      <w:r>
        <w:rPr>
          <w:rFonts w:hint="default" w:ascii="仿宋_GB2312" w:hAnsi="仿宋_GB2312" w:eastAsia="仿宋_GB2312" w:cs="仿宋_GB2312"/>
          <w:color w:val="000000" w:themeColor="text1"/>
          <w:sz w:val="32"/>
          <w:szCs w:val="32"/>
          <w14:textFill>
            <w14:solidFill>
              <w14:schemeClr w14:val="tx1"/>
            </w14:solidFill>
          </w14:textFill>
        </w:rPr>
        <w:t>。</w:t>
      </w:r>
    </w:p>
    <w:p>
      <w:pPr>
        <w:widowControl/>
        <w:adjustRightInd w:val="0"/>
        <w:snapToGrid w:val="0"/>
        <w:spacing w:line="560" w:lineRule="exact"/>
        <w:ind w:firstLine="720"/>
        <w:jc w:val="left"/>
        <w:rPr>
          <w:rFonts w:hint="eastAsia" w:ascii="方正仿宋简体" w:hAnsi="宋体" w:eastAsia="方正仿宋简体" w:cs="宋体"/>
          <w:color w:val="000000"/>
          <w:kern w:val="0"/>
          <w:sz w:val="32"/>
          <w:szCs w:val="32"/>
          <w:lang w:val="zh-CN"/>
        </w:rPr>
      </w:pPr>
      <w:r>
        <w:rPr>
          <w:rFonts w:hint="eastAsia" w:ascii="方正仿宋简体" w:hAnsi="宋体" w:eastAsia="方正仿宋简体" w:cs="宋体"/>
          <w:color w:val="000000"/>
          <w:kern w:val="0"/>
          <w:sz w:val="32"/>
          <w:szCs w:val="32"/>
          <w:lang w:val="zh-CN"/>
        </w:rPr>
        <w:t>（三）人员概况。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编制8人，本年总人数8人，其中，在职人员8人（参照公务员），属财政全额拨款人员。</w:t>
      </w:r>
    </w:p>
    <w:p>
      <w:pPr>
        <w:widowControl/>
        <w:adjustRightInd w:val="0"/>
        <w:snapToGrid w:val="0"/>
        <w:spacing w:line="560" w:lineRule="exact"/>
        <w:ind w:firstLine="720"/>
        <w:jc w:val="left"/>
        <w:rPr>
          <w:rFonts w:hint="eastAsia" w:ascii="方正楷体简体" w:hAnsi="宋体" w:eastAsia="方正楷体简体" w:cs="宋体"/>
          <w:color w:val="000000"/>
          <w:kern w:val="0"/>
          <w:sz w:val="32"/>
          <w:szCs w:val="32"/>
        </w:rPr>
      </w:pPr>
      <w:r>
        <w:rPr>
          <w:rFonts w:hint="eastAsia" w:ascii="方正楷体简体" w:hAnsi="宋体" w:eastAsia="方正楷体简体" w:cs="宋体"/>
          <w:color w:val="000000"/>
          <w:kern w:val="0"/>
          <w:sz w:val="32"/>
          <w:szCs w:val="32"/>
        </w:rPr>
        <w:t>二、部门预算收支情况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（一）部门财政资金收入情况。</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2019年</w:t>
      </w:r>
      <w:r>
        <w:rPr>
          <w:rFonts w:hint="eastAsia" w:ascii="仿宋_GB2312" w:eastAsia="仿宋_GB2312"/>
          <w:sz w:val="28"/>
          <w:szCs w:val="28"/>
        </w:rPr>
        <w:t>财政拨</w:t>
      </w:r>
      <w:r>
        <w:rPr>
          <w:rFonts w:hint="eastAsia" w:ascii="仿宋_GB2312" w:eastAsia="仿宋_GB2312"/>
          <w:sz w:val="28"/>
          <w:szCs w:val="28"/>
          <w:lang w:eastAsia="zh-CN"/>
        </w:rPr>
        <w:t>款收入</w:t>
      </w:r>
      <w:r>
        <w:rPr>
          <w:rFonts w:hint="eastAsia" w:ascii="仿宋_GB2312" w:eastAsia="仿宋_GB2312"/>
          <w:sz w:val="28"/>
          <w:szCs w:val="28"/>
          <w:lang w:val="en-US" w:eastAsia="zh-CN"/>
        </w:rPr>
        <w:t>166.35万元</w:t>
      </w:r>
      <w:r>
        <w:rPr>
          <w:rFonts w:hint="eastAsia" w:ascii="仿宋_GB2312" w:eastAsia="仿宋_GB2312"/>
          <w:sz w:val="28"/>
          <w:szCs w:val="28"/>
          <w:lang w:eastAsia="zh-CN"/>
        </w:rPr>
        <w:t>，</w:t>
      </w:r>
      <w:r>
        <w:rPr>
          <w:rFonts w:hint="eastAsia" w:ascii="仿宋_GB2312" w:eastAsia="仿宋_GB2312"/>
          <w:sz w:val="28"/>
          <w:szCs w:val="28"/>
        </w:rPr>
        <w:t>其中：</w:t>
      </w:r>
      <w:r>
        <w:rPr>
          <w:rFonts w:hint="eastAsia" w:ascii="仿宋_GB2312" w:eastAsia="仿宋_GB2312"/>
          <w:sz w:val="28"/>
          <w:szCs w:val="28"/>
          <w:lang w:eastAsia="zh-CN"/>
        </w:rPr>
        <w:t>一般公共预算</w:t>
      </w:r>
      <w:r>
        <w:rPr>
          <w:rFonts w:hint="eastAsia" w:ascii="仿宋_GB2312" w:eastAsia="仿宋_GB2312"/>
          <w:sz w:val="28"/>
          <w:szCs w:val="28"/>
          <w:lang w:val="en-US" w:eastAsia="zh-CN"/>
        </w:rPr>
        <w:t>166.35万元</w:t>
      </w:r>
      <w:r>
        <w:rPr>
          <w:rFonts w:hint="eastAsia" w:ascii="仿宋_GB2312" w:eastAsia="仿宋_GB2312"/>
          <w:sz w:val="28"/>
          <w:szCs w:val="28"/>
          <w:lang w:eastAsia="zh-CN"/>
        </w:rPr>
        <w:t>，无政府性基金预算。为打造节约型机关，节约开支，较</w:t>
      </w:r>
      <w:r>
        <w:rPr>
          <w:rFonts w:hint="eastAsia" w:ascii="仿宋_GB2312" w:eastAsia="仿宋_GB2312"/>
          <w:sz w:val="28"/>
          <w:szCs w:val="28"/>
          <w:lang w:val="en-US" w:eastAsia="zh-CN"/>
        </w:rPr>
        <w:t>2018年147.86万元增加18.49万元</w:t>
      </w:r>
      <w:r>
        <w:rPr>
          <w:rFonts w:hint="eastAsia" w:ascii="仿宋_GB2312" w:eastAsia="仿宋_GB2312"/>
          <w:sz w:val="28"/>
          <w:szCs w:val="28"/>
        </w:rPr>
        <w:t>，</w:t>
      </w:r>
      <w:r>
        <w:rPr>
          <w:rFonts w:hint="eastAsia" w:ascii="仿宋_GB2312" w:eastAsia="仿宋_GB2312"/>
          <w:sz w:val="28"/>
          <w:szCs w:val="28"/>
          <w:lang w:eastAsia="zh-CN"/>
        </w:rPr>
        <w:t>增加18.49</w:t>
      </w:r>
      <w:r>
        <w:rPr>
          <w:rFonts w:hint="eastAsia" w:ascii="仿宋_GB2312" w:eastAsia="仿宋_GB2312"/>
          <w:sz w:val="28"/>
          <w:szCs w:val="28"/>
          <w:lang w:val="en-US" w:eastAsia="zh-CN"/>
        </w:rPr>
        <w:t>%</w:t>
      </w:r>
      <w:r>
        <w:rPr>
          <w:rFonts w:hint="eastAsia" w:ascii="仿宋_GB2312" w:eastAsia="仿宋_GB2312"/>
          <w:sz w:val="28"/>
          <w:szCs w:val="28"/>
        </w:rPr>
        <w:t>。</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（二）部门财政资金支出情况。</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2019年财政决算166.35</w:t>
      </w:r>
      <w:r>
        <w:rPr>
          <w:rFonts w:hint="eastAsia" w:ascii="仿宋_GB2312" w:hAnsi="Times New Roman" w:eastAsia="仿宋_GB2312" w:cs="Times New Roman"/>
          <w:sz w:val="28"/>
          <w:szCs w:val="28"/>
          <w:lang w:eastAsia="zh-CN"/>
        </w:rPr>
        <w:t>万元，主要用于以下方面:一般公共服务支出134.9万元，占</w:t>
      </w:r>
      <w:r>
        <w:rPr>
          <w:rFonts w:hint="eastAsia" w:ascii="仿宋_GB2312" w:hAnsi="Times New Roman" w:eastAsia="仿宋_GB2312" w:cs="Times New Roman"/>
          <w:sz w:val="28"/>
          <w:szCs w:val="28"/>
          <w:lang w:val="en-US" w:eastAsia="zh-CN"/>
        </w:rPr>
        <w:t>71%；</w:t>
      </w:r>
      <w:r>
        <w:rPr>
          <w:rFonts w:hint="eastAsia" w:ascii="仿宋_GB2312" w:hAnsi="Times New Roman" w:eastAsia="仿宋_GB2312" w:cs="Times New Roman"/>
          <w:sz w:val="28"/>
          <w:szCs w:val="28"/>
          <w:lang w:eastAsia="zh-CN"/>
        </w:rPr>
        <w:t>社会保障和就业支出18.04万元，占</w:t>
      </w:r>
      <w:r>
        <w:rPr>
          <w:rFonts w:hint="eastAsia" w:ascii="仿宋_GB2312" w:hAnsi="Times New Roman" w:eastAsia="仿宋_GB2312" w:cs="Times New Roman"/>
          <w:sz w:val="28"/>
          <w:szCs w:val="28"/>
          <w:lang w:val="en-US" w:eastAsia="zh-CN"/>
        </w:rPr>
        <w:t>11</w:t>
      </w:r>
      <w:r>
        <w:rPr>
          <w:rFonts w:hint="eastAsia" w:ascii="仿宋_GB2312" w:hAnsi="Times New Roman" w:eastAsia="仿宋_GB2312" w:cs="Times New Roman"/>
          <w:sz w:val="28"/>
          <w:szCs w:val="28"/>
          <w:lang w:eastAsia="zh-CN"/>
        </w:rPr>
        <w:t>%；卫生健康支出</w:t>
      </w:r>
      <w:r>
        <w:rPr>
          <w:rFonts w:hint="eastAsia" w:ascii="仿宋_GB2312" w:hAnsi="Times New Roman" w:eastAsia="仿宋_GB2312" w:cs="Times New Roman"/>
          <w:sz w:val="28"/>
          <w:szCs w:val="28"/>
          <w:lang w:val="en-US" w:eastAsia="zh-CN"/>
        </w:rPr>
        <w:t>5.69</w:t>
      </w:r>
      <w:r>
        <w:rPr>
          <w:rFonts w:hint="eastAsia" w:ascii="仿宋_GB2312" w:hAnsi="Times New Roman" w:eastAsia="仿宋_GB2312" w:cs="Times New Roman"/>
          <w:sz w:val="28"/>
          <w:szCs w:val="28"/>
          <w:lang w:eastAsia="zh-CN"/>
        </w:rPr>
        <w:t>万元，占</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eastAsia="zh-CN"/>
        </w:rPr>
        <w:t>%；住房保障支出</w:t>
      </w:r>
      <w:r>
        <w:rPr>
          <w:rFonts w:hint="eastAsia" w:ascii="仿宋_GB2312" w:hAnsi="Times New Roman" w:eastAsia="仿宋_GB2312" w:cs="Times New Roman"/>
          <w:sz w:val="28"/>
          <w:szCs w:val="28"/>
          <w:lang w:val="en-US" w:eastAsia="zh-CN"/>
        </w:rPr>
        <w:t>7.71</w:t>
      </w:r>
      <w:r>
        <w:rPr>
          <w:rFonts w:hint="eastAsia" w:ascii="仿宋_GB2312" w:hAnsi="Times New Roman" w:eastAsia="仿宋_GB2312" w:cs="Times New Roman"/>
          <w:sz w:val="28"/>
          <w:szCs w:val="28"/>
          <w:lang w:eastAsia="zh-CN"/>
        </w:rPr>
        <w:t>万元，占</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lang w:eastAsia="zh-CN"/>
        </w:rPr>
        <w:t>%</w:t>
      </w:r>
      <w:r>
        <w:rPr>
          <w:rFonts w:hint="eastAsia" w:ascii="仿宋_GB2312" w:eastAsia="仿宋_GB2312" w:cs="Times New Roman"/>
          <w:sz w:val="28"/>
          <w:szCs w:val="28"/>
          <w:lang w:eastAsia="zh-CN"/>
        </w:rPr>
        <w:t>。</w:t>
      </w:r>
    </w:p>
    <w:p>
      <w:pPr>
        <w:widowControl/>
        <w:adjustRightInd w:val="0"/>
        <w:snapToGrid w:val="0"/>
        <w:spacing w:line="560" w:lineRule="exact"/>
        <w:ind w:firstLine="720"/>
        <w:jc w:val="left"/>
        <w:rPr>
          <w:rFonts w:hint="eastAsia" w:ascii="方正楷体简体" w:hAnsi="宋体" w:eastAsia="方正楷体简体" w:cs="宋体"/>
          <w:color w:val="000000"/>
          <w:kern w:val="0"/>
          <w:sz w:val="32"/>
          <w:szCs w:val="32"/>
        </w:rPr>
      </w:pPr>
      <w:r>
        <w:rPr>
          <w:rFonts w:hint="eastAsia" w:ascii="方正楷体简体" w:hAnsi="宋体" w:eastAsia="方正楷体简体" w:cs="宋体"/>
          <w:color w:val="000000"/>
          <w:kern w:val="0"/>
          <w:sz w:val="32"/>
          <w:szCs w:val="32"/>
        </w:rPr>
        <w:t>三、部门财政支出管理情况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（一）部门决算情况</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严格按照县级部门预算编制通知和有关要求，按时完成预决算编制工作。严格按照财政局的要求认真完成</w:t>
      </w:r>
      <w:r>
        <w:rPr>
          <w:rFonts w:hint="eastAsia" w:ascii="仿宋_GB2312" w:eastAsia="仿宋_GB2312"/>
          <w:sz w:val="32"/>
          <w:szCs w:val="32"/>
        </w:rPr>
        <w:t>财政供养人员控制在预算编制以内，编制内在职人员控制率小于100%，人员控制非常好。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（二）执行管理情况。</w:t>
      </w:r>
    </w:p>
    <w:p>
      <w:pPr>
        <w:spacing w:line="560" w:lineRule="exact"/>
        <w:ind w:firstLine="640" w:firstLineChars="200"/>
        <w:rPr>
          <w:rFonts w:hint="eastAsia" w:ascii="仿宋_GB2312" w:eastAsia="仿宋_GB2312" w:cs="仿宋_GB2312"/>
          <w:color w:val="000000"/>
          <w:sz w:val="32"/>
          <w:szCs w:val="32"/>
        </w:rPr>
      </w:pPr>
      <w:r>
        <w:rPr>
          <w:rFonts w:ascii="仿宋_GB2312" w:eastAsia="仿宋_GB2312" w:cs="仿宋_GB2312"/>
          <w:color w:val="000000"/>
          <w:sz w:val="32"/>
          <w:szCs w:val="32"/>
        </w:rPr>
        <w:t>我单位</w:t>
      </w:r>
      <w:r>
        <w:rPr>
          <w:rFonts w:hint="eastAsia" w:ascii="仿宋_GB2312" w:eastAsia="仿宋_GB2312" w:cs="仿宋_GB2312"/>
          <w:color w:val="000000"/>
          <w:sz w:val="32"/>
          <w:szCs w:val="32"/>
        </w:rPr>
        <w:t>2019</w:t>
      </w:r>
      <w:r>
        <w:rPr>
          <w:rFonts w:ascii="仿宋_GB2312" w:eastAsia="仿宋_GB2312" w:cs="仿宋_GB2312"/>
          <w:color w:val="000000"/>
          <w:sz w:val="32"/>
          <w:szCs w:val="32"/>
        </w:rPr>
        <w:t>年6月、9月、11月及全年执行进度达到本部门执行进度。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（三）综合管理情况</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我单位认真编制了内控制报告，并逐一落实完善，加大了内控制度建设力度，严格控制三公经费支出出，“三公”经费预算较上年减少，达到了只减不增的要求。对单位资产逐一进行核查，做到一卡一物，并做到帐实相符。我单位并将部门预算及部门决算在政府门户网站进行了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（四）整体绩效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1、部门支出绩效。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（1）行政运转保障</w:t>
      </w:r>
    </w:p>
    <w:p>
      <w:pPr>
        <w:spacing w:line="560" w:lineRule="exact"/>
        <w:ind w:firstLine="640"/>
        <w:rPr>
          <w:rFonts w:hint="eastAsia" w:ascii="仿宋_GB2312" w:eastAsia="仿宋_GB2312" w:cs="仿宋_GB2312"/>
          <w:color w:val="000000"/>
          <w:sz w:val="32"/>
          <w:szCs w:val="32"/>
        </w:rPr>
      </w:pPr>
      <w:r>
        <w:rPr>
          <w:rFonts w:ascii="仿宋_GB2312" w:eastAsia="仿宋_GB2312" w:cs="仿宋_GB2312"/>
          <w:color w:val="000000"/>
          <w:sz w:val="32"/>
          <w:szCs w:val="32"/>
        </w:rPr>
        <w:t>财政拨款安排支出主要用于保障单位正常运转、完成日常工作任务以及住房保障等相关工作。 </w:t>
      </w:r>
      <w:r>
        <w:rPr>
          <w:rFonts w:hint="eastAsia" w:ascii="仿宋_GB2312" w:eastAsia="仿宋_GB2312" w:cs="仿宋_GB2312"/>
          <w:color w:val="000000"/>
          <w:sz w:val="32"/>
          <w:szCs w:val="32"/>
        </w:rPr>
        <w:t>其中：人员经费</w:t>
      </w:r>
      <w:r>
        <w:rPr>
          <w:rFonts w:hint="eastAsia" w:ascii="仿宋_GB2312" w:hAnsi="仿宋_GB2312" w:eastAsia="仿宋_GB2312" w:cs="仿宋_GB2312"/>
          <w:sz w:val="32"/>
          <w:szCs w:val="32"/>
          <w:lang w:val="en-US" w:eastAsia="zh-CN"/>
        </w:rPr>
        <w:t>109</w:t>
      </w:r>
      <w:r>
        <w:rPr>
          <w:rFonts w:hint="eastAsia" w:asci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560" w:lineRule="exact"/>
        <w:ind w:firstLine="640"/>
        <w:rPr>
          <w:rFonts w:ascii="仿宋_GB2312" w:eastAsia="仿宋_GB2312"/>
          <w:b/>
          <w:bCs/>
          <w:color w:val="000000"/>
          <w:sz w:val="32"/>
          <w:szCs w:val="32"/>
        </w:rPr>
      </w:pPr>
      <w:r>
        <w:rPr>
          <w:rFonts w:hint="eastAsia" w:ascii="仿宋_GB2312" w:eastAsia="仿宋_GB2312" w:cs="仿宋_GB2312"/>
          <w:color w:val="000000"/>
          <w:sz w:val="32"/>
          <w:szCs w:val="32"/>
        </w:rPr>
        <w:t>公用经费</w:t>
      </w:r>
      <w:r>
        <w:rPr>
          <w:rFonts w:hint="eastAsia" w:ascii="仿宋_GB2312" w:eastAsia="仿宋_GB2312" w:cs="仿宋_GB2312"/>
          <w:color w:val="000000"/>
          <w:sz w:val="32"/>
          <w:szCs w:val="32"/>
          <w:lang w:val="en-US" w:eastAsia="zh-CN"/>
        </w:rPr>
        <w:t>13.10</w:t>
      </w:r>
      <w:bookmarkStart w:id="73" w:name="_GoBack"/>
      <w:bookmarkEnd w:id="73"/>
      <w:r>
        <w:rPr>
          <w:rFonts w:hint="eastAsia" w:asci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（2）机关厉行节约。</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我单位认真贯彻落实中央和省委省政府相关规定，厉行节约，严格控制因公出国（境）费用、会议费、车辆购置及运行费用和公务接待经费，</w:t>
      </w:r>
      <w:r>
        <w:rPr>
          <w:rFonts w:hint="eastAsia" w:ascii="仿宋_GB2312" w:hAnsi="仿宋" w:eastAsia="仿宋_GB2312" w:cs="仿宋"/>
          <w:color w:val="000000"/>
          <w:sz w:val="32"/>
          <w:szCs w:val="32"/>
        </w:rPr>
        <w:t>本单位2019年“三公”经费总额为</w:t>
      </w:r>
      <w:r>
        <w:rPr>
          <w:rFonts w:hint="eastAsia" w:ascii="仿宋_GB2312" w:hAnsi="仿宋" w:eastAsia="仿宋_GB2312" w:cs="仿宋"/>
          <w:color w:val="000000"/>
          <w:sz w:val="32"/>
          <w:szCs w:val="32"/>
          <w:lang w:val="en-US" w:eastAsia="zh-CN"/>
        </w:rPr>
        <w:t>1万元</w:t>
      </w:r>
      <w:r>
        <w:rPr>
          <w:rFonts w:hint="eastAsia" w:ascii="仿宋_GB2312" w:hAnsi="仿宋" w:eastAsia="仿宋_GB2312" w:cs="仿宋"/>
          <w:color w:val="000000"/>
          <w:sz w:val="32"/>
          <w:szCs w:val="32"/>
        </w:rPr>
        <w:t>：其中公务接待费</w:t>
      </w:r>
      <w:r>
        <w:rPr>
          <w:rFonts w:hint="eastAsia" w:ascii="仿宋_GB2312" w:hAnsi="仿宋" w:eastAsia="仿宋_GB2312" w:cs="仿宋"/>
          <w:color w:val="000000"/>
          <w:sz w:val="32"/>
          <w:szCs w:val="32"/>
          <w:lang w:val="en-US" w:eastAsia="zh-CN"/>
        </w:rPr>
        <w:t>1万元</w:t>
      </w:r>
      <w:r>
        <w:rPr>
          <w:rFonts w:hint="eastAsia" w:ascii="仿宋_GB2312" w:hAnsi="仿宋" w:eastAsia="仿宋_GB2312" w:cs="仿宋"/>
          <w:color w:val="000000"/>
          <w:sz w:val="32"/>
          <w:szCs w:val="32"/>
        </w:rPr>
        <w:t>。单位2019年末无公务用车。</w:t>
      </w:r>
      <w:r>
        <w:rPr>
          <w:rFonts w:hint="eastAsia" w:ascii="仿宋_GB2312" w:eastAsia="仿宋_GB2312"/>
          <w:sz w:val="32"/>
          <w:szCs w:val="32"/>
        </w:rPr>
        <w:t>我单位本着厉行节约的原则，节约开支，规范报帐制度，较2018年三公经费无增减变化。</w:t>
      </w:r>
    </w:p>
    <w:p>
      <w:pPr>
        <w:spacing w:line="560" w:lineRule="exact"/>
        <w:ind w:firstLine="709"/>
        <w:rPr>
          <w:rFonts w:hint="eastAsia" w:ascii="仿宋_GB2312" w:eastAsia="仿宋_GB2312" w:cs="仿宋_GB2312"/>
          <w:sz w:val="32"/>
          <w:szCs w:val="32"/>
        </w:rPr>
      </w:pPr>
      <w:r>
        <w:rPr>
          <w:rFonts w:hint="eastAsia" w:ascii="仿宋_GB2312" w:eastAsia="仿宋_GB2312" w:cs="仿宋_GB2312"/>
          <w:sz w:val="32"/>
          <w:szCs w:val="32"/>
        </w:rPr>
        <w:t>（3）机关节能降耗。</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严格按照勤俭节约的原则，节约用水用电，20</w:t>
      </w:r>
      <w:r>
        <w:rPr>
          <w:rFonts w:hint="eastAsia" w:ascii="仿宋_GB2312" w:eastAsia="仿宋_GB2312" w:cs="仿宋_GB2312"/>
          <w:sz w:val="32"/>
          <w:szCs w:val="32"/>
        </w:rPr>
        <w:t>19年水费</w:t>
      </w:r>
      <w:r>
        <w:rPr>
          <w:rFonts w:hint="eastAsia" w:ascii="仿宋_GB2312" w:eastAsia="仿宋_GB2312" w:cs="仿宋_GB2312"/>
          <w:sz w:val="32"/>
          <w:szCs w:val="32"/>
          <w:lang w:val="en-US" w:eastAsia="zh-CN"/>
        </w:rPr>
        <w:t>0.10万元</w:t>
      </w:r>
      <w:r>
        <w:rPr>
          <w:rFonts w:hint="eastAsia" w:ascii="仿宋_GB2312" w:eastAsia="仿宋_GB2312" w:cs="仿宋_GB2312"/>
          <w:sz w:val="32"/>
          <w:szCs w:val="32"/>
        </w:rPr>
        <w:t>，电费</w:t>
      </w:r>
      <w:r>
        <w:rPr>
          <w:rFonts w:hint="eastAsia" w:ascii="仿宋_GB2312" w:eastAsia="仿宋_GB2312" w:cs="仿宋_GB2312"/>
          <w:sz w:val="32"/>
          <w:szCs w:val="32"/>
          <w:lang w:val="en-US" w:eastAsia="zh-CN"/>
        </w:rPr>
        <w:t>0.50万元</w:t>
      </w:r>
      <w:r>
        <w:rPr>
          <w:rFonts w:ascii="仿宋_GB2312" w:eastAsia="仿宋_GB2312" w:cs="仿宋_GB2312"/>
          <w:sz w:val="32"/>
          <w:szCs w:val="32"/>
        </w:rPr>
        <w:t>。 </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2、专项预算项目（待批复项目）支出绩效。</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（1）资金绩效分配情况。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严格按照专项资金管理相关规定，实施绩效分配。</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（2）项目资金管理情况。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我单位项目资金管理严格按照用款计划，分月、季度执行，按照项目资金管理办法实行专款专用。</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（3）绩效目标完成情况。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按照年初预算项目，实施完成后使</w:t>
      </w:r>
      <w:r>
        <w:rPr>
          <w:rFonts w:hint="eastAsia" w:ascii="仿宋_GB2312" w:hAnsi="Times New Roman" w:eastAsia="仿宋_GB2312" w:cs="仿宋_GB2312"/>
          <w:kern w:val="2"/>
          <w:sz w:val="32"/>
          <w:szCs w:val="32"/>
        </w:rPr>
        <w:t>全年培训</w:t>
      </w:r>
      <w:r>
        <w:rPr>
          <w:rFonts w:ascii="仿宋_GB2312" w:hAnsi="Times New Roman" w:eastAsia="仿宋_GB2312" w:cs="仿宋_GB2312"/>
          <w:kern w:val="2"/>
          <w:sz w:val="32"/>
          <w:szCs w:val="32"/>
        </w:rPr>
        <w:t>工作达到预期目标。</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（四）财务管理情况</w:t>
      </w:r>
    </w:p>
    <w:p>
      <w:pPr>
        <w:pStyle w:val="12"/>
        <w:spacing w:before="0" w:beforeAutospacing="0" w:after="0" w:afterAutospacing="0" w:line="560" w:lineRule="exact"/>
        <w:ind w:firstLine="480"/>
        <w:jc w:val="both"/>
        <w:rPr>
          <w:rFonts w:hint="eastAsia" w:ascii="仿宋_GB2312" w:hAnsi="Times New Roman" w:eastAsia="仿宋_GB2312" w:cs="仿宋_GB2312"/>
          <w:kern w:val="2"/>
          <w:sz w:val="32"/>
          <w:szCs w:val="32"/>
        </w:rPr>
      </w:pPr>
      <w:r>
        <w:rPr>
          <w:rFonts w:ascii="仿宋_GB2312" w:hAnsi="Times New Roman" w:eastAsia="仿宋_GB2312" w:cs="仿宋_GB2312"/>
          <w:kern w:val="2"/>
          <w:sz w:val="32"/>
          <w:szCs w:val="32"/>
        </w:rPr>
        <w:t>按照岗位职责，严格执行机关财务管理制度，会计核算符合相关规定，资金专款专用，资金支付依据和开支标准合法合规，对项目资金、政府采购进行公开公示，接受群众监督。</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（五）绩效管理工作开展情况</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积极开展部门自评工作，并将评价结果运用。</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四、评价结论及建议</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（一）评价结论</w:t>
      </w:r>
    </w:p>
    <w:p>
      <w:pPr>
        <w:pStyle w:val="12"/>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我单位</w:t>
      </w:r>
      <w:r>
        <w:rPr>
          <w:rFonts w:hint="eastAsia" w:ascii="仿宋_GB2312" w:hAnsi="Times New Roman" w:eastAsia="仿宋_GB2312" w:cs="仿宋_GB2312"/>
          <w:kern w:val="2"/>
          <w:sz w:val="32"/>
          <w:szCs w:val="32"/>
        </w:rPr>
        <w:t>2019</w:t>
      </w:r>
      <w:r>
        <w:rPr>
          <w:rFonts w:ascii="仿宋_GB2312" w:hAnsi="Times New Roman" w:eastAsia="仿宋_GB2312" w:cs="仿宋_GB2312"/>
          <w:kern w:val="2"/>
          <w:sz w:val="32"/>
          <w:szCs w:val="32"/>
        </w:rPr>
        <w:t>年部门支出与年初预算基本一致，达到预期绩效目标。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（二）存在问题。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部门整体支出的资金安排和使用上仍有不可预见性，在科学设置预算绩效指标上还需进一步加强，使之更加贴合单位工作的实际;比如说在预算执行中，有时难免会出现一些意料不到的状况，导致年底需要调剂或者追加经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（三）改进建议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1、细化预算编制工作，认真做好预算的编制。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进一步加强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尽管目前三公经费的预算执行情况较好，根据厉行节约原则，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5、预算财务分析常态化。定期做好支出预算财务分析，及时对费用预算执行情况进行通报和预警，做好部门整体支出预算评价工作。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针对指标文件下达工作，尽早计划和开展年度专项的申报，加强报批工作的沟通和跟踪，及时落实指标文的下达；对财政资金下达时间滞后的项目，加强与财政部门的沟通联系，尽早取得资金的拨付，保障项目资金的投入进度，发挥资金的使用效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7、及时开展和财政的年度结余资金的对账工作，加强和财政的沟通，尽早取得上年结余资金结转的指标批复，以便年初相关工作的开展。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8、加强财务核算工作，提高财务的精细化管理，确保财务核算的真实、及时、准确、完整。</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4"/>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2098" w:right="1474" w:bottom="1984" w:left="1587" w:header="851" w:footer="1332" w:gutter="0"/>
      <w:pgBorders>
        <w:top w:val="none" w:sz="0" w:space="0"/>
        <w:left w:val="none" w:sz="0" w:space="0"/>
        <w:bottom w:val="none" w:sz="0" w:space="0"/>
        <w:right w:val="none" w:sz="0" w:space="0"/>
      </w:pgBorders>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24</w:t>
                              </w:r>
                              <w:r>
                                <w:rPr>
                                  <w:rFonts w:hint="eastAsia" w:asciiTheme="majorEastAsia" w:hAnsiTheme="majorEastAsia" w:eastAsiaTheme="majorEastAsia" w:cstheme="maj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8"/>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24</w:t>
                        </w:r>
                        <w:r>
                          <w:rPr>
                            <w:rFonts w:hint="eastAsia" w:asciiTheme="majorEastAsia" w:hAnsiTheme="majorEastAsia" w:eastAsiaTheme="majorEastAsia" w:cstheme="majorEastAsia"/>
                            <w:sz w:val="28"/>
                            <w:szCs w:val="28"/>
                          </w:rPr>
                          <w:fldChar w:fldCharType="end"/>
                        </w: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7315E8"/>
    <w:rsid w:val="04D90FB0"/>
    <w:rsid w:val="08E94D14"/>
    <w:rsid w:val="10C055FF"/>
    <w:rsid w:val="16BB723D"/>
    <w:rsid w:val="19A85881"/>
    <w:rsid w:val="1AB0393F"/>
    <w:rsid w:val="240371BF"/>
    <w:rsid w:val="29FD04D3"/>
    <w:rsid w:val="2BD5719F"/>
    <w:rsid w:val="2BEF010F"/>
    <w:rsid w:val="319F7F4E"/>
    <w:rsid w:val="322E52F7"/>
    <w:rsid w:val="46044695"/>
    <w:rsid w:val="46306384"/>
    <w:rsid w:val="4B947063"/>
    <w:rsid w:val="4D83476B"/>
    <w:rsid w:val="4ECE2238"/>
    <w:rsid w:val="5041456A"/>
    <w:rsid w:val="5E8E6F71"/>
    <w:rsid w:val="6115388B"/>
    <w:rsid w:val="68CB3279"/>
    <w:rsid w:val="6A8E0F30"/>
    <w:rsid w:val="723457DE"/>
    <w:rsid w:val="72734D90"/>
    <w:rsid w:val="7A9364FF"/>
    <w:rsid w:val="7AFF5F5E"/>
    <w:rsid w:val="7D943F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147.86</c:v>
                </c:pt>
                <c:pt idx="1">
                  <c:v>166.35</c:v>
                </c:pt>
              </c:numCache>
            </c:numRef>
          </c:val>
        </c:ser>
        <c:ser>
          <c:idx val="1"/>
          <c:order val="1"/>
          <c:tx>
            <c:strRef>
              <c:f>Sheet1!$C$1</c:f>
              <c:strCache>
                <c:ptCount val="1"/>
                <c:pt idx="0">
                  <c:v>总支出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147.86</c:v>
                </c:pt>
                <c:pt idx="1">
                  <c:v>166.35</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tx>
            <c:strRef>
              <c:f>Sheet1!$B$1</c:f>
              <c:strCache>
                <c:ptCount val="1"/>
                <c:pt idx="0">
                  <c:v>2019年收入</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dLbl>
              <c:idx val="0"/>
              <c:layout>
                <c:manualLayout>
                  <c:x val="-0.00172040206248001"/>
                  <c:y val="-0.21921707708733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一般公共预算财政拨款</c:v>
                </c:pt>
                <c:pt idx="1">
                  <c:v>政府性基金预算财政拨款</c:v>
                </c:pt>
              </c:strCache>
            </c:strRef>
          </c:cat>
          <c:val>
            <c:numRef>
              <c:f>Sheet1!$B$2:$B$3</c:f>
              <c:numCache>
                <c:formatCode>General</c:formatCode>
                <c:ptCount val="2"/>
                <c:pt idx="0">
                  <c:v>166.35</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a:t>
            </a:r>
          </a:p>
        </c:rich>
      </c:tx>
      <c:layout/>
      <c:overlay val="0"/>
      <c:spPr>
        <a:noFill/>
        <a:ln>
          <a:noFill/>
        </a:ln>
        <a:effectLst/>
      </c:spPr>
    </c:title>
    <c:autoTitleDeleted val="0"/>
    <c:plotArea>
      <c:layout/>
      <c:pieChart>
        <c:varyColors val="1"/>
        <c:ser>
          <c:idx val="0"/>
          <c:order val="0"/>
          <c:tx>
            <c:strRef>
              <c:f>Sheet1!$B$1</c:f>
              <c:strCache>
                <c:ptCount val="1"/>
                <c:pt idx="0">
                  <c:v>2019年支出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799308047128399"/>
                  <c:y val="-0.08914678898342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75684298796671"/>
                  <c:y val="0.13331168005729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122.1</c:v>
                </c:pt>
                <c:pt idx="1">
                  <c:v>44.25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财政拨款收入支出决算总体情况</a:t>
            </a:r>
          </a:p>
        </c:rich>
      </c:tx>
      <c:layout/>
      <c:overlay val="0"/>
      <c:spPr>
        <a:noFill/>
        <a:ln>
          <a:noFill/>
        </a:ln>
        <a:effectLst/>
      </c:spPr>
    </c:title>
    <c:autoTitleDeleted val="0"/>
    <c:plotArea>
      <c:layout>
        <c:manualLayout>
          <c:layoutTarget val="inner"/>
          <c:xMode val="edge"/>
          <c:yMode val="edge"/>
          <c:x val="0.0470183486238532"/>
          <c:y val="0.381364829396325"/>
          <c:w val="0.94954128440367"/>
          <c:h val="0.552703412073491"/>
        </c:manualLayout>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147.86</c:v>
                </c:pt>
                <c:pt idx="1">
                  <c:v>166.35</c:v>
                </c:pt>
              </c:numCache>
            </c:numRef>
          </c:val>
        </c:ser>
        <c:ser>
          <c:idx val="1"/>
          <c:order val="1"/>
          <c:tx>
            <c:strRef>
              <c:f>Sheet1!$C$1</c:f>
              <c:strCache>
                <c:ptCount val="1"/>
                <c:pt idx="0">
                  <c:v>总支出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147.86</c:v>
                </c:pt>
                <c:pt idx="1">
                  <c:v>166.35</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一般公共预算财政拨款支出决算总体情况</a:t>
            </a:r>
          </a:p>
        </c:rich>
      </c:tx>
      <c:layout/>
      <c:overlay val="0"/>
      <c:spPr>
        <a:noFill/>
        <a:ln>
          <a:noFill/>
        </a:ln>
        <a:effectLst/>
      </c:spPr>
    </c:title>
    <c:autoTitleDeleted val="0"/>
    <c:plotArea>
      <c:layout>
        <c:manualLayout>
          <c:layoutTarget val="inner"/>
          <c:xMode val="edge"/>
          <c:yMode val="edge"/>
          <c:x val="0.0470183486238532"/>
          <c:y val="0.381364829396325"/>
          <c:w val="0.94954128440367"/>
          <c:h val="0.552703412073491"/>
        </c:manualLayout>
      </c:layout>
      <c:barChart>
        <c:barDir val="col"/>
        <c:grouping val="clustered"/>
        <c:varyColors val="0"/>
        <c:ser>
          <c:idx val="0"/>
          <c:order val="0"/>
          <c:tx>
            <c:strRef>
              <c:f>Sheet1!$B$1</c:f>
              <c:strCache>
                <c:ptCount val="1"/>
                <c:pt idx="0">
                  <c:v>一般公共预算</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147.86</c:v>
                </c:pt>
                <c:pt idx="1">
                  <c:v>166.35</c:v>
                </c:pt>
              </c:numCache>
            </c:numRef>
          </c:val>
        </c:ser>
        <c:ser>
          <c:idx val="1"/>
          <c:order val="1"/>
          <c:tx>
            <c:strRef>
              <c:f>Sheet1!$C$1</c:f>
              <c:strCache>
                <c:ptCount val="1"/>
                <c:pt idx="0">
                  <c:v>总支出</c:v>
                </c:pt>
              </c:strCache>
            </c:strRef>
          </c:tx>
          <c:spPr>
            <a:solidFill>
              <a:schemeClr val="accent2"/>
            </a:solidFill>
            <a:ln>
              <a:noFill/>
            </a:ln>
            <a:effectLst/>
          </c:spPr>
          <c:invertIfNegative val="0"/>
          <c:dLbls>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147.86</c:v>
                </c:pt>
                <c:pt idx="1">
                  <c:v>166.35</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dLbl>
              <c:idx val="1"/>
              <c:layout>
                <c:manualLayout>
                  <c:x val="0.113234044709469"/>
                  <c:y val="0.1097303618024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554926006128214"/>
                  <c:y val="0.339324161022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11946402741431"/>
                  <c:y val="0.2735216801047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一般公共服务支出</c:v>
                </c:pt>
                <c:pt idx="1">
                  <c:v>社会保障和就业</c:v>
                </c:pt>
                <c:pt idx="2">
                  <c:v>卫生健康支出</c:v>
                </c:pt>
                <c:pt idx="3">
                  <c:v>住房保障支出</c:v>
                </c:pt>
              </c:strCache>
            </c:strRef>
          </c:cat>
          <c:val>
            <c:numRef>
              <c:f>Sheet1!$B$2:$B$5</c:f>
              <c:numCache>
                <c:formatCode>General</c:formatCode>
                <c:ptCount val="4"/>
                <c:pt idx="0">
                  <c:v>134.9</c:v>
                </c:pt>
                <c:pt idx="1">
                  <c:v>18.01</c:v>
                </c:pt>
                <c:pt idx="2">
                  <c:v>5.69</c:v>
                </c:pt>
                <c:pt idx="3">
                  <c:v>7.71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三公经费财政拨款支出决算具体情况</a:t>
            </a:r>
          </a:p>
        </c:rich>
      </c:tx>
      <c:layout/>
      <c:overlay val="0"/>
      <c:spPr>
        <a:noFill/>
        <a:ln>
          <a:noFill/>
        </a:ln>
        <a:effectLst/>
      </c:sp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dLbl>
              <c:idx val="0"/>
              <c:layout>
                <c:manualLayout>
                  <c:x val="-0.0300454836119225"/>
                  <c:y val="0.1437225900315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41280629071901"/>
                  <c:y val="-0.1758424955315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公车运行</c:v>
                </c:pt>
                <c:pt idx="1">
                  <c:v>公务接待</c:v>
                </c:pt>
              </c:strCache>
            </c:strRef>
          </c:cat>
          <c:val>
            <c:numRef>
              <c:f>Sheet1!$B$2:$B$3</c:f>
              <c:numCache>
                <c:formatCode>General</c:formatCode>
                <c:ptCount val="2"/>
                <c:pt idx="0">
                  <c:v>0</c:v>
                </c:pt>
                <c:pt idx="1">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TotalTime>
  <ScaleCrop>false</ScaleCrop>
  <LinksUpToDate>false</LinksUpToDate>
  <CharactersWithSpaces>8536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2021-05-31T09:41:00Z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