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96597"/>
      <w:bookmarkStart w:id="3" w:name="_Toc15396475"/>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96598"/>
      <w:bookmarkStart w:id="7" w:name="_Toc15396476"/>
      <w:bookmarkStart w:id="8" w:name="_Toc15377194"/>
      <w:bookmarkStart w:id="9" w:name="_Toc15378442"/>
      <w:bookmarkStart w:id="10" w:name="_Toc15377426"/>
      <w:r>
        <w:rPr>
          <w:rFonts w:hint="eastAsia" w:ascii="方正小标宋简体" w:hAnsi="宋体" w:eastAsia="方正小标宋简体"/>
          <w:color w:val="000000"/>
          <w:sz w:val="72"/>
          <w:szCs w:val="72"/>
        </w:rPr>
        <w:t>四川省</w:t>
      </w:r>
      <w:bookmarkEnd w:id="0"/>
      <w:bookmarkStart w:id="11" w:name="_Toc15306268"/>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宣汉县老君乡中心校</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11</w:t>
      </w:r>
      <w:r>
        <w:rPr>
          <w:rFonts w:hint="eastAsia"/>
        </w:rPr>
        <w:t>月</w:t>
      </w:r>
      <w:r>
        <w:rPr>
          <w:rFonts w:hint="eastAsia"/>
          <w:lang w:val="en-US" w:eastAsia="zh-CN"/>
        </w:rPr>
        <w:t>11</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eastAsia="zh-CN"/>
        </w:rPr>
        <w:t>……………………………………………………</w:t>
      </w:r>
      <w:r>
        <w:rPr>
          <w:rFonts w:hint="eastAsia"/>
          <w:sz w:val="24"/>
          <w:lang w:val="en-US" w:eastAsia="zh-CN"/>
        </w:rPr>
        <w:t>4</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二、机构设置</w:t>
      </w:r>
      <w:r>
        <w:rPr>
          <w:rFonts w:hint="eastAsia"/>
          <w:sz w:val="24"/>
          <w:lang w:eastAsia="zh-CN"/>
        </w:rPr>
        <w:t>…………………………………………………………………</w:t>
      </w:r>
      <w:r>
        <w:rPr>
          <w:rFonts w:hint="eastAsia"/>
          <w:sz w:val="24"/>
          <w:lang w:val="en-US" w:eastAsia="zh-CN"/>
        </w:rPr>
        <w:t>4</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eastAsia="zh-CN"/>
        </w:rPr>
        <w:t>……………………………………………</w:t>
      </w:r>
      <w:r>
        <w:rPr>
          <w:rFonts w:hint="eastAsia"/>
          <w:sz w:val="24"/>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rPr>
          <w:rFonts w:hint="eastAsia"/>
          <w:sz w:val="24"/>
          <w:lang w:eastAsia="zh-CN"/>
        </w:rPr>
        <w:t>………………………………………………………</w:t>
      </w:r>
      <w:r>
        <w:rPr>
          <w:rFonts w:hint="eastAsia"/>
          <w:sz w:val="24"/>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rPr>
          <w:rFonts w:hint="eastAsia"/>
          <w:sz w:val="24"/>
          <w:lang w:eastAsia="zh-CN"/>
        </w:rPr>
        <w:t>………………………………………………………</w:t>
      </w:r>
      <w:r>
        <w:rPr>
          <w:rFonts w:hint="eastAsia"/>
          <w:sz w:val="24"/>
          <w:lang w:val="en-US" w:eastAsia="zh-CN"/>
        </w:rPr>
        <w:t>6</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w:t>
      </w:r>
      <w:r>
        <w:rPr>
          <w:rFonts w:hint="eastAsia"/>
          <w:sz w:val="24"/>
          <w:lang w:eastAsia="zh-CN"/>
        </w:rPr>
        <w:t>……………………………………</w:t>
      </w:r>
      <w:r>
        <w:rPr>
          <w:rFonts w:hint="eastAsia"/>
          <w:sz w:val="24"/>
          <w:lang w:val="en-US" w:eastAsia="zh-CN"/>
        </w:rPr>
        <w:t>7</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hint="eastAsia"/>
          <w:sz w:val="24"/>
          <w:lang w:eastAsia="zh-CN"/>
        </w:rPr>
        <w:t>……………………………</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eastAsia="zh-CN"/>
        </w:rPr>
        <w:t>………………………</w:t>
      </w:r>
      <w:r>
        <w:rPr>
          <w:rFonts w:hint="eastAsia"/>
          <w:sz w:val="24"/>
          <w:lang w:val="en-US" w:eastAsia="zh-CN"/>
        </w:rPr>
        <w:t>10</w:t>
      </w:r>
    </w:p>
    <w:p>
      <w:pPr>
        <w:pStyle w:val="11"/>
        <w:adjustRightInd w:val="0"/>
        <w:snapToGrid w:val="0"/>
        <w:spacing w:line="440" w:lineRule="exact"/>
        <w:jc w:val="left"/>
        <w:rPr>
          <w:rFonts w:hint="eastAsia"/>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eastAsia="zh-CN"/>
        </w:rPr>
        <w:t>……………………………</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eastAsia="zh-CN"/>
        </w:rPr>
        <w:t>……………………………………</w:t>
      </w:r>
      <w:r>
        <w:rPr>
          <w:rFonts w:hint="eastAsia"/>
          <w:sz w:val="24"/>
          <w:lang w:val="en-US" w:eastAsia="zh-CN"/>
        </w:rPr>
        <w:t>12</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eastAsia="zh-CN"/>
        </w:rPr>
        <w:t>………………………………</w:t>
      </w:r>
      <w:r>
        <w:rPr>
          <w:rFonts w:hint="eastAsia"/>
          <w:sz w:val="24"/>
          <w:lang w:val="en-US" w:eastAsia="zh-CN"/>
        </w:rPr>
        <w:t>12</w:t>
      </w:r>
    </w:p>
    <w:p>
      <w:pPr>
        <w:adjustRightInd w:val="0"/>
        <w:snapToGrid w:val="0"/>
        <w:spacing w:line="440" w:lineRule="exact"/>
        <w:ind w:firstLine="480" w:firstLineChars="200"/>
        <w:jc w:val="left"/>
        <w:rPr>
          <w:rFonts w:hint="default" w:ascii="仿宋" w:hAnsi="仿宋" w:eastAsia="仿宋" w:cstheme="minorBidi"/>
          <w:sz w:val="24"/>
          <w:lang w:val="en-US" w:eastAsia="zh-CN"/>
        </w:rPr>
      </w:pPr>
      <w:r>
        <w:rPr>
          <w:rStyle w:val="16"/>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r>
        <w:rPr>
          <w:rFonts w:hint="eastAsia" w:ascii="仿宋" w:hAnsi="仿宋" w:eastAsia="仿宋"/>
          <w:sz w:val="24"/>
          <w:lang w:eastAsia="zh-CN"/>
        </w:rPr>
        <w:t>……………………………………………</w:t>
      </w:r>
      <w:r>
        <w:rPr>
          <w:rFonts w:hint="eastAsia" w:ascii="仿宋" w:hAnsi="仿宋" w:eastAsia="仿宋"/>
          <w:sz w:val="24"/>
          <w:lang w:val="en-US" w:eastAsia="zh-CN"/>
        </w:rPr>
        <w:t>12</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eastAsia="zh-CN"/>
        </w:rPr>
        <w:t>………………………………………………………………</w:t>
      </w:r>
      <w:r>
        <w:rPr>
          <w:rFonts w:hint="eastAsia"/>
          <w:sz w:val="24"/>
          <w:lang w:val="en-US" w:eastAsia="zh-CN"/>
        </w:rPr>
        <w:t>20</w:t>
      </w:r>
      <w:r>
        <w:rPr>
          <w:rFonts w:hint="eastAsia"/>
          <w:sz w:val="24"/>
        </w:rPr>
        <w:t>第四部分</w:t>
      </w:r>
      <w:r>
        <w:rPr>
          <w:sz w:val="24"/>
        </w:rPr>
        <w:t xml:space="preserve"> </w:t>
      </w:r>
      <w:r>
        <w:rPr>
          <w:rFonts w:hint="eastAsia"/>
          <w:sz w:val="24"/>
        </w:rPr>
        <w:t>附件</w:t>
      </w:r>
      <w:r>
        <w:rPr>
          <w:rFonts w:hint="eastAsia"/>
          <w:sz w:val="24"/>
          <w:lang w:eastAsia="zh-CN"/>
        </w:rPr>
        <w:t>……………………………………………………………………</w:t>
      </w:r>
      <w:r>
        <w:rPr>
          <w:rFonts w:hint="eastAsia"/>
          <w:sz w:val="24"/>
          <w:lang w:val="en-US" w:eastAsia="zh-CN"/>
        </w:rPr>
        <w:t>23</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eastAsia="zh-CN"/>
        </w:rPr>
        <w:t>……………………………………………………………………</w:t>
      </w:r>
      <w:r>
        <w:rPr>
          <w:rFonts w:hint="eastAsia"/>
          <w:sz w:val="24"/>
          <w:lang w:val="en-US" w:eastAsia="zh-CN"/>
        </w:rPr>
        <w:t>29</w:t>
      </w:r>
      <w:bookmarkStart w:id="73" w:name="_GoBack"/>
      <w:bookmarkEnd w:id="73"/>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pStyle w:val="12"/>
        <w:widowControl/>
        <w:spacing w:line="19" w:lineRule="atLeas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全面贯彻国家教育方针，培养学生的创新精神与实践能力，使之成为社会主义事业的建设者和接班人。我校</w:t>
      </w:r>
      <w:r>
        <w:rPr>
          <w:rFonts w:hint="eastAsia" w:ascii="仿宋_GB2312" w:hAnsi="仿宋" w:eastAsia="仿宋_GB2312"/>
          <w:sz w:val="32"/>
          <w:szCs w:val="32"/>
        </w:rPr>
        <w:t>负责</w:t>
      </w:r>
      <w:r>
        <w:rPr>
          <w:rFonts w:hint="eastAsia" w:ascii="仿宋_GB2312" w:hAnsi="仿宋" w:eastAsia="仿宋_GB2312"/>
          <w:sz w:val="32"/>
          <w:szCs w:val="32"/>
          <w:lang w:eastAsia="zh-CN"/>
        </w:rPr>
        <w:t>老君</w:t>
      </w:r>
      <w:r>
        <w:rPr>
          <w:rFonts w:hint="eastAsia" w:ascii="仿宋_GB2312" w:hAnsi="仿宋" w:eastAsia="仿宋_GB2312"/>
          <w:sz w:val="32"/>
          <w:szCs w:val="32"/>
        </w:rPr>
        <w:t>辖区近</w:t>
      </w:r>
      <w:r>
        <w:rPr>
          <w:rFonts w:hint="eastAsia" w:ascii="仿宋_GB2312" w:hAnsi="仿宋" w:eastAsia="仿宋_GB2312"/>
          <w:sz w:val="32"/>
          <w:szCs w:val="32"/>
          <w:lang w:val="en-US" w:eastAsia="zh-CN"/>
        </w:rPr>
        <w:t>2</w:t>
      </w:r>
      <w:r>
        <w:rPr>
          <w:rFonts w:hint="eastAsia" w:ascii="仿宋_GB2312" w:hAnsi="仿宋" w:eastAsia="仿宋_GB2312"/>
          <w:sz w:val="32"/>
          <w:szCs w:val="32"/>
        </w:rPr>
        <w:t>万余人口的义务教育的学历教育</w:t>
      </w:r>
      <w:r>
        <w:rPr>
          <w:rFonts w:hint="eastAsia" w:ascii="仿宋_GB2312" w:eastAsia="仿宋_GB2312"/>
          <w:bCs/>
          <w:color w:val="000000"/>
          <w:sz w:val="32"/>
          <w:szCs w:val="32"/>
        </w:rPr>
        <w:t>。</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5"/>
        <w:adjustRightInd w:val="0"/>
        <w:snapToGrid w:val="0"/>
        <w:spacing w:before="93" w:line="600" w:lineRule="exact"/>
        <w:ind w:firstLine="672" w:firstLineChars="210"/>
        <w:outlineLvl w:val="2"/>
        <w:rPr>
          <w:rFonts w:hint="eastAsia" w:ascii="仿宋" w:hAnsi="仿宋" w:eastAsia="仿宋"/>
          <w:bCs/>
          <w:color w:val="000000"/>
          <w:sz w:val="36"/>
          <w:szCs w:val="36"/>
        </w:rPr>
      </w:pPr>
      <w:r>
        <w:rPr>
          <w:rFonts w:hint="eastAsia" w:ascii="宋体" w:hAnsi="宋体" w:cs="宋体"/>
          <w:sz w:val="32"/>
          <w:szCs w:val="32"/>
        </w:rPr>
        <w:t>学校坚持正确的办学思想，走协调发展、内涵发展之路。坚持以人为本，内强素质，外树形象；坚持以教科研为先导，德育为重点，教学为中心,信息技术为载体，确立“为学生的发展而教育”的办学思想和“以德为先，以育人为本，丰富内涵，办出特色”的办学思路。同时学校秉承“文明、守纪、求实、创新”的校风，形成“严谨、扎实”之教风，倡导“勤、钻、实、恒”之学风。注重师德建设，完善管理体系，实现全方位育人。学校不断丰富文化底蕴，引领文明校风建设。更新观念，深化教学改革，强化教学管理，突出办学特色。</w:t>
      </w: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snapToGrid w:val="0"/>
        <w:spacing w:line="588" w:lineRule="exact"/>
        <w:ind w:firstLine="640" w:firstLineChars="200"/>
        <w:rPr>
          <w:rFonts w:hint="default" w:ascii="仿宋" w:hAnsi="仿宋" w:eastAsia="仿宋_GB2312"/>
          <w:sz w:val="32"/>
          <w:szCs w:val="32"/>
          <w:lang w:val="en-US" w:eastAsia="zh-CN"/>
        </w:rPr>
      </w:pPr>
      <w:r>
        <w:rPr>
          <w:rFonts w:hint="eastAsia" w:ascii="仿宋" w:hAnsi="仿宋" w:eastAsia="仿宋"/>
          <w:sz w:val="32"/>
          <w:szCs w:val="32"/>
          <w:lang w:eastAsia="zh-CN"/>
        </w:rPr>
        <w:t>宣汉县老君乡中心校</w:t>
      </w:r>
      <w:r>
        <w:rPr>
          <w:rFonts w:hint="eastAsia" w:ascii="仿宋" w:hAnsi="仿宋" w:eastAsia="仿宋" w:cs="仿宋"/>
          <w:sz w:val="32"/>
          <w:szCs w:val="32"/>
        </w:rPr>
        <w:t>有独立编制机构数1个，独立核算机构数1个</w:t>
      </w:r>
      <w:r>
        <w:rPr>
          <w:rFonts w:hint="eastAsia" w:ascii="宋体" w:hAnsi="宋体" w:cs="宋体"/>
          <w:sz w:val="30"/>
          <w:szCs w:val="30"/>
        </w:rPr>
        <w:t>。</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w:t>
      </w:r>
      <w:r>
        <w:rPr>
          <w:rFonts w:hint="eastAsia" w:ascii="仿宋" w:hAnsi="仿宋" w:eastAsia="仿宋" w:cs="仿宋"/>
          <w:sz w:val="32"/>
          <w:szCs w:val="32"/>
        </w:rPr>
        <w:t>全校编制61人，其中小学编制45人，初中编制数16人，年末实有在职教师67人，</w:t>
      </w:r>
      <w:r>
        <w:rPr>
          <w:rFonts w:hint="eastAsia" w:ascii="仿宋" w:hAnsi="仿宋" w:eastAsia="仿宋" w:cs="仿宋"/>
          <w:sz w:val="32"/>
          <w:szCs w:val="32"/>
          <w:lang w:eastAsia="zh-CN"/>
        </w:rPr>
        <w:t>退休教师</w:t>
      </w:r>
      <w:r>
        <w:rPr>
          <w:rFonts w:hint="eastAsia" w:ascii="仿宋" w:hAnsi="仿宋" w:eastAsia="仿宋" w:cs="仿宋"/>
          <w:sz w:val="32"/>
          <w:szCs w:val="32"/>
          <w:lang w:val="en-US" w:eastAsia="zh-CN"/>
        </w:rPr>
        <w:t>53人，</w:t>
      </w:r>
      <w:r>
        <w:rPr>
          <w:rFonts w:hint="eastAsia" w:ascii="仿宋" w:hAnsi="仿宋" w:eastAsia="仿宋" w:cs="仿宋"/>
          <w:sz w:val="32"/>
          <w:szCs w:val="32"/>
        </w:rPr>
        <w:t>遗属14人，年末在校学生8</w:t>
      </w:r>
      <w:r>
        <w:rPr>
          <w:rFonts w:hint="eastAsia" w:ascii="仿宋" w:hAnsi="仿宋" w:eastAsia="仿宋" w:cs="仿宋"/>
          <w:sz w:val="32"/>
          <w:szCs w:val="32"/>
          <w:lang w:val="en-US" w:eastAsia="zh-CN"/>
        </w:rPr>
        <w:t>6</w:t>
      </w:r>
      <w:r>
        <w:rPr>
          <w:rFonts w:hint="eastAsia" w:ascii="仿宋" w:hAnsi="仿宋" w:eastAsia="仿宋" w:cs="仿宋"/>
          <w:sz w:val="32"/>
          <w:szCs w:val="32"/>
        </w:rPr>
        <w:t>4人。</w:t>
      </w:r>
      <w:r>
        <w:rPr>
          <w:rFonts w:hint="eastAsia" w:ascii="仿宋_GB2312" w:hAnsi="仿宋" w:eastAsia="仿宋_GB2312"/>
          <w:sz w:val="32"/>
          <w:szCs w:val="32"/>
        </w:rPr>
        <w:t>学校校长</w:t>
      </w:r>
      <w:r>
        <w:rPr>
          <w:rFonts w:hint="eastAsia" w:ascii="仿宋_GB2312" w:hAnsi="仿宋" w:eastAsia="仿宋_GB2312"/>
          <w:sz w:val="32"/>
          <w:szCs w:val="32"/>
          <w:lang w:eastAsia="zh-CN"/>
        </w:rPr>
        <w:t>欧德国</w:t>
      </w:r>
      <w:r>
        <w:rPr>
          <w:rFonts w:hint="eastAsia" w:ascii="仿宋_GB2312" w:hAnsi="仿宋" w:eastAsia="仿宋_GB2312"/>
          <w:sz w:val="32"/>
          <w:szCs w:val="32"/>
        </w:rPr>
        <w:t>，</w:t>
      </w:r>
      <w:r>
        <w:rPr>
          <w:rFonts w:hint="eastAsia" w:ascii="仿宋_GB2312" w:hAnsi="仿宋" w:eastAsia="仿宋_GB2312"/>
          <w:sz w:val="32"/>
          <w:szCs w:val="32"/>
          <w:lang w:eastAsia="zh-CN"/>
        </w:rPr>
        <w:t>专职副书记一名：向守伟，</w:t>
      </w:r>
      <w:r>
        <w:rPr>
          <w:rFonts w:hint="eastAsia" w:ascii="仿宋_GB2312" w:hAnsi="仿宋" w:eastAsia="仿宋_GB2312"/>
          <w:sz w:val="32"/>
          <w:szCs w:val="32"/>
        </w:rPr>
        <w:t>副校长</w:t>
      </w:r>
      <w:r>
        <w:rPr>
          <w:rFonts w:hint="eastAsia" w:ascii="仿宋_GB2312" w:hAnsi="仿宋" w:eastAsia="仿宋_GB2312"/>
          <w:sz w:val="32"/>
          <w:szCs w:val="32"/>
          <w:lang w:eastAsia="zh-CN"/>
        </w:rPr>
        <w:t>二</w:t>
      </w:r>
      <w:r>
        <w:rPr>
          <w:rFonts w:hint="eastAsia" w:ascii="仿宋_GB2312" w:hAnsi="仿宋" w:eastAsia="仿宋_GB2312"/>
          <w:sz w:val="32"/>
          <w:szCs w:val="32"/>
        </w:rPr>
        <w:t>名：</w:t>
      </w:r>
      <w:r>
        <w:rPr>
          <w:rFonts w:hint="eastAsia" w:ascii="仿宋_GB2312" w:hAnsi="仿宋" w:eastAsia="仿宋_GB2312"/>
          <w:sz w:val="32"/>
          <w:szCs w:val="32"/>
          <w:lang w:eastAsia="zh-CN"/>
        </w:rPr>
        <w:t>夏泽利</w:t>
      </w:r>
      <w:r>
        <w:rPr>
          <w:rFonts w:hint="eastAsia" w:ascii="仿宋_GB2312" w:hAnsi="仿宋" w:eastAsia="仿宋_GB2312"/>
          <w:sz w:val="32"/>
          <w:szCs w:val="32"/>
        </w:rPr>
        <w:t>、</w:t>
      </w:r>
      <w:r>
        <w:rPr>
          <w:rFonts w:hint="eastAsia" w:ascii="仿宋_GB2312" w:hAnsi="仿宋" w:eastAsia="仿宋_GB2312"/>
          <w:sz w:val="32"/>
          <w:szCs w:val="32"/>
          <w:lang w:eastAsia="zh-CN"/>
        </w:rPr>
        <w:t>夏泽平</w:t>
      </w:r>
      <w:r>
        <w:rPr>
          <w:rFonts w:hint="eastAsia" w:ascii="仿宋_GB2312" w:hAnsi="仿宋" w:eastAsia="仿宋_GB2312"/>
          <w:sz w:val="32"/>
          <w:szCs w:val="32"/>
        </w:rPr>
        <w:t>，中层有教务正副主任</w:t>
      </w:r>
      <w:r>
        <w:rPr>
          <w:rFonts w:hint="eastAsia" w:ascii="仿宋_GB2312" w:hAnsi="仿宋" w:eastAsia="仿宋_GB2312"/>
          <w:sz w:val="32"/>
          <w:szCs w:val="32"/>
          <w:lang w:val="en-US" w:eastAsia="zh-CN"/>
        </w:rPr>
        <w:t>3</w:t>
      </w:r>
      <w:r>
        <w:rPr>
          <w:rFonts w:hint="eastAsia" w:ascii="仿宋_GB2312" w:hAnsi="仿宋" w:eastAsia="仿宋_GB2312"/>
          <w:sz w:val="32"/>
          <w:szCs w:val="32"/>
        </w:rPr>
        <w:t>人，办公室负责人1人，总务处主任1人，安办主任1人</w:t>
      </w:r>
      <w:r>
        <w:rPr>
          <w:rFonts w:hint="eastAsia" w:ascii="仿宋_GB2312" w:hAnsi="仿宋" w:eastAsia="仿宋_GB2312"/>
          <w:sz w:val="32"/>
          <w:szCs w:val="32"/>
          <w:lang w:eastAsia="zh-CN"/>
        </w:rPr>
        <w:t>，政教处正副主任各</w:t>
      </w:r>
      <w:r>
        <w:rPr>
          <w:rFonts w:hint="eastAsia" w:ascii="仿宋_GB2312" w:hAnsi="仿宋" w:eastAsia="仿宋_GB2312"/>
          <w:sz w:val="32"/>
          <w:szCs w:val="32"/>
          <w:lang w:val="en-US" w:eastAsia="zh-CN"/>
        </w:rPr>
        <w:t>1人。</w:t>
      </w: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2"/>
      <w:bookmarkEnd w:id="23"/>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napToGrid w:val="0"/>
        <w:spacing w:line="240" w:lineRule="auto"/>
        <w:ind w:firstLine="640" w:firstLineChars="200"/>
        <w:rPr>
          <w:rStyle w:val="26"/>
          <w:rFonts w:hint="eastAsia" w:ascii="黑体" w:hAnsi="黑体" w:eastAsia="仿宋"/>
          <w:b w:val="0"/>
          <w:lang w:eastAsia="zh-CN"/>
        </w:rPr>
      </w:pPr>
      <w:r>
        <w:rPr>
          <w:rStyle w:val="26"/>
          <w:rFonts w:hint="eastAsia" w:ascii="黑体" w:hAnsi="黑体" w:eastAsia="仿宋"/>
          <w:b w:val="0"/>
          <w:lang w:eastAsia="zh-CN"/>
        </w:rPr>
        <w:drawing>
          <wp:anchor distT="0" distB="0" distL="114300" distR="114300" simplePos="0" relativeHeight="251659264" behindDoc="0" locked="0" layoutInCell="1" allowOverlap="1">
            <wp:simplePos x="0" y="0"/>
            <wp:positionH relativeFrom="column">
              <wp:posOffset>250825</wp:posOffset>
            </wp:positionH>
            <wp:positionV relativeFrom="paragraph">
              <wp:posOffset>1095375</wp:posOffset>
            </wp:positionV>
            <wp:extent cx="4739640" cy="2885440"/>
            <wp:effectExtent l="0" t="0" r="3810" b="10160"/>
            <wp:wrapSquare wrapText="bothSides"/>
            <wp:docPr id="1" name="图片 1" descr="收支决算总计变动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收支决算总计变动图"/>
                    <pic:cNvPicPr>
                      <a:picLocks noChangeAspect="1"/>
                    </pic:cNvPicPr>
                  </pic:nvPicPr>
                  <pic:blipFill>
                    <a:blip r:embed="rId6"/>
                    <a:stretch>
                      <a:fillRect/>
                    </a:stretch>
                  </pic:blipFill>
                  <pic:spPr>
                    <a:xfrm>
                      <a:off x="0" y="0"/>
                      <a:ext cx="4739640" cy="2885440"/>
                    </a:xfrm>
                    <a:prstGeom prst="rect">
                      <a:avLst/>
                    </a:prstGeom>
                  </pic:spPr>
                </pic:pic>
              </a:graphicData>
            </a:graphic>
          </wp:anchor>
        </w:drawing>
      </w:r>
      <w:r>
        <w:rPr>
          <w:rFonts w:hint="eastAsia" w:ascii="仿宋" w:hAnsi="仿宋" w:eastAsia="仿宋" w:cs="仿宋"/>
          <w:sz w:val="32"/>
          <w:szCs w:val="32"/>
          <w:lang w:val="en-US" w:eastAsia="zh-CN"/>
        </w:rPr>
        <w:t>2019</w:t>
      </w:r>
      <w:r>
        <w:rPr>
          <w:rFonts w:hint="eastAsia" w:ascii="仿宋" w:hAnsi="仿宋" w:eastAsia="仿宋" w:cs="仿宋"/>
          <w:sz w:val="32"/>
          <w:szCs w:val="32"/>
        </w:rPr>
        <w:t>年度收入总计1245</w:t>
      </w:r>
      <w:r>
        <w:rPr>
          <w:rFonts w:hint="eastAsia" w:ascii="仿宋" w:hAnsi="仿宋" w:eastAsia="仿宋" w:cs="仿宋"/>
          <w:sz w:val="32"/>
          <w:szCs w:val="32"/>
          <w:lang w:val="en-US" w:eastAsia="zh-CN"/>
        </w:rPr>
        <w:t>.</w:t>
      </w:r>
      <w:r>
        <w:rPr>
          <w:rFonts w:hint="eastAsia" w:ascii="仿宋" w:hAnsi="仿宋" w:eastAsia="仿宋" w:cs="仿宋"/>
          <w:sz w:val="32"/>
          <w:szCs w:val="32"/>
        </w:rPr>
        <w:t>06</w:t>
      </w:r>
      <w:r>
        <w:rPr>
          <w:rFonts w:hint="eastAsia" w:ascii="仿宋" w:hAnsi="仿宋" w:eastAsia="仿宋" w:cs="仿宋"/>
          <w:sz w:val="32"/>
          <w:szCs w:val="32"/>
          <w:lang w:eastAsia="zh-CN"/>
        </w:rPr>
        <w:t>万</w:t>
      </w:r>
      <w:r>
        <w:rPr>
          <w:rFonts w:hint="eastAsia" w:ascii="仿宋" w:hAnsi="仿宋" w:eastAsia="仿宋" w:cs="仿宋"/>
          <w:sz w:val="32"/>
          <w:szCs w:val="32"/>
        </w:rPr>
        <w:t>元，其中财政拨款收入1245</w:t>
      </w:r>
      <w:r>
        <w:rPr>
          <w:rFonts w:hint="eastAsia" w:ascii="仿宋" w:hAnsi="仿宋" w:eastAsia="仿宋" w:cs="仿宋"/>
          <w:sz w:val="32"/>
          <w:szCs w:val="32"/>
          <w:lang w:val="en-US" w:eastAsia="zh-CN"/>
        </w:rPr>
        <w:t>.</w:t>
      </w:r>
      <w:r>
        <w:rPr>
          <w:rFonts w:hint="eastAsia" w:ascii="仿宋" w:hAnsi="仿宋" w:eastAsia="仿宋" w:cs="仿宋"/>
          <w:sz w:val="32"/>
          <w:szCs w:val="32"/>
        </w:rPr>
        <w:t>06</w:t>
      </w:r>
      <w:r>
        <w:rPr>
          <w:rFonts w:hint="eastAsia" w:ascii="仿宋" w:hAnsi="仿宋" w:eastAsia="仿宋" w:cs="仿宋"/>
          <w:sz w:val="32"/>
          <w:szCs w:val="32"/>
          <w:lang w:eastAsia="zh-CN"/>
        </w:rPr>
        <w:t>万</w:t>
      </w:r>
      <w:r>
        <w:rPr>
          <w:rFonts w:hint="eastAsia" w:ascii="仿宋" w:hAnsi="仿宋" w:eastAsia="仿宋" w:cs="仿宋"/>
          <w:sz w:val="32"/>
          <w:szCs w:val="32"/>
        </w:rPr>
        <w:t>元，占100%，较上年增加6%。本年支出1245</w:t>
      </w:r>
      <w:r>
        <w:rPr>
          <w:rFonts w:hint="eastAsia" w:ascii="仿宋" w:hAnsi="仿宋" w:eastAsia="仿宋" w:cs="仿宋"/>
          <w:sz w:val="32"/>
          <w:szCs w:val="32"/>
          <w:lang w:val="en-US" w:eastAsia="zh-CN"/>
        </w:rPr>
        <w:t>.</w:t>
      </w:r>
      <w:r>
        <w:rPr>
          <w:rFonts w:hint="eastAsia" w:ascii="仿宋" w:hAnsi="仿宋" w:eastAsia="仿宋" w:cs="仿宋"/>
          <w:sz w:val="32"/>
          <w:szCs w:val="32"/>
        </w:rPr>
        <w:t>06</w:t>
      </w:r>
      <w:r>
        <w:rPr>
          <w:rFonts w:hint="eastAsia" w:ascii="仿宋" w:hAnsi="仿宋" w:eastAsia="仿宋" w:cs="仿宋"/>
          <w:sz w:val="32"/>
          <w:szCs w:val="32"/>
          <w:lang w:eastAsia="zh-CN"/>
        </w:rPr>
        <w:t>万</w:t>
      </w:r>
      <w:r>
        <w:rPr>
          <w:rFonts w:hint="eastAsia" w:ascii="仿宋" w:hAnsi="仿宋" w:eastAsia="仿宋" w:cs="仿宋"/>
          <w:sz w:val="32"/>
          <w:szCs w:val="32"/>
        </w:rPr>
        <w:t>元，其中财政拨款支出1245</w:t>
      </w:r>
      <w:r>
        <w:rPr>
          <w:rFonts w:hint="eastAsia" w:ascii="仿宋" w:hAnsi="仿宋" w:eastAsia="仿宋" w:cs="仿宋"/>
          <w:sz w:val="32"/>
          <w:szCs w:val="32"/>
          <w:lang w:val="en-US" w:eastAsia="zh-CN"/>
        </w:rPr>
        <w:t>.</w:t>
      </w:r>
      <w:r>
        <w:rPr>
          <w:rFonts w:hint="eastAsia" w:ascii="仿宋" w:hAnsi="仿宋" w:eastAsia="仿宋" w:cs="仿宋"/>
          <w:sz w:val="32"/>
          <w:szCs w:val="32"/>
        </w:rPr>
        <w:t>06</w:t>
      </w:r>
      <w:r>
        <w:rPr>
          <w:rFonts w:hint="eastAsia" w:ascii="仿宋" w:hAnsi="仿宋" w:eastAsia="仿宋" w:cs="仿宋"/>
          <w:sz w:val="32"/>
          <w:szCs w:val="32"/>
          <w:lang w:eastAsia="zh-CN"/>
        </w:rPr>
        <w:t>万</w:t>
      </w:r>
      <w:r>
        <w:rPr>
          <w:rFonts w:hint="eastAsia" w:ascii="仿宋" w:hAnsi="仿宋" w:eastAsia="仿宋" w:cs="仿宋"/>
          <w:sz w:val="32"/>
          <w:szCs w:val="32"/>
        </w:rPr>
        <w:t>元，占100%，较上年增加6%。</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1245.06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1242.06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240" w:lineRule="auto"/>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58240" behindDoc="0" locked="0" layoutInCell="1" allowOverlap="1">
            <wp:simplePos x="0" y="0"/>
            <wp:positionH relativeFrom="column">
              <wp:posOffset>590550</wp:posOffset>
            </wp:positionH>
            <wp:positionV relativeFrom="paragraph">
              <wp:posOffset>21590</wp:posOffset>
            </wp:positionV>
            <wp:extent cx="4163060" cy="3525520"/>
            <wp:effectExtent l="0" t="0" r="8890" b="17780"/>
            <wp:wrapSquare wrapText="bothSides"/>
            <wp:docPr id="2" name="图片 2" descr="收入决算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入决算结构图"/>
                    <pic:cNvPicPr>
                      <a:picLocks noChangeAspect="1"/>
                    </pic:cNvPicPr>
                  </pic:nvPicPr>
                  <pic:blipFill>
                    <a:blip r:embed="rId7"/>
                    <a:srcRect b="11480"/>
                    <a:stretch>
                      <a:fillRect/>
                    </a:stretch>
                  </pic:blipFill>
                  <pic:spPr>
                    <a:xfrm>
                      <a:off x="0" y="0"/>
                      <a:ext cx="4163060" cy="3525520"/>
                    </a:xfrm>
                    <a:prstGeom prst="rect">
                      <a:avLst/>
                    </a:prstGeom>
                  </pic:spPr>
                </pic:pic>
              </a:graphicData>
            </a:graphic>
          </wp:anchor>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1245.06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1055.93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189.13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15</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240" w:lineRule="auto"/>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619625" cy="3219450"/>
            <wp:effectExtent l="0" t="0" r="9525" b="0"/>
            <wp:docPr id="3" name="图片 3" descr="支出决算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支出决算结构图"/>
                    <pic:cNvPicPr>
                      <a:picLocks noChangeAspect="1"/>
                    </pic:cNvPicPr>
                  </pic:nvPicPr>
                  <pic:blipFill>
                    <a:blip r:embed="rId8"/>
                    <a:stretch>
                      <a:fillRect/>
                    </a:stretch>
                  </pic:blipFill>
                  <pic:spPr>
                    <a:xfrm>
                      <a:off x="0" y="0"/>
                      <a:ext cx="4619625" cy="3219450"/>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1245.06</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hint="eastAsia" w:ascii="仿宋" w:hAnsi="仿宋" w:eastAsia="仿宋"/>
          <w:color w:val="000000"/>
          <w:sz w:val="32"/>
          <w:szCs w:val="32"/>
          <w:lang w:val="en-US" w:eastAsia="zh-CN"/>
        </w:rPr>
        <w:t>74.52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教师人数增加。</w:t>
      </w:r>
    </w:p>
    <w:p>
      <w:pPr>
        <w:spacing w:line="600" w:lineRule="exact"/>
        <w:ind w:firstLine="640"/>
        <w:rPr>
          <w:rFonts w:hint="eastAsia" w:ascii="仿宋" w:hAnsi="仿宋" w:eastAsia="仿宋"/>
          <w:color w:val="000000"/>
          <w:sz w:val="32"/>
          <w:szCs w:val="32"/>
          <w:lang w:eastAsia="zh-CN"/>
        </w:rPr>
      </w:pP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72000" cy="3152775"/>
            <wp:effectExtent l="0" t="0" r="0" b="9525"/>
            <wp:docPr id="4" name="图片 4" descr="财政拨款收支决算总计变动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财政拨款收支决算总计变动图"/>
                    <pic:cNvPicPr>
                      <a:picLocks noChangeAspect="1"/>
                    </pic:cNvPicPr>
                  </pic:nvPicPr>
                  <pic:blipFill>
                    <a:blip r:embed="rId9"/>
                    <a:stretch>
                      <a:fillRect/>
                    </a:stretch>
                  </pic:blipFill>
                  <pic:spPr>
                    <a:xfrm>
                      <a:off x="0" y="0"/>
                      <a:ext cx="4572000" cy="315277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1242.06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74.52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加大教育投资力度。</w:t>
      </w:r>
    </w:p>
    <w:p>
      <w:pPr>
        <w:spacing w:line="240" w:lineRule="auto"/>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4572000" cy="3200400"/>
            <wp:effectExtent l="0" t="0" r="0" b="0"/>
            <wp:docPr id="5" name="图片 5" descr="一般公共预算财政拨款支出决算变动情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一般公共预算财政拨款支出决算变动情况图"/>
                    <pic:cNvPicPr>
                      <a:picLocks noChangeAspect="1"/>
                    </pic:cNvPicPr>
                  </pic:nvPicPr>
                  <pic:blipFill>
                    <a:blip r:embed="rId10"/>
                    <a:stretch>
                      <a:fillRect/>
                    </a:stretch>
                  </pic:blipFill>
                  <pic:spPr>
                    <a:xfrm>
                      <a:off x="0" y="0"/>
                      <a:ext cx="4572000" cy="3200400"/>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1242.06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1042.65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83.95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0</w:t>
      </w:r>
      <w:r>
        <w:rPr>
          <w:rFonts w:hint="eastAsia" w:ascii="仿宋" w:hAnsi="仿宋" w:eastAsia="仿宋"/>
          <w:b/>
          <w:bCs/>
          <w:color w:val="000000" w:themeColor="text1"/>
          <w:sz w:val="32"/>
          <w:szCs w:val="32"/>
        </w:rPr>
        <w:t>万元，占</w:t>
      </w:r>
      <w:r>
        <w:rPr>
          <w:rFonts w:hint="eastAsia" w:ascii="仿宋" w:hAnsi="仿宋" w:eastAsia="仿宋"/>
          <w:b/>
          <w:bCs/>
          <w:color w:val="000000" w:themeColor="text1"/>
          <w:sz w:val="32"/>
          <w:szCs w:val="32"/>
          <w:lang w:val="en-US" w:eastAsia="zh-CN"/>
        </w:rPr>
        <w:t>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88.96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7.16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38.81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3.12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71.65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5.77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240" w:lineRule="auto"/>
        <w:ind w:firstLine="64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drawing>
          <wp:inline distT="0" distB="0" distL="114300" distR="114300">
            <wp:extent cx="4486275" cy="4295775"/>
            <wp:effectExtent l="0" t="0" r="9525" b="9525"/>
            <wp:docPr id="6" name="图片 6" descr="一般公共预算财政拨款支出决算结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一般公共预算财政拨款支出决算结构"/>
                    <pic:cNvPicPr>
                      <a:picLocks noChangeAspect="1"/>
                    </pic:cNvPicPr>
                  </pic:nvPicPr>
                  <pic:blipFill>
                    <a:blip r:embed="rId11"/>
                    <a:stretch>
                      <a:fillRect/>
                    </a:stretch>
                  </pic:blipFill>
                  <pic:spPr>
                    <a:xfrm>
                      <a:off x="0" y="0"/>
                      <a:ext cx="4486275" cy="4295775"/>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1245.06</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val="en-US" w:eastAsia="zh-CN"/>
        </w:rPr>
        <w:t>205</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1042.65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0505</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88.96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1102</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38.81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lang w:val="en-US" w:eastAsia="zh-CN"/>
        </w:rPr>
        <w:t>4</w:t>
      </w:r>
      <w:r>
        <w:rPr>
          <w:rStyle w:val="15"/>
          <w:rFonts w:ascii="仿宋" w:hAnsi="仿宋" w:eastAsia="仿宋"/>
          <w:bCs/>
          <w:color w:val="000000"/>
          <w:sz w:val="32"/>
          <w:szCs w:val="32"/>
        </w:rPr>
        <w:t>.</w:t>
      </w:r>
      <w:r>
        <w:rPr>
          <w:rFonts w:hint="eastAsia" w:ascii="仿宋" w:hAnsi="仿宋" w:eastAsia="仿宋"/>
          <w:b/>
          <w:bCs/>
          <w:color w:val="000000" w:themeColor="text1"/>
          <w:sz w:val="32"/>
          <w:szCs w:val="32"/>
          <w:lang w:eastAsia="zh-CN"/>
        </w:rPr>
        <w:t>住房保障</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val="en-US" w:eastAsia="zh-CN"/>
        </w:rPr>
        <w:t>221</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val="en-US" w:eastAsia="zh-CN"/>
        </w:rPr>
        <w:t>0201</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71.65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1055.93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939.74</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301.53、万元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93.08万元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202.43万元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88.96万元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9.84万元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122.01万元</w:t>
      </w:r>
      <w:r>
        <w:rPr>
          <w:rFonts w:hint="eastAsia" w:ascii="仿宋" w:hAnsi="仿宋" w:eastAsia="仿宋"/>
          <w:color w:val="000000"/>
          <w:sz w:val="32"/>
          <w:szCs w:val="32"/>
        </w:rPr>
        <w:t>、、医疗</w:t>
      </w:r>
      <w:r>
        <w:rPr>
          <w:rFonts w:hint="eastAsia" w:ascii="仿宋" w:hAnsi="仿宋" w:eastAsia="仿宋"/>
          <w:color w:val="000000"/>
          <w:sz w:val="32"/>
          <w:szCs w:val="32"/>
          <w:lang w:eastAsia="zh-CN"/>
        </w:rPr>
        <w:t>保险缴</w:t>
      </w:r>
      <w:r>
        <w:rPr>
          <w:rFonts w:hint="eastAsia" w:ascii="仿宋" w:hAnsi="仿宋" w:eastAsia="仿宋"/>
          <w:color w:val="000000"/>
          <w:sz w:val="32"/>
          <w:szCs w:val="32"/>
        </w:rPr>
        <w:t>费</w:t>
      </w:r>
      <w:r>
        <w:rPr>
          <w:rFonts w:hint="eastAsia" w:ascii="仿宋" w:hAnsi="仿宋" w:eastAsia="仿宋"/>
          <w:color w:val="000000"/>
          <w:sz w:val="32"/>
          <w:szCs w:val="32"/>
          <w:lang w:val="en-US" w:eastAsia="zh-CN"/>
        </w:rPr>
        <w:t>38.81</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71.65万元</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val="en-US" w:eastAsia="zh-CN"/>
        </w:rPr>
        <w:t>11.42万元</w:t>
      </w:r>
      <w:r>
        <w:rPr>
          <w:rFonts w:hint="eastAsia" w:ascii="仿宋" w:hAnsi="仿宋" w:eastAsia="仿宋"/>
          <w:color w:val="000000"/>
          <w:sz w:val="32"/>
          <w:szCs w:val="32"/>
        </w:rPr>
        <w:t>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116.19</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63.56万元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3.54万元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5.22万元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4.11万元</w:t>
      </w:r>
      <w:r>
        <w:rPr>
          <w:rFonts w:hint="eastAsia" w:ascii="仿宋" w:hAnsi="仿宋" w:eastAsia="仿宋"/>
          <w:color w:val="000000"/>
          <w:sz w:val="32"/>
          <w:szCs w:val="32"/>
        </w:rPr>
        <w:t>、维修（护）费</w:t>
      </w:r>
      <w:r>
        <w:rPr>
          <w:rFonts w:hint="eastAsia" w:ascii="仿宋" w:hAnsi="仿宋" w:eastAsia="仿宋"/>
          <w:color w:val="000000"/>
          <w:sz w:val="32"/>
          <w:szCs w:val="32"/>
          <w:lang w:val="en-US" w:eastAsia="zh-CN"/>
        </w:rPr>
        <w:t>23.99万元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6.21万元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1.48万元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2.94万元</w:t>
      </w:r>
      <w:r>
        <w:rPr>
          <w:rFonts w:hint="eastAsia" w:ascii="仿宋" w:hAnsi="仿宋" w:eastAsia="仿宋"/>
          <w:color w:val="000000"/>
          <w:sz w:val="32"/>
          <w:szCs w:val="32"/>
        </w:rPr>
        <w:t>、其他商品和服务支出</w:t>
      </w:r>
      <w:r>
        <w:rPr>
          <w:rFonts w:hint="eastAsia" w:ascii="仿宋" w:hAnsi="仿宋" w:eastAsia="仿宋"/>
          <w:color w:val="000000"/>
          <w:sz w:val="32"/>
          <w:szCs w:val="32"/>
          <w:lang w:val="en-US" w:eastAsia="zh-CN"/>
        </w:rPr>
        <w:t>5.14万元</w:t>
      </w:r>
      <w:r>
        <w:rPr>
          <w:rFonts w:hint="eastAsia" w:ascii="仿宋" w:hAnsi="仿宋" w:eastAsia="仿宋"/>
          <w:color w:val="000000"/>
          <w:sz w:val="32"/>
          <w:szCs w:val="32"/>
        </w:rPr>
        <w:t>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1.48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91050" cy="4410075"/>
            <wp:effectExtent l="0" t="0" r="0" b="9525"/>
            <wp:docPr id="7" name="图片 7" descr="三公经费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三公经费结构图"/>
                    <pic:cNvPicPr>
                      <a:picLocks noChangeAspect="1"/>
                    </pic:cNvPicPr>
                  </pic:nvPicPr>
                  <pic:blipFill>
                    <a:blip r:embed="rId12"/>
                    <a:stretch>
                      <a:fillRect/>
                    </a:stretch>
                  </pic:blipFill>
                  <pic:spPr>
                    <a:xfrm>
                      <a:off x="0" y="0"/>
                      <a:ext cx="4591050" cy="4410075"/>
                    </a:xfrm>
                    <a:prstGeom prst="rect">
                      <a:avLst/>
                    </a:prstGeom>
                  </pic:spPr>
                </pic:pic>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p>
    <w:p>
      <w:pPr>
        <w:numPr>
          <w:ilvl w:val="0"/>
          <w:numId w:val="2"/>
        </w:numPr>
        <w:spacing w:line="600" w:lineRule="exact"/>
        <w:ind w:left="0" w:leftChars="0" w:firstLine="640" w:firstLineChars="0"/>
        <w:rPr>
          <w:rFonts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1.48</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0.05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0.01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减少接待开支</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outlineLvl w:val="1"/>
        <w:rPr>
          <w:rStyle w:val="26"/>
          <w:rFonts w:ascii="黑体" w:hAnsi="黑体" w:eastAsia="黑体"/>
        </w:rPr>
      </w:pPr>
      <w:bookmarkStart w:id="46" w:name="_Toc15396610"/>
      <w:bookmarkStart w:id="47"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w:t>
      </w:r>
    </w:p>
    <w:p>
      <w:pPr>
        <w:numPr>
          <w:ilvl w:val="0"/>
          <w:numId w:val="3"/>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老君乡中心校无</w:t>
      </w:r>
      <w:r>
        <w:rPr>
          <w:rFonts w:hint="eastAsia" w:ascii="仿宋_GB2312" w:eastAsia="仿宋_GB2312"/>
          <w:color w:val="000000"/>
          <w:sz w:val="32"/>
          <w:szCs w:val="32"/>
        </w:rPr>
        <w:t>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老君乡中心校无</w:t>
      </w:r>
      <w:r>
        <w:rPr>
          <w:rFonts w:hint="eastAsia" w:ascii="仿宋_GB2312" w:eastAsia="仿宋_GB2312"/>
          <w:color w:val="000000"/>
          <w:sz w:val="32"/>
          <w:szCs w:val="32"/>
        </w:rPr>
        <w:t>政府采购支出总额。</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老君乡中心校</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无</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根据预算绩效管理要求，本部门（单位）在年初预算编制阶段，组织对4个项目开展了预算事前绩效评估，对4个项目编制了绩效目标，预算执行过程中，选取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个项目开展绩效监控，年终执行完毕后，对4个项目开展了绩效目标完成情况梳理填报。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部门整体支出开展绩效自评，从评价情况来看预算编编制、执行、管理严格按照程序进行支出符合部门预算批复的用途，无截留、挤占、挪用、虚列支出等情况。本部门还自行组织了4个项目绩效评价，从评价情况来看项目资金做到了专款专用，涉及资金</w:t>
      </w:r>
      <w:r>
        <w:rPr>
          <w:rFonts w:hint="eastAsia" w:ascii="仿宋_GB2312" w:hAnsi="仿宋_GB2312" w:eastAsia="仿宋_GB2312" w:cs="仿宋_GB2312"/>
          <w:sz w:val="32"/>
          <w:szCs w:val="32"/>
          <w:lang w:val="en-US" w:eastAsia="zh-CN"/>
        </w:rPr>
        <w:t>189.13</w:t>
      </w:r>
      <w:r>
        <w:rPr>
          <w:rFonts w:hint="eastAsia" w:ascii="仿宋_GB2312" w:hAnsi="仿宋_GB2312" w:eastAsia="仿宋_GB2312" w:cs="仿宋_GB2312"/>
          <w:sz w:val="32"/>
          <w:szCs w:val="32"/>
        </w:rPr>
        <w:t>万元，严格按照文件精神执行，合理使用项目资金。</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年度部门决算中反映“贫困寄宿生生活补助、”学前教育免保教费”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、“营养餐改善补助资金”、“大型维修”等4个项目绩效目标实际完成情况。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贫困寄宿生生活补助项目绩效目标完成情况综述。项目全年预算数</w:t>
      </w:r>
      <w:r>
        <w:rPr>
          <w:rFonts w:hint="eastAsia" w:ascii="仿宋_GB2312" w:hAnsi="仿宋_GB2312" w:eastAsia="仿宋_GB2312" w:cs="仿宋_GB2312"/>
          <w:sz w:val="32"/>
          <w:szCs w:val="32"/>
          <w:lang w:val="en-US" w:eastAsia="zh-CN"/>
        </w:rPr>
        <w:t>69.38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69.38</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山区贫困学生吃饭难的问题，为贫困寄宿生家庭缓解了经济压力。在发放的过程中，学校严格按照文件精神，及时发放，足额发放。发现的主要问题：无。下一步改进措施：固定法定监护人，督促家长（监护人）为其办理银行卡，实行打卡直发。</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学前教育免保教费项目绩效目标完成情况综述。项目全年预算数</w:t>
      </w:r>
      <w:r>
        <w:rPr>
          <w:rFonts w:hint="eastAsia" w:ascii="仿宋_GB2312" w:hAnsi="仿宋_GB2312" w:eastAsia="仿宋_GB2312" w:cs="仿宋_GB2312"/>
          <w:sz w:val="32"/>
          <w:szCs w:val="32"/>
          <w:lang w:val="en-US" w:eastAsia="zh-CN"/>
        </w:rPr>
        <w:t>30.33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30.33</w:t>
      </w:r>
      <w:r>
        <w:rPr>
          <w:rFonts w:hint="eastAsia" w:ascii="仿宋_GB2312" w:hAnsi="仿宋_GB2312" w:eastAsia="仿宋_GB2312" w:cs="仿宋_GB2312"/>
          <w:sz w:val="32"/>
          <w:szCs w:val="32"/>
        </w:rPr>
        <w:t>万元，完成算的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。在发放的过程中，学校严格按照文件精神，及时发放，足额发放。发现的主要问题：无。下一步改进措施：无。</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营养餐改善资金项目绩效目标完成情况综述。项目全年预算数</w:t>
      </w:r>
      <w:r>
        <w:rPr>
          <w:rFonts w:hint="eastAsia" w:ascii="仿宋_GB2312" w:hAnsi="仿宋_GB2312" w:eastAsia="仿宋_GB2312" w:cs="仿宋_GB2312"/>
          <w:sz w:val="32"/>
          <w:szCs w:val="32"/>
          <w:lang w:val="en-US" w:eastAsia="zh-CN"/>
        </w:rPr>
        <w:t>69.12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69.12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。通过项目实施增强了学生身体素质，促进了学生的健康成长。发现的主要问题：有部分学生不愿意吃营养餐。下一步改进措施：提供饭菜质量，使学生愿吃，乐吃。</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大型维修及建设项目绩效目标完成情况综述。项目全年预算数</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。通过项目的实施，保障了校舍安全，完善了校舍的使用功能，校舍维修严格按照审批程序，接受财政监管。发现的主要问题：无。下一步改进措施：无。</w:t>
      </w: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997" w:tblpY="994"/>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widowControl/>
              <w:ind w:left="3580" w:leftChars="1310" w:hanging="829" w:hangingChars="395"/>
              <w:textAlignment w:val="center"/>
              <w:rPr>
                <w:rFonts w:ascii="宋体" w:hAnsi="宋体" w:cs="宋体"/>
                <w:color w:val="000000"/>
                <w:szCs w:val="21"/>
              </w:rPr>
            </w:pPr>
            <w:r>
              <w:rPr>
                <w:rFonts w:hint="eastAsia" w:ascii="黑体" w:hAnsi="黑体" w:eastAsia="黑体" w:cs="宋体"/>
                <w:bCs/>
                <w:color w:val="000000"/>
                <w:kern w:val="0"/>
                <w:szCs w:val="21"/>
                <w:lang w:bidi="ar"/>
              </w:rPr>
              <w:t>项目支出绩效目标完成情况表</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2019</w:t>
            </w:r>
            <w:r>
              <w:rPr>
                <w:rFonts w:hint="eastAsia" w:ascii="宋体" w:hAnsi="宋体" w:cs="宋体"/>
                <w:color w:val="000000"/>
                <w:kern w:val="0"/>
                <w:szCs w:val="21"/>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szCs w:val="21"/>
              </w:rPr>
              <w:t>贫困寄宿生生活补助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宣汉县</w:t>
            </w:r>
            <w:r>
              <w:rPr>
                <w:rFonts w:hint="eastAsia" w:ascii="宋体" w:hAnsi="宋体" w:cs="宋体"/>
                <w:color w:val="000000"/>
                <w:szCs w:val="21"/>
                <w:lang w:eastAsia="zh-CN"/>
              </w:rPr>
              <w:t>老君乡</w:t>
            </w:r>
            <w:r>
              <w:rPr>
                <w:rFonts w:hint="eastAsia" w:ascii="宋体" w:hAnsi="宋体" w:cs="宋体"/>
                <w:color w:val="000000"/>
                <w:szCs w:val="21"/>
              </w:rPr>
              <w:t>中心校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69.38万元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69.38</w:t>
            </w:r>
            <w:r>
              <w:rPr>
                <w:rFonts w:hint="eastAsia" w:ascii="宋体" w:hAnsi="宋体" w:cs="宋体"/>
                <w:color w:val="000000"/>
                <w:szCs w:val="21"/>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69.38</w:t>
            </w:r>
            <w:r>
              <w:rPr>
                <w:rFonts w:hint="eastAsia" w:ascii="宋体" w:hAnsi="宋体" w:cs="宋体"/>
                <w:color w:val="000000"/>
                <w:szCs w:val="21"/>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69.38</w:t>
            </w:r>
            <w:r>
              <w:rPr>
                <w:rFonts w:hint="eastAsia" w:ascii="宋体" w:hAnsi="宋体" w:cs="宋体"/>
                <w:color w:val="000000"/>
                <w:szCs w:val="21"/>
              </w:rPr>
              <w:t>万元</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实际完成目标</w:t>
            </w:r>
          </w:p>
        </w:tc>
      </w:tr>
      <w:tr>
        <w:tblPrEx>
          <w:tblCellMar>
            <w:top w:w="0" w:type="dxa"/>
            <w:left w:w="0" w:type="dxa"/>
            <w:bottom w:w="0" w:type="dxa"/>
            <w:right w:w="0" w:type="dxa"/>
          </w:tblCellMar>
        </w:tblPrEx>
        <w:trPr>
          <w:trHeight w:val="189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cs="宋体"/>
                <w:color w:val="000000"/>
                <w:szCs w:val="21"/>
              </w:rPr>
              <w:t>贫困寄宿生生活补助的实施，能有效解决家庭贫困的学生上学远，经济困难的问题，也缓解了家庭贫困的学生的经济压力。完善了校舍使用功能，保障了学生在校活动的安全。</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cs="宋体"/>
                <w:color w:val="000000"/>
                <w:szCs w:val="21"/>
              </w:rPr>
              <w:t>严格按照预算管理使用资金，做到专款专用，贫困寄宿生生活补助落实到位，完善了校舍使用功能，保障了学生在校活动的安全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小学阶段补助人数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预计补助</w:t>
            </w:r>
            <w:r>
              <w:rPr>
                <w:rFonts w:hint="eastAsia" w:ascii="宋体" w:hAnsi="宋体" w:cs="宋体"/>
                <w:color w:val="000000"/>
                <w:szCs w:val="21"/>
                <w:lang w:val="en-US" w:eastAsia="zh-CN"/>
              </w:rPr>
              <w:t>874</w:t>
            </w:r>
            <w:r>
              <w:rPr>
                <w:rFonts w:hint="eastAsia" w:ascii="宋体" w:hAnsi="宋体" w:cs="宋体"/>
                <w:color w:val="000000"/>
                <w:szCs w:val="21"/>
              </w:rPr>
              <w:t>人次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已补助</w:t>
            </w:r>
            <w:r>
              <w:rPr>
                <w:rFonts w:hint="eastAsia" w:ascii="宋体" w:hAnsi="宋体" w:cs="宋体"/>
                <w:color w:val="000000"/>
                <w:szCs w:val="21"/>
                <w:lang w:val="en-US" w:eastAsia="zh-CN"/>
              </w:rPr>
              <w:t>874</w:t>
            </w:r>
            <w:r>
              <w:rPr>
                <w:rFonts w:hint="eastAsia" w:ascii="宋体" w:hAnsi="宋体" w:cs="宋体"/>
                <w:color w:val="000000"/>
                <w:szCs w:val="21"/>
              </w:rPr>
              <w:t>人次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小学阶段建档立卡贫困户学生已补助人数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预计补助</w:t>
            </w:r>
            <w:r>
              <w:rPr>
                <w:rFonts w:hint="eastAsia" w:ascii="宋体" w:hAnsi="宋体" w:cs="宋体"/>
                <w:color w:val="000000"/>
                <w:szCs w:val="21"/>
                <w:lang w:val="en-US" w:eastAsia="zh-CN"/>
              </w:rPr>
              <w:t>3</w:t>
            </w:r>
            <w:r>
              <w:rPr>
                <w:rFonts w:ascii="宋体" w:hAnsi="宋体" w:cs="宋体"/>
                <w:color w:val="000000"/>
                <w:szCs w:val="21"/>
              </w:rPr>
              <w:t>21</w:t>
            </w:r>
            <w:r>
              <w:rPr>
                <w:rFonts w:hint="eastAsia" w:ascii="宋体" w:hAnsi="宋体" w:cs="宋体"/>
                <w:color w:val="000000"/>
                <w:szCs w:val="21"/>
              </w:rPr>
              <w:t>人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已补助</w:t>
            </w:r>
            <w:r>
              <w:rPr>
                <w:rFonts w:hint="eastAsia" w:ascii="宋体" w:hAnsi="宋体" w:cs="宋体"/>
                <w:color w:val="000000"/>
                <w:szCs w:val="21"/>
                <w:lang w:val="en-US" w:eastAsia="zh-CN"/>
              </w:rPr>
              <w:t>3</w:t>
            </w:r>
            <w:r>
              <w:rPr>
                <w:rFonts w:ascii="宋体" w:hAnsi="宋体" w:cs="宋体"/>
                <w:color w:val="000000"/>
                <w:szCs w:val="21"/>
              </w:rPr>
              <w:t>21</w:t>
            </w:r>
            <w:r>
              <w:rPr>
                <w:rFonts w:hint="eastAsia" w:ascii="宋体" w:hAnsi="宋体" w:cs="宋体"/>
                <w:color w:val="000000"/>
                <w:szCs w:val="21"/>
              </w:rPr>
              <w:t>人次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小学阶段建档立卡贫困户寄宿学生补助人数占小学阶段补助人数的比例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37</w:t>
            </w:r>
            <w:r>
              <w:rPr>
                <w:rFonts w:hint="eastAsia" w:ascii="宋体" w:hAns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37</w:t>
            </w:r>
            <w:r>
              <w:rPr>
                <w:rFonts w:hint="eastAsia" w:ascii="宋体" w:hAnsi="宋体" w:cs="宋体"/>
                <w:color w:val="000000"/>
                <w:szCs w:val="21"/>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 xml:space="preserve">  资助经费及时发放率 （ 100%）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补助资金及时足额发放率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义务教育阶段小学寄宿学生每学期人均补助标准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500元/期</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500元/期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义务教育阶段寄宿学生得到补助的比例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 xml:space="preserve"> 建档立卡贫困户子女全程全部接受资助的比例（≥%）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16</w:t>
            </w:r>
            <w:r>
              <w:rPr>
                <w:rFonts w:hint="eastAsia" w:ascii="宋体" w:hAns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16</w:t>
            </w:r>
            <w:r>
              <w:rPr>
                <w:rFonts w:hint="eastAsia" w:ascii="宋体" w:hAnsi="宋体" w:cs="宋体"/>
                <w:color w:val="000000"/>
                <w:szCs w:val="21"/>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政策知晓率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接受义务教育阶段寄宿学生补助学生满意度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接受义务教育阶段寄宿学生补助家长满意度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widowControl/>
              <w:ind w:left="3580" w:leftChars="1310" w:hanging="829" w:hangingChars="395"/>
              <w:textAlignment w:val="center"/>
              <w:rPr>
                <w:rFonts w:ascii="宋体" w:hAnsi="宋体" w:cs="宋体"/>
                <w:color w:val="000000"/>
                <w:szCs w:val="21"/>
              </w:rPr>
            </w:pPr>
            <w:r>
              <w:rPr>
                <w:rFonts w:hint="eastAsia" w:ascii="黑体" w:hAnsi="黑体" w:eastAsia="黑体" w:cs="宋体"/>
                <w:bCs/>
                <w:color w:val="000000"/>
                <w:kern w:val="0"/>
                <w:szCs w:val="21"/>
                <w:lang w:bidi="ar"/>
              </w:rPr>
              <w:t>项目支出绩效目标完成情况表</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2019</w:t>
            </w:r>
            <w:r>
              <w:rPr>
                <w:rFonts w:hint="eastAsia" w:ascii="宋体" w:hAnsi="宋体" w:cs="宋体"/>
                <w:color w:val="000000"/>
                <w:kern w:val="0"/>
                <w:szCs w:val="21"/>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szCs w:val="21"/>
              </w:rPr>
              <w:t>学前教育免保教费项目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宣汉县</w:t>
            </w:r>
            <w:r>
              <w:rPr>
                <w:rFonts w:hint="eastAsia" w:ascii="宋体" w:hAnsi="宋体" w:cs="宋体"/>
                <w:color w:val="000000"/>
                <w:szCs w:val="21"/>
                <w:lang w:eastAsia="zh-CN"/>
              </w:rPr>
              <w:t>老君乡</w:t>
            </w:r>
            <w:r>
              <w:rPr>
                <w:rFonts w:hint="eastAsia" w:ascii="宋体" w:hAnsi="宋体" w:cs="宋体"/>
                <w:color w:val="000000"/>
                <w:szCs w:val="21"/>
              </w:rPr>
              <w:t>中心校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30.33</w:t>
            </w:r>
            <w:r>
              <w:rPr>
                <w:rFonts w:hint="eastAsia" w:ascii="宋体" w:hAnsi="宋体" w:cs="宋体"/>
                <w:color w:val="000000"/>
                <w:szCs w:val="21"/>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30.33</w:t>
            </w:r>
            <w:r>
              <w:rPr>
                <w:rFonts w:hint="eastAsia" w:ascii="宋体" w:hAnsi="宋体" w:cs="宋体"/>
                <w:color w:val="000000"/>
                <w:szCs w:val="21"/>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30.33</w:t>
            </w:r>
            <w:r>
              <w:rPr>
                <w:rFonts w:hint="eastAsia" w:ascii="宋体" w:hAnsi="宋体" w:cs="宋体"/>
                <w:color w:val="000000"/>
                <w:szCs w:val="21"/>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30.33</w:t>
            </w:r>
            <w:r>
              <w:rPr>
                <w:rFonts w:hint="eastAsia" w:ascii="宋体" w:hAnsi="宋体" w:cs="宋体"/>
                <w:color w:val="000000"/>
                <w:szCs w:val="21"/>
              </w:rPr>
              <w:t>万元</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实际完成目标</w:t>
            </w:r>
          </w:p>
        </w:tc>
      </w:tr>
      <w:tr>
        <w:tblPrEx>
          <w:tblCellMar>
            <w:top w:w="0" w:type="dxa"/>
            <w:left w:w="0" w:type="dxa"/>
            <w:bottom w:w="0" w:type="dxa"/>
            <w:right w:w="0" w:type="dxa"/>
          </w:tblCellMar>
        </w:tblPrEx>
        <w:trPr>
          <w:trHeight w:val="189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szCs w:val="21"/>
              </w:rPr>
              <w:t>学前教育免保教费</w:t>
            </w:r>
            <w:r>
              <w:rPr>
                <w:rFonts w:hint="eastAsia" w:ascii="宋体" w:cs="宋体"/>
                <w:color w:val="000000"/>
                <w:szCs w:val="21"/>
              </w:rPr>
              <w:t>的实施，能有效解决学生经济困难的问题，也缓解了家庭贫困的学生的经济压力。</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cs="宋体"/>
                <w:color w:val="000000"/>
                <w:szCs w:val="21"/>
              </w:rPr>
              <w:t>严格按照预算管理使用资金，做到专款专用</w:t>
            </w:r>
            <w:r>
              <w:rPr>
                <w:rFonts w:hint="eastAsia" w:ascii="仿宋_GB2312" w:hAnsi="仿宋_GB2312" w:eastAsia="仿宋_GB2312" w:cs="仿宋_GB2312"/>
                <w:szCs w:val="21"/>
              </w:rPr>
              <w:t>学前教育免保教费</w:t>
            </w:r>
            <w:r>
              <w:rPr>
                <w:rFonts w:hint="eastAsia" w:ascii="宋体" w:cs="宋体"/>
                <w:color w:val="000000"/>
                <w:szCs w:val="21"/>
              </w:rPr>
              <w:t>落实到位.</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幼儿阶段补助人数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预计补助</w:t>
            </w:r>
            <w:r>
              <w:rPr>
                <w:rFonts w:hint="eastAsia" w:ascii="宋体" w:hAnsi="宋体" w:cs="宋体"/>
                <w:color w:val="000000"/>
                <w:szCs w:val="21"/>
                <w:lang w:val="en-US" w:eastAsia="zh-CN"/>
              </w:rPr>
              <w:t>607</w:t>
            </w:r>
            <w:r>
              <w:rPr>
                <w:rFonts w:hint="eastAsia" w:ascii="宋体" w:hAnsi="宋体" w:cs="宋体"/>
                <w:color w:val="000000"/>
                <w:szCs w:val="21"/>
              </w:rPr>
              <w:t>人次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已补助</w:t>
            </w:r>
            <w:r>
              <w:rPr>
                <w:rFonts w:hint="eastAsia" w:ascii="宋体" w:hAnsi="宋体" w:cs="宋体"/>
                <w:color w:val="000000"/>
                <w:szCs w:val="21"/>
                <w:lang w:val="en-US" w:eastAsia="zh-CN"/>
              </w:rPr>
              <w:t>607</w:t>
            </w:r>
            <w:r>
              <w:rPr>
                <w:rFonts w:hint="eastAsia" w:ascii="宋体" w:hAnsi="宋体" w:cs="宋体"/>
                <w:color w:val="000000"/>
                <w:szCs w:val="21"/>
              </w:rPr>
              <w:t>人次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幼儿阶段建档立卡贫困户学生已补助人数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预计补助</w:t>
            </w:r>
            <w:r>
              <w:rPr>
                <w:rFonts w:hint="eastAsia" w:ascii="宋体" w:hAnsi="宋体" w:cs="宋体"/>
                <w:color w:val="000000"/>
                <w:szCs w:val="21"/>
                <w:lang w:val="en-US" w:eastAsia="zh-CN"/>
              </w:rPr>
              <w:t>1</w:t>
            </w:r>
            <w:r>
              <w:rPr>
                <w:rFonts w:ascii="宋体" w:hAnsi="宋体" w:cs="宋体"/>
                <w:color w:val="000000"/>
                <w:szCs w:val="21"/>
              </w:rPr>
              <w:t>67</w:t>
            </w:r>
            <w:r>
              <w:rPr>
                <w:rFonts w:hint="eastAsia" w:ascii="宋体" w:hAnsi="宋体" w:cs="宋体"/>
                <w:color w:val="000000"/>
                <w:szCs w:val="21"/>
              </w:rPr>
              <w:t>人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已补助</w:t>
            </w:r>
            <w:r>
              <w:rPr>
                <w:rFonts w:ascii="宋体" w:hAnsi="宋体" w:cs="宋体"/>
                <w:color w:val="000000"/>
                <w:szCs w:val="21"/>
              </w:rPr>
              <w:t>267</w:t>
            </w:r>
            <w:r>
              <w:rPr>
                <w:rFonts w:hint="eastAsia" w:ascii="宋体" w:hAnsi="宋体" w:cs="宋体"/>
                <w:color w:val="000000"/>
                <w:szCs w:val="21"/>
              </w:rPr>
              <w:t>人次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幼儿阶段建档立卡贫困户占幼儿阶段补助人数的比例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28</w:t>
            </w:r>
            <w:r>
              <w:rPr>
                <w:rFonts w:hint="eastAsia" w:ascii="宋体" w:hAns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28</w:t>
            </w:r>
            <w:r>
              <w:rPr>
                <w:rFonts w:hint="eastAsia" w:ascii="宋体" w:hAnsi="宋体" w:cs="宋体"/>
                <w:color w:val="000000"/>
                <w:szCs w:val="21"/>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 xml:space="preserve">  资助经费及时发放率 （ 100%）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补助资金及时足额发放率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幼儿学生每学期人均补助标准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00元/期</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00元/期</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幼儿学生得到补助的比例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 xml:space="preserve"> 建档立卡贫困户子女全程全部接受资助的比例（≥%）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11</w:t>
            </w:r>
            <w:r>
              <w:rPr>
                <w:rFonts w:hint="eastAsia" w:ascii="宋体" w:hAns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11</w:t>
            </w:r>
            <w:r>
              <w:rPr>
                <w:rFonts w:hint="eastAsia" w:ascii="宋体" w:hAnsi="宋体" w:cs="宋体"/>
                <w:color w:val="000000"/>
                <w:szCs w:val="21"/>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政策知晓率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接受义务教育阶段寄宿学生补助学生满意度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接受义务教育阶段寄宿学生补助家长满意度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bl>
    <w:p>
      <w:pPr>
        <w:tabs>
          <w:tab w:val="left" w:pos="312"/>
        </w:tabs>
        <w:spacing w:line="580" w:lineRule="exact"/>
        <w:rPr>
          <w:rFonts w:ascii="仿宋_GB2312" w:hAnsi="仿宋_GB2312" w:eastAsia="仿宋_GB2312" w:cs="仿宋_GB2312"/>
          <w:szCs w:val="21"/>
        </w:rPr>
      </w:pPr>
    </w:p>
    <w:tbl>
      <w:tblPr>
        <w:tblStyle w:val="13"/>
        <w:tblpPr w:leftFromText="180" w:rightFromText="180" w:vertAnchor="text" w:horzAnchor="page" w:tblpX="997" w:tblpY="994"/>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widowControl/>
              <w:ind w:left="3580" w:leftChars="1310" w:hanging="829" w:hangingChars="395"/>
              <w:textAlignment w:val="center"/>
              <w:rPr>
                <w:rFonts w:ascii="宋体" w:hAnsi="宋体" w:cs="宋体"/>
                <w:color w:val="000000"/>
                <w:szCs w:val="21"/>
              </w:rPr>
            </w:pPr>
            <w:r>
              <w:rPr>
                <w:rFonts w:hint="eastAsia" w:ascii="黑体" w:hAnsi="黑体" w:eastAsia="黑体" w:cs="宋体"/>
                <w:bCs/>
                <w:color w:val="000000"/>
                <w:kern w:val="0"/>
                <w:szCs w:val="21"/>
                <w:lang w:bidi="ar"/>
              </w:rPr>
              <w:t>项目支出绩效目标完成情况表</w:t>
            </w:r>
            <w:r>
              <w:rPr>
                <w:rFonts w:hint="eastAsia" w:ascii="宋体" w:hAnsi="宋体" w:cs="宋体"/>
                <w:b/>
                <w:bCs/>
                <w:color w:val="000000"/>
                <w:kern w:val="0"/>
                <w:szCs w:val="21"/>
                <w:lang w:bidi="ar"/>
              </w:rPr>
              <w:br w:type="textWrapping"/>
            </w:r>
            <w:r>
              <w:rPr>
                <w:rFonts w:hint="eastAsia" w:ascii="宋体" w:hAnsi="宋体" w:cs="宋体"/>
                <w:color w:val="000000"/>
                <w:kern w:val="0"/>
                <w:szCs w:val="21"/>
                <w:lang w:bidi="ar"/>
              </w:rPr>
              <w:t>(</w:t>
            </w:r>
            <w:r>
              <w:rPr>
                <w:rFonts w:hint="eastAsia" w:ascii="宋体" w:hAnsi="宋体" w:cs="宋体"/>
                <w:color w:val="000000"/>
                <w:kern w:val="0"/>
                <w:szCs w:val="21"/>
                <w:lang w:eastAsia="zh-CN" w:bidi="ar"/>
              </w:rPr>
              <w:t>2019</w:t>
            </w:r>
            <w:r>
              <w:rPr>
                <w:rFonts w:hint="eastAsia" w:ascii="宋体" w:hAnsi="宋体" w:cs="宋体"/>
                <w:color w:val="000000"/>
                <w:kern w:val="0"/>
                <w:szCs w:val="21"/>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szCs w:val="21"/>
              </w:rPr>
              <w:t>营养餐改善资金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宣汉县黄金镇中心校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69.12</w:t>
            </w:r>
            <w:r>
              <w:rPr>
                <w:rFonts w:hint="eastAsia" w:ascii="宋体" w:hAnsi="宋体" w:cs="宋体"/>
                <w:color w:val="000000"/>
                <w:szCs w:val="21"/>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69.12</w:t>
            </w:r>
            <w:r>
              <w:rPr>
                <w:rFonts w:hint="eastAsia" w:ascii="宋体" w:hAnsi="宋体" w:cs="宋体"/>
                <w:color w:val="000000"/>
                <w:szCs w:val="21"/>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69.12</w:t>
            </w:r>
            <w:r>
              <w:rPr>
                <w:rFonts w:hint="eastAsia" w:ascii="宋体" w:hAnsi="宋体" w:cs="宋体"/>
                <w:color w:val="000000"/>
                <w:szCs w:val="21"/>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69.12</w:t>
            </w:r>
            <w:r>
              <w:rPr>
                <w:rFonts w:hint="eastAsia" w:ascii="宋体" w:hAnsi="宋体" w:cs="宋体"/>
                <w:color w:val="000000"/>
                <w:szCs w:val="21"/>
              </w:rPr>
              <w:t>万元</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实际完成目标</w:t>
            </w:r>
          </w:p>
        </w:tc>
      </w:tr>
      <w:tr>
        <w:tblPrEx>
          <w:tblCellMar>
            <w:top w:w="0" w:type="dxa"/>
            <w:left w:w="0" w:type="dxa"/>
            <w:bottom w:w="0" w:type="dxa"/>
            <w:right w:w="0" w:type="dxa"/>
          </w:tblCellMar>
        </w:tblPrEx>
        <w:trPr>
          <w:trHeight w:val="189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仿宋_GB2312" w:hAnsi="仿宋_GB2312" w:eastAsia="仿宋_GB2312" w:cs="仿宋_GB2312"/>
                <w:szCs w:val="21"/>
              </w:rPr>
              <w:t>营养餐改善资金</w:t>
            </w:r>
            <w:r>
              <w:rPr>
                <w:rFonts w:hint="eastAsia" w:ascii="宋体" w:cs="宋体"/>
                <w:color w:val="000000"/>
                <w:szCs w:val="21"/>
              </w:rPr>
              <w:t>的实施，能有效解决家庭贫困的学生上学远，中午吃饭难，也缓解了家庭贫困的学生的经济压力。保障了学生在校活动的安全。</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cs="宋体"/>
                <w:color w:val="000000"/>
                <w:szCs w:val="21"/>
              </w:rPr>
              <w:t>严格按照预算管理使用资金，做到专款专用，</w:t>
            </w:r>
            <w:r>
              <w:rPr>
                <w:rFonts w:hint="eastAsia" w:ascii="仿宋_GB2312" w:hAnsi="仿宋_GB2312" w:eastAsia="仿宋_GB2312" w:cs="仿宋_GB2312"/>
                <w:szCs w:val="21"/>
              </w:rPr>
              <w:t>营养餐改善资金</w:t>
            </w:r>
            <w:r>
              <w:rPr>
                <w:rFonts w:hint="eastAsia" w:ascii="宋体" w:cs="宋体"/>
                <w:color w:val="000000"/>
                <w:szCs w:val="21"/>
              </w:rPr>
              <w:t>落实到位，保障了学生营养餐的安全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小学阶段补助人数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预计补助</w:t>
            </w:r>
            <w:r>
              <w:rPr>
                <w:rFonts w:hint="eastAsia" w:ascii="宋体" w:hAnsi="宋体" w:cs="宋体"/>
                <w:color w:val="000000"/>
                <w:szCs w:val="21"/>
                <w:lang w:val="en-US" w:eastAsia="zh-CN"/>
              </w:rPr>
              <w:t>874</w:t>
            </w:r>
            <w:r>
              <w:rPr>
                <w:rFonts w:hint="eastAsia" w:ascii="宋体" w:hAnsi="宋体" w:cs="宋体"/>
                <w:color w:val="000000"/>
                <w:szCs w:val="21"/>
              </w:rPr>
              <w:t>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已补助</w:t>
            </w:r>
            <w:r>
              <w:rPr>
                <w:rFonts w:hint="eastAsia" w:ascii="宋体" w:hAnsi="宋体" w:cs="宋体"/>
                <w:color w:val="000000"/>
                <w:szCs w:val="21"/>
                <w:lang w:val="en-US" w:eastAsia="zh-CN"/>
              </w:rPr>
              <w:t>874</w:t>
            </w:r>
            <w:r>
              <w:rPr>
                <w:rFonts w:hint="eastAsia" w:ascii="宋体" w:hAnsi="宋体" w:cs="宋体"/>
                <w:color w:val="000000"/>
                <w:szCs w:val="21"/>
              </w:rPr>
              <w:t>人</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eastAsia="zh-CN"/>
              </w:rPr>
              <w:t>中</w:t>
            </w:r>
            <w:r>
              <w:rPr>
                <w:rFonts w:hint="eastAsia" w:ascii="宋体" w:hAnsi="宋体" w:cs="宋体"/>
                <w:color w:val="000000"/>
                <w:szCs w:val="21"/>
              </w:rPr>
              <w:t>小学阶段建档立卡贫困户学生已补助人数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预计补助</w:t>
            </w:r>
            <w:r>
              <w:rPr>
                <w:rFonts w:hint="eastAsia" w:ascii="宋体" w:hAnsi="宋体" w:cs="宋体"/>
                <w:color w:val="000000"/>
                <w:szCs w:val="21"/>
                <w:lang w:val="en-US" w:eastAsia="zh-CN"/>
              </w:rPr>
              <w:t>422</w:t>
            </w:r>
            <w:r>
              <w:rPr>
                <w:rFonts w:hint="eastAsia" w:ascii="宋体" w:hAnsi="宋体" w:cs="宋体"/>
                <w:color w:val="000000"/>
                <w:szCs w:val="21"/>
              </w:rPr>
              <w:t>人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已补助</w:t>
            </w:r>
            <w:r>
              <w:rPr>
                <w:rFonts w:hint="eastAsia" w:ascii="宋体" w:hAnsi="宋体" w:cs="宋体"/>
                <w:color w:val="000000"/>
                <w:szCs w:val="21"/>
                <w:lang w:val="en-US" w:eastAsia="zh-CN"/>
              </w:rPr>
              <w:t>422</w:t>
            </w:r>
            <w:r>
              <w:rPr>
                <w:rFonts w:hint="eastAsia" w:ascii="宋体" w:hAnsi="宋体" w:cs="宋体"/>
                <w:color w:val="000000"/>
                <w:szCs w:val="21"/>
              </w:rPr>
              <w:t>人次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eastAsia="zh-CN"/>
              </w:rPr>
              <w:t>中</w:t>
            </w:r>
            <w:r>
              <w:rPr>
                <w:rFonts w:hint="eastAsia" w:ascii="宋体" w:hAnsi="宋体" w:cs="宋体"/>
                <w:color w:val="000000"/>
                <w:szCs w:val="21"/>
              </w:rPr>
              <w:t>小学阶段建档立卡贫困户人数占小学阶段补助人数的比例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16</w:t>
            </w:r>
            <w:r>
              <w:rPr>
                <w:rFonts w:hint="eastAsia" w:ascii="宋体" w:hAns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16</w:t>
            </w:r>
            <w:r>
              <w:rPr>
                <w:rFonts w:hint="eastAsia" w:ascii="宋体" w:hAnsi="宋体" w:cs="宋体"/>
                <w:color w:val="000000"/>
                <w:szCs w:val="21"/>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 xml:space="preserve">  资助经费及时发放率 （ 100%）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补助资金及时足额发放率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义务教育阶段小学寄宿学生每学期人均补助标准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4元/天</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4元/天</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学生得到补助的比例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 xml:space="preserve"> 建档立卡贫困户子女全程全部接受资助的比例（≥%）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16</w:t>
            </w:r>
            <w:r>
              <w:rPr>
                <w:rFonts w:hint="eastAsia" w:ascii="宋体" w:hAnsi="宋体" w:cs="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ascii="宋体" w:hAnsi="宋体" w:cs="宋体"/>
                <w:color w:val="000000"/>
                <w:szCs w:val="21"/>
              </w:rPr>
              <w:t>16</w:t>
            </w:r>
            <w:r>
              <w:rPr>
                <w:rFonts w:hint="eastAsia" w:ascii="宋体" w:hAnsi="宋体" w:cs="宋体"/>
                <w:color w:val="000000"/>
                <w:szCs w:val="21"/>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政策知晓率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接受义务教育阶段学生满意度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接受义务教育阶段学生家长满意度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项目实施后满足当地学生上学需求</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社会效益</w:t>
            </w:r>
          </w:p>
          <w:p>
            <w:pPr>
              <w:widowControl/>
              <w:jc w:val="center"/>
              <w:textAlignment w:val="center"/>
              <w:rPr>
                <w:rFonts w:ascii="宋体" w:hAnsi="宋体" w:cs="宋体"/>
                <w:color w:val="000000"/>
                <w:szCs w:val="21"/>
              </w:rPr>
            </w:pPr>
            <w:r>
              <w:rPr>
                <w:rFonts w:hint="eastAsia" w:ascii="宋体" w:hAnsi="宋体" w:cs="宋体"/>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政策知晓率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学生满意度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w:t>
            </w:r>
          </w:p>
          <w:p>
            <w:pPr>
              <w:widowControl/>
              <w:jc w:val="center"/>
              <w:textAlignment w:val="center"/>
              <w:rPr>
                <w:rFonts w:ascii="宋体" w:hAnsi="宋体" w:cs="宋体"/>
                <w:color w:val="000000"/>
                <w:szCs w:val="21"/>
              </w:rPr>
            </w:pPr>
            <w:r>
              <w:rPr>
                <w:rFonts w:hint="eastAsia" w:ascii="宋体" w:hAnsi="宋体" w:cs="宋体"/>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宣汉县老君乡中心校</w:t>
      </w:r>
      <w:r>
        <w:rPr>
          <w:rFonts w:hint="eastAsia" w:ascii="仿宋_GB2312" w:hAnsi="仿宋_GB2312" w:eastAsia="仿宋_GB2312" w:cs="仿宋_GB2312"/>
          <w:sz w:val="32"/>
          <w:szCs w:val="32"/>
        </w:rPr>
        <w:t>部门2019年部门整体支出绩效评价报告》见附件。</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eastAsia="仿宋_GB2312"/>
          <w:sz w:val="32"/>
          <w:szCs w:val="32"/>
        </w:rPr>
        <w:t>贫困寄宿生生活补助、”学前教育免保教费” “营养餐改善补助资金”、“校舍维修”</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学生营养餐</w:t>
      </w:r>
      <w:r>
        <w:rPr>
          <w:rFonts w:hint="eastAsia" w:ascii="仿宋_GB2312" w:hAnsi="仿宋_GB2312" w:eastAsia="仿宋_GB2312" w:cs="仿宋_GB2312"/>
          <w:sz w:val="32"/>
          <w:szCs w:val="32"/>
        </w:rPr>
        <w:t>项目2019年绩效评价报告》见附件。（非涉密部门均需公开部门整体支出评价报告，部门自行组织的绩效评价情况根据部门实际公开，若未组织项目绩效评价，则只需说明部门整体支出绩效评价情况）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宣汉县老君乡中心校</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napToGrid w:val="0"/>
        <w:spacing w:line="588" w:lineRule="exact"/>
        <w:ind w:firstLine="600" w:firstLineChars="200"/>
        <w:rPr>
          <w:rFonts w:hint="eastAsia" w:ascii="宋体" w:hAnsi="宋体" w:cs="宋体"/>
          <w:sz w:val="30"/>
          <w:szCs w:val="30"/>
        </w:rPr>
      </w:pPr>
      <w:r>
        <w:rPr>
          <w:rFonts w:hint="eastAsia" w:ascii="宋体" w:hAnsi="宋体" w:cs="宋体"/>
          <w:sz w:val="30"/>
          <w:szCs w:val="30"/>
        </w:rPr>
        <w:t>学校有独立编制机构数1个，独立核算机构数1个。</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ind w:firstLine="60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宋体" w:hAnsi="宋体" w:cs="宋体"/>
          <w:sz w:val="30"/>
          <w:szCs w:val="30"/>
          <w:lang w:eastAsia="zh-CN"/>
        </w:rPr>
        <w:t>老君乡</w:t>
      </w:r>
      <w:r>
        <w:rPr>
          <w:rFonts w:hint="eastAsia" w:ascii="宋体" w:hAnsi="宋体" w:cs="宋体"/>
          <w:sz w:val="30"/>
          <w:szCs w:val="30"/>
        </w:rPr>
        <w:t>小学</w:t>
      </w:r>
      <w:r>
        <w:rPr>
          <w:rFonts w:hint="eastAsia" w:ascii="宋体" w:hAnsi="宋体" w:cs="宋体"/>
          <w:sz w:val="30"/>
          <w:szCs w:val="30"/>
          <w:lang w:eastAsia="zh-CN"/>
        </w:rPr>
        <w:t>、初中</w:t>
      </w:r>
      <w:r>
        <w:rPr>
          <w:rFonts w:hint="eastAsia" w:ascii="宋体" w:hAnsi="宋体" w:cs="宋体"/>
          <w:sz w:val="30"/>
          <w:szCs w:val="30"/>
        </w:rPr>
        <w:t>教育</w:t>
      </w:r>
      <w:r>
        <w:rPr>
          <w:rFonts w:hint="eastAsia" w:ascii="宋体" w:hAnsi="宋体" w:cs="宋体"/>
          <w:sz w:val="30"/>
          <w:szCs w:val="30"/>
          <w:lang w:eastAsia="zh-CN"/>
        </w:rPr>
        <w:t>学历提升。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snapToGrid w:val="0"/>
        <w:spacing w:line="588" w:lineRule="exact"/>
        <w:ind w:firstLine="600" w:firstLineChars="200"/>
        <w:rPr>
          <w:rFonts w:hint="eastAsia" w:ascii="宋体" w:hAnsi="宋体" w:cs="宋体"/>
          <w:sz w:val="30"/>
          <w:szCs w:val="30"/>
        </w:rPr>
      </w:pPr>
      <w:r>
        <w:rPr>
          <w:rFonts w:hint="eastAsia" w:ascii="宋体" w:hAnsi="宋体" w:cs="宋体"/>
          <w:sz w:val="30"/>
          <w:szCs w:val="30"/>
        </w:rPr>
        <w:t>全校编制61人，其中小学编制45人，初中编制数16人，年末实有在职教师67人，遗属14人，年末在校学生894人。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2019年，老君乡中心校部门财政收入情况：一般公共预算财政拨款收入1242.06万元，政府性基金预算财政拨款3万元。</w:t>
      </w:r>
    </w:p>
    <w:p>
      <w:pPr>
        <w:widowControl/>
        <w:numPr>
          <w:ilvl w:val="0"/>
          <w:numId w:val="7"/>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spacing w:line="600" w:lineRule="exact"/>
        <w:ind w:firstLine="640"/>
        <w:rPr>
          <w:rFonts w:hint="eastAsia" w:ascii="仿宋" w:hAnsi="仿宋" w:eastAsia="仿宋"/>
          <w:color w:val="000000" w:themeColor="text1"/>
          <w:sz w:val="32"/>
          <w:szCs w:val="32"/>
        </w:rPr>
      </w:pPr>
      <w:r>
        <w:rPr>
          <w:rFonts w:hint="eastAsia" w:ascii="仿宋_GB2312" w:hAnsi="宋体" w:eastAsia="仿宋_GB2312" w:cs="宋体"/>
          <w:color w:val="000000"/>
          <w:kern w:val="0"/>
          <w:sz w:val="32"/>
          <w:szCs w:val="32"/>
          <w:shd w:val="clear" w:color="auto" w:fill="FFFFFF"/>
          <w:lang w:val="en-US" w:eastAsia="zh-CN"/>
        </w:rPr>
        <w:t>2019年，老君乡中心校</w:t>
      </w:r>
      <w:r>
        <w:rPr>
          <w:rFonts w:hint="eastAsia" w:ascii="仿宋_GB2312" w:hAnsi="宋体" w:eastAsia="仿宋_GB2312" w:cs="宋体"/>
          <w:color w:val="000000"/>
          <w:kern w:val="0"/>
          <w:sz w:val="32"/>
          <w:szCs w:val="32"/>
          <w:shd w:val="clear" w:color="auto" w:fill="FFFFFF"/>
          <w:lang w:val="zh-CN"/>
        </w:rPr>
        <w:t>部门财政资金支出情况：</w:t>
      </w:r>
      <w:r>
        <w:rPr>
          <w:rFonts w:hint="eastAsia" w:ascii="仿宋_GB2312" w:hAnsi="宋体" w:eastAsia="仿宋_GB2312" w:cs="宋体"/>
          <w:color w:val="000000"/>
          <w:kern w:val="0"/>
          <w:sz w:val="32"/>
          <w:szCs w:val="32"/>
          <w:shd w:val="clear" w:color="auto" w:fill="FFFFFF"/>
          <w:lang w:val="en-US" w:eastAsia="zh-CN"/>
        </w:rPr>
        <w:t>教育支出1042.65万元；社会保障就业支出88.96万元；</w:t>
      </w:r>
      <w:r>
        <w:rPr>
          <w:rFonts w:hint="eastAsia" w:ascii="仿宋" w:hAnsi="仿宋" w:eastAsia="仿宋"/>
          <w:b w:val="0"/>
          <w:bCs/>
          <w:color w:val="000000" w:themeColor="text1"/>
          <w:sz w:val="32"/>
          <w:szCs w:val="32"/>
        </w:rPr>
        <w:t>卫生健康支出</w:t>
      </w:r>
      <w:r>
        <w:rPr>
          <w:rFonts w:hint="eastAsia" w:ascii="仿宋" w:hAnsi="仿宋" w:eastAsia="仿宋"/>
          <w:b w:val="0"/>
          <w:bCs/>
          <w:color w:val="000000" w:themeColor="text1"/>
          <w:sz w:val="32"/>
          <w:szCs w:val="32"/>
          <w:lang w:val="en-US" w:eastAsia="zh-CN"/>
        </w:rPr>
        <w:t>38.81</w:t>
      </w:r>
      <w:r>
        <w:rPr>
          <w:rFonts w:hint="eastAsia" w:ascii="仿宋" w:hAnsi="仿宋" w:eastAsia="仿宋"/>
          <w:b w:val="0"/>
          <w:bCs/>
          <w:color w:val="000000" w:themeColor="text1"/>
          <w:sz w:val="32"/>
          <w:szCs w:val="32"/>
        </w:rPr>
        <w:t>万元；住房保障支出</w:t>
      </w:r>
      <w:r>
        <w:rPr>
          <w:rFonts w:hint="eastAsia" w:ascii="仿宋" w:hAnsi="仿宋" w:eastAsia="仿宋"/>
          <w:b w:val="0"/>
          <w:bCs/>
          <w:color w:val="000000" w:themeColor="text1"/>
          <w:sz w:val="32"/>
          <w:szCs w:val="32"/>
          <w:lang w:val="en-US" w:eastAsia="zh-CN"/>
        </w:rPr>
        <w:t>71.65</w:t>
      </w:r>
      <w:r>
        <w:rPr>
          <w:rFonts w:hint="eastAsia" w:ascii="仿宋" w:hAnsi="仿宋" w:eastAsia="仿宋"/>
          <w:b w:val="0"/>
          <w:bCs/>
          <w:color w:val="000000" w:themeColor="text1"/>
          <w:sz w:val="32"/>
          <w:szCs w:val="32"/>
        </w:rPr>
        <w:t>万元。</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60" w:lineRule="exact"/>
        <w:ind w:firstLine="600" w:firstLineChars="200"/>
        <w:rPr>
          <w:rFonts w:hint="eastAsia" w:ascii="宋体" w:hAnsi="宋体" w:cs="宋体"/>
          <w:sz w:val="30"/>
          <w:szCs w:val="30"/>
        </w:rPr>
      </w:pPr>
      <w:r>
        <w:rPr>
          <w:rFonts w:hint="eastAsia" w:ascii="宋体" w:hAnsi="宋体" w:cs="宋体"/>
          <w:sz w:val="30"/>
          <w:szCs w:val="30"/>
        </w:rPr>
        <w:t>年度预算安排围绕学校中心工作，坚持全面完整、科学规范、保证重点、绩效预算、适度负债的原则，按照部门预算的要求，认真编制预算方案。加强预算执行，对支出实行分类管理，支出安排上做到有预算安排、有支出标准、有制度依据，维护预算的严肃性和权威性；坚持勤俭节约、从紧必需的原则，严格控制消费支出。对部门发放给个人的福利费、劳务费进行严格审批；加强会议费、招待费、差旅费、办公费等支出管理，切实强化成本意识，努力降低管理成本，提高资金使用效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0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宋体" w:hAnsi="宋体" w:cs="宋体"/>
          <w:sz w:val="30"/>
          <w:szCs w:val="30"/>
        </w:rPr>
        <w:t>学校坚持正确的办学思想，走协调发展、内涵发展之路。坚持以人为本，内强素质，外树形象；坚持以教科研为先导，德育为重点，教学为中心,信息技术为载体，确立“为学生的发展而教育”的办学思想和“以德为先，以育人为本，丰富内涵，办出特色”的办学思路。同时学校秉承“文明、守纪、求实、创新”的校风，形成“严谨、扎实”之教风，倡导“勤、钻、实、恒”之学风。注重师德建设，完善管理体系，实现全方位育人。学校不断丰富文化底蕴，引领文明校风建设。更新观念，深化教学改革，强化教学管理，突出办学特色。</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无</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ind w:firstLine="600" w:firstLineChars="200"/>
        <w:rPr>
          <w:rFonts w:hint="eastAsia" w:ascii="宋体" w:hAnsi="宋体" w:cs="宋体"/>
          <w:sz w:val="30"/>
          <w:szCs w:val="30"/>
        </w:rPr>
      </w:pPr>
      <w:r>
        <w:rPr>
          <w:rFonts w:hint="eastAsia" w:ascii="宋体" w:hAnsi="宋体" w:cs="宋体"/>
          <w:sz w:val="30"/>
          <w:szCs w:val="30"/>
        </w:rPr>
        <w:t>学校始终坚持后勤为教学服务的原则，严格规范财务管理。按上级要求，坚决实行“一费制”，公示收费标准，规范收费，严格执行财务管理制度，帐、钱分开，坚持民主理财制度。</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老君乡中心校</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Style w:val="25"/>
          <w:rFonts w:ascii="黑体" w:hAnsi="黑体" w:eastAsia="黑体"/>
          <w:b w:val="0"/>
        </w:rPr>
      </w:pPr>
      <w:r>
        <w:rPr>
          <w:rFonts w:hint="eastAsia" w:ascii="仿宋_GB2312" w:hAnsi="宋体" w:eastAsia="仿宋_GB2312"/>
          <w:sz w:val="32"/>
          <w:szCs w:val="32"/>
          <w:lang w:val="zh-CN"/>
        </w:rPr>
        <w:t>针对项目自评中发现的问题，提出下一步改进完善的意见及有关政策性建议。</w:t>
      </w: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64C3E7F"/>
    <w:multiLevelType w:val="singleLevel"/>
    <w:tmpl w:val="164C3E7F"/>
    <w:lvl w:ilvl="0" w:tentative="0">
      <w:start w:val="1"/>
      <w:numFmt w:val="decimal"/>
      <w:lvlText w:val="%1."/>
      <w:lvlJc w:val="left"/>
      <w:pPr>
        <w:tabs>
          <w:tab w:val="left" w:pos="312"/>
        </w:tabs>
      </w:pPr>
    </w:lvl>
  </w:abstractNum>
  <w:abstractNum w:abstractNumId="6">
    <w:nsid w:val="23BF8FC3"/>
    <w:multiLevelType w:val="singleLevel"/>
    <w:tmpl w:val="23BF8FC3"/>
    <w:lvl w:ilvl="0" w:tentative="0">
      <w:start w:val="2"/>
      <w:numFmt w:val="chineseCounting"/>
      <w:suff w:val="nothing"/>
      <w:lvlText w:val="（%1）"/>
      <w:lvlJc w:val="left"/>
      <w:rPr>
        <w:rFonts w:hint="eastAsia"/>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D90FB0"/>
    <w:rsid w:val="10C055FF"/>
    <w:rsid w:val="15BB18E1"/>
    <w:rsid w:val="16BB723D"/>
    <w:rsid w:val="21661345"/>
    <w:rsid w:val="240371BF"/>
    <w:rsid w:val="29FD04D3"/>
    <w:rsid w:val="2ECD55B2"/>
    <w:rsid w:val="319F7F4E"/>
    <w:rsid w:val="3C4819EB"/>
    <w:rsid w:val="4ECE2238"/>
    <w:rsid w:val="50762EDB"/>
    <w:rsid w:val="5D6057F4"/>
    <w:rsid w:val="639131FE"/>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5</TotalTime>
  <ScaleCrop>false</ScaleCrop>
  <LinksUpToDate>false</LinksUpToDate>
  <CharactersWithSpaces>8536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2020-11-12T05:49:54Z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