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7194"/>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宣汉县中小学教学研究室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bookmarkStart w:id="76" w:name="_GoBack"/>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bookmarkEnd w:id="76"/>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rPr>
          <w:rFonts w:hint="eastAsia"/>
          <w:bCs/>
          <w:color w:val="000000"/>
          <w:sz w:val="32"/>
          <w:szCs w:val="32"/>
        </w:rPr>
      </w:pPr>
      <w:bookmarkStart w:id="16" w:name="_Toc15378446"/>
      <w:bookmarkStart w:id="17" w:name="_Toc15377199"/>
      <w:r>
        <w:rPr>
          <w:rFonts w:hint="eastAsia"/>
          <w:bCs/>
          <w:color w:val="000000"/>
          <w:sz w:val="32"/>
          <w:szCs w:val="32"/>
        </w:rPr>
        <w:t>（一）主要职能。</w:t>
      </w:r>
    </w:p>
    <w:p>
      <w:pPr>
        <w:snapToGrid w:val="0"/>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以新课程为导向，研究少年儿童认知、技能和情感发展规律，研究课程设置、教学内容、教学方法、教学手段、教学组织形式及学科教学评价。2、加强对学校教学教研工作指导，帮助学校用先进的教育思想建构教育文化，优化教学过程，完善教学常规，组织教改实验，探索教育规律，推动教育教学改革。3、以教学观念的更新和教学行为的改进为重点，指导教师参加教学研究和课堂教学实践，指导教师开展课外活动和竞赛活动。4、定期检查和监督学校执行课程计划的情况及教学质量，组织对学科教学的检查和质量评估。5、加强对新课程教学用书的分析、评价工作，规范学校教材、教学辅助用书的征订和使用，承担校本教材的编写、审核工作。6、 研究制定教师评价标准，各学科课堂教学评价标准。</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6"/>
      <w:bookmarkEnd w:id="17"/>
    </w:p>
    <w:p>
      <w:pPr>
        <w:spacing w:line="540" w:lineRule="exact"/>
        <w:ind w:firstLine="643"/>
        <w:rPr>
          <w:rFonts w:ascii="仿宋_GB2312" w:hAnsi="仿宋_GB2312" w:eastAsia="仿宋_GB2312"/>
          <w:b/>
          <w:kern w:val="1"/>
          <w:sz w:val="32"/>
          <w:szCs w:val="32"/>
        </w:rPr>
      </w:pPr>
      <w:bookmarkStart w:id="18" w:name="_Toc15377200"/>
      <w:bookmarkStart w:id="19" w:name="_Toc15396601"/>
      <w:r>
        <w:rPr>
          <w:rFonts w:hint="eastAsia" w:ascii="仿宋_GB2312" w:hAnsi="仿宋_GB2312" w:eastAsia="仿宋_GB2312"/>
          <w:b w:val="0"/>
          <w:bCs/>
          <w:kern w:val="1"/>
          <w:sz w:val="32"/>
          <w:szCs w:val="32"/>
          <w:lang w:val="en-US" w:eastAsia="zh-CN"/>
        </w:rPr>
        <w:t>1、</w:t>
      </w:r>
      <w:r>
        <w:rPr>
          <w:rFonts w:ascii="仿宋_GB2312" w:hAnsi="仿宋_GB2312" w:eastAsia="仿宋_GB2312"/>
          <w:b w:val="0"/>
          <w:bCs/>
          <w:kern w:val="1"/>
          <w:sz w:val="32"/>
          <w:szCs w:val="32"/>
        </w:rPr>
        <w:t>认真开展</w:t>
      </w:r>
      <w:r>
        <w:rPr>
          <w:rFonts w:hint="eastAsia" w:ascii="仿宋_GB2312" w:hAnsi="仿宋_GB2312" w:eastAsia="仿宋_GB2312"/>
          <w:b w:val="0"/>
          <w:bCs/>
          <w:kern w:val="1"/>
          <w:sz w:val="32"/>
          <w:szCs w:val="32"/>
          <w:lang w:eastAsia="zh-CN"/>
        </w:rPr>
        <w:t>201</w:t>
      </w:r>
      <w:r>
        <w:rPr>
          <w:rFonts w:hint="eastAsia" w:ascii="仿宋_GB2312" w:hAnsi="仿宋_GB2312" w:eastAsia="仿宋_GB2312"/>
          <w:b w:val="0"/>
          <w:bCs/>
          <w:kern w:val="1"/>
          <w:sz w:val="32"/>
          <w:szCs w:val="32"/>
          <w:lang w:val="en-US" w:eastAsia="zh-CN"/>
        </w:rPr>
        <w:t>9</w:t>
      </w:r>
      <w:r>
        <w:rPr>
          <w:rFonts w:ascii="仿宋_GB2312" w:hAnsi="仿宋_GB2312" w:eastAsia="仿宋_GB2312"/>
          <w:b w:val="0"/>
          <w:bCs/>
          <w:kern w:val="1"/>
          <w:sz w:val="32"/>
          <w:szCs w:val="32"/>
        </w:rPr>
        <w:t>年度全县名师评选活动</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2、</w:t>
      </w:r>
      <w:r>
        <w:rPr>
          <w:rFonts w:ascii="仿宋_GB2312" w:hAnsi="仿宋_GB2312" w:eastAsia="仿宋_GB2312"/>
          <w:b w:val="0"/>
          <w:bCs/>
          <w:kern w:val="1"/>
          <w:sz w:val="32"/>
          <w:szCs w:val="32"/>
        </w:rPr>
        <w:t>扎实做好“快乐课堂大评估”工作</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3、</w:t>
      </w:r>
      <w:r>
        <w:rPr>
          <w:rFonts w:ascii="仿宋_GB2312" w:hAnsi="仿宋_GB2312" w:eastAsia="仿宋_GB2312"/>
          <w:b w:val="0"/>
          <w:bCs/>
          <w:kern w:val="1"/>
          <w:sz w:val="32"/>
          <w:szCs w:val="32"/>
        </w:rPr>
        <w:t>深入学校开展常规视导活动</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4、</w:t>
      </w:r>
      <w:r>
        <w:rPr>
          <w:rFonts w:ascii="仿宋_GB2312" w:hAnsi="仿宋_GB2312" w:eastAsia="仿宋_GB2312"/>
          <w:b w:val="0"/>
          <w:bCs/>
          <w:kern w:val="1"/>
          <w:sz w:val="32"/>
          <w:szCs w:val="32"/>
        </w:rPr>
        <w:t>积极做好教师培训培养工作</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5、</w:t>
      </w:r>
      <w:r>
        <w:rPr>
          <w:rFonts w:ascii="仿宋_GB2312" w:hAnsi="仿宋_GB2312" w:eastAsia="仿宋_GB2312"/>
          <w:b w:val="0"/>
          <w:bCs/>
          <w:kern w:val="1"/>
          <w:sz w:val="32"/>
          <w:szCs w:val="32"/>
        </w:rPr>
        <w:t>积极开展各学科竞赛活动</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6、</w:t>
      </w:r>
      <w:r>
        <w:rPr>
          <w:rFonts w:ascii="仿宋_GB2312" w:hAnsi="仿宋_GB2312" w:eastAsia="仿宋_GB2312"/>
          <w:b w:val="0"/>
          <w:bCs/>
          <w:kern w:val="1"/>
          <w:sz w:val="32"/>
          <w:szCs w:val="32"/>
        </w:rPr>
        <w:t>圆满组织</w:t>
      </w:r>
      <w:r>
        <w:rPr>
          <w:rFonts w:hint="eastAsia" w:ascii="仿宋_GB2312" w:hAnsi="仿宋_GB2312" w:eastAsia="仿宋_GB2312"/>
          <w:b w:val="0"/>
          <w:bCs/>
          <w:kern w:val="1"/>
          <w:sz w:val="32"/>
          <w:szCs w:val="32"/>
          <w:lang w:eastAsia="zh-CN"/>
        </w:rPr>
        <w:t>201</w:t>
      </w:r>
      <w:r>
        <w:rPr>
          <w:rFonts w:hint="eastAsia" w:ascii="仿宋_GB2312" w:hAnsi="仿宋_GB2312" w:eastAsia="仿宋_GB2312"/>
          <w:b w:val="0"/>
          <w:bCs/>
          <w:kern w:val="1"/>
          <w:sz w:val="32"/>
          <w:szCs w:val="32"/>
          <w:lang w:val="en-US" w:eastAsia="zh-CN"/>
        </w:rPr>
        <w:t>9</w:t>
      </w:r>
      <w:r>
        <w:rPr>
          <w:rFonts w:ascii="仿宋_GB2312" w:hAnsi="仿宋_GB2312" w:eastAsia="仿宋_GB2312"/>
          <w:b w:val="0"/>
          <w:bCs/>
          <w:kern w:val="1"/>
          <w:sz w:val="32"/>
          <w:szCs w:val="32"/>
        </w:rPr>
        <w:t>年春季义务教育阶段学生期末检测工作和试卷分析工作。</w:t>
      </w:r>
      <w:r>
        <w:rPr>
          <w:rFonts w:hint="eastAsia" w:ascii="仿宋_GB2312" w:hAnsi="仿宋_GB2312" w:eastAsia="仿宋_GB2312"/>
          <w:b w:val="0"/>
          <w:bCs/>
          <w:kern w:val="1"/>
          <w:sz w:val="32"/>
          <w:szCs w:val="32"/>
          <w:lang w:val="en-US" w:eastAsia="zh-CN"/>
        </w:rPr>
        <w:t>7、</w:t>
      </w:r>
      <w:r>
        <w:rPr>
          <w:rFonts w:ascii="仿宋_GB2312" w:hAnsi="仿宋_GB2312" w:eastAsia="仿宋_GB2312"/>
          <w:b w:val="0"/>
          <w:bCs/>
          <w:kern w:val="1"/>
          <w:sz w:val="32"/>
          <w:szCs w:val="32"/>
        </w:rPr>
        <w:t>积极参与省市教科所组织的教研活动</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8、</w:t>
      </w:r>
      <w:r>
        <w:rPr>
          <w:rFonts w:ascii="仿宋_GB2312" w:hAnsi="仿宋_GB2312" w:eastAsia="仿宋_GB2312"/>
          <w:b w:val="0"/>
          <w:bCs/>
          <w:kern w:val="1"/>
          <w:sz w:val="32"/>
          <w:szCs w:val="32"/>
        </w:rPr>
        <w:t>积极组织课题申报</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9、</w:t>
      </w:r>
      <w:r>
        <w:rPr>
          <w:rFonts w:ascii="仿宋_GB2312" w:hAnsi="仿宋_GB2312" w:eastAsia="仿宋_GB2312"/>
          <w:b w:val="0"/>
          <w:bCs/>
          <w:kern w:val="1"/>
          <w:sz w:val="32"/>
          <w:szCs w:val="32"/>
        </w:rPr>
        <w:t>扎实开展课题研究</w:t>
      </w:r>
      <w:r>
        <w:rPr>
          <w:rFonts w:hint="eastAsia" w:ascii="仿宋_GB2312" w:hAnsi="仿宋_GB2312" w:eastAsia="仿宋_GB2312"/>
          <w:b w:val="0"/>
          <w:bCs/>
          <w:kern w:val="1"/>
          <w:sz w:val="32"/>
          <w:szCs w:val="32"/>
          <w:lang w:eastAsia="zh-CN"/>
        </w:rPr>
        <w:t>。</w:t>
      </w:r>
      <w:r>
        <w:rPr>
          <w:rFonts w:hint="eastAsia" w:ascii="仿宋_GB2312" w:hAnsi="仿宋_GB2312" w:eastAsia="仿宋_GB2312"/>
          <w:b w:val="0"/>
          <w:bCs/>
          <w:kern w:val="1"/>
          <w:sz w:val="32"/>
          <w:szCs w:val="32"/>
          <w:lang w:val="en-US" w:eastAsia="zh-CN"/>
        </w:rPr>
        <w:t>10、</w:t>
      </w:r>
      <w:r>
        <w:rPr>
          <w:rFonts w:ascii="仿宋_GB2312" w:hAnsi="仿宋_GB2312" w:eastAsia="仿宋_GB2312"/>
          <w:b w:val="0"/>
          <w:bCs/>
          <w:kern w:val="1"/>
          <w:sz w:val="32"/>
          <w:szCs w:val="32"/>
        </w:rPr>
        <w:t>积极组织申奖工作</w:t>
      </w:r>
      <w:r>
        <w:rPr>
          <w:rFonts w:hint="eastAsia" w:ascii="仿宋_GB2312" w:hAnsi="仿宋_GB2312" w:eastAsia="仿宋_GB2312"/>
          <w:b w:val="0"/>
          <w:bCs/>
          <w:kern w:val="1"/>
          <w:sz w:val="32"/>
          <w:szCs w:val="32"/>
          <w:lang w:eastAsia="zh-CN"/>
        </w:rPr>
        <w:t>。</w:t>
      </w:r>
    </w:p>
    <w:p>
      <w:pPr>
        <w:pStyle w:val="3"/>
        <w:rPr>
          <w:rStyle w:val="25"/>
          <w:rFonts w:hint="eastAsia"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spacing w:line="600" w:lineRule="exact"/>
        <w:ind w:firstLine="560" w:firstLineChars="200"/>
        <w:rPr>
          <w:rFonts w:hint="eastAsia" w:eastAsia="黑体"/>
          <w:color w:val="000000"/>
          <w:sz w:val="32"/>
          <w:szCs w:val="32"/>
          <w:lang w:eastAsia="zh-CN"/>
        </w:rPr>
      </w:pPr>
      <w:r>
        <w:rPr>
          <w:rFonts w:hint="eastAsia" w:ascii="仿宋" w:hAnsi="仿宋" w:eastAsia="仿宋" w:cs="仿宋"/>
          <w:b w:val="0"/>
          <w:bCs w:val="0"/>
          <w:color w:val="000000"/>
          <w:sz w:val="28"/>
          <w:szCs w:val="28"/>
          <w:lang w:eastAsia="zh-CN"/>
        </w:rPr>
        <w:t>无下级部门</w:t>
      </w:r>
    </w:p>
    <w:p/>
    <w:p>
      <w:pPr>
        <w:pStyle w:val="2"/>
        <w:ind w:right="440"/>
        <w:jc w:val="right"/>
        <w:rPr>
          <w:rStyle w:val="24"/>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49.08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13.68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本年人员经费及教研活动减少</w:t>
      </w:r>
      <w:r>
        <w:rPr>
          <w:rFonts w:hint="eastAsia" w:ascii="仿宋" w:hAnsi="仿宋" w:eastAsia="仿宋"/>
          <w:color w:val="000000"/>
          <w:sz w:val="32"/>
          <w:szCs w:val="32"/>
          <w:lang w:val="en-US" w:eastAsia="zh-CN"/>
        </w:rPr>
        <w:t>。</w:t>
      </w:r>
    </w:p>
    <w:p>
      <w:pPr>
        <w:pStyle w:val="23"/>
        <w:numPr>
          <w:ilvl w:val="0"/>
          <w:numId w:val="1"/>
        </w:numPr>
        <w:spacing w:line="600" w:lineRule="exact"/>
        <w:ind w:firstLineChars="0"/>
        <w:outlineLvl w:val="1"/>
        <w:rPr>
          <w:rStyle w:val="25"/>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万元，其中：</w:t>
      </w:r>
      <w:bookmarkStart w:id="26" w:name="OLE_LINK7"/>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w:t>
      </w:r>
      <w:bookmarkEnd w:id="26"/>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7" w:name="_Toc15377207"/>
      <w:bookmarkStart w:id="28"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7"/>
      <w:bookmarkEnd w:id="28"/>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287.79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92.94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21.86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7.06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29" w:name="_Toc15396606"/>
      <w:bookmarkStart w:id="30"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9"/>
      <w:bookmarkEnd w:id="30"/>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49.08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13.68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本年人员经费及教研活动减少</w:t>
      </w:r>
      <w:r>
        <w:rPr>
          <w:rFonts w:hint="eastAsia" w:ascii="仿宋" w:hAnsi="仿宋" w:eastAsia="仿宋"/>
          <w:color w:val="000000"/>
          <w:sz w:val="32"/>
          <w:szCs w:val="32"/>
          <w:lang w:val="en-US" w:eastAsia="zh-CN"/>
        </w:rPr>
        <w:t>。</w:t>
      </w:r>
    </w:p>
    <w:p>
      <w:pPr>
        <w:spacing w:line="600" w:lineRule="exact"/>
        <w:ind w:firstLine="640" w:firstLineChars="200"/>
        <w:outlineLvl w:val="1"/>
        <w:rPr>
          <w:rStyle w:val="25"/>
          <w:rFonts w:ascii="黑体" w:hAnsi="黑体" w:eastAsia="黑体"/>
          <w:b w:val="0"/>
        </w:rPr>
      </w:pPr>
      <w:bookmarkStart w:id="31" w:name="_Toc15396607"/>
      <w:bookmarkStart w:id="3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49.08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13.68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本年人员经费及教研活动减少</w:t>
      </w:r>
      <w:r>
        <w:rPr>
          <w:rFonts w:hint="eastAsia" w:ascii="仿宋" w:hAnsi="仿宋" w:eastAsia="仿宋"/>
          <w:color w:val="000000"/>
          <w:sz w:val="32"/>
          <w:szCs w:val="32"/>
          <w:lang w:val="en-US" w:eastAsia="zh-CN"/>
        </w:rPr>
        <w:t>。</w:t>
      </w:r>
    </w:p>
    <w:p>
      <w:pPr>
        <w:spacing w:line="600" w:lineRule="exact"/>
        <w:ind w:firstLine="643"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bookmarkStart w:id="35" w:name="OLE_LINK3"/>
      <w:r>
        <w:rPr>
          <w:rFonts w:hint="eastAsia" w:ascii="仿宋" w:hAnsi="仿宋" w:eastAsia="仿宋"/>
          <w:color w:val="000000"/>
          <w:sz w:val="32"/>
          <w:szCs w:val="32"/>
          <w:lang w:val="en-US" w:eastAsia="zh-CN"/>
        </w:rPr>
        <w:t>309.65</w:t>
      </w:r>
      <w:r>
        <w:rPr>
          <w:rFonts w:hint="eastAsia" w:ascii="仿宋" w:hAnsi="仿宋" w:eastAsia="仿宋"/>
          <w:color w:val="000000" w:themeColor="text1"/>
          <w:sz w:val="32"/>
          <w:szCs w:val="32"/>
          <w14:textFill>
            <w14:solidFill>
              <w14:schemeClr w14:val="tx1"/>
            </w14:solidFill>
          </w14:textFill>
        </w:rPr>
        <w:t>万元</w:t>
      </w:r>
      <w:bookmarkEnd w:id="35"/>
      <w:r>
        <w:rPr>
          <w:rFonts w:hint="eastAsia" w:ascii="仿宋" w:hAnsi="仿宋" w:eastAsia="仿宋"/>
          <w:color w:val="000000" w:themeColor="text1"/>
          <w:sz w:val="32"/>
          <w:szCs w:val="32"/>
          <w14:textFill>
            <w14:solidFill>
              <w14:schemeClr w14:val="tx1"/>
            </w14:solidFill>
          </w14:textFill>
        </w:rPr>
        <w:t>，主要用于以下方面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247.84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80.04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10.44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19.27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b/>
          <w:color w:val="00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sz w:val="32"/>
          <w:szCs w:val="32"/>
          <w:lang w:val="en-US" w:eastAsia="zh-CN"/>
        </w:rPr>
        <w:t>309.65</w:t>
      </w:r>
      <w:r>
        <w:rPr>
          <w:rFonts w:hint="eastAsia" w:ascii="仿宋" w:hAnsi="仿宋" w:eastAsia="仿宋"/>
          <w:color w:val="000000" w:themeColor="text1"/>
          <w:sz w:val="32"/>
          <w:szCs w:val="32"/>
          <w14:textFill>
            <w14:solidFill>
              <w14:schemeClr w14:val="tx1"/>
            </w14:solidFill>
          </w14:textFill>
        </w:rPr>
        <w:t>万元，</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left="0" w:leftChars="0"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:237.84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left="0" w:leftChars="0"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08</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03</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numId w:val="0"/>
        </w:numPr>
        <w:spacing w:line="600" w:lineRule="exact"/>
        <w:ind w:left="0" w:leftChars="0"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32.11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0" w:leftChars="0"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10.44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0" w:leftChars="0"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left="0" w:leftChars="0" w:firstLine="640" w:firstLineChars="2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left="0" w:leftChars="0"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271.64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255.49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16.15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增加了</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13.64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公务接待人数稍多一点</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万元，具体内容包括：</w:t>
      </w:r>
      <w:bookmarkStart w:id="46" w:name="OLE_LINK6"/>
      <w:r>
        <w:rPr>
          <w:rFonts w:hint="eastAsia" w:ascii="仿宋_GB2312" w:eastAsia="仿宋_GB2312"/>
          <w:color w:val="000000"/>
          <w:sz w:val="32"/>
          <w:szCs w:val="32"/>
          <w:lang w:eastAsia="zh-CN"/>
        </w:rPr>
        <w:t>上级主管部门的工作检查调研等</w:t>
      </w:r>
      <w:bookmarkEnd w:id="46"/>
      <w:r>
        <w:rPr>
          <w:rFonts w:hint="eastAsia" w:ascii="仿宋_GB2312" w:eastAsia="仿宋_GB2312"/>
          <w:color w:val="000000"/>
          <w:sz w:val="32"/>
          <w:szCs w:val="32"/>
          <w:lang w:eastAsia="zh-CN"/>
        </w:rPr>
        <w:t>活动</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0.25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上级主管部门的工作检查调研等活动。</w:t>
      </w:r>
    </w:p>
    <w:p>
      <w:pPr>
        <w:spacing w:line="600" w:lineRule="exact"/>
        <w:ind w:firstLine="640"/>
        <w:outlineLvl w:val="1"/>
        <w:rPr>
          <w:rFonts w:hint="eastAsia" w:ascii="黑体" w:eastAsia="黑体"/>
          <w:color w:val="000000"/>
          <w:sz w:val="32"/>
          <w:szCs w:val="32"/>
        </w:rPr>
      </w:pPr>
      <w:bookmarkStart w:id="47" w:name="_Toc15377218"/>
      <w:bookmarkStart w:id="48"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9" w:name="_Toc15396611"/>
      <w:bookmarkStart w:id="50" w:name="_Toc15377219"/>
      <w:r>
        <w:rPr>
          <w:rStyle w:val="25"/>
          <w:rFonts w:hint="eastAsia" w:ascii="黑体" w:hAnsi="黑体" w:eastAsia="黑体"/>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b w:val="0"/>
          <w:bCs/>
          <w:kern w:val="1"/>
          <w:sz w:val="32"/>
          <w:szCs w:val="32"/>
          <w:lang w:eastAsia="zh-CN"/>
        </w:rPr>
        <w:t>201</w:t>
      </w:r>
      <w:r>
        <w:rPr>
          <w:rFonts w:hint="eastAsia" w:ascii="仿宋_GB2312" w:hAnsi="仿宋_GB2312" w:eastAsia="仿宋_GB2312"/>
          <w:b w:val="0"/>
          <w:bCs/>
          <w:kern w:val="1"/>
          <w:sz w:val="32"/>
          <w:szCs w:val="32"/>
          <w:lang w:val="en-US" w:eastAsia="zh-CN"/>
        </w:rPr>
        <w:t>9</w:t>
      </w:r>
      <w:r>
        <w:rPr>
          <w:rFonts w:ascii="仿宋_GB2312" w:hAnsi="仿宋_GB2312" w:eastAsia="仿宋_GB2312"/>
          <w:b w:val="0"/>
          <w:bCs/>
          <w:kern w:val="1"/>
          <w:sz w:val="32"/>
          <w:szCs w:val="32"/>
        </w:rPr>
        <w:t>年春季义务教育阶段学生期末检测工作和试卷分析工作</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建设项目效果很好</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宣汉县中小学教学研究室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1" w:name="_Toc15396612"/>
      <w:bookmarkStart w:id="52"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年，机关运行</w:t>
      </w:r>
      <w:r>
        <w:rPr>
          <w:rFonts w:hint="eastAsia" w:ascii="仿宋_GB2312" w:eastAsia="仿宋_GB2312"/>
          <w:color w:val="000000"/>
          <w:sz w:val="32"/>
          <w:szCs w:val="32"/>
          <w:lang w:eastAsia="zh-CN"/>
        </w:rPr>
        <w:t>办公</w:t>
      </w:r>
      <w:r>
        <w:rPr>
          <w:rFonts w:hint="eastAsia" w:ascii="仿宋_GB2312" w:eastAsia="仿宋_GB2312"/>
          <w:color w:val="000000"/>
          <w:sz w:val="32"/>
          <w:szCs w:val="32"/>
        </w:rPr>
        <w:t>经费支出</w:t>
      </w:r>
      <w:r>
        <w:rPr>
          <w:rFonts w:hint="eastAsia" w:ascii="仿宋_GB2312" w:eastAsia="仿宋_GB2312"/>
          <w:color w:val="000000"/>
          <w:sz w:val="32"/>
          <w:szCs w:val="32"/>
          <w:lang w:val="en-US" w:eastAsia="zh-CN"/>
        </w:rPr>
        <w:t>26.15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102.43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79.66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 w:hAnsi="仿宋" w:eastAsia="仿宋"/>
          <w:color w:val="000000"/>
          <w:sz w:val="32"/>
          <w:szCs w:val="32"/>
          <w:lang w:eastAsia="zh-CN"/>
        </w:rPr>
        <w:t>本年无大型活动开展</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eastAsia="zh-CN"/>
        </w:rPr>
      </w:pPr>
      <w:bookmarkStart w:id="55" w:name="_Toc15377224"/>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5"/>
    </w:p>
    <w:p>
      <w:pPr>
        <w:spacing w:line="600" w:lineRule="atLeast"/>
        <w:ind w:firstLine="640" w:firstLineChars="200"/>
        <w:rPr>
          <w:rFonts w:hint="eastAsia" w:ascii="仿宋_GB2312" w:eastAsia="仿宋_GB2312"/>
          <w:b/>
          <w:color w:val="000000"/>
          <w:sz w:val="32"/>
          <w:szCs w:val="32"/>
          <w:lang w:eastAsia="zh-CN"/>
        </w:rPr>
      </w:pPr>
      <w:r>
        <w:rPr>
          <w:rFonts w:hint="eastAsia" w:ascii="仿宋_GB2312" w:eastAsia="仿宋_GB2312"/>
          <w:color w:val="000000"/>
          <w:sz w:val="32"/>
          <w:szCs w:val="32"/>
          <w:lang w:eastAsia="zh-CN"/>
        </w:rPr>
        <w:t>无</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6" w:name="_Toc15377225"/>
      <w:bookmarkStart w:id="57"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9"/>
    </w:p>
    <w:p>
      <w:pPr>
        <w:spacing w:line="600" w:lineRule="exact"/>
        <w:jc w:val="center"/>
        <w:outlineLvl w:val="0"/>
        <w:rPr>
          <w:rStyle w:val="24"/>
        </w:rPr>
      </w:pPr>
    </w:p>
    <w:p>
      <w:pPr>
        <w:pStyle w:val="3"/>
        <w:rPr>
          <w:rStyle w:val="24"/>
          <w:rFonts w:ascii="仿宋" w:hAnsi="仿宋" w:eastAsia="仿宋"/>
          <w:b w:val="0"/>
          <w:bCs w:val="0"/>
          <w:sz w:val="32"/>
          <w:szCs w:val="32"/>
        </w:rPr>
      </w:pPr>
      <w:bookmarkStart w:id="60" w:name="_Toc15396615"/>
      <w:r>
        <w:rPr>
          <w:rStyle w:val="24"/>
          <w:rFonts w:hint="eastAsia" w:ascii="仿宋" w:hAnsi="仿宋" w:eastAsia="仿宋"/>
          <w:b w:val="0"/>
          <w:bCs w:val="0"/>
          <w:sz w:val="32"/>
          <w:szCs w:val="32"/>
        </w:rPr>
        <w:t>附件1</w:t>
      </w:r>
      <w:bookmarkEnd w:id="60"/>
    </w:p>
    <w:p>
      <w:pPr>
        <w:spacing w:line="600" w:lineRule="exact"/>
        <w:jc w:val="center"/>
        <w:outlineLvl w:val="0"/>
        <w:rPr>
          <w:rFonts w:hint="eastAsia" w:ascii="黑体" w:hAnsi="黑体" w:eastAsia="黑体" w:cs="方正小标宋简体"/>
          <w:sz w:val="36"/>
          <w:szCs w:val="36"/>
          <w:lang w:eastAsia="zh-CN"/>
        </w:rPr>
      </w:pPr>
      <w:bookmarkStart w:id="61" w:name="_Toc15396616"/>
      <w:r>
        <w:rPr>
          <w:rFonts w:hint="eastAsia" w:ascii="黑体" w:hAnsi="黑体" w:eastAsia="黑体" w:cs="方正小标宋简体"/>
          <w:sz w:val="36"/>
          <w:szCs w:val="36"/>
          <w:lang w:eastAsia="zh-CN"/>
        </w:rPr>
        <w:t>宣汉县中小学教学研究室</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1"/>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本单位无下属机构。</w:t>
      </w:r>
    </w:p>
    <w:p>
      <w:pPr>
        <w:snapToGrid w:val="0"/>
        <w:spacing w:line="588"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
          <w:sz w:val="32"/>
          <w:szCs w:val="32"/>
        </w:rPr>
        <w:t>1、以新课程为导向，研究少年儿童认知、技能和情感发展规律，研究课程设置、教学内容、教学方法、教学手段、教学组织形式及学科教学评价。2、加强对学校教学教研工作指导，帮助学校用先进的教育思想建构教育文化，优化教学过程，完善教学常规，组织教改实验，探索教育规律，推动教育教学改革。3、以教学观念的更新和教学行为的改进为重点，指导教师参加教学研究和课堂教学实践，指导教师开展课外活动和竞赛活动。4、定期检查和监督学校执行课程计划的情况及教学质量，组织对学科教学的检查和质量评估。5、加强对新课程教学用书的分析、评价工作，规范学校教材、教学辅助用书的征订和使用，承担校本教材的编写、审核工作。6、 研究制定教师评价标准，各学科课堂教学评价标准。</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18人，专业技术人员18人。主任1人，副主任3人。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olor w:val="000000"/>
          <w:sz w:val="32"/>
          <w:szCs w:val="32"/>
        </w:rPr>
        <w:t>一般公共预算财政拨款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309.65</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本单位完成了</w:t>
      </w:r>
      <w:r>
        <w:rPr>
          <w:rFonts w:ascii="仿宋" w:hAnsi="仿宋" w:eastAsia="仿宋" w:cs="仿宋_GB2312"/>
          <w:sz w:val="32"/>
          <w:szCs w:val="32"/>
        </w:rPr>
        <w:t>部门绩效目标制定、目标完成</w:t>
      </w:r>
      <w:r>
        <w:rPr>
          <w:rFonts w:hint="eastAsia" w:ascii="仿宋" w:hAnsi="仿宋" w:eastAsia="仿宋" w:cs="仿宋_GB2312"/>
          <w:sz w:val="32"/>
          <w:szCs w:val="32"/>
          <w:lang w:eastAsia="zh-CN"/>
        </w:rPr>
        <w:t>，</w:t>
      </w:r>
      <w:r>
        <w:rPr>
          <w:rFonts w:ascii="仿宋" w:hAnsi="仿宋" w:eastAsia="仿宋" w:cs="仿宋_GB2312"/>
          <w:sz w:val="32"/>
          <w:szCs w:val="32"/>
        </w:rPr>
        <w:t>预算编制准确</w:t>
      </w:r>
      <w:r>
        <w:rPr>
          <w:rFonts w:hint="eastAsia" w:ascii="仿宋" w:hAnsi="仿宋" w:eastAsia="仿宋" w:cs="仿宋_GB2312"/>
          <w:sz w:val="32"/>
          <w:szCs w:val="32"/>
          <w:lang w:eastAsia="zh-CN"/>
        </w:rPr>
        <w:t>，</w:t>
      </w:r>
      <w:r>
        <w:rPr>
          <w:rFonts w:ascii="仿宋" w:hAnsi="仿宋" w:eastAsia="仿宋" w:cs="仿宋_GB2312"/>
          <w:sz w:val="32"/>
          <w:szCs w:val="32"/>
        </w:rPr>
        <w:t>支出控制、预算动态调整、执行进度、预算完成情况和</w:t>
      </w:r>
      <w:r>
        <w:rPr>
          <w:rFonts w:hint="eastAsia" w:ascii="仿宋" w:hAnsi="仿宋" w:eastAsia="仿宋" w:cs="仿宋_GB2312"/>
          <w:sz w:val="32"/>
          <w:szCs w:val="32"/>
          <w:lang w:eastAsia="zh-CN"/>
        </w:rPr>
        <w:t>无</w:t>
      </w:r>
      <w:r>
        <w:rPr>
          <w:rFonts w:ascii="仿宋" w:hAnsi="仿宋" w:eastAsia="仿宋" w:cs="仿宋_GB2312"/>
          <w:sz w:val="32"/>
          <w:szCs w:val="32"/>
        </w:rPr>
        <w:t>违规记录等</w:t>
      </w:r>
      <w:r>
        <w:rPr>
          <w:rFonts w:hint="eastAsia" w:ascii="仿宋" w:hAnsi="仿宋" w:eastAsia="仿宋" w:cs="仿宋_GB2312"/>
          <w:sz w:val="32"/>
          <w:szCs w:val="32"/>
          <w:lang w:eastAsia="zh-CN"/>
        </w:rPr>
        <w:t>工作</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无</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无</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DD124E"/>
    <w:rsid w:val="10C055FF"/>
    <w:rsid w:val="114C40E5"/>
    <w:rsid w:val="16BB723D"/>
    <w:rsid w:val="240371BF"/>
    <w:rsid w:val="26A9277A"/>
    <w:rsid w:val="29FD04D3"/>
    <w:rsid w:val="31650E11"/>
    <w:rsid w:val="319F7F4E"/>
    <w:rsid w:val="361549EA"/>
    <w:rsid w:val="3DA43629"/>
    <w:rsid w:val="44CA278D"/>
    <w:rsid w:val="5101052C"/>
    <w:rsid w:val="6B3A2B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227</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2020-11-12T07:01:21Z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