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78441"/>
      <w:bookmarkStart w:id="5" w:name="_Toc15396475"/>
      <w:bookmarkStart w:id="78" w:name="_GoBack"/>
      <w:bookmarkEnd w:id="78"/>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77426"/>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宣汉县电化教育馆</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11</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lang w:val="en-US" w:eastAsia="zh-CN"/>
        </w:rPr>
        <w:t>9</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588" w:firstLineChars="210"/>
        <w:rPr>
          <w:rFonts w:hint="eastAsia" w:ascii="仿宋" w:hAnsi="仿宋" w:eastAsia="仿宋"/>
          <w:bCs/>
          <w:color w:val="000000"/>
          <w:sz w:val="32"/>
          <w:szCs w:val="32"/>
        </w:rPr>
      </w:pPr>
      <w:r>
        <w:rPr>
          <w:rFonts w:hint="eastAsia" w:ascii="宋体" w:hAnsi="宋体"/>
          <w:sz w:val="28"/>
          <w:szCs w:val="28"/>
        </w:rPr>
        <w:t>1．贯彻执行电化教育的方针、政策，制定我县电化教育工作发展规划。2．积极开展电化教育、信息技术教育的研究工作，促进教育事业发展。3．负责中小学教师的现代教育技术培训工作。4．负责现代教育技术设备设施和远教设备的配备、管理、维护。5．负责全县教育</w:t>
      </w:r>
      <w:r>
        <w:rPr>
          <w:rFonts w:hint="eastAsia" w:ascii="宋体" w:hAnsi="宋体"/>
          <w:sz w:val="28"/>
          <w:szCs w:val="28"/>
          <w:lang w:eastAsia="zh-CN"/>
        </w:rPr>
        <w:t>城域网</w:t>
      </w:r>
      <w:r>
        <w:rPr>
          <w:rFonts w:hint="eastAsia" w:ascii="宋体" w:hAnsi="宋体"/>
          <w:sz w:val="28"/>
          <w:szCs w:val="28"/>
        </w:rPr>
        <w:t>的建设、管理与维护。6．负责配发、征订、自制电教教材、课件及开发与应用。</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bookmarkEnd w:id="18"/>
      <w:bookmarkEnd w:id="19"/>
    </w:p>
    <w:p>
      <w:pPr>
        <w:spacing w:line="540" w:lineRule="exact"/>
        <w:ind w:firstLine="640" w:firstLineChars="200"/>
        <w:rPr>
          <w:rFonts w:hint="eastAsia" w:ascii="仿宋" w:hAnsi="仿宋" w:eastAsia="仿宋"/>
          <w:bCs/>
          <w:color w:val="000000"/>
          <w:sz w:val="32"/>
          <w:szCs w:val="32"/>
        </w:rPr>
      </w:pPr>
      <w:r>
        <w:rPr>
          <w:rFonts w:hint="eastAsia" w:ascii="仿宋_GB2312" w:hAnsi="宋体" w:eastAsia="仿宋_GB2312"/>
          <w:b w:val="0"/>
          <w:bCs/>
          <w:sz w:val="32"/>
          <w:szCs w:val="32"/>
        </w:rPr>
        <w:t>1．认真抓好教育</w:t>
      </w:r>
      <w:r>
        <w:rPr>
          <w:rFonts w:hint="eastAsia" w:ascii="仿宋_GB2312" w:hAnsi="宋体" w:eastAsia="仿宋_GB2312"/>
          <w:b w:val="0"/>
          <w:bCs/>
          <w:sz w:val="32"/>
          <w:szCs w:val="32"/>
          <w:lang w:eastAsia="zh-CN"/>
        </w:rPr>
        <w:t>城域网应用管理工作</w:t>
      </w:r>
      <w:r>
        <w:rPr>
          <w:rFonts w:hint="eastAsia" w:ascii="仿宋_GB2312" w:hAnsi="宋体" w:eastAsia="仿宋_GB2312"/>
          <w:b w:val="0"/>
          <w:bCs/>
          <w:sz w:val="32"/>
          <w:szCs w:val="32"/>
        </w:rPr>
        <w:t>。2. 认真抓好班级多媒体设备</w:t>
      </w:r>
      <w:r>
        <w:rPr>
          <w:rFonts w:hint="eastAsia" w:ascii="仿宋_GB2312" w:hAnsi="宋体" w:eastAsia="仿宋_GB2312"/>
          <w:b w:val="0"/>
          <w:bCs/>
          <w:sz w:val="32"/>
          <w:szCs w:val="32"/>
          <w:lang w:eastAsia="zh-CN"/>
        </w:rPr>
        <w:t>维护及应用</w:t>
      </w:r>
      <w:r>
        <w:rPr>
          <w:rFonts w:hint="eastAsia" w:ascii="仿宋_GB2312" w:hAnsi="宋体" w:eastAsia="仿宋_GB2312"/>
          <w:b w:val="0"/>
          <w:bCs/>
          <w:sz w:val="32"/>
          <w:szCs w:val="32"/>
        </w:rPr>
        <w:t>。3. 认真抓好了网络学习空间人人通建设工作。</w:t>
      </w:r>
      <w:r>
        <w:rPr>
          <w:rFonts w:hint="eastAsia" w:hAnsi="宋体"/>
          <w:b w:val="0"/>
          <w:bCs/>
          <w:sz w:val="32"/>
          <w:szCs w:val="32"/>
          <w:lang w:val="en-US" w:eastAsia="zh-CN"/>
        </w:rPr>
        <w:t>4</w:t>
      </w:r>
      <w:r>
        <w:rPr>
          <w:rFonts w:hint="eastAsia" w:ascii="仿宋_GB2312" w:hAnsi="宋体" w:eastAsia="仿宋_GB2312"/>
          <w:b w:val="0"/>
          <w:bCs/>
          <w:sz w:val="32"/>
          <w:szCs w:val="32"/>
        </w:rPr>
        <w:t>.认真组织开展了“</w:t>
      </w:r>
      <w:r>
        <w:rPr>
          <w:rFonts w:hint="eastAsia" w:ascii="仿宋_GB2312" w:hAnsi="宋体" w:eastAsia="仿宋_GB2312"/>
          <w:b w:val="0"/>
          <w:bCs/>
          <w:sz w:val="32"/>
          <w:szCs w:val="32"/>
          <w:lang w:eastAsia="zh-CN"/>
        </w:rPr>
        <w:t>课堂大比武</w:t>
      </w:r>
      <w:r>
        <w:rPr>
          <w:rFonts w:hint="eastAsia" w:ascii="仿宋_GB2312" w:hAnsi="宋体" w:eastAsia="仿宋_GB2312"/>
          <w:b w:val="0"/>
          <w:bCs/>
          <w:sz w:val="32"/>
          <w:szCs w:val="32"/>
        </w:rPr>
        <w:t>”专题活动。</w:t>
      </w:r>
      <w:r>
        <w:rPr>
          <w:rFonts w:hint="eastAsia" w:ascii="仿宋_GB2312" w:hAnsi="宋体" w:eastAsia="仿宋_GB2312"/>
          <w:b w:val="0"/>
          <w:bCs/>
          <w:sz w:val="32"/>
          <w:szCs w:val="32"/>
          <w:lang w:val="en-US" w:eastAsia="zh-CN"/>
        </w:rPr>
        <w:t>5</w:t>
      </w:r>
      <w:r>
        <w:rPr>
          <w:rFonts w:hint="eastAsia" w:ascii="仿宋_GB2312" w:hAnsi="宋体" w:eastAsia="仿宋_GB2312"/>
          <w:b w:val="0"/>
          <w:bCs/>
          <w:sz w:val="32"/>
          <w:szCs w:val="32"/>
        </w:rPr>
        <w:t>. 组织开展了201</w:t>
      </w:r>
      <w:r>
        <w:rPr>
          <w:rFonts w:hint="eastAsia" w:ascii="仿宋_GB2312" w:hAnsi="宋体" w:eastAsia="仿宋_GB2312"/>
          <w:b w:val="0"/>
          <w:bCs/>
          <w:sz w:val="32"/>
          <w:szCs w:val="32"/>
          <w:lang w:val="en-US" w:eastAsia="zh-CN"/>
        </w:rPr>
        <w:t>9</w:t>
      </w:r>
      <w:r>
        <w:rPr>
          <w:rFonts w:hint="eastAsia" w:ascii="仿宋_GB2312" w:hAnsi="宋体" w:eastAsia="仿宋_GB2312"/>
          <w:b w:val="0"/>
          <w:bCs/>
          <w:sz w:val="32"/>
          <w:szCs w:val="32"/>
        </w:rPr>
        <w:t>年中小学电脑制作活动。</w:t>
      </w:r>
      <w:r>
        <w:rPr>
          <w:rFonts w:hint="eastAsia" w:ascii="仿宋_GB2312" w:hAnsi="宋体" w:eastAsia="仿宋_GB2312"/>
          <w:b w:val="0"/>
          <w:bCs/>
          <w:sz w:val="32"/>
          <w:szCs w:val="32"/>
          <w:lang w:val="en-US" w:eastAsia="zh-CN"/>
        </w:rPr>
        <w:t>6</w:t>
      </w:r>
      <w:r>
        <w:rPr>
          <w:rFonts w:hint="eastAsia" w:ascii="仿宋_GB2312" w:hAnsi="宋体" w:eastAsia="仿宋_GB2312"/>
          <w:b w:val="0"/>
          <w:bCs/>
          <w:sz w:val="32"/>
          <w:szCs w:val="32"/>
        </w:rPr>
        <w:t>．举办了201</w:t>
      </w:r>
      <w:r>
        <w:rPr>
          <w:rFonts w:hint="eastAsia" w:ascii="仿宋_GB2312" w:hAnsi="宋体" w:eastAsia="仿宋_GB2312"/>
          <w:b w:val="0"/>
          <w:bCs/>
          <w:sz w:val="32"/>
          <w:szCs w:val="32"/>
          <w:lang w:val="en-US" w:eastAsia="zh-CN"/>
        </w:rPr>
        <w:t>9</w:t>
      </w:r>
      <w:r>
        <w:rPr>
          <w:rFonts w:hint="eastAsia" w:ascii="仿宋_GB2312" w:hAnsi="宋体" w:eastAsia="仿宋_GB2312"/>
          <w:b w:val="0"/>
          <w:bCs/>
          <w:sz w:val="32"/>
          <w:szCs w:val="32"/>
        </w:rPr>
        <w:t>年教师多媒体教育软件大赛。</w:t>
      </w:r>
      <w:r>
        <w:rPr>
          <w:rFonts w:hint="eastAsia" w:ascii="仿宋_GB2312" w:hAnsi="宋体" w:eastAsia="仿宋_GB2312"/>
          <w:b w:val="0"/>
          <w:bCs/>
          <w:sz w:val="32"/>
          <w:szCs w:val="32"/>
          <w:lang w:val="en-US" w:eastAsia="zh-CN"/>
        </w:rPr>
        <w:t>7</w:t>
      </w:r>
      <w:r>
        <w:rPr>
          <w:rFonts w:hint="eastAsia" w:ascii="仿宋_GB2312" w:hAnsi="宋体" w:eastAsia="仿宋_GB2312"/>
          <w:b w:val="0"/>
          <w:bCs/>
          <w:sz w:val="32"/>
          <w:szCs w:val="32"/>
        </w:rPr>
        <w:t>.组织参加了四川省机器人大赛。</w:t>
      </w:r>
      <w:r>
        <w:rPr>
          <w:rFonts w:hint="eastAsia" w:ascii="仿宋_GB2312" w:hAnsi="宋体" w:eastAsia="仿宋_GB2312"/>
          <w:b w:val="0"/>
          <w:bCs/>
          <w:sz w:val="32"/>
          <w:szCs w:val="32"/>
          <w:lang w:val="en-US" w:eastAsia="zh-CN"/>
        </w:rPr>
        <w:t>8</w:t>
      </w:r>
      <w:r>
        <w:rPr>
          <w:rFonts w:hint="eastAsia" w:ascii="仿宋_GB2312" w:hAnsi="宋体" w:eastAsia="仿宋_GB2312"/>
          <w:b w:val="0"/>
          <w:bCs/>
          <w:sz w:val="32"/>
          <w:szCs w:val="32"/>
        </w:rPr>
        <w:t>.组织开展了“201</w:t>
      </w:r>
      <w:r>
        <w:rPr>
          <w:rFonts w:hint="eastAsia" w:ascii="仿宋_GB2312" w:hAnsi="宋体" w:eastAsia="仿宋_GB2312"/>
          <w:b w:val="0"/>
          <w:bCs/>
          <w:sz w:val="32"/>
          <w:szCs w:val="32"/>
          <w:lang w:val="en-US" w:eastAsia="zh-CN"/>
        </w:rPr>
        <w:t>9</w:t>
      </w:r>
      <w:r>
        <w:rPr>
          <w:rFonts w:hint="eastAsia" w:ascii="仿宋_GB2312" w:hAnsi="宋体" w:eastAsia="仿宋_GB2312"/>
          <w:b w:val="0"/>
          <w:bCs/>
          <w:sz w:val="32"/>
          <w:szCs w:val="32"/>
        </w:rPr>
        <w:t>年度达州市中小学教师信息技术教育征文大赛。</w:t>
      </w:r>
    </w:p>
    <w:p>
      <w:pPr>
        <w:pStyle w:val="3"/>
        <w:rPr>
          <w:rStyle w:val="25"/>
          <w:rFonts w:hint="eastAsia" w:ascii="黑体" w:hAnsi="黑体" w:eastAsia="黑体"/>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pacing w:line="600" w:lineRule="exact"/>
        <w:ind w:firstLine="560" w:firstLineChars="200"/>
        <w:rPr>
          <w:rFonts w:hint="eastAsia" w:eastAsia="黑体"/>
          <w:color w:val="000000"/>
          <w:sz w:val="32"/>
          <w:szCs w:val="32"/>
          <w:lang w:eastAsia="zh-CN"/>
        </w:rPr>
      </w:pPr>
      <w:r>
        <w:rPr>
          <w:rFonts w:hint="eastAsia" w:ascii="仿宋" w:hAnsi="仿宋" w:eastAsia="仿宋" w:cs="仿宋"/>
          <w:b w:val="0"/>
          <w:bCs w:val="0"/>
          <w:color w:val="000000"/>
          <w:sz w:val="28"/>
          <w:szCs w:val="28"/>
          <w:lang w:eastAsia="zh-CN"/>
        </w:rPr>
        <w:t>无下级部门</w:t>
      </w:r>
    </w:p>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w:t>
      </w:r>
      <w:r>
        <w:rPr>
          <w:rStyle w:val="24"/>
          <w:rFonts w:hint="eastAsia" w:ascii="黑体" w:hAnsi="黑体" w:eastAsia="黑体"/>
          <w:b w:val="0"/>
          <w:bCs w:val="0"/>
          <w:lang w:val="en-US" w:eastAsia="zh-CN"/>
        </w:rPr>
        <w:t>9</w:t>
      </w:r>
      <w:r>
        <w:rPr>
          <w:rStyle w:val="24"/>
          <w:rFonts w:hint="eastAsia" w:ascii="黑体" w:hAnsi="黑体" w:eastAsia="黑体"/>
          <w:b w:val="0"/>
          <w:bCs w:val="0"/>
        </w:rPr>
        <w:t>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年度收、支总计</w:t>
      </w:r>
      <w:r>
        <w:rPr>
          <w:rFonts w:hint="eastAsia" w:ascii="仿宋" w:hAnsi="仿宋" w:eastAsia="仿宋"/>
          <w:color w:val="000000"/>
          <w:sz w:val="32"/>
          <w:szCs w:val="32"/>
          <w:lang w:eastAsia="zh-CN"/>
        </w:rPr>
        <w:t>各</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853.72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82.80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本年无教育城域网及班班通项目建设</w:t>
      </w:r>
      <w:r>
        <w:rPr>
          <w:rFonts w:hint="eastAsia" w:ascii="仿宋" w:hAnsi="仿宋" w:eastAsia="仿宋"/>
          <w:color w:val="000000"/>
          <w:sz w:val="32"/>
          <w:szCs w:val="32"/>
          <w:lang w:val="en-US" w:eastAsia="zh-CN"/>
        </w:rPr>
        <w:t>。</w:t>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万元，其中：</w:t>
      </w:r>
      <w:bookmarkStart w:id="28" w:name="OLE_LINK7"/>
      <w:r>
        <w:rPr>
          <w:rFonts w:hint="eastAsia" w:ascii="仿宋" w:hAnsi="仿宋" w:eastAsia="仿宋"/>
          <w:color w:val="000000"/>
          <w:sz w:val="32"/>
          <w:szCs w:val="32"/>
        </w:rPr>
        <w:t>一般公共预算财政拨款收入</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w:t>
      </w:r>
      <w:bookmarkEnd w:id="28"/>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9" w:name="_Toc15396605"/>
      <w:bookmarkStart w:id="30"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9"/>
      <w:bookmarkEnd w:id="30"/>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167.41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94.38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1" w:name="_Toc15377208"/>
      <w:bookmarkStart w:id="32"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1"/>
      <w:bookmarkEnd w:id="32"/>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853.72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82.80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本年无教育城域网及班班通项目建设</w:t>
      </w:r>
      <w:r>
        <w:rPr>
          <w:rFonts w:hint="eastAsia" w:ascii="仿宋" w:hAnsi="仿宋" w:eastAsia="仿宋"/>
          <w:color w:val="000000"/>
          <w:sz w:val="32"/>
          <w:szCs w:val="32"/>
          <w:lang w:val="en-US" w:eastAsia="zh-CN"/>
        </w:rPr>
        <w:t>。</w:t>
      </w:r>
    </w:p>
    <w:p>
      <w:pPr>
        <w:spacing w:line="600" w:lineRule="exact"/>
        <w:ind w:firstLine="640" w:firstLineChars="200"/>
        <w:outlineLvl w:val="1"/>
        <w:rPr>
          <w:rStyle w:val="25"/>
          <w:rFonts w:ascii="黑体" w:hAnsi="黑体" w:eastAsia="黑体"/>
          <w:b w:val="0"/>
        </w:rPr>
      </w:pPr>
      <w:bookmarkStart w:id="33" w:name="_Toc15396607"/>
      <w:bookmarkStart w:id="3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853.72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82.80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本年无教育城域网及班班通项目建设</w:t>
      </w:r>
      <w:r>
        <w:rPr>
          <w:rFonts w:hint="eastAsia" w:ascii="仿宋" w:hAnsi="仿宋" w:eastAsia="仿宋"/>
          <w:color w:val="000000"/>
          <w:sz w:val="32"/>
          <w:szCs w:val="32"/>
          <w:lang w:val="en-US" w:eastAsia="zh-CN"/>
        </w:rPr>
        <w:t>。</w:t>
      </w: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bookmarkStart w:id="37" w:name="OLE_LINK3"/>
      <w:r>
        <w:rPr>
          <w:rFonts w:hint="eastAsia" w:ascii="仿宋" w:hAnsi="仿宋" w:eastAsia="仿宋"/>
          <w:color w:val="000000"/>
          <w:sz w:val="32"/>
          <w:szCs w:val="32"/>
          <w:lang w:val="en-US" w:eastAsia="zh-CN"/>
        </w:rPr>
        <w:t>177.38</w:t>
      </w:r>
      <w:r>
        <w:rPr>
          <w:rFonts w:hint="eastAsia" w:ascii="仿宋" w:hAnsi="仿宋" w:eastAsia="仿宋"/>
          <w:color w:val="000000" w:themeColor="text1"/>
          <w:sz w:val="32"/>
          <w:szCs w:val="32"/>
          <w14:textFill>
            <w14:solidFill>
              <w14:schemeClr w14:val="tx1"/>
            </w14:solidFill>
          </w14:textFill>
        </w:rPr>
        <w:t>万元</w:t>
      </w:r>
      <w:bookmarkEnd w:id="37"/>
      <w:r>
        <w:rPr>
          <w:rFonts w:hint="eastAsia" w:ascii="仿宋" w:hAnsi="仿宋" w:eastAsia="仿宋"/>
          <w:color w:val="000000" w:themeColor="text1"/>
          <w:sz w:val="32"/>
          <w:szCs w:val="32"/>
          <w14:textFill>
            <w14:solidFill>
              <w14:schemeClr w14:val="tx1"/>
            </w14:solidFill>
          </w14:textFill>
        </w:rPr>
        <w:t>，主要用于以下方面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140.72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79.34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18.97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10.69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6.23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3.51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11.46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6.46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3" w:firstLineChars="200"/>
        <w:outlineLvl w:val="2"/>
        <w:rPr>
          <w:rFonts w:ascii="仿宋" w:hAnsi="仿宋" w:eastAsia="仿宋"/>
          <w:b/>
          <w:color w:val="000000"/>
          <w:sz w:val="32"/>
          <w:szCs w:val="32"/>
        </w:rPr>
      </w:pPr>
      <w:bookmarkStart w:id="39" w:name="_Toc15377444"/>
      <w:bookmarkStart w:id="40" w:name="_Toc15378460"/>
      <w:bookmarkStart w:id="41" w:name="_Toc15377213"/>
      <w:r>
        <w:rPr>
          <w:rFonts w:hint="eastAsia" w:ascii="仿宋" w:hAnsi="仿宋" w:eastAsia="仿宋"/>
          <w:b/>
          <w:color w:val="000000" w:themeColor="text1"/>
          <w:sz w:val="32"/>
          <w:szCs w:val="32"/>
          <w14:textFill>
            <w14:solidFill>
              <w14:schemeClr w14:val="tx1"/>
            </w14:solidFill>
          </w14:textFill>
        </w:rPr>
        <w:t>201</w:t>
      </w:r>
      <w:r>
        <w:rPr>
          <w:rFonts w:hint="eastAsia" w:ascii="仿宋" w:hAnsi="仿宋" w:eastAsia="仿宋"/>
          <w:b/>
          <w:color w:val="000000" w:themeColor="text1"/>
          <w:sz w:val="32"/>
          <w:szCs w:val="32"/>
          <w:lang w:val="en-US" w:eastAsia="zh-CN"/>
          <w14:textFill>
            <w14:solidFill>
              <w14:schemeClr w14:val="tx1"/>
            </w14:solidFill>
          </w14:textFill>
        </w:rPr>
        <w:t>9</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color w:val="000000"/>
          <w:sz w:val="32"/>
          <w:szCs w:val="32"/>
          <w:lang w:val="en-US" w:eastAsia="zh-CN"/>
        </w:rPr>
        <w:t>177.38</w:t>
      </w:r>
      <w:r>
        <w:rPr>
          <w:rFonts w:hint="eastAsia" w:ascii="仿宋" w:hAnsi="仿宋" w:eastAsia="仿宋"/>
          <w:color w:val="000000" w:themeColor="text1"/>
          <w:sz w:val="32"/>
          <w:szCs w:val="32"/>
          <w14:textFill>
            <w14:solidFill>
              <w14:schemeClr w14:val="tx1"/>
            </w14:solidFill>
          </w14:textFill>
        </w:rPr>
        <w:t>万元，</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9"/>
      <w:bookmarkEnd w:id="40"/>
      <w:bookmarkEnd w:id="41"/>
    </w:p>
    <w:p>
      <w:pPr>
        <w:numPr>
          <w:ilvl w:val="0"/>
          <w:numId w:val="0"/>
        </w:numPr>
        <w:spacing w:line="600" w:lineRule="exact"/>
        <w:ind w:left="0" w:leftChars="0" w:firstLine="643" w:firstLineChars="200"/>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lang w:val="en-US" w:eastAsia="zh-CN"/>
        </w:rPr>
        <w:t>1.205</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:140.72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0"/>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社会保障和就业</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18.97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6.23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eastAsia="zh-CN"/>
        </w:rPr>
        <w:t>住房保障支出</w:t>
      </w:r>
      <w:r>
        <w:rPr>
          <w:rStyle w:val="14"/>
          <w:rFonts w:hint="eastAsia" w:ascii="仿宋" w:hAnsi="仿宋" w:eastAsia="仿宋"/>
          <w:bCs/>
          <w:color w:val="000000"/>
          <w:sz w:val="32"/>
          <w:szCs w:val="32"/>
          <w:lang w:val="en-US" w:eastAsia="zh-CN"/>
        </w:rPr>
        <w:t>221</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11.46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2" w:name="_Toc15396608"/>
      <w:bookmarkStart w:id="43"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2"/>
      <w:bookmarkEnd w:id="43"/>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165.21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12.17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等。</w:t>
      </w:r>
    </w:p>
    <w:p>
      <w:pPr>
        <w:spacing w:line="600" w:lineRule="exact"/>
        <w:ind w:firstLine="640"/>
        <w:outlineLvl w:val="1"/>
        <w:rPr>
          <w:rStyle w:val="25"/>
          <w:rFonts w:ascii="黑体" w:hAnsi="黑体" w:eastAsia="黑体"/>
          <w:b w:val="0"/>
        </w:rPr>
      </w:pPr>
      <w:bookmarkStart w:id="44" w:name="_Toc15377215"/>
      <w:bookmarkStart w:id="45"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4"/>
      <w:bookmarkEnd w:id="45"/>
    </w:p>
    <w:p>
      <w:pPr>
        <w:spacing w:line="600" w:lineRule="exact"/>
        <w:ind w:firstLine="640"/>
        <w:outlineLvl w:val="2"/>
        <w:rPr>
          <w:rFonts w:ascii="仿宋" w:hAnsi="仿宋" w:eastAsia="仿宋"/>
          <w:b/>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0.25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13.64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公务接待次数稍有增加</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0.25</w:t>
      </w:r>
      <w:r>
        <w:rPr>
          <w:rFonts w:hint="eastAsia" w:ascii="仿宋_GB2312" w:eastAsia="仿宋_GB2312"/>
          <w:color w:val="000000"/>
          <w:sz w:val="32"/>
          <w:szCs w:val="32"/>
        </w:rPr>
        <w:t>万元，具体内容包括：</w:t>
      </w:r>
      <w:bookmarkStart w:id="48" w:name="OLE_LINK6"/>
      <w:r>
        <w:rPr>
          <w:rFonts w:hint="eastAsia" w:ascii="仿宋_GB2312" w:eastAsia="仿宋_GB2312"/>
          <w:color w:val="000000"/>
          <w:sz w:val="32"/>
          <w:szCs w:val="32"/>
          <w:lang w:eastAsia="zh-CN"/>
        </w:rPr>
        <w:t>上级主管部门的工作检查调研等</w:t>
      </w:r>
      <w:bookmarkEnd w:id="48"/>
      <w:r>
        <w:rPr>
          <w:rFonts w:hint="eastAsia" w:ascii="仿宋_GB2312" w:eastAsia="仿宋_GB2312"/>
          <w:color w:val="000000"/>
          <w:sz w:val="32"/>
          <w:szCs w:val="32"/>
          <w:lang w:eastAsia="zh-CN"/>
        </w:rPr>
        <w:t>活动</w:t>
      </w:r>
      <w:r>
        <w:rPr>
          <w:rFonts w:hint="eastAsia" w:ascii="仿宋_GB2312" w:eastAsia="仿宋_GB2312"/>
          <w:color w:val="000000"/>
          <w:sz w:val="32"/>
          <w:szCs w:val="32"/>
        </w:rPr>
        <w:t>。其中：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0.25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上级主管部门的工作检查调研等活动。</w:t>
      </w:r>
    </w:p>
    <w:p>
      <w:pPr>
        <w:spacing w:line="600" w:lineRule="exact"/>
        <w:ind w:firstLine="640"/>
        <w:outlineLvl w:val="1"/>
        <w:rPr>
          <w:rFonts w:hint="eastAsia" w:ascii="黑体" w:eastAsia="黑体"/>
          <w:color w:val="000000"/>
          <w:sz w:val="32"/>
          <w:szCs w:val="32"/>
        </w:rPr>
      </w:pPr>
      <w:bookmarkStart w:id="49" w:name="_Toc15377218"/>
      <w:bookmarkStart w:id="50"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51" w:name="_Toc15377219"/>
      <w:bookmarkStart w:id="52" w:name="_Toc15396611"/>
      <w:r>
        <w:rPr>
          <w:rStyle w:val="25"/>
          <w:rFonts w:hint="eastAsia" w:ascii="黑体" w:hAnsi="黑体" w:eastAsia="黑体"/>
          <w:b w:val="0"/>
        </w:rPr>
        <w:t>国有资本经营预算支出决算情况说明</w:t>
      </w:r>
      <w:bookmarkEnd w:id="51"/>
      <w:bookmarkEnd w:id="5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numPr>
          <w:ilvl w:val="0"/>
          <w:numId w:val="0"/>
        </w:numPr>
        <w:spacing w:line="580" w:lineRule="exact"/>
        <w:ind w:left="0" w:leftChars="0" w:firstLine="1478" w:firstLineChars="462"/>
        <w:rPr>
          <w:rFonts w:ascii="仿宋" w:hAnsi="仿宋" w:eastAsia="仿宋" w:cs="仿宋_GB2312"/>
          <w:sz w:val="32"/>
          <w:szCs w:val="32"/>
        </w:rPr>
      </w:pPr>
      <w:r>
        <w:rPr>
          <w:rFonts w:hint="eastAsia" w:ascii="仿宋_GB2312" w:hAnsi="仿宋_GB2312" w:eastAsia="仿宋_GB2312" w:cs="仿宋_GB2312"/>
          <w:sz w:val="32"/>
          <w:szCs w:val="32"/>
          <w:lang w:eastAsia="zh-CN"/>
        </w:rPr>
        <w:t>无</w:t>
      </w: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宣汉县电化教育馆</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Style w:val="25"/>
          <w:rFonts w:ascii="黑体" w:hAnsi="黑体" w:eastAsia="黑体"/>
        </w:rPr>
      </w:pPr>
      <w:bookmarkStart w:id="53" w:name="_Toc15396612"/>
      <w:bookmarkStart w:id="54"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3"/>
      <w:bookmarkEnd w:id="54"/>
    </w:p>
    <w:p>
      <w:pPr>
        <w:spacing w:line="600" w:lineRule="exact"/>
        <w:ind w:firstLine="643" w:firstLineChars="200"/>
        <w:outlineLvl w:val="2"/>
        <w:rPr>
          <w:rFonts w:ascii="仿宋" w:hAnsi="仿宋" w:eastAsia="仿宋"/>
          <w:color w:val="000000"/>
          <w:sz w:val="32"/>
          <w:szCs w:val="32"/>
        </w:rPr>
      </w:pPr>
      <w:bookmarkStart w:id="55" w:name="_Toc15377222"/>
      <w:r>
        <w:rPr>
          <w:rFonts w:hint="eastAsia" w:ascii="仿宋" w:hAnsi="仿宋" w:eastAsia="仿宋"/>
          <w:b/>
          <w:color w:val="000000"/>
          <w:sz w:val="32"/>
          <w:szCs w:val="32"/>
        </w:rPr>
        <w:t>（一）机关运行经费支出情况</w:t>
      </w:r>
      <w:bookmarkEnd w:id="55"/>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6" w:name="_Toc15377223"/>
      <w:r>
        <w:rPr>
          <w:rFonts w:hint="eastAsia" w:ascii="仿宋" w:hAnsi="仿宋" w:eastAsia="仿宋"/>
          <w:b/>
          <w:color w:val="000000"/>
          <w:sz w:val="32"/>
          <w:szCs w:val="32"/>
        </w:rPr>
        <w:t>（二）政府采购支出情况</w:t>
      </w:r>
      <w:bookmarkEnd w:id="56"/>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4"/>
      <w:r>
        <w:rPr>
          <w:rFonts w:hint="eastAsia" w:ascii="仿宋" w:hAnsi="仿宋" w:eastAsia="仿宋"/>
          <w:b/>
          <w:color w:val="000000"/>
          <w:sz w:val="32"/>
          <w:szCs w:val="32"/>
        </w:rPr>
        <w:t>（三）国有资产占有使用情况</w:t>
      </w:r>
      <w:bookmarkEnd w:id="57"/>
    </w:p>
    <w:p>
      <w:pPr>
        <w:spacing w:line="600" w:lineRule="atLeast"/>
        <w:ind w:firstLine="640" w:firstLineChars="200"/>
        <w:rPr>
          <w:rFonts w:hint="eastAsia" w:ascii="仿宋_GB2312" w:eastAsia="仿宋_GB2312"/>
          <w:b/>
          <w:color w:val="000000"/>
          <w:sz w:val="32"/>
          <w:szCs w:val="32"/>
          <w:lang w:eastAsia="zh-CN"/>
        </w:rPr>
      </w:pPr>
      <w:r>
        <w:rPr>
          <w:rFonts w:hint="eastAsia" w:ascii="仿宋_GB2312" w:eastAsia="仿宋_GB2312"/>
          <w:color w:val="000000"/>
          <w:sz w:val="32"/>
          <w:szCs w:val="32"/>
          <w:lang w:eastAsia="zh-CN"/>
        </w:rPr>
        <w:t>无</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4"/>
          <w:rFonts w:ascii="黑体" w:hAnsi="黑体" w:eastAsia="黑体"/>
          <w:b w:val="0"/>
        </w:rPr>
      </w:pPr>
      <w:bookmarkStart w:id="58" w:name="_Toc15396613"/>
      <w:bookmarkStart w:id="59"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8"/>
      <w:bookmarkEnd w:id="59"/>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60" w:name="_Toc15377226"/>
      <w:r>
        <w:rPr>
          <w:rFonts w:ascii="宋体"/>
          <w:b/>
          <w:color w:val="000000"/>
          <w:sz w:val="44"/>
          <w:szCs w:val="44"/>
        </w:rPr>
        <w:br w:type="page"/>
      </w:r>
      <w:bookmarkStart w:id="61"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1"/>
    </w:p>
    <w:p>
      <w:pPr>
        <w:spacing w:line="600" w:lineRule="exact"/>
        <w:jc w:val="center"/>
        <w:outlineLvl w:val="0"/>
        <w:rPr>
          <w:rStyle w:val="24"/>
        </w:rPr>
      </w:pPr>
    </w:p>
    <w:p>
      <w:pPr>
        <w:pStyle w:val="3"/>
        <w:rPr>
          <w:rStyle w:val="24"/>
          <w:rFonts w:ascii="仿宋" w:hAnsi="仿宋" w:eastAsia="仿宋"/>
          <w:b w:val="0"/>
          <w:bCs w:val="0"/>
          <w:sz w:val="32"/>
          <w:szCs w:val="32"/>
        </w:rPr>
      </w:pPr>
      <w:bookmarkStart w:id="62" w:name="_Toc15396615"/>
      <w:r>
        <w:rPr>
          <w:rStyle w:val="24"/>
          <w:rFonts w:hint="eastAsia" w:ascii="仿宋" w:hAnsi="仿宋" w:eastAsia="仿宋"/>
          <w:b w:val="0"/>
          <w:bCs w:val="0"/>
          <w:sz w:val="32"/>
          <w:szCs w:val="32"/>
        </w:rPr>
        <w:t>附件1</w:t>
      </w:r>
      <w:bookmarkEnd w:id="62"/>
    </w:p>
    <w:p>
      <w:pPr>
        <w:spacing w:line="600" w:lineRule="exact"/>
        <w:jc w:val="center"/>
        <w:outlineLvl w:val="0"/>
        <w:rPr>
          <w:rFonts w:hint="eastAsia" w:ascii="黑体" w:hAnsi="黑体" w:eastAsia="黑体" w:cs="方正小标宋简体"/>
          <w:sz w:val="36"/>
          <w:szCs w:val="36"/>
          <w:lang w:eastAsia="zh-CN"/>
        </w:rPr>
      </w:pPr>
      <w:bookmarkStart w:id="63" w:name="_Toc15396616"/>
      <w:r>
        <w:rPr>
          <w:rFonts w:hint="eastAsia" w:ascii="黑体" w:hAnsi="黑体" w:eastAsia="黑体" w:cs="方正小标宋简体"/>
          <w:sz w:val="36"/>
          <w:szCs w:val="36"/>
          <w:lang w:eastAsia="zh-CN"/>
        </w:rPr>
        <w:t>宣汉县电化教育馆</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63"/>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（一）机构组成。</w:t>
      </w:r>
      <w:r>
        <w:rPr>
          <w:rFonts w:hint="eastAsia" w:ascii="仿宋" w:hAnsi="仿宋" w:eastAsia="仿宋" w:cs="仿宋_GB2312"/>
          <w:sz w:val="32"/>
          <w:szCs w:val="32"/>
          <w:lang w:eastAsia="zh-CN"/>
        </w:rPr>
        <w:t>本单位无下属机构。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r>
        <w:rPr>
          <w:rFonts w:hint="eastAsia" w:ascii="宋体" w:hAnsi="宋体"/>
          <w:sz w:val="28"/>
          <w:szCs w:val="28"/>
        </w:rPr>
        <w:t>1．贯彻执行电化教育的方针、政策，制定我县电化教育工作发展规划。2．积极开展电化教育、信息技术教育的研究工作，促进教育事业发展。3．负责中小学教师的现代教育技术培训工作。4．负责现代教育技术设备设施和远教设备的配备、管理、维护。5．负责全县教育</w:t>
      </w:r>
      <w:r>
        <w:rPr>
          <w:rFonts w:hint="eastAsia" w:ascii="宋体" w:hAnsi="宋体"/>
          <w:sz w:val="28"/>
          <w:szCs w:val="28"/>
          <w:lang w:eastAsia="zh-CN"/>
        </w:rPr>
        <w:t>城域网</w:t>
      </w:r>
      <w:r>
        <w:rPr>
          <w:rFonts w:hint="eastAsia" w:ascii="宋体" w:hAnsi="宋体"/>
          <w:sz w:val="28"/>
          <w:szCs w:val="28"/>
        </w:rPr>
        <w:t>的建设、管理与维护。6．负责配发、征订、自制电教教材、课件及开发与应用。</w:t>
      </w:r>
    </w:p>
    <w:p>
      <w:pPr>
        <w:spacing w:line="580" w:lineRule="exact"/>
        <w:ind w:firstLine="640" w:firstLineChars="200"/>
        <w:rPr>
          <w:rFonts w:hint="default" w:ascii="仿宋" w:hAnsi="仿宋" w:eastAsia="仿宋" w:cs="仿宋_GB2312"/>
          <w:sz w:val="32"/>
          <w:szCs w:val="32"/>
          <w:lang w:val="en-US" w:eastAsia="zh-CN"/>
        </w:rPr>
      </w:pPr>
      <w:r>
        <w:rPr>
          <w:rFonts w:ascii="仿宋" w:hAnsi="仿宋" w:eastAsia="仿宋" w:cs="仿宋_GB2312"/>
          <w:sz w:val="32"/>
          <w:szCs w:val="32"/>
        </w:rPr>
        <w:t>（三）人员概况。</w:t>
      </w:r>
      <w:r>
        <w:rPr>
          <w:rFonts w:hint="eastAsia" w:ascii="仿宋" w:hAnsi="仿宋" w:eastAsia="仿宋" w:cs="仿宋_GB2312"/>
          <w:sz w:val="32"/>
          <w:szCs w:val="32"/>
          <w:lang w:eastAsia="zh-CN"/>
        </w:rPr>
        <w:t>本单位</w:t>
      </w:r>
      <w:r>
        <w:rPr>
          <w:rFonts w:hint="eastAsia" w:ascii="仿宋" w:hAnsi="仿宋" w:eastAsia="仿宋" w:cs="仿宋_GB2312"/>
          <w:sz w:val="32"/>
          <w:szCs w:val="32"/>
          <w:lang w:val="en-US" w:eastAsia="zh-CN"/>
        </w:rPr>
        <w:t>10人，专业技术人员10人。馆长1人，副馆长2人。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w:t>
      </w:r>
      <w:r>
        <w:rPr>
          <w:rFonts w:hint="eastAsia" w:ascii="仿宋" w:hAnsi="仿宋" w:eastAsia="仿宋"/>
          <w:color w:val="000000"/>
          <w:sz w:val="32"/>
          <w:szCs w:val="32"/>
        </w:rPr>
        <w:t>一般公共预算财政拨款收入</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w:t>
      </w:r>
      <w:r>
        <w:rPr>
          <w:rFonts w:hint="eastAsia" w:ascii="仿宋" w:hAnsi="仿宋" w:eastAsia="仿宋"/>
          <w:color w:val="000000"/>
          <w:sz w:val="32"/>
          <w:szCs w:val="32"/>
        </w:rPr>
        <w:t>一般公共预算财政拨款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177.38</w:t>
      </w:r>
      <w:r>
        <w:rPr>
          <w:rFonts w:hint="eastAsia" w:ascii="仿宋" w:hAnsi="仿宋" w:eastAsia="仿宋"/>
          <w:color w:val="000000"/>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本单位完成了</w:t>
      </w:r>
      <w:r>
        <w:rPr>
          <w:rFonts w:ascii="仿宋" w:hAnsi="仿宋" w:eastAsia="仿宋" w:cs="仿宋_GB2312"/>
          <w:sz w:val="32"/>
          <w:szCs w:val="32"/>
        </w:rPr>
        <w:t>部门绩效目标制定、目标完成</w:t>
      </w:r>
      <w:r>
        <w:rPr>
          <w:rFonts w:hint="eastAsia" w:ascii="仿宋" w:hAnsi="仿宋" w:eastAsia="仿宋" w:cs="仿宋_GB2312"/>
          <w:sz w:val="32"/>
          <w:szCs w:val="32"/>
          <w:lang w:eastAsia="zh-CN"/>
        </w:rPr>
        <w:t>，</w:t>
      </w:r>
      <w:r>
        <w:rPr>
          <w:rFonts w:ascii="仿宋" w:hAnsi="仿宋" w:eastAsia="仿宋" w:cs="仿宋_GB2312"/>
          <w:sz w:val="32"/>
          <w:szCs w:val="32"/>
        </w:rPr>
        <w:t>预算编制准确</w:t>
      </w:r>
      <w:r>
        <w:rPr>
          <w:rFonts w:hint="eastAsia" w:ascii="仿宋" w:hAnsi="仿宋" w:eastAsia="仿宋" w:cs="仿宋_GB2312"/>
          <w:sz w:val="32"/>
          <w:szCs w:val="32"/>
          <w:lang w:eastAsia="zh-CN"/>
        </w:rPr>
        <w:t>，</w:t>
      </w:r>
      <w:r>
        <w:rPr>
          <w:rFonts w:ascii="仿宋" w:hAnsi="仿宋" w:eastAsia="仿宋" w:cs="仿宋_GB2312"/>
          <w:sz w:val="32"/>
          <w:szCs w:val="32"/>
        </w:rPr>
        <w:t>支出控制、预算动态调整、执行进度、预算完成情况和</w:t>
      </w:r>
      <w:r>
        <w:rPr>
          <w:rFonts w:hint="eastAsia" w:ascii="仿宋" w:hAnsi="仿宋" w:eastAsia="仿宋" w:cs="仿宋_GB2312"/>
          <w:sz w:val="32"/>
          <w:szCs w:val="32"/>
          <w:lang w:eastAsia="zh-CN"/>
        </w:rPr>
        <w:t>无</w:t>
      </w:r>
      <w:r>
        <w:rPr>
          <w:rFonts w:ascii="仿宋" w:hAnsi="仿宋" w:eastAsia="仿宋" w:cs="仿宋_GB2312"/>
          <w:sz w:val="32"/>
          <w:szCs w:val="32"/>
        </w:rPr>
        <w:t>违规记录等</w:t>
      </w:r>
      <w:r>
        <w:rPr>
          <w:rFonts w:hint="eastAsia" w:ascii="仿宋" w:hAnsi="仿宋" w:eastAsia="仿宋" w:cs="仿宋_GB2312"/>
          <w:sz w:val="32"/>
          <w:szCs w:val="32"/>
          <w:lang w:eastAsia="zh-CN"/>
        </w:rPr>
        <w:t>工作</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无</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好</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（一）评价结论。</w:t>
      </w:r>
      <w:r>
        <w:rPr>
          <w:rFonts w:hint="eastAsia" w:ascii="仿宋" w:hAnsi="仿宋" w:eastAsia="仿宋" w:cs="仿宋_GB2312"/>
          <w:sz w:val="32"/>
          <w:szCs w:val="32"/>
          <w:lang w:eastAsia="zh-CN"/>
        </w:rPr>
        <w:t>好</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（二）存在问题。</w:t>
      </w:r>
      <w:r>
        <w:rPr>
          <w:rFonts w:hint="eastAsia" w:ascii="仿宋" w:hAnsi="仿宋" w:eastAsia="仿宋" w:cs="仿宋_GB2312"/>
          <w:sz w:val="32"/>
          <w:szCs w:val="32"/>
          <w:lang w:eastAsia="zh-CN"/>
        </w:rPr>
        <w:t>无</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（三）改进建议。</w:t>
      </w:r>
      <w:r>
        <w:rPr>
          <w:rFonts w:hint="eastAsia" w:ascii="仿宋" w:hAnsi="仿宋" w:eastAsia="仿宋" w:cs="仿宋_GB2312"/>
          <w:sz w:val="32"/>
          <w:szCs w:val="32"/>
          <w:lang w:eastAsia="zh-CN"/>
        </w:rPr>
        <w:t>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64"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0"/>
      <w:bookmarkEnd w:id="64"/>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5"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5"/>
    </w:p>
    <w:p>
      <w:pPr>
        <w:pStyle w:val="3"/>
        <w:rPr>
          <w:rFonts w:ascii="仿宋" w:hAnsi="仿宋" w:eastAsia="仿宋"/>
          <w:color w:val="000000"/>
        </w:rPr>
      </w:pPr>
      <w:bookmarkStart w:id="66"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6"/>
    </w:p>
    <w:p>
      <w:pPr>
        <w:pStyle w:val="3"/>
        <w:rPr>
          <w:rFonts w:ascii="仿宋" w:hAnsi="仿宋" w:eastAsia="仿宋"/>
          <w:color w:val="000000"/>
        </w:rPr>
      </w:pPr>
      <w:bookmarkStart w:id="67"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7"/>
    </w:p>
    <w:p>
      <w:pPr>
        <w:pStyle w:val="3"/>
        <w:rPr>
          <w:rFonts w:ascii="仿宋" w:hAnsi="仿宋" w:eastAsia="仿宋"/>
          <w:b w:val="0"/>
          <w:color w:val="000000"/>
        </w:rPr>
      </w:pPr>
      <w:bookmarkStart w:id="68"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8"/>
    </w:p>
    <w:p>
      <w:pPr>
        <w:pStyle w:val="3"/>
        <w:rPr>
          <w:rFonts w:ascii="仿宋" w:hAnsi="仿宋" w:eastAsia="仿宋"/>
          <w:color w:val="000000"/>
        </w:rPr>
      </w:pPr>
      <w:bookmarkStart w:id="69"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9"/>
    </w:p>
    <w:p>
      <w:pPr>
        <w:pStyle w:val="3"/>
        <w:rPr>
          <w:rFonts w:ascii="仿宋" w:hAnsi="仿宋" w:eastAsia="仿宋"/>
          <w:color w:val="000000"/>
        </w:rPr>
      </w:pPr>
      <w:bookmarkStart w:id="70"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0"/>
    </w:p>
    <w:p>
      <w:pPr>
        <w:pStyle w:val="3"/>
        <w:rPr>
          <w:rFonts w:ascii="仿宋" w:hAnsi="仿宋" w:eastAsia="仿宋"/>
          <w:color w:val="000000"/>
        </w:rPr>
      </w:pPr>
      <w:bookmarkStart w:id="71"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1"/>
    </w:p>
    <w:p>
      <w:pPr>
        <w:pStyle w:val="3"/>
        <w:rPr>
          <w:rFonts w:ascii="仿宋" w:hAnsi="仿宋" w:eastAsia="仿宋"/>
          <w:color w:val="000000"/>
        </w:rPr>
      </w:pPr>
      <w:bookmarkStart w:id="72"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2"/>
    </w:p>
    <w:p>
      <w:pPr>
        <w:pStyle w:val="3"/>
        <w:rPr>
          <w:rFonts w:ascii="仿宋" w:hAnsi="仿宋" w:eastAsia="仿宋"/>
          <w:color w:val="000000"/>
        </w:rPr>
      </w:pPr>
      <w:bookmarkStart w:id="73"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3"/>
    </w:p>
    <w:p>
      <w:pPr>
        <w:pStyle w:val="3"/>
        <w:rPr>
          <w:rFonts w:ascii="仿宋" w:hAnsi="仿宋" w:eastAsia="仿宋"/>
          <w:color w:val="000000"/>
        </w:rPr>
      </w:pPr>
      <w:bookmarkStart w:id="74"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4"/>
    </w:p>
    <w:p>
      <w:pPr>
        <w:pStyle w:val="3"/>
        <w:rPr>
          <w:rFonts w:ascii="仿宋" w:hAnsi="仿宋" w:eastAsia="仿宋"/>
          <w:color w:val="000000"/>
        </w:rPr>
      </w:pPr>
      <w:bookmarkStart w:id="75"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5"/>
    </w:p>
    <w:p>
      <w:pPr>
        <w:pStyle w:val="3"/>
        <w:rPr>
          <w:rFonts w:ascii="仿宋" w:hAnsi="仿宋" w:eastAsia="仿宋"/>
          <w:color w:val="000000"/>
        </w:rPr>
      </w:pPr>
      <w:bookmarkStart w:id="76"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6"/>
    </w:p>
    <w:p>
      <w:pPr>
        <w:pStyle w:val="3"/>
        <w:rPr>
          <w:rFonts w:ascii="仿宋" w:hAnsi="仿宋" w:eastAsia="仿宋"/>
          <w:color w:val="000000" w:themeColor="text1"/>
          <w14:textFill>
            <w14:solidFill>
              <w14:schemeClr w14:val="tx1"/>
            </w14:solidFill>
          </w14:textFill>
        </w:rPr>
      </w:pPr>
      <w:bookmarkStart w:id="77"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C055FF"/>
    <w:rsid w:val="114C40E5"/>
    <w:rsid w:val="16BB723D"/>
    <w:rsid w:val="240371BF"/>
    <w:rsid w:val="26A9277A"/>
    <w:rsid w:val="29FD04D3"/>
    <w:rsid w:val="31650E11"/>
    <w:rsid w:val="319F7F4E"/>
    <w:rsid w:val="5101052C"/>
    <w:rsid w:val="5FCC46C7"/>
    <w:rsid w:val="65CD5F15"/>
    <w:rsid w:val="6B3A2B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36</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2020-11-12T07:07:19Z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