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autoSpaceDE w:val="1"/>
        <w:autoSpaceDN w:val="1"/>
      </w:pPr>
      <w:bookmarkStart w:id="1" w:name="_Toc15306267"/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8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snapToGrid w:val="off"/>
        <w:autoSpaceDE w:val="1"/>
        <w:autoSpaceDN w:val="1"/>
      </w:pPr>
      <w:bookmarkStart w:id="2" w:name="_Toc15377193"/>
      <w:bookmarkStart w:id="3" w:name="_Toc15377425"/>
      <w:bookmarkStart w:id="4" w:name="_Toc15378441"/>
      <w:bookmarkStart w:id="5" w:name="_Toc15396475"/>
      <w:bookmarkStart w:id="6" w:name="_Toc15396597"/>
      <w:r>
        <w:rPr>
          <w:color w:val="000000"/>
          <w:position w:val="0"/>
          <w:sz w:val="72"/>
          <w:szCs w:val="72"/>
          <w:rFonts w:ascii="黑体" w:eastAsia="黑体" w:hAnsi="黑体" w:hint="default"/>
        </w:rPr>
        <w:t>2019</w:t>
      </w:r>
      <w:r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t>年度</w:t>
      </w:r>
      <w:bookmarkEnd w:id="2"/>
      <w:bookmarkEnd w:id="3"/>
      <w:bookmarkEnd w:id="4"/>
      <w:bookmarkEnd w:id="5"/>
      <w:bookmarkEnd w:id="6"/>
    </w:p>
    <w:p>
      <w:pPr>
        <w:numPr>
          <w:ilvl w:val="0"/>
          <w:numId w:val="0"/>
        </w:numPr>
        <w:jc w:val="center"/>
        <w:spacing w:lineRule="exact" w:line="800" w:before="0" w:after="0"/>
        <w:ind w:right="0" w:firstLine="0"/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outlineLvl w:val="0"/>
        <w:snapToGrid w:val="off"/>
        <w:autoSpaceDE w:val="1"/>
        <w:autoSpaceDN w:val="1"/>
      </w:pPr>
      <w:bookmarkStart w:id="7" w:name="_Toc15377194"/>
      <w:bookmarkStart w:id="8" w:name="_Toc15377426"/>
      <w:bookmarkStart w:id="9" w:name="_Toc15378442"/>
      <w:bookmarkStart w:id="10" w:name="_Toc15396476"/>
      <w:bookmarkStart w:id="11" w:name="_Toc15396598"/>
      <w:r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t>四川省</w:t>
      </w:r>
      <w:bookmarkStart w:id="12" w:name="_Toc15306268"/>
      <w:bookmarkEnd w:id="1"/>
      <w:r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t>宣汉县招生办部门</w:t>
      </w:r>
      <w:r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t>决算</w:t>
      </w:r>
      <w:bookmarkEnd w:id="7"/>
      <w:bookmarkEnd w:id="8"/>
      <w:bookmarkEnd w:id="9"/>
      <w:bookmarkEnd w:id="10"/>
      <w:bookmarkEnd w:id="11"/>
      <w:bookmarkEnd w:id="12"/>
      <w:r>
        <w:rPr>
          <w:color w:val="000000"/>
          <w:position w:val="0"/>
          <w:sz w:val="72"/>
          <w:szCs w:val="72"/>
          <w:rFonts w:ascii="方正小标宋简体" w:eastAsia="方正小标宋简体" w:hAnsi="方正小标宋简体" w:hint="default"/>
        </w:rPr>
        <w:t>公开编制说明</w:t>
      </w:r>
    </w:p>
    <w:p>
      <w:pPr>
        <w:numPr>
          <w:ilvl w:val="0"/>
          <w:numId w:val="0"/>
        </w:numPr>
        <w:jc w:val="center"/>
        <w:spacing w:lineRule="exact" w:line="800" w:before="0" w:after="0"/>
        <w:ind w:right="0" w:firstLine="0"/>
        <w:rPr>
          <w:color w:val="000000"/>
          <w:position w:val="0"/>
          <w:sz w:val="52"/>
          <w:szCs w:val="52"/>
          <w:rFonts w:ascii="方正小标宋简体" w:eastAsia="方正小标宋简体" w:hAnsi="方正小标宋简体" w:hint="default"/>
        </w:rPr>
        <w:outlineLvl w:val="0"/>
        <w:snapToGrid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48"/>
          <w:szCs w:val="48"/>
          <w:rFonts w:ascii="黑体" w:eastAsia="黑体" w:hAnsi="黑体" w:hint="default"/>
        </w:rPr>
        <w:autoSpaceDE w:val="1"/>
        <w:autoSpaceDN w:val="1"/>
      </w:pPr>
      <w:r>
        <w:br w:type="page"/>
      </w:r>
      <w:r>
        <w:rPr>
          <w:color w:val="000000"/>
          <w:position w:val="0"/>
          <w:sz w:val="48"/>
          <w:szCs w:val="48"/>
          <w:rFonts w:ascii="黑体" w:eastAsia="黑体" w:hAnsi="黑体" w:hint="default"/>
        </w:rPr>
        <w:t>目录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fldChar w:fldCharType="begin"/>
      </w:r>
      <w:r>
        <w:instrText> TOC  </w:instrText>
      </w:r>
      <w:r>
        <w:fldChar w:fldCharType="separate"/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fldChar w:fldCharType="separate"/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公开时间：20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</w:t>
      </w:r>
      <w:r>
        <w:fldChar w:fldCharType="separate"/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年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11</w:t>
      </w:r>
      <w:r>
        <w:fldChar w:fldCharType="separate"/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月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12</w:t>
      </w:r>
      <w:r>
        <w:fldChar w:fldCharType="separate"/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日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599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第一部分 部门概况4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0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一、基本职能及主要工作4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1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二、机构设置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_Toc15396601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4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2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第二部分 2019年度部门决算情况说明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_Toc15396602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5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3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一、收入支出决算总体情况说明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_Toc15396603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5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4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二、收入决算情况说明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_Toc15396604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5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5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三、支出决算情况说明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_Toc15396605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5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6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四、财政拨款收入支出决算总体情况说明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_Toc15396606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6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7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五、一般公共预算财政拨款支出决算情况说明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_Toc15396607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6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8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六、一般公共预算财政拨款基本支出决算情况说明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_Toc15396608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8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09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七、“三公”经费财政拨款支出决算情况说明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_Toc15396609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8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0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八、政府性基金预算支出决算情况说明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_Toc15396610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10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1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九、 国有资本经营预算支出决算情况说明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_Toc15396611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10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2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十一、其他重要事项的情况说明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_Toc15396612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14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3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第三部分 名词解释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_Toc15396613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16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4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第四部分 附件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_Toc15396614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19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5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附件1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_Toc15396615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19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7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附件2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_Toc15396617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21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8"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第五部分 附表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_Toc15396618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19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一、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收入支出决算总表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_Toc15396619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0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二、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收入总表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_Toc15396620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1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三、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支出总表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_Toc15396621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2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四、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财政拨款收入支出决算总表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_Toc15396622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3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五、财政拨款支出决算明细表（政府经济分类科目）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_Toc15396623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4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六、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一般公共预算财政拨款支出决算表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_Toc15396624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5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七、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一般公共预算财政拨款支出决算明细表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_Toc15396625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6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八、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一般公共预算财政拨款基本支出决算表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_Toc15396626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7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九、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一般公共预算财政拨款项目支出决算表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_Toc15396627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8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十、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一般公共预算财政拨款“三公”经费支出决算表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_Toc15396628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29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十一、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政府性基金预算财政拨款收入支出决算表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_Toc15396629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hyperlink w:anchor="_Toc15396630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十二、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政府性基金预算财政拨款“三公”经费支出决算表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_Toc15396630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tabs>
          <w:tab w:val="right" w:leader="dot" w:pos="8296"/>
          <w:tab w:val="right" w:leader="dot" w:pos="8296"/>
        </w:tabs>
        <w:rPr>
          <w:color w:val="auto"/>
          <w:position w:val="0"/>
          <w:sz w:val="24"/>
          <w:szCs w:val="24"/>
          <w:rFonts w:ascii="仿宋" w:eastAsia="仿宋" w:hAnsi="仿宋" w:hint="default"/>
        </w:rPr>
        <w:autoSpaceDE w:val="1"/>
        <w:autoSpaceDN w:val="1"/>
      </w:pPr>
      <w:hyperlink w:anchor="_Toc15396631"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十三、</w:t>
        </w:r>
        <w:r>
          <w:rPr>
            <w:rStyle w:val="PO156"/>
            <w:color w:val="auto"/>
            <w:position w:val="0"/>
            <w:sz w:val="28"/>
            <w:szCs w:val="28"/>
            <w:u w:val="none"/>
            <w:rFonts w:ascii="仿宋" w:eastAsia="仿宋" w:hAnsi="仿宋" w:hint="default"/>
          </w:rPr>
          <w:t>国有资本经营预算支出决算表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ab/>
        </w:r>
        <w:r>
          <w:rPr>
            <w:color w:val="auto"/>
            <w:position w:val="0"/>
            <w:sz w:val="21"/>
            <w:szCs w:val="21"/>
            <w:rFonts w:ascii="Times New Roman" w:eastAsia="Times New Roman" w:hAnsi="Times New Roman" w:hint="default"/>
          </w:rPr>
          <w:fldChar w:fldCharType="begin"/>
        </w:r>
        <w:r>
          <w:instrText> PAGEREF  _Toc15396631 </w:instrText>
        </w:r>
        <w:r>
          <w:instrText> \* MERGEFORMAT</w:instrText>
        </w:r>
        <w:r>
          <w:fldChar w:fldCharType="separate"/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t>22</w:t>
        </w:r>
        <w:r>
          <w:rPr>
            <w:color w:val="auto"/>
            <w:position w:val="0"/>
            <w:sz w:val="28"/>
            <w:szCs w:val="28"/>
            <w:rFonts w:ascii="仿宋" w:eastAsia="仿宋" w:hAnsi="仿宋" w:hint="default"/>
          </w:rPr>
          <w:fldChar w:fldCharType="end"/>
        </w:r>
      </w:hyperlink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仿宋" w:eastAsia="仿宋" w:hAnsi="仿宋" w:hint="default"/>
        </w:rPr>
        <w:fldChar w:fldCharType="end"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bookmarkStart w:id="13" w:name="_Toc15377196"/>
      <w:bookmarkStart w:id="14" w:name="_Toc15396599"/>
      <w:r>
        <w:br w:type="page"/>
      </w:r>
    </w:p>
    <w:p>
      <w:pPr>
        <w:numPr>
          <w:ilvl w:val="0"/>
          <w:numId w:val="0"/>
        </w:numPr>
        <w:jc w:val="center"/>
        <w:spacing w:lineRule="auto" w:line="578" w:before="0" w:after="0"/>
        <w:ind w:right="0" w:firstLine="0"/>
        <w:rPr>
          <w:rStyle w:val="PO164"/>
          <w:b w:val="1"/>
          <w:color w:val="auto"/>
          <w:position w:val="0"/>
          <w:sz w:val="44"/>
          <w:szCs w:val="44"/>
          <w:rFonts w:ascii="黑体" w:eastAsia="黑体" w:hAnsi="黑体" w:hint="default"/>
        </w:rPr>
        <w:outlineLvl w:val="0"/>
        <w:autoSpaceDE w:val="1"/>
        <w:autoSpaceDN w:val="1"/>
      </w:pPr>
      <w:r>
        <w:rPr>
          <w:b w:val="0"/>
          <w:color w:val="auto"/>
          <w:position w:val="0"/>
          <w:sz w:val="44"/>
          <w:szCs w:val="44"/>
          <w:rFonts w:ascii="黑体" w:eastAsia="黑体" w:hAnsi="黑体" w:hint="default"/>
        </w:rPr>
        <w:t xml:space="preserve">第一部分 </w:t>
      </w:r>
      <w:r>
        <w:rPr>
          <w:rStyle w:val="PO164"/>
          <w:b w:val="1"/>
          <w:color w:val="auto"/>
          <w:position w:val="0"/>
          <w:sz w:val="44"/>
          <w:szCs w:val="44"/>
          <w:rFonts w:ascii="黑体" w:eastAsia="黑体" w:hAnsi="黑体" w:hint="default"/>
        </w:rPr>
        <w:t>部门概况</w:t>
      </w:r>
      <w:bookmarkEnd w:id="13"/>
      <w:bookmarkEnd w:id="14"/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15" w:name="_Toc15377197"/>
      <w:bookmarkStart w:id="16" w:name="_Toc15396600"/>
      <w:r>
        <w:rPr>
          <w:b w:val="0"/>
          <w:color w:val="000000"/>
          <w:position w:val="0"/>
          <w:sz w:val="32"/>
          <w:szCs w:val="32"/>
          <w:rFonts w:ascii="黑体" w:eastAsia="黑体" w:hAnsi="黑体" w:hint="default"/>
        </w:rPr>
        <w:t>一、基</w:t>
      </w:r>
      <w:r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本职能及主要工作</w:t>
      </w:r>
      <w:bookmarkEnd w:id="15"/>
      <w:bookmarkEnd w:id="16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72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snapToGrid w:val="off"/>
        <w:autoSpaceDE w:val="1"/>
        <w:autoSpaceDN w:val="1"/>
      </w:pPr>
      <w:bookmarkStart w:id="17" w:name="_Toc15377198"/>
      <w:bookmarkStart w:id="18" w:name="_Toc15378445"/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（一）基本职能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72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snapToGrid w:val="off"/>
        <w:autoSpaceDE w:val="1"/>
        <w:autoSpaceDN w:val="1"/>
      </w:pP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宣汉县招生办主要负责全县的全国普通高考、成人高考、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中职招生、自学考试等的报名、组考、英语等级考试、办理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自考毕业生手续以及发放单科合格证书等管理工作。其主要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工作：负责全县的招生考试宣传、报名、组织考试和管理工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作；负责全县自考基本信息的采集与汇总；负责本地区考点、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考场的设置与建设，以及考务人员的遴选、聘任和培训；负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责本地区国考违纪舞弊事件的查处上报。</w:t>
      </w:r>
      <w:bookmarkEnd w:id="17"/>
      <w:bookmarkEnd w:id="18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72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snapToGrid w:val="off"/>
        <w:autoSpaceDE w:val="1"/>
        <w:autoSpaceDN w:val="1"/>
      </w:pPr>
      <w:bookmarkStart w:id="19" w:name="_Toc15377199"/>
      <w:bookmarkStart w:id="20" w:name="_Toc15378446"/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（二）2019年重点工作完成情况。</w:t>
      </w:r>
      <w:bookmarkEnd w:id="19"/>
    </w:p>
    <w:p>
      <w:pPr>
        <w:numPr>
          <w:ilvl w:val="0"/>
          <w:numId w:val="0"/>
        </w:numPr>
        <w:jc w:val="both"/>
        <w:shd w:val="clear" w:fill="FFFFFF"/>
        <w:spacing w:lineRule="exact" w:line="560" w:before="0" w:after="0"/>
        <w:ind w:right="0" w:firstLine="800"/>
        <w:rPr>
          <w:color w:val="000000"/>
          <w:position w:val="0"/>
          <w:sz w:val="32"/>
          <w:szCs w:val="32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2019年，我县普通高考、成人高考、自考工作平稳顺利，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一是考试实施安全有序，考风考纪进一步好转，无任何群体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舞弊事件发生；二是广泛宣传招考政策，考试环境进一步净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化，招考工作更加阳光、更加透明化；三是加大了高考投入，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维修完善了三个标准化考点设备设施，确保考试运行更加顺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畅；四是层层签订责任书，工作责任进一步落实；五是预案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准备充分，应急处置得当，考试组织更加有序。</w:t>
      </w:r>
    </w:p>
    <w:p>
      <w:pPr>
        <w:numPr>
          <w:ilvl w:val="0"/>
          <w:numId w:val="0"/>
        </w:numPr>
        <w:jc w:val="both"/>
        <w:shd w:val="clear" w:fill="FFFFFF"/>
        <w:spacing w:lineRule="exact" w:line="560" w:before="0" w:after="0"/>
        <w:ind w:right="0" w:firstLine="800"/>
        <w:rPr>
          <w:color w:val="000000"/>
          <w:position w:val="0"/>
          <w:sz w:val="32"/>
          <w:szCs w:val="32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72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72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snapToGrid w:val="off"/>
        <w:autoSpaceDE w:val="1"/>
        <w:autoSpaceDN w:val="1"/>
      </w:pPr>
      <w:bookmarkEnd w:id="20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rStyle w:val="PO165"/>
          <w:b w:val="1"/>
          <w:color w:val="auto"/>
          <w:position w:val="0"/>
          <w:sz w:val="32"/>
          <w:szCs w:val="32"/>
          <w:rFonts w:ascii="Cambria" w:eastAsia="宋体" w:hAnsi="宋体" w:hint="default"/>
        </w:rPr>
        <w:outlineLvl w:val="1"/>
        <w:autoSpaceDE w:val="1"/>
        <w:autoSpaceDN w:val="1"/>
      </w:pPr>
      <w:bookmarkStart w:id="21" w:name="_Toc15377200"/>
      <w:bookmarkStart w:id="22" w:name="_Toc15396601"/>
      <w:r>
        <w:rPr>
          <w:b w:val="0"/>
          <w:color w:val="000000"/>
          <w:position w:val="0"/>
          <w:sz w:val="32"/>
          <w:szCs w:val="32"/>
          <w:rFonts w:ascii="黑体" w:eastAsia="黑体" w:hAnsi="黑体" w:hint="default"/>
        </w:rPr>
        <w:t>二、机</w:t>
      </w:r>
      <w:r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构设置</w:t>
      </w:r>
      <w:bookmarkEnd w:id="21"/>
      <w:bookmarkEnd w:id="22"/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800"/>
        <w:rPr>
          <w:color w:val="000000"/>
          <w:position w:val="0"/>
          <w:sz w:val="32"/>
          <w:szCs w:val="32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宣汉县招生办没有下属单位，属事业单位1个。行政单</w:t>
      </w:r>
      <w:r>
        <w:rPr>
          <w:color w:val="auto"/>
          <w:position w:val="0"/>
          <w:sz w:val="32"/>
          <w:szCs w:val="32"/>
          <w:rFonts w:ascii="仿宋" w:eastAsia="仿宋" w:hAnsi="仿宋" w:hint="default"/>
        </w:rPr>
        <w:t>位0个，参照公务员法管理的事业单位没有。</w:t>
      </w:r>
      <w:r>
        <w:br w:type="page"/>
      </w:r>
    </w:p>
    <w:p>
      <w:pPr>
        <w:numPr>
          <w:ilvl w:val="0"/>
          <w:numId w:val="0"/>
        </w:numPr>
        <w:jc w:val="right"/>
        <w:spacing w:lineRule="auto" w:line="578" w:before="0" w:after="0"/>
        <w:ind w:right="440" w:firstLine="0"/>
        <w:rPr>
          <w:rStyle w:val="PO164"/>
          <w:b w:val="1"/>
          <w:color w:val="auto"/>
          <w:position w:val="0"/>
          <w:sz w:val="44"/>
          <w:szCs w:val="44"/>
          <w:rFonts w:ascii="黑体" w:eastAsia="黑体" w:hAnsi="黑体" w:hint="default"/>
        </w:rPr>
        <w:outlineLvl w:val="0"/>
        <w:autoSpaceDE w:val="1"/>
        <w:autoSpaceDN w:val="1"/>
      </w:pPr>
      <w:bookmarkStart w:id="23" w:name="_Toc15377204"/>
      <w:bookmarkStart w:id="24" w:name="_Toc15396602"/>
      <w:r>
        <w:rPr>
          <w:b w:val="0"/>
          <w:color w:val="000000"/>
          <w:position w:val="0"/>
          <w:sz w:val="44"/>
          <w:szCs w:val="44"/>
          <w:rFonts w:ascii="黑体" w:eastAsia="黑体" w:hAnsi="黑体" w:hint="default"/>
        </w:rPr>
        <w:t>第二部分</w:t>
      </w:r>
      <w:r>
        <w:rPr>
          <w:b w:val="1"/>
          <w:color w:val="000000"/>
          <w:position w:val="0"/>
          <w:sz w:val="44"/>
          <w:szCs w:val="44"/>
          <w:rFonts w:ascii="黑体" w:eastAsia="黑体" w:hAnsi="黑体" w:hint="default"/>
        </w:rPr>
        <w:t xml:space="preserve"> </w:t>
      </w:r>
      <w:r>
        <w:rPr>
          <w:rStyle w:val="PO164"/>
          <w:b w:val="1"/>
          <w:color w:val="auto"/>
          <w:position w:val="0"/>
          <w:sz w:val="44"/>
          <w:szCs w:val="44"/>
          <w:rFonts w:ascii="黑体" w:eastAsia="黑体" w:hAnsi="黑体" w:hint="default"/>
        </w:rPr>
        <w:t>2019年度部门决算情况说明</w:t>
      </w:r>
      <w:bookmarkEnd w:id="23"/>
      <w:bookmarkEnd w:id="24"/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2"/>
        </w:numPr>
        <w:jc w:val="both"/>
        <w:spacing w:lineRule="exact" w:line="600" w:before="0" w:after="0"/>
        <w:ind w:left="1360" w:right="0" w:hanging="72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25" w:name="_Toc15377205"/>
      <w:bookmarkStart w:id="26" w:name="_Toc15396603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收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入支出决算总体情况说明</w:t>
      </w:r>
      <w:bookmarkEnd w:id="25"/>
      <w:bookmarkEnd w:id="26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2019年度收、支总计825万元。与2018年相比，收、支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总计各增加79.85万元，增长36%。主要变动原因是人员工资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福利支出增加和商品服务支出增加。</w:t>
      </w:r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2"/>
        </w:numPr>
        <w:jc w:val="both"/>
        <w:spacing w:lineRule="exact" w:line="600" w:before="0" w:after="0"/>
        <w:ind w:left="1360" w:right="0" w:hanging="72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27" w:name="_Toc15377206"/>
      <w:bookmarkStart w:id="28" w:name="_Toc15396604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收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入决算情况说明</w:t>
      </w:r>
      <w:bookmarkEnd w:id="27"/>
      <w:bookmarkEnd w:id="28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2019年本年收入合计825万元，其中：一般公共预算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财政拨款收入825万元，占100%；政府性基金预算财政拨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款收入0万元，占0%；国有资本经营预算财政拨款收入0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万元，占0%；事业收入0万元，占0%；经营收入0万元，占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0%；附属单位上缴收入0万元，占0%；其他收入0万元，占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FF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2"/>
        </w:numPr>
        <w:jc w:val="both"/>
        <w:spacing w:lineRule="exact" w:line="600" w:before="0" w:after="0"/>
        <w:ind w:left="1360" w:right="0" w:hanging="72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29" w:name="_Toc15396605"/>
      <w:bookmarkStart w:id="30" w:name="_Toc15377207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支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出决算情况说明</w:t>
      </w:r>
      <w:bookmarkEnd w:id="29"/>
      <w:bookmarkEnd w:id="30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shd w:val="pct10" w:color="000000" w:fill="FFFFFF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2019年本年支出合计825万元，其中：基本支出703.66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万元，占85.29%；项目支出121.34万元，占14.71%；上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缴上级支出0万元，占0%；经营支出0万元，占0%；对附属单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位补助支出0万元，占0%。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FF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31" w:name="_Toc15396606"/>
      <w:bookmarkStart w:id="32" w:name="_Toc15377208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四、财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政拨款收入支出决算总体情况说明</w:t>
      </w:r>
      <w:bookmarkEnd w:id="31"/>
      <w:bookmarkEnd w:id="32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2019年财政拨款收、支总计825万元。与2018年相比，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财政拨款收、支总计各增加79.85万元，增长36%。主要变动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原因是人员工资福利支出增加和商品服务支出增加。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（除国有资本经营预算外，数据来源于财决Z01-1表，口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径为“总计”数+国有资本经营预算。）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B05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33" w:name="_Toc15396607"/>
      <w:bookmarkStart w:id="34" w:name="_Toc15377209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五、</w:t>
      </w:r>
      <w:r>
        <w:rPr>
          <w:b w:val="1"/>
          <w:color w:val="000000"/>
          <w:position w:val="0"/>
          <w:sz w:val="32"/>
          <w:szCs w:val="32"/>
          <w:rFonts w:ascii="黑体" w:eastAsia="黑体" w:hAnsi="黑体" w:hint="default"/>
        </w:rPr>
        <w:t>一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般公共预算财政拨款支出决算情况说明</w:t>
      </w:r>
      <w:bookmarkEnd w:id="33"/>
      <w:bookmarkEnd w:id="34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35" w:name="_Toc15377210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（一）一般公共预算财政拨款支出决算总体情况</w:t>
      </w:r>
      <w:bookmarkEnd w:id="35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2019年一般公共预算财政拨款支出825万元，占本年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支出合计的100%。与2018年相比，一般公共预算财政拨款增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加79.85万元，增长36%。主要变动原因是人员工资福利支出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增加和商品服务支出增加。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36" w:name="_Toc15377211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（二）一般公共预算财政拨款支出决算结构情况</w:t>
      </w:r>
      <w:bookmarkEnd w:id="36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2019年一般公共预算财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政拨款支出825万元，主要用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于以下方面: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一般公共服务（类）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支出0万元，占0%；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教育支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出（类）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797.77万元，占96.70%；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科学技术（类）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支出0万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元，占0%；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社会保障和就业（类）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支出14.15万元，占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1.72%；医疗卫生支出4.6万元，占0.56%；住房保障支出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8.49万元，占1.02%。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（罗列全部功能分类科目，至类级。）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37" w:name="_Toc15377212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（三）一般公共预算财政拨款支出决算具体情况</w:t>
      </w:r>
      <w:bookmarkEnd w:id="37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color w:val="FF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38" w:name="_Toc15377213"/>
      <w:bookmarkStart w:id="39" w:name="_Toc15377444"/>
      <w:bookmarkStart w:id="40" w:name="_Toc15378460"/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2019年般公共预算支出决算数为825万元</w:t>
      </w:r>
      <w:r>
        <w:rPr>
          <w:color w:val="000000" w:themeColor="text1"/>
          <w:position w:val="0"/>
          <w:sz w:val="32"/>
          <w:szCs w:val="32"/>
          <w:rFonts w:ascii="仿宋" w:eastAsia="仿宋" w:hAnsi="仿宋" w:hint="default"/>
        </w:rPr>
        <w:t>，</w:t>
      </w:r>
      <w:r>
        <w:rPr>
          <w:rStyle w:val="PO20"/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完成</w:t>
      </w: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预算</w:t>
      </w: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100%。其中：</w:t>
      </w:r>
      <w:bookmarkEnd w:id="38"/>
      <w:bookmarkEnd w:id="39"/>
      <w:bookmarkEnd w:id="40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1.一般公共服务（类）***（款）***（项）: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 xml:space="preserve"> 支出决算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为0万元，完成预算0%。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2.教育（类）***（款）***（项）: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 xml:space="preserve"> 支出决算为797.77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万元，完成预算100%。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3.科学技术（类）***（款）***（项）: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 xml:space="preserve"> 支出决算为0万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元，完成预算0%。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4.文化体育与传媒（类）***（款）***（项）: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 xml:space="preserve"> 支出决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算为0万元，完成预算0%。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5.社会保障和就业（类）***（款）***（项）: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 xml:space="preserve"> 支出决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算为14.15万元，完成预算100%。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6.医疗卫生与计划生育（类）***（款）***（项）: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支出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决算为4.6万元，完成预算100%。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（数据来源财决08表，罗列全部功能分类科目至项级。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上述“预算”口径为调整预算数。增减变动原因为决算数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&lt;项级&gt;和调整预算数&lt;项级&gt;比较，与预算数持平可以不写原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因。）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tabs>
          <w:tab w:val="right" w:pos="8306"/>
        </w:tabs>
        <w:rPr>
          <w:rStyle w:val="PO165"/>
          <w:b w:val="1"/>
          <w:color w:val="auto"/>
          <w:position w:val="0"/>
          <w:sz w:val="32"/>
          <w:szCs w:val="32"/>
          <w:rFonts w:ascii="Cambria" w:eastAsia="宋体" w:hAnsi="宋体" w:hint="default"/>
        </w:rPr>
        <w:outlineLvl w:val="1"/>
        <w:autoSpaceDE w:val="1"/>
        <w:autoSpaceDN w:val="1"/>
      </w:pPr>
      <w:bookmarkStart w:id="41" w:name="_Toc15377214"/>
      <w:bookmarkStart w:id="42" w:name="_Toc15396608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六</w:t>
      </w:r>
      <w:r>
        <w:rPr>
          <w:b w:val="1"/>
          <w:color w:val="000000"/>
          <w:position w:val="0"/>
          <w:sz w:val="32"/>
          <w:szCs w:val="32"/>
          <w:rFonts w:ascii="黑体" w:eastAsia="黑体" w:hAnsi="黑体" w:hint="default"/>
        </w:rPr>
        <w:t>、一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般公共预算财政拨款基本支出决算情况说明</w:t>
      </w:r>
      <w:bookmarkEnd w:id="41"/>
      <w:bookmarkEnd w:id="42"/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ab/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5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2019年一般公共预算财政拨款基本支出121.34万元，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其中：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5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人员经费114.54万元，主要包括：基本工资、津贴补贴、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奖金、伙食补助费、绩效工资、机关事业单位基本养老保险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缴费、职业年金缴费、其他社会保障缴费、其他工资福利支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出、离休费、退休费、抚恤金、生活补助、医疗费、奖励金、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住房公积金、提租补贴、购房补贴、其他对个人和家庭的补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助支出等。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br/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　　公用经费76.34万元，主要包括：办公费、印刷费、咨询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费、手续费、水费、电费、邮电费、取暖费、物业管理费、差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旅费、因公出国（境）费用、维修（护）费、租赁费、会议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费、培训费、公务接待费、劳务费、委托业务费、工会经费、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福利费、公务用车运行维护费、其他交通费、税金及附加费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用、其他商品和服务支出、办公设备购置、专用设备购置、信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息网络及软件购置更新、其他资本性支出等。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（数据来源财决07表，根据本部门实际支出情况罗列全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部经济分类科目。）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FF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43" w:name="_Toc15377215"/>
      <w:bookmarkStart w:id="44" w:name="_Toc15396609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七、</w:t>
      </w:r>
      <w:r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“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三公”经费财政拨款支出决算情况说明</w:t>
      </w:r>
      <w:bookmarkEnd w:id="43"/>
      <w:bookmarkEnd w:id="44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45" w:name="_Toc15377216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（一）“三公”经费财政拨款支出决算总体情况说明</w:t>
      </w:r>
      <w:bookmarkEnd w:id="45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2019年“三公”经费财政拨款支出决算为3.63万元，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完成预算100%。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（上述“预算”口径为调整预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算数，包括政府性基金支</w:t>
      </w:r>
      <w:r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t>出决算情况。）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46" w:name="_Toc15377217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（二）“三公”经费财政拨款支出决算具体情况说明</w:t>
      </w:r>
      <w:bookmarkEnd w:id="46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2019年“三公”经费财政拨款支出决算中，因公出国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（境）费支出决算0万元，占0%；公务用车购置及运行维护费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支出决算2.96万元，占81.54%；公务接待费支出决算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0.67万元，占18.46%。具体情况如下：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t>1.因公出国（境）经费支出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0万元，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完成预算0%。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全年安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排因公出国（境）团组0次，出国（境）0人。因公出国（境）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支出决算比2017年增加/减少0万元，增长/下降0%。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t>2.公务用车购置及运行维护费支出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2.96万元,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完成预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算100%。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公务用车购置及运行维护费支出决算比2018年增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加0.06万元。主要原因是维修费等费用增加。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其中：</w:t>
      </w:r>
      <w:r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公务用车购置支出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0万元。全年按规定更新购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置公务用车0辆，其中：轿车0辆、金额0万元，越野车0辆、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金额0万元，载客汽车0辆、金额0万元0。截至2019年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12月底，单位共有公务用车1辆，其中：轿车1辆、越野车0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辆、载客汽车0辆。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公务用车运行维护费支出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2.96万元。主要用于国家教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育考试试卷押运、机要通讯、下乡扶贫、市招生办开会办事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等所需的公务用车燃料费、维修费、过路过桥费、保险费等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支出。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t>3.公务接待费支出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0.67万元，</w:t>
      </w:r>
      <w:r>
        <w:rPr>
          <w:rStyle w:val="PO20"/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完成预算100%。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公务接待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费支出决算比2018年增加0.03万元，增加了0.04%。主要原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因是公务接待人数增多。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主要用于执行公务、开展业务活动开支的交通费、住宿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费、用餐费等。国内公务接待23批次，187人次（不包括陪同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人员），共计支出0.67万元，具体内容包括：其中：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color w:val="000000" w:themeColor="text1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外事接待支出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0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万元</w:t>
      </w:r>
      <w:r>
        <w:rPr>
          <w:color w:val="000000" w:themeColor="text1"/>
          <w:position w:val="0"/>
          <w:sz w:val="32"/>
          <w:szCs w:val="32"/>
          <w:rFonts w:ascii="仿宋_GB2312" w:eastAsia="仿宋_GB2312" w:hAnsi="仿宋_GB2312" w:hint="default"/>
        </w:rPr>
        <w:t>，外事接待0批次，0人，共计支出</w:t>
      </w:r>
      <w:r>
        <w:rPr>
          <w:color w:val="000000" w:themeColor="text1"/>
          <w:position w:val="0"/>
          <w:sz w:val="32"/>
          <w:szCs w:val="32"/>
          <w:rFonts w:ascii="仿宋_GB2312" w:eastAsia="仿宋_GB2312" w:hAnsi="仿宋_GB2312" w:hint="default"/>
        </w:rPr>
        <w:t>0万元。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其他国内公务接待支出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0.67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万元，主要用于</w:t>
      </w: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国家教育</w:t>
      </w: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考试巡视和考务检查等。</w:t>
      </w:r>
      <w:bookmarkStart w:id="47" w:name="_Toc15377218"/>
      <w:bookmarkStart w:id="48" w:name="_Toc15396610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八、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政府性基金预算支出决算情况说明</w:t>
      </w:r>
      <w:bookmarkEnd w:id="47"/>
      <w:bookmarkEnd w:id="48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2019年政府性基金预算拨款支出0万元。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九、</w:t>
      </w:r>
      <w:bookmarkStart w:id="49" w:name="_Toc15377219"/>
      <w:bookmarkStart w:id="50" w:name="_Toc15396611"/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国有资本经营预算支出决算情况说明</w:t>
      </w:r>
      <w:bookmarkEnd w:id="49"/>
      <w:bookmarkEnd w:id="50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2019年国有资本经营预算拨款支出0万元。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800"/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  <w:bookmarkStart w:id="51" w:name="_Toc15396612"/>
      <w:bookmarkStart w:id="52" w:name="_Toc15377221"/>
      <w:r>
        <w:rPr>
          <w:color w:val="000000"/>
          <w:position w:val="0"/>
          <w:sz w:val="32"/>
          <w:szCs w:val="32"/>
          <w:rFonts w:ascii="黑体" w:eastAsia="黑体" w:hAnsi="黑体" w:hint="default"/>
        </w:rPr>
        <w:t>十</w:t>
      </w:r>
      <w:r>
        <w:rPr>
          <w:rStyle w:val="PO165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、</w:t>
      </w:r>
      <w:r>
        <w:rPr>
          <w:rStyle w:val="PO165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其他重要事项的情况说明</w:t>
      </w:r>
      <w:bookmarkEnd w:id="51"/>
      <w:bookmarkEnd w:id="52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3"/>
        <w:rPr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1"/>
        <w:autoSpaceDN w:val="1"/>
      </w:pPr>
      <w:bookmarkStart w:id="53" w:name="_Toc15377222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（一）机关运行经费支出情况</w:t>
      </w:r>
      <w:bookmarkEnd w:id="53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color w:val="000000" w:themeColor="text1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（数据来源财决CS05表）</w:t>
      </w:r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0"/>
        <w:autoSpaceDN w:val="0"/>
      </w:pPr>
      <w:bookmarkStart w:id="54" w:name="_Toc15377223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（二）政府采购支出情况</w:t>
      </w:r>
      <w:bookmarkEnd w:id="54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2019年，政府采购支出总额0万元，其中：政府采购货物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支出0万元、政府采购工程支出0万元、政府采购服务支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出0万元。授予中小企业合同金额0万元，占政府采购支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出总额的0%，其中：授予小微企业合同金额0万元，占政府采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购支出总额的0%。</w:t>
      </w:r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0"/>
        <w:autoSpaceDN w:val="0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（数据来源财决CS06表）</w:t>
      </w:r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0"/>
        <w:autoSpaceDN w:val="0"/>
      </w:pPr>
      <w:bookmarkStart w:id="55" w:name="_Toc15377224"/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（三）国有资产占有使用情况</w:t>
      </w:r>
      <w:bookmarkEnd w:id="55"/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截至2019年12月31日，本单位共有车辆1辆，其中：部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级领导干部用车0辆、一般公务用车1辆、一般执法执勤用车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0辆、特种专业技术用车0辆、其他用车0辆。</w:t>
      </w:r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2"/>
        <w:autoSpaceDE w:val="0"/>
        <w:autoSpaceDN w:val="0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（数据来源财决CS05表，按部门决算报表填报数据罗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列车辆情况。）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7"/>
        </w:numPr>
        <w:jc w:val="center"/>
        <w:spacing w:lineRule="exact" w:line="600" w:before="0" w:after="0"/>
        <w:ind w:right="0" w:firstLine="663"/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outlineLvl w:val="0"/>
        <w:autoSpaceDE w:val="1"/>
        <w:autoSpaceDN w:val="1"/>
      </w:pPr>
      <w:bookmarkStart w:id="56" w:name="_Toc15377225"/>
      <w:bookmarkStart w:id="57" w:name="_Toc15396613"/>
      <w:r>
        <w:rPr>
          <w:b w:val="1"/>
          <w:color w:val="000000"/>
          <w:position w:val="0"/>
          <w:sz w:val="44"/>
          <w:szCs w:val="44"/>
          <w:rFonts w:ascii="黑体" w:eastAsia="黑体" w:hAnsi="黑体" w:hint="default"/>
        </w:rPr>
        <w:t>名</w:t>
      </w:r>
      <w:r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t>词解释</w:t>
      </w:r>
      <w:bookmarkEnd w:id="56"/>
      <w:bookmarkEnd w:id="57"/>
    </w:p>
    <w:p>
      <w:pPr>
        <w:numPr>
          <w:ilvl w:val="0"/>
          <w:numId w:val="0"/>
        </w:numPr>
        <w:jc w:val="left"/>
        <w:spacing w:lineRule="exact" w:line="600" w:before="0" w:after="0"/>
        <w:ind w:right="0" w:firstLine="0"/>
        <w:rPr>
          <w:b w:val="1"/>
          <w:color w:val="000000"/>
          <w:position w:val="0"/>
          <w:sz w:val="44"/>
          <w:szCs w:val="4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1.财政拨款收入：指单位从同级财政部门取得的财政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预算资金。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2.事业收入：指事业单位开展专业业务活动及辅助活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动取得的收入。如…（二级预算单位事业收入情况）等。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3.经营收入：指事业单位在专业业务活动及其辅助活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动之外开展非独立核算经营活动取得的收入。如…（二级预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算单位经营收入情况）等。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4.其他收入：指单位取得的除上述收入以外的各项收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入。主要是…（收入类型）等。 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5.用事业基金弥补收支差额：指事业单位在当年的财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政拨款收入、事业收入、经营收入、其他收入不足以安排当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年支出的情况下，使用以前年度积累的事业基金（事业单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位当年收支相抵后按国家规定提取、用于弥补以后年度收支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差额的基金）弥补本年度收支缺口的资金。 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6.年初结转和结余：指以前年度尚未完成、结转到本年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按有关规定继续使用的资金。 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7.结余分配：指事业单位按照事业单位会计制度的规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定从非财政补助结余中分配的事业基金和职工福利基金等。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8、年末结转和结余：指单位按有关规定结转到下年或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以后年度继续使用的资金。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9.一般公共服务（类）…（款）…（项）：指……。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10.外交（类）…（款）…（项）：指……。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11.公共安全（类）…（款）…（项）：指……。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12.教育（类）…（款）…（项）：指……。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13.科学技术（类）…（款）…（项）：指……。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14.文化体育与传媒（类）…（款）…（项）：指……。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15.社会保障和就业（类）…（款）…（项）：指……。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16.医疗卫生与计划生育（类）…（款）…（项）：指…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17.节能环保（类）…（款）…（项）：指……。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18.城乡社区（类）…（款）…（项）：指……。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19.农林水（类）…（款）…（项）：指……。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20.交通运输（类）…（款）…（项）：指……。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21.资源勘探信息等（类）…（款）…（项）：指……。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22.商业服务业（类）…（款）…（项）：指……。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23.金融（类）…（款）…（项）：指……。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24.国土海洋气象等（类）…（款）…（项）：指……。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25.住房保障（类）…（款）…（项）：指……。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26.粮油物资储备（类）…（款）…（项）：指……。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……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……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……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（解释本部门决算报表中全部功能分类科目至项级，请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参照《2018年政府收支分类科目》增减内容。）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27.基本支出：指为保障机构正常运转、完成日常工作任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务而发生的人员支出和公用支出。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28.项目支出：指在基本支出之外为完成特定行政任务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 xml:space="preserve">和事业发展目标所发生的支出。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29.经营支出：指事业单位在专业业务活动及其辅助活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动之外开展非独立核算经营活动发生的支出。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30.“三公”经费：指部门用财政拨款安排的因公出国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（境）费、公务用车购置及运行费和公务接待费。其中，因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公出国（境）费反映单位公务出国（境）的国际旅费、国外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城市间交通费、住宿费、伙食费、培训费、公杂费等支出；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公务用车购置及运行费反映单位公务用车车辆购置支出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（含车辆购置税）及租用费、燃料费、维修费、过路过桥费、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保险费等支出；公务接待费反映单位按规定开支的各类公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务接待（含外宾接待）支出。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31.机关运行经费：为保障行政单位（含参照公务员法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管理的事业单位）运行用于购买货物和服务的各项资金，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包括办公及印刷费、邮电费、差旅费、会议费、福利费、日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常维修费、专用材料及一般设备购置费、办公用房水电费、办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公用房取暖费、办公用房物业管理费、公务用车运行维护费</w:t>
      </w: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以及其他费用。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autoSpaceDE w:val="0"/>
        <w:autoSpaceDN w:val="0"/>
      </w:pPr>
      <w:r>
        <w:rPr>
          <w:color w:val="000000"/>
          <w:position w:val="0"/>
          <w:sz w:val="32"/>
          <w:szCs w:val="32"/>
          <w:rFonts w:ascii="仿宋_GB2312" w:eastAsia="仿宋_GB2312" w:hAnsi="仿宋_GB2312" w:hint="default"/>
        </w:rPr>
        <w:t>32.……。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000000"/>
          <w:position w:val="0"/>
          <w:sz w:val="32"/>
          <w:szCs w:val="32"/>
          <w:rFonts w:ascii="仿宋_GB2312" w:eastAsia="黑体" w:hAnsi="黑体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（名词解释部分请根据各部门实际列支情况罗列，并根</w:t>
      </w:r>
      <w:r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t>据本部门职责职能增减名词解释内容。）</w:t>
      </w: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outlineLvl w:val="0"/>
        <w:autoSpaceDE w:val="1"/>
        <w:autoSpaceDN w:val="1"/>
      </w:pPr>
      <w:bookmarkStart w:id="58" w:name="_Toc15377226"/>
      <w:r>
        <w:br w:type="page"/>
      </w:r>
      <w:bookmarkStart w:id="59" w:name="_Toc15396614"/>
      <w:r>
        <w:rPr>
          <w:color w:val="000000"/>
          <w:position w:val="0"/>
          <w:sz w:val="44"/>
          <w:szCs w:val="44"/>
          <w:rFonts w:ascii="黑体" w:eastAsia="黑体" w:hAnsi="黑体" w:hint="default"/>
        </w:rPr>
        <w:t>第</w:t>
      </w:r>
      <w:r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t xml:space="preserve">四部分 附件</w:t>
      </w:r>
      <w:bookmarkEnd w:id="59"/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rStyle w:val="PO164"/>
          <w:b w:val="1"/>
          <w:color w:val="auto"/>
          <w:position w:val="0"/>
          <w:sz w:val="44"/>
          <w:szCs w:val="44"/>
          <w:rFonts w:ascii="Times New Roman" w:eastAsia="Times New Roman" w:hAnsi="Times New Roman" w:hint="default"/>
        </w:rPr>
        <w:outlineLvl w:val="0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rStyle w:val="PO164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0" w:name="_Toc15396615"/>
      <w:r>
        <w:rPr>
          <w:rStyle w:val="PO164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附件1</w:t>
      </w:r>
      <w:bookmarkEnd w:id="60"/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outlineLvl w:val="0"/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宣汉县招生办</w:t>
      </w: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auto"/>
          <w:position w:val="0"/>
          <w:sz w:val="36"/>
          <w:szCs w:val="36"/>
          <w:rFonts w:ascii="黑体" w:eastAsia="方正小标宋简体" w:hAnsi="方正小标宋简体" w:hint="default"/>
        </w:rPr>
        <w:outlineLvl w:val="0"/>
        <w:autoSpaceDE w:val="1"/>
        <w:autoSpaceDN w:val="1"/>
      </w:pPr>
      <w:bookmarkStart w:id="61" w:name="_Toc15396616"/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部门2019年部门整体支出绩效评价报告</w:t>
      </w:r>
      <w:bookmarkEnd w:id="61"/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一、部门（单位）概况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（一）机构组成。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333333"/>
          <w:position w:val="0"/>
          <w:sz w:val="28"/>
          <w:szCs w:val="28"/>
          <w:shd w:val="clear" w:color="000000" w:fill="FFFFFF"/>
          <w:rFonts w:ascii="仿宋" w:eastAsia="Arial" w:hAnsi="Arial" w:hint="default"/>
        </w:rPr>
        <w:t>宣汉县招生办内设综合室、招考股、信息股。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（二）机构职能。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宣汉县招生办主要负责全县的全国普通高考、成人高考、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中职招生、自学考试等的报名、组考、办理自考毕业生手续</w:t>
      </w:r>
      <w:r>
        <w:rPr>
          <w:rStyle w:val="PO152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以及发放单科合格证书等管理工作。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（三）人员概况。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宣汉县招生办现有事业编制人员 9人，退休人员 7人。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二、部门财政资金收支情况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（一）部门财政资金收入情况。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72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2019年预算财政收入 825 万元，其中，人员工资 114.54 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元，个人家庭补助  6.34万元，商品服务支出 76.79万 元，资本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性支出  627.32万元。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72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（二）部门财政资金支出情况。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1.基本工资 43.83万元；津贴补贴 3.2 万元；奖金  0万元；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社会保障缴费 43.47 万元；2.生活补助 6.34万元；住房公积金  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8.49万元，其他个人家庭补助 0 万元.3.商品服务支出  76.79万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元，其中办公费 9.5 万元；水费 0.15万元；电费2.53 万元；邮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电费6.24  万元；差旅费 10.23万元；培训费 1.08 万元；公务接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待费 0.67万元；劳务费 35.32万元；公务用车运行费 2.9 6万元；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其他商品服务支出 5.62万元，交通费  0万元，租赁费 0万元，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印刷费 0.21万元，工会经费 0.39 万元，会议费 0 万元，维修 0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 万元；4.项目支出  703.66万元。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三、部门整体预算绩效管理情况（根据适用指标体系进</w:t>
      </w: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行调整）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（一）部门预算管理。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72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1.2019年预算财政收入：825万元，其中，人员工资114.54 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 万元（基本工资 43.83  万元；津贴补贴 3 .2万元；奖金0  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元；社会保障缴费 43.47  万元；绩效工资 22.89万元.2.生活补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助6.34万元；3.住房公积金  8.49万元，其他个人家庭补助 0 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元）.日常公用经费76.34  万元（办公费 9.5 万元；水费 0.15万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元；电费 0.53万元；邮电费6.24 万元；差旅费  10.23万元；培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训费 1.08万元；公务接待费 0.67万元；劳务费35.32  万元；公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务用车运行费  2.96万元；其他商品服务支出5.62 万元，交通费 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 0万元，租赁费 0 万元，印刷费0.21  万元，工会经费0.39 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元，会议费  0万元，党建 0万元，燃料费 0 万元，维修 0 万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元）。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（二）结果应用情况。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1、认真执行国家有关法律、法规和财务规章制度；坚持民主理财，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实行“一支笔”审批；坚持厉行节约，禁止奢侈浪费；量入为出，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保证重点，兼顾一般；注重资金使用效益。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2.经费开支的审批权限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本单位经费开支实行主任“一支笔”审批制度。各分管领导对分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管部门业务经费开支计划，应事先提交经费预算的书面报告（需列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明各项费用的性质用途和金额），并报主任审批，审批人对该项目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支出的真实性、合法性、合理性进行审查，对最终确定该财务事项的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合法合规。会计根据主任的工作要求，协助做好财务管理工作。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　    4.日常经费管理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（1）、差旅费管理。人员因公外出需按有关规定报批。费用标准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及公务机票购买按市、县财政有关差旅费管理办法及公务机票购买管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理办法执行。此外，公务机票必须使用公务卡结算，不得使用现金结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算。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（2）、接待费用管理。因工作往来需要公务接待的，须提供公函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或者会议通知，并事先请示主任同意。接待部门明确接待时间、人数、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陪同人员及用餐标准报批。公务接待必须严格执行相关规定和标准，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接待对象10人以内的，陪餐人数不得超过3人；超过10人的，不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得超过接待对象人数的三分之一。接待费用应当采用银行转账或公务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卡方式进行结算。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（3）、车辆费用管理。单位公务车辆用油统一使用加油卡。驾驶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员负责做好车辆的维护保养工作，实行定点维修。车辆维修应先经办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公室审核，报主任批准后方可维修。凡发生交通事故，必须及时报告，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事后提交事故情况说明。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wordWrap w:val="off"/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　　（4）、办公用品的采购。日常办公用品由办公室负责购买、保管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和发放。对需通过政府采购的固定资产应报县财政局审批，实行集中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采购。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包括部门自评质量、绩效目标公开和自评公开、评价结</w:t>
      </w:r>
      <w:r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t>果整改和应用结果反馈等情况。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四、评价结论及建议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我办基本上能按照预算要求执行资金的使用情况，发挥了资金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 xml:space="preserve">的使用效益 ，保证了行政的良好运作，但也还有一些问题，例如：有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个别科目的使用没完全按照预算的科目设置进行账务处理；预算执行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没有细化的具体的月份等。在以后的工作中要进一步加强，严格执行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预算，加强预算法的理论学习，不断提高业务能力和业务素质，为宣</w:t>
      </w:r>
      <w:r>
        <w:rPr>
          <w:color w:val="000000"/>
          <w:position w:val="0"/>
          <w:sz w:val="28"/>
          <w:szCs w:val="28"/>
          <w:shd w:val="clear" w:color="000000" w:fill="FFFFFF"/>
          <w:rFonts w:ascii="仿宋" w:eastAsia="宋体" w:hAnsi="宋体" w:hint="default"/>
        </w:rPr>
        <w:t>汉的经济发展做出更大贡献。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rStyle w:val="PO164"/>
          <w:b w:val="0"/>
          <w:color w:val="auto"/>
          <w:position w:val="0"/>
          <w:sz w:val="32"/>
          <w:szCs w:val="32"/>
          <w:rFonts w:ascii="仿宋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outlineLvl w:val="0"/>
        <w:autoSpaceDE w:val="1"/>
        <w:autoSpaceDN w:val="1"/>
      </w:pPr>
      <w:bookmarkStart w:id="62" w:name="_Toc15396618"/>
      <w:r>
        <w:rPr>
          <w:color w:val="000000"/>
          <w:position w:val="0"/>
          <w:sz w:val="44"/>
          <w:szCs w:val="44"/>
          <w:rFonts w:ascii="黑体" w:eastAsia="黑体" w:hAnsi="黑体" w:hint="default"/>
        </w:rPr>
        <w:t>第</w:t>
      </w:r>
      <w:r>
        <w:rPr>
          <w:rStyle w:val="PO164"/>
          <w:b w:val="0"/>
          <w:color w:val="auto"/>
          <w:position w:val="0"/>
          <w:sz w:val="44"/>
          <w:szCs w:val="44"/>
          <w:rFonts w:ascii="黑体" w:eastAsia="黑体" w:hAnsi="黑体" w:hint="default"/>
        </w:rPr>
        <w:t xml:space="preserve">五部分 附表</w:t>
      </w:r>
      <w:bookmarkEnd w:id="58"/>
      <w:bookmarkEnd w:id="62"/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b w:val="1"/>
          <w:color w:val="000000"/>
          <w:position w:val="0"/>
          <w:sz w:val="44"/>
          <w:szCs w:val="44"/>
          <w:rFonts w:ascii="仿宋" w:eastAsia="仿宋" w:hAnsi="仿宋" w:hint="default"/>
        </w:rPr>
        <w:outlineLvl w:val="0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3" w:name="_Toc15396619"/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一、收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入支出决算总表</w:t>
      </w:r>
      <w:bookmarkEnd w:id="63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4" w:name="_Toc15396620"/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二、收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入总表</w:t>
      </w:r>
      <w:bookmarkEnd w:id="64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5" w:name="_Toc15396621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三、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支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出总表</w:t>
      </w:r>
      <w:bookmarkEnd w:id="65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6" w:name="_Toc15396622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四、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财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政拨款收入支出决算总表</w:t>
      </w:r>
      <w:bookmarkEnd w:id="66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7" w:name="_Toc15396623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五、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财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政拨款支出决算明细表（政府经济分类科目）</w:t>
      </w:r>
      <w:bookmarkEnd w:id="67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8" w:name="_Toc15396624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六、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般公共预算财政拨款支出决算表</w:t>
      </w:r>
      <w:bookmarkEnd w:id="68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69" w:name="_Toc15396625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七、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般公共预算财政拨款支出决算明细表</w:t>
      </w:r>
      <w:bookmarkEnd w:id="69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0" w:name="_Toc15396626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八、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般公共预算财政拨款基本支出决算表</w:t>
      </w:r>
      <w:bookmarkEnd w:id="70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1" w:name="_Toc15396627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九、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般公共预算财政拨款项目支出决算表</w:t>
      </w:r>
      <w:bookmarkEnd w:id="71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2" w:name="_Toc15396628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十、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一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般公共预算财政拨款“三公”经费支出决算表</w:t>
      </w:r>
      <w:bookmarkEnd w:id="72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3" w:name="_Toc15396629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十一、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政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府性基金预算财政拨款收入支出决算表</w:t>
      </w:r>
      <w:bookmarkEnd w:id="73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4" w:name="_Toc15396630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十二、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政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府性基金预算财政拨款“三公”经费支出决算表</w:t>
      </w:r>
      <w:bookmarkEnd w:id="74"/>
    </w:p>
    <w:p>
      <w:pPr>
        <w:numPr>
          <w:ilvl w:val="0"/>
          <w:numId w:val="0"/>
        </w:numPr>
        <w:jc w:val="both"/>
        <w:spacing w:lineRule="auto" w:line="415" w:before="0" w:after="0"/>
        <w:ind w:right="0" w:firstLine="0"/>
        <w:rPr>
          <w:b w:val="1"/>
          <w:color w:val="000000" w:themeColor="text1"/>
          <w:position w:val="0"/>
          <w:sz w:val="32"/>
          <w:szCs w:val="32"/>
          <w:rFonts w:ascii="仿宋" w:eastAsia="仿宋" w:hAnsi="仿宋" w:hint="default"/>
        </w:rPr>
        <w:outlineLvl w:val="1"/>
        <w:autoSpaceDE w:val="1"/>
        <w:autoSpaceDN w:val="1"/>
      </w:pPr>
      <w:bookmarkStart w:id="75" w:name="_Toc15396631"/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十三、</w:t>
      </w:r>
      <w:r>
        <w:rPr>
          <w:b w:val="0"/>
          <w:color w:val="000000"/>
          <w:position w:val="0"/>
          <w:sz w:val="32"/>
          <w:szCs w:val="32"/>
          <w:rFonts w:ascii="仿宋" w:eastAsia="仿宋" w:hAnsi="仿宋" w:hint="default"/>
        </w:rPr>
        <w:t>国</w:t>
      </w:r>
      <w:r>
        <w:rPr>
          <w:rStyle w:val="PO165"/>
          <w:b w:val="1"/>
          <w:color w:val="auto"/>
          <w:position w:val="0"/>
          <w:sz w:val="32"/>
          <w:szCs w:val="32"/>
          <w:rFonts w:ascii="仿宋" w:eastAsia="仿宋" w:hAnsi="仿宋" w:hint="default"/>
        </w:rPr>
        <w:t>有资本经营预算支出决算表</w:t>
      </w:r>
      <w:bookmarkEnd w:id="75"/>
    </w:p>
    <w:sectPr>
      <w:titlePg/>
      <w:headerReference w:type="default" r:id="rId5"/>
      <w:footerReference w:type="default" r:id="rId6"/>
      <w:pgSz w:w="11906" w:h="16838"/>
      <w:pgMar w:top="1440" w:left="1800" w:bottom="1440" w:right="1800" w:header="851" w:footer="992" w:gutter="0"/>
      <w:pgNumType w:fmt="decimal" w:start="1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Calibri" w:eastAsia="Calibri" w:hAnsi="Calibri" w:hint="default"/>
      </w:rPr>
      <w:t>15</w:t>
    </w: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1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2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3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4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5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6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7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8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9"/>
      <w:suff w:val="nothing"/>
      <w:rPr>
        <w:shd w:val="clear"/>
        <w:sz w:val="20"/>
        <w:szCs w:val="20"/>
        <w:w w:val="100"/>
      </w:rPr>
      <w:lvlText w:val="%1、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1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2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3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4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5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6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7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  <w:lvl w:ilvl="8">
      <w:lvlJc w:val="left"/>
      <w:numFmt w:val="decimal"/>
      <w:start w:val="3"/>
      <w:suff w:val="space"/>
      <w:rPr>
        <w:shd w:val="clear"/>
        <w:sz w:val="20"/>
        <w:szCs w:val="20"/>
        <w:w w:val="100"/>
      </w:rPr>
      <w:lvlText w:val="第%1部分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1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2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3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4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5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6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7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  <w:lvl w:ilvl="8">
      <w:lvlJc w:val="left"/>
      <w:numFmt w:val="decimal"/>
      <w:start w:val="1"/>
      <w:suff w:val="nothing"/>
      <w:rPr>
        <w:rFonts w:ascii="楷体_GB2312" w:eastAsia="楷体_GB2312" w:hAnsi="楷体_GB2312"/>
        <w:b/>
        <w:shd w:val="clear"/>
        <w:sz w:val="32"/>
        <w:szCs w:val="32"/>
        <w:w w:val="100"/>
      </w:rPr>
      <w:lvlText w:val="（%1）"/>
    </w:lvl>
  </w:abstractNum>
  <w:abstractNum w:abstractNumId="4">
    <w:multiLevelType w:val="multilevel"/>
    <w:nsid w:val="2F000004"/>
    <w:tmpl w:val="1F002570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b w:val="0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5">
    <w:multiLevelType w:val="multilevel"/>
    <w:nsid w:val="2F000005"/>
    <w:tmpl w:val="1F001EB6"/>
    <w:lvl w:ilvl="0">
      <w:lvlJc w:val="left"/>
      <w:numFmt w:val="japaneseCounting"/>
      <w:start w:val="10"/>
      <w:suff w:val="tab"/>
      <w:pPr>
        <w:ind w:left="1429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49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69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89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09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29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49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69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89" w:hanging="420"/>
        <w:jc w:val="both"/>
      </w:pPr>
      <w:lvlText w:val="%9."/>
    </w:lvl>
  </w:abstractNum>
  <w:abstractNum w:abstractNumId="6">
    <w:multiLevelType w:val="multilevel"/>
    <w:nsid w:val="2F000006"/>
    <w:tmpl w:val="1F00166B"/>
    <w:lvl w:ilvl="0">
      <w:lvlJc w:val="left"/>
      <w:numFmt w:val="decimal"/>
      <w:start w:val="1"/>
      <w:suff w:val="tab"/>
      <w:pPr>
        <w:ind w:left="1152" w:hanging="48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512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32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52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72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92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12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32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52" w:hanging="420"/>
        <w:jc w:val="both"/>
      </w:pPr>
      <w:lvlText w:val="%9.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64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basedOn w:val="PO1"/>
    <w:next w:val="PO1"/>
    <w:link w:val="PO165"/>
    <w:qFormat/>
    <w:uiPriority w:val="8"/>
    <w:unhideWhenUsed/>
    <w:pPr>
      <w:autoSpaceDE w:val="1"/>
      <w:autoSpaceDN w:val="1"/>
      <w:keepLines/>
      <w:keepNext/>
      <w:widowControl/>
      <w:wordWrap/>
    </w:pPr>
    <w:rPr>
      <w:rFonts w:ascii="Cambria" w:eastAsia="宋体" w:hAnsi="Cambria"/>
      <w:b/>
      <w:shd w:val="clear"/>
      <w:sz w:val="32"/>
      <w:szCs w:val="32"/>
      <w:w w:val="100"/>
    </w:rPr>
  </w:style>
  <w:style w:styleId="PO9" w:type="paragraph">
    <w:name w:val="heading 3"/>
    <w:basedOn w:val="PO1"/>
    <w:next w:val="PO1"/>
    <w:link w:val="PO168"/>
    <w:qFormat/>
    <w:uiPriority w:val="9"/>
    <w:unhideWhenUsed/>
    <w:pPr>
      <w:autoSpaceDE w:val="1"/>
      <w:autoSpaceDN w:val="1"/>
      <w:keepLines/>
      <w:keepNext/>
      <w:widowControl/>
      <w:wordWrap/>
    </w:pPr>
    <w:rPr>
      <w:b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basedOn w:val="PO1"/>
    <w:next w:val="PO1"/>
    <w:qFormat/>
    <w:uiPriority w:val="28"/>
    <w:unhideWhenUsed/>
    <w:pPr>
      <w:autoSpaceDE w:val="1"/>
      <w:autoSpaceDN w:val="1"/>
      <w:jc w:val="center"/>
      <w:tabs>
        <w:tab w:val="right" w:leader="dot" w:pos="8296"/>
      </w:tabs>
      <w:widowControl/>
      <w:wordWrap/>
    </w:pPr>
    <w:rPr>
      <w:rFonts w:ascii="仿宋" w:eastAsia="仿宋" w:hAnsi="仿宋"/>
      <w:shd w:val="clear"/>
      <w:sz w:val="28"/>
      <w:szCs w:val="28"/>
      <w:w w:val="100"/>
    </w:rPr>
  </w:style>
  <w:style w:styleId="PO29" w:type="paragraph">
    <w:name w:val="toc 2"/>
    <w:basedOn w:val="PO1"/>
    <w:next w:val="PO1"/>
    <w:qFormat/>
    <w:uiPriority w:val="29"/>
    <w:unhideWhenUsed/>
    <w:pPr>
      <w:autoSpaceDE w:val="1"/>
      <w:autoSpaceDN w:val="1"/>
      <w:ind w:left="420" w:firstLine="0"/>
      <w:tabs>
        <w:tab w:val="right" w:leader="dot" w:pos="8296"/>
      </w:tabs>
      <w:widowControl/>
      <w:wordWrap/>
    </w:pPr>
  </w:style>
  <w:style w:styleId="PO30" w:type="paragraph">
    <w:name w:val="toc 3"/>
    <w:basedOn w:val="PO1"/>
    <w:next w:val="PO1"/>
    <w:qFormat/>
    <w:uiPriority w:val="30"/>
    <w:unhideWhenUsed/>
    <w:pPr>
      <w:autoSpaceDE w:val="1"/>
      <w:autoSpaceDN w:val="1"/>
      <w:ind w:left="840" w:firstLine="0"/>
      <w:tabs>
        <w:tab w:val="right" w:leader="dot" w:pos="8296"/>
      </w:tabs>
      <w:widowControl/>
      <w:wordWrap/>
    </w:p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ody Text"/>
    <w:basedOn w:val="PO1"/>
    <w:link w:val="PO162"/>
    <w:uiPriority w:val="152"/>
    <w:pPr>
      <w:autoSpaceDE w:val="1"/>
      <w:autoSpaceDN w:val="1"/>
      <w:widowControl/>
      <w:wordWrap/>
    </w:pPr>
    <w:rPr>
      <w:rFonts w:ascii="仿宋_GB2312" w:eastAsia="仿宋_GB2312" w:hAnsi="仿宋_GB2312"/>
      <w:shd w:val="clear"/>
      <w:sz w:val="30"/>
      <w:szCs w:val="30"/>
      <w:w w:val="100"/>
    </w:rPr>
  </w:style>
  <w:style w:styleId="PO153" w:type="paragraph">
    <w:name w:val="Balloon Text"/>
    <w:basedOn w:val="PO1"/>
    <w:link w:val="PO167"/>
    <w:uiPriority w:val="153"/>
    <w:semiHidden/>
    <w:unhideWhenUsed/>
    <w:rPr>
      <w:shd w:val="clear"/>
      <w:sz w:val="18"/>
      <w:szCs w:val="18"/>
      <w:w w:val="100"/>
    </w:rPr>
  </w:style>
  <w:style w:styleId="PO154" w:type="paragraph">
    <w:name w:val="footer"/>
    <w:basedOn w:val="PO1"/>
    <w:link w:val="PO160"/>
    <w:qFormat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Calibri" w:eastAsia="Calibri" w:hAnsi="Calibri"/>
      <w:shd w:val="clear"/>
      <w:sz w:val="18"/>
      <w:szCs w:val="18"/>
      <w:w w:val="100"/>
    </w:rPr>
  </w:style>
  <w:style w:styleId="PO155" w:type="paragraph">
    <w:name w:val="header"/>
    <w:basedOn w:val="PO1"/>
    <w:link w:val="PO158"/>
    <w:qFormat/>
    <w:uiPriority w:val="155"/>
    <w:semiHidden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Calibri" w:hAnsi="Calibri"/>
      <w:shd w:val="clear"/>
      <w:sz w:val="18"/>
      <w:szCs w:val="18"/>
      <w:w w:val="100"/>
    </w:rPr>
  </w:style>
  <w:style w:styleId="PO156" w:type="character">
    <w:name w:val="Hyperlink"/>
    <w:basedOn w:val="PO2"/>
    <w:qFormat/>
    <w:uiPriority w:val="156"/>
    <w:unhideWhenUsed/>
    <w:rPr>
      <w:color w:val="0000FF" w:themeColor="hyperlink"/>
      <w:shd w:val="clear"/>
      <w:sz w:val="20"/>
      <w:szCs w:val="20"/>
      <w:u w:val="single"/>
      <w:w w:val="100"/>
    </w:rPr>
  </w:style>
  <w:style w:customStyle="1" w:styleId="PO157" w:type="character">
    <w:name w:val="Header Char"/>
    <w:basedOn w:val="PO2"/>
    <w:qFormat/>
    <w:uiPriority w:val="157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58" w:type="character">
    <w:name w:val="页眉 Char"/>
    <w:link w:val="PO155"/>
    <w:qFormat/>
    <w:uiPriority w:val="158"/>
    <w:semiHidden/>
    <w:rPr>
      <w:shd w:val="clear"/>
      <w:sz w:val="18"/>
      <w:szCs w:val="18"/>
      <w:w w:val="100"/>
    </w:rPr>
  </w:style>
  <w:style w:customStyle="1" w:styleId="PO159" w:type="character">
    <w:name w:val="Footer Char"/>
    <w:basedOn w:val="PO2"/>
    <w:qFormat/>
    <w:uiPriority w:val="159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60" w:type="character">
    <w:name w:val="页脚 Char"/>
    <w:link w:val="PO154"/>
    <w:qFormat/>
    <w:uiPriority w:val="160"/>
    <w:rPr>
      <w:shd w:val="clear"/>
      <w:sz w:val="18"/>
      <w:szCs w:val="18"/>
      <w:w w:val="100"/>
    </w:rPr>
  </w:style>
  <w:style w:customStyle="1" w:styleId="PO161" w:type="character">
    <w:name w:val="Body Text Char"/>
    <w:basedOn w:val="PO2"/>
    <w:qFormat/>
    <w:uiPriority w:val="161"/>
    <w:semiHidden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62" w:type="character">
    <w:name w:val="正文文本 Char"/>
    <w:link w:val="PO152"/>
    <w:qFormat/>
    <w:uiPriority w:val="162"/>
    <w:rPr>
      <w:rFonts w:ascii="仿宋_GB2312" w:eastAsia="仿宋_GB2312" w:hAnsi="仿宋_GB2312"/>
      <w:shd w:val="clear"/>
      <w:sz w:val="24"/>
      <w:szCs w:val="24"/>
      <w:w w:val="100"/>
    </w:rPr>
  </w:style>
  <w:style w:customStyle="1" w:styleId="PO163" w:type="paragraph">
    <w:name w:val="Default"/>
    <w:qFormat/>
    <w:uiPriority w:val="163"/>
    <w:pPr>
      <w:autoSpaceDE w:val="0"/>
      <w:autoSpaceDN w:val="0"/>
      <w:widowControl/>
      <w:wordWrap/>
    </w:pPr>
    <w:rPr>
      <w:color w:val="000000"/>
      <w:rFonts w:ascii="仿宋" w:eastAsia="仿宋" w:hAnsi="仿宋"/>
      <w:shd w:val="clear"/>
      <w:sz w:val="24"/>
      <w:szCs w:val="24"/>
      <w:w w:val="100"/>
    </w:rPr>
  </w:style>
  <w:style w:customStyle="1" w:styleId="PO164" w:type="character">
    <w:name w:val="标题 1 Char"/>
    <w:basedOn w:val="PO2"/>
    <w:link w:val="PO7"/>
    <w:qFormat/>
    <w:uiPriority w:val="164"/>
    <w:rPr>
      <w:rFonts w:ascii="Times New Roman" w:eastAsia="Times New Roman" w:hAnsi="Times New Roman"/>
      <w:b/>
      <w:shd w:val="clear"/>
      <w:sz w:val="44"/>
      <w:szCs w:val="44"/>
      <w:w w:val="100"/>
    </w:rPr>
  </w:style>
  <w:style w:customStyle="1" w:styleId="PO165" w:type="character">
    <w:name w:val="标题 2 Char"/>
    <w:basedOn w:val="PO2"/>
    <w:link w:val="PO8"/>
    <w:uiPriority w:val="165"/>
    <w:rPr>
      <w:rFonts w:ascii="Cambria" w:eastAsia="宋体" w:hAnsi="Cambria"/>
      <w:b/>
      <w:shd w:val="clear"/>
      <w:sz w:val="32"/>
      <w:szCs w:val="32"/>
      <w:w w:val="100"/>
    </w:rPr>
  </w:style>
  <w:style w:customStyle="1" w:styleId="PO166" w:type="paragraph">
    <w:name w:val="TOC 标题1"/>
    <w:basedOn w:val="PO7"/>
    <w:next w:val="PO1"/>
    <w:qFormat/>
    <w:uiPriority w:val="166"/>
    <w:unhideWhenUsed/>
    <w:pPr>
      <w:autoSpaceDE w:val="1"/>
      <w:autoSpaceDN w:val="1"/>
      <w:widowControl/>
      <w:wordWrap/>
    </w:pPr>
    <w:rPr>
      <w:color w:val="366091" w:themeColor="accent1" w:themeShade="BF"/>
      <w:rFonts w:ascii="Cambria" w:eastAsia="宋体" w:hAnsi="Cambria"/>
      <w:shd w:val="clear"/>
      <w:sz w:val="28"/>
      <w:szCs w:val="28"/>
      <w:w w:val="100"/>
    </w:rPr>
  </w:style>
  <w:style w:customStyle="1" w:styleId="PO167" w:type="character">
    <w:name w:val="批注框文本 Char"/>
    <w:basedOn w:val="PO2"/>
    <w:link w:val="PO153"/>
    <w:qFormat/>
    <w:uiPriority w:val="167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68" w:type="character">
    <w:name w:val="标题 3 Char"/>
    <w:basedOn w:val="PO2"/>
    <w:link w:val="PO9"/>
    <w:qFormat/>
    <w:uiPriority w:val="168"/>
    <w:rPr>
      <w:rFonts w:ascii="Times New Roman" w:eastAsia="Times New Roman" w:hAnsi="Times New Roman"/>
      <w:b/>
      <w:shd w:val="clear"/>
      <w:sz w:val="32"/>
      <w:szCs w:val="32"/>
      <w:w w:val="100"/>
    </w:rPr>
  </w:style>
  <w:style w:styleId="PO169" w:type="paragraph">
    <w:name w:val="Normal (Web)"/>
    <w:basedOn w:val="PO1"/>
    <w:qFormat/>
    <w:uiPriority w:val="169"/>
    <w:pPr>
      <w:autoSpaceDE w:val="1"/>
      <w:autoSpaceDN w:val="1"/>
      <w:ind w:firstLine="0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四川省财政厅</Company>
  <DocSecurity>0</DocSecurity>
  <HyperlinksChanged>false</HyperlinksChanged>
  <Lines>68</Lines>
  <LinksUpToDate>false</LinksUpToDate>
  <Pages>21</Pages>
  <Paragraphs>19</Paragraphs>
  <Words>1442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张彬茜</dc:creator>
  <cp:lastModifiedBy/>
  <dc:title>四川省***</dc:title>
  <dcterms:modified xsi:type="dcterms:W3CDTF">2019-08-30T02:19:00Z</dcterms:modified>
</cp:coreProperties>
</file>