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193"/>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476"/>
      <w:bookmarkStart w:id="7" w:name="_Toc15377426"/>
      <w:bookmarkStart w:id="8" w:name="_Toc15396598"/>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宣汉县育才小学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lang w:val="en-US" w:eastAsia="zh-CN"/>
        </w:rPr>
        <w:t>19</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Times New Roman" w:hAnsi="Times New Roman" w:eastAsia="宋体" w:cs="Times New Roman"/>
          <w:kern w:val="0"/>
          <w:sz w:val="28"/>
          <w:szCs w:val="24"/>
          <w:lang w:val="en-US" w:eastAsia="zh-CN" w:bidi="ar"/>
        </w:rPr>
      </w:pPr>
      <w:bookmarkStart w:id="16" w:name="_Toc15378445"/>
      <w:bookmarkStart w:id="17" w:name="_Toc15377198"/>
      <w:r>
        <w:rPr>
          <w:rFonts w:hint="eastAsia" w:ascii="仿宋" w:hAnsi="仿宋" w:eastAsia="仿宋"/>
          <w:bCs/>
          <w:color w:val="000000"/>
          <w:sz w:val="32"/>
          <w:szCs w:val="32"/>
        </w:rPr>
        <w:t>（一</w:t>
      </w:r>
      <w:r>
        <w:rPr>
          <w:rFonts w:hint="eastAsia" w:ascii="Times New Roman" w:hAnsi="Times New Roman" w:eastAsia="宋体" w:cs="Times New Roman"/>
          <w:kern w:val="0"/>
          <w:sz w:val="28"/>
          <w:szCs w:val="24"/>
          <w:lang w:val="en-US" w:eastAsia="zh-CN" w:bidi="ar"/>
        </w:rPr>
        <w:t>）主要职能。</w:t>
      </w:r>
    </w:p>
    <w:p>
      <w:pPr>
        <w:pStyle w:val="24"/>
        <w:numPr>
          <w:ilvl w:val="0"/>
          <w:numId w:val="1"/>
        </w:numPr>
        <w:spacing w:line="600" w:lineRule="exact"/>
        <w:ind w:left="1418" w:hanging="58" w:firstLineChars="0"/>
        <w:rPr>
          <w:rFonts w:hint="eastAsia" w:ascii="Times New Roman" w:hAnsi="Times New Roman" w:eastAsia="宋体" w:cs="Times New Roman"/>
          <w:kern w:val="0"/>
          <w:sz w:val="28"/>
          <w:szCs w:val="24"/>
          <w:lang w:val="en-US" w:eastAsia="zh-CN" w:bidi="ar"/>
        </w:rPr>
      </w:pPr>
      <w:r>
        <w:rPr>
          <w:rFonts w:hint="eastAsia" w:ascii="Times New Roman" w:hAnsi="Times New Roman" w:eastAsia="宋体" w:cs="Times New Roman"/>
          <w:kern w:val="0"/>
          <w:sz w:val="28"/>
          <w:szCs w:val="24"/>
          <w:lang w:val="en-US" w:eastAsia="zh-CN" w:bidi="ar"/>
        </w:rPr>
        <w:t>全面贯彻执行国家的教育方针、政策及国家相关的法律法规；</w:t>
      </w:r>
    </w:p>
    <w:p>
      <w:pPr>
        <w:spacing w:line="600" w:lineRule="exact"/>
        <w:ind w:left="1360"/>
        <w:rPr>
          <w:rFonts w:hint="eastAsia" w:ascii="Times New Roman" w:hAnsi="Times New Roman" w:eastAsia="宋体" w:cs="Times New Roman"/>
          <w:kern w:val="0"/>
          <w:sz w:val="28"/>
          <w:szCs w:val="24"/>
          <w:lang w:val="en-US" w:eastAsia="zh-CN" w:bidi="ar"/>
        </w:rPr>
      </w:pPr>
      <w:r>
        <w:rPr>
          <w:rFonts w:hint="eastAsia" w:ascii="Times New Roman" w:hAnsi="Times New Roman" w:eastAsia="宋体" w:cs="Times New Roman"/>
          <w:kern w:val="0"/>
          <w:sz w:val="28"/>
          <w:szCs w:val="24"/>
          <w:lang w:val="en-US" w:eastAsia="zh-CN" w:bidi="ar"/>
        </w:rPr>
        <w:t>2、 实施素质教育，按照规定标准完成教育教学任务，保证教育教学质量；</w:t>
      </w:r>
    </w:p>
    <w:p>
      <w:pPr>
        <w:spacing w:line="600" w:lineRule="exact"/>
        <w:ind w:left="1360"/>
        <w:rPr>
          <w:rFonts w:hint="eastAsia" w:ascii="Times New Roman" w:hAnsi="Times New Roman" w:eastAsia="宋体" w:cs="Times New Roman"/>
          <w:kern w:val="0"/>
          <w:sz w:val="28"/>
          <w:szCs w:val="24"/>
          <w:lang w:val="en-US" w:eastAsia="zh-CN" w:bidi="ar"/>
        </w:rPr>
      </w:pPr>
      <w:r>
        <w:rPr>
          <w:rFonts w:hint="eastAsia" w:ascii="Times New Roman" w:hAnsi="Times New Roman" w:eastAsia="宋体" w:cs="Times New Roman"/>
          <w:kern w:val="0"/>
          <w:sz w:val="28"/>
          <w:szCs w:val="24"/>
          <w:lang w:val="en-US" w:eastAsia="zh-CN" w:bidi="ar"/>
        </w:rPr>
        <w:t>3、加强安全和后勤服务工作；</w:t>
      </w:r>
    </w:p>
    <w:p>
      <w:pPr>
        <w:spacing w:line="600" w:lineRule="exact"/>
        <w:ind w:left="1360"/>
        <w:rPr>
          <w:rFonts w:hint="eastAsia" w:ascii="Times New Roman" w:hAnsi="Times New Roman" w:eastAsia="宋体" w:cs="Times New Roman"/>
          <w:kern w:val="0"/>
          <w:sz w:val="28"/>
          <w:szCs w:val="24"/>
          <w:lang w:val="en-US" w:eastAsia="zh-CN" w:bidi="ar"/>
        </w:rPr>
      </w:pPr>
      <w:r>
        <w:rPr>
          <w:rFonts w:hint="eastAsia" w:ascii="Times New Roman" w:hAnsi="Times New Roman" w:eastAsia="宋体" w:cs="Times New Roman"/>
          <w:kern w:val="0"/>
          <w:sz w:val="28"/>
          <w:szCs w:val="24"/>
          <w:lang w:val="en-US" w:eastAsia="zh-CN" w:bidi="ar"/>
        </w:rPr>
        <w:t>4、为教育教学提供保障。</w:t>
      </w:r>
    </w:p>
    <w:bookmarkEnd w:id="16"/>
    <w:bookmarkEnd w:id="17"/>
    <w:p>
      <w:pPr>
        <w:pStyle w:val="5"/>
        <w:adjustRightInd w:val="0"/>
        <w:snapToGrid w:val="0"/>
        <w:spacing w:before="93" w:line="600" w:lineRule="exact"/>
        <w:ind w:firstLine="588" w:firstLineChars="210"/>
        <w:outlineLvl w:val="2"/>
        <w:rPr>
          <w:rFonts w:hint="eastAsia" w:ascii="Times New Roman" w:hAnsi="Times New Roman" w:eastAsia="宋体" w:cs="Times New Roman"/>
          <w:kern w:val="0"/>
          <w:sz w:val="28"/>
          <w:szCs w:val="24"/>
          <w:lang w:val="en-US" w:eastAsia="zh-CN" w:bidi="ar"/>
        </w:rPr>
      </w:pPr>
      <w:bookmarkStart w:id="18" w:name="_Toc15377199"/>
      <w:bookmarkStart w:id="19" w:name="_Toc15378446"/>
      <w:r>
        <w:rPr>
          <w:rFonts w:hint="eastAsia" w:ascii="Times New Roman" w:hAnsi="Times New Roman" w:eastAsia="宋体" w:cs="Times New Roman"/>
          <w:kern w:val="0"/>
          <w:sz w:val="28"/>
          <w:szCs w:val="24"/>
          <w:lang w:val="en-US" w:eastAsia="zh-CN" w:bidi="ar"/>
        </w:rPr>
        <w:t>（二）201</w:t>
      </w:r>
      <w:r>
        <w:rPr>
          <w:rFonts w:hint="eastAsia" w:ascii="Times New Roman" w:eastAsia="宋体" w:cs="Times New Roman"/>
          <w:kern w:val="0"/>
          <w:sz w:val="28"/>
          <w:szCs w:val="24"/>
          <w:lang w:val="en-US" w:eastAsia="zh-CN" w:bidi="ar"/>
        </w:rPr>
        <w:t>9</w:t>
      </w:r>
      <w:r>
        <w:rPr>
          <w:rFonts w:hint="eastAsia" w:ascii="Times New Roman" w:hAnsi="Times New Roman" w:eastAsia="宋体" w:cs="Times New Roman"/>
          <w:kern w:val="0"/>
          <w:sz w:val="28"/>
          <w:szCs w:val="24"/>
          <w:lang w:val="en-US" w:eastAsia="zh-CN" w:bidi="ar"/>
        </w:rPr>
        <w:t>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lang w:val="en-US" w:eastAsia="zh-CN"/>
        </w:rPr>
        <w:t>2019，新中国高光闪耀，我们乘着强劲的东风，以“三人”精神为核心，以“生本课堂”为舞台，紧紧围绕“教会自己和学生如何做人”的育人理念，认真落实“三向三要”，聚精会神抓管理，实实在在抓教育教学质量，以汗水浇灌收获，以实干笃定前行，留下了一行行坚实的脚印，学校整体呈现出一片向上、向好的良好态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首先，学校办学条件得到了改善。暑假，我们抢时间、抓机遇，对校园进行了彻底的翻修，特别是厕所的渗漏得到了根治，同时，校园文化建设正分期分批按计划实施。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次，在德育方面，学生的行为习惯，特别是学生的阅读习惯、就餐习惯、说普通话的习惯日渐养成。今年5月23日，在六一来临之际，我们与深度贫困村龙泉中山寺村小开展了系列的庆祝活动，一到村小是通过育才小学一元捐，成立“山里娃梦想基金”，对孩子捐款捐物，二是送教上门，三是延请了胡成芳、王熠鉥来我校参加庆六一体验活动；今年9月我们隆重地举办了“追逐梦想，向阳生长”的新生入学典礼，浓浓的仪式感亲近了家长与学校、学生与学校之间的感情。今年9月，我们还承担了宣汉电视台“家教在线”首播工作，从编制脚本到后期摄录、编辑，我们用心、用情、用力，开播以后，收到了社会的一致好评，因此也被宣汉县关心下一代工作委员会表彰为“六好”基层关工委、“家庭教育先进学校”；9月，在“学宪法、讲宪法”知识竞赛中，我校陈哲睿一路过关斩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第三、在达州市第34届青少年科技创新大赛中，获优秀组织单位；唐清霞制作的科学影像作品《土家手工茶的独特之处》获县长奖。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第四、在科研成果方面，《中小学语文体验阅读教学研究》在四川省第六届普通教育优秀教学成果评选中获四川省人民政府二</w:t>
      </w:r>
      <w:r>
        <w:rPr>
          <w:rFonts w:hint="eastAsia" w:ascii="仿宋_GB2312" w:hAnsi="仿宋_GB2312" w:eastAsia="仿宋_GB2312" w:cs="仿宋_GB2312"/>
          <w:sz w:val="28"/>
          <w:szCs w:val="28"/>
          <w:lang w:val="en-US" w:eastAsia="zh-CN"/>
        </w:rPr>
        <w:t>等奖</w:t>
      </w:r>
      <w:r>
        <w:rPr>
          <w:rFonts w:hint="eastAsia" w:ascii="仿宋_GB2312" w:hAnsi="仿宋_GB2312" w:eastAsia="仿宋_GB2312" w:cs="仿宋_GB2312"/>
          <w:sz w:val="32"/>
          <w:szCs w:val="32"/>
          <w:lang w:val="en-US" w:eastAsia="zh-CN"/>
        </w:rPr>
        <w:t>；《城镇小学亲子悦读的内容与方法研究》在2019年达州市教育科研优秀成果评选中获二等奖；《小学语文低段多元识字策略研究》、《小学数学学困生学习缺失的弥补策略研究》在2019年达州市教育科研优秀成果评选中获三等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在校本教研中，5月14日，东乡片区语文联合教研在我校举行，我们延请了成都师范学院高级讲师杨东教授、浙江舟山海淀区教师进修校董良岳书记来校作讲座和点评，《从课例中探究语文教学方法》解决了我们一线教师长期以来的一些困惑，而董书记的教研文化与课堂训练更是震聋发聩，一语惊醒梦中人。9月，达州市2019年小学语文学科教师培训在我县举行，我校赵建玲老师承担了示范课和讲座任务，效果奇佳，受到了同行和培训者的高度评价，因此，被宣汉县教师进修校表彰为校本培训先进集体。胡艳老师参加全县小学数学计算教学专题赛课荣获一等奖，邹珊老师在全县小学英语课堂教学展评比赛中荣获一等奖，陈星宇老师参加全县体育教师技能比赛中荣获一等奖，李素兰老师先后到樊哙片区、天生片区、君塘片区做小学数学教学专题讲座，向素清、漆楚丽、符超成功送教到龙泉学校，获得一致好评，发挥了名校辐射引领作用，为助推宣汉城乡教育均衡发展贡献了力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第六、2019年被宣汉县教育科技知识产权局命名“安全管理标准化示范学校”。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在宣汉县第22届中学生暨第14届小学生田径运动会中获小学组体育道德风尚奖；在2019年宣汉县中小学生篮球、校园足球比赛中，学男子组篮球比赛团体第三名，足球乙组获第二名，足球混合组获第一名，首次战胜了二完小；在全县小学生运动会上，学生刘博铭在羽毛球比赛中获男子单打第一名。付爱玲老师参加达州市中小学美术优质课大赛荣获一等奖并经专家推荐代表达州市参加四川省的决赛，获三等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9月24日，为庆祝新中国成立70周年，学校开展了“礼乐中化，盛世霓裳”系列活动，整个活动由宣汉电视台全程摄录、报道，并在人民日报达州新闻、达州发布、宣汉新闻、宣汉发布等主流媒体发布，收到了良好的社会反响。</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24"/>
        <w:numPr>
          <w:ilvl w:val="0"/>
          <w:numId w:val="0"/>
        </w:numPr>
        <w:spacing w:line="600" w:lineRule="exact"/>
        <w:ind w:left="640" w:leftChars="0" w:firstLine="560" w:firstLineChars="200"/>
        <w:rPr>
          <w:rFonts w:hint="eastAsia" w:ascii="Times New Roman" w:hAnsi="Times New Roman" w:eastAsia="宋体" w:cs="Times New Roman"/>
          <w:kern w:val="2"/>
          <w:sz w:val="28"/>
          <w:szCs w:val="24"/>
          <w:lang w:val="en-US" w:eastAsia="zh-CN" w:bidi="ar-SA"/>
        </w:rPr>
      </w:pPr>
      <w:r>
        <w:rPr>
          <w:rFonts w:hint="eastAsia" w:ascii="Times New Roman" w:hAnsi="Times New Roman" w:eastAsia="宋体" w:cs="Times New Roman"/>
          <w:kern w:val="2"/>
          <w:sz w:val="28"/>
          <w:szCs w:val="24"/>
          <w:lang w:val="en-US" w:eastAsia="zh-CN" w:bidi="ar-SA"/>
        </w:rPr>
        <w:t>我校是县教科局直属事业单位，无下属单位。</w:t>
      </w:r>
    </w:p>
    <w:p>
      <w:pPr>
        <w:widowControl/>
        <w:jc w:val="left"/>
        <w:rPr>
          <w:rStyle w:val="25"/>
          <w:rFonts w:hint="eastAsia" w:ascii="黑体" w:hAnsi="黑体" w:eastAsia="黑体"/>
          <w:b w:val="0"/>
          <w:bCs w:val="0"/>
          <w:lang w:val="en-US" w:eastAsia="zh-CN"/>
        </w:rPr>
      </w:pPr>
      <w:bookmarkStart w:id="22" w:name="_Toc15377204"/>
      <w:bookmarkStart w:id="23" w:name="_Toc15396602"/>
    </w:p>
    <w:p>
      <w:pPr>
        <w:widowControl/>
        <w:jc w:val="left"/>
        <w:rPr>
          <w:rStyle w:val="25"/>
          <w:rFonts w:hint="eastAsia" w:ascii="黑体" w:hAnsi="黑体" w:eastAsia="黑体"/>
          <w:b w:val="0"/>
          <w:bCs w:val="0"/>
        </w:rPr>
      </w:pPr>
      <w:r>
        <w:rPr>
          <w:rStyle w:val="25"/>
          <w:rFonts w:hint="eastAsia" w:ascii="黑体" w:hAnsi="黑体" w:eastAsia="黑体"/>
          <w:b w:val="0"/>
          <w:bCs w:val="0"/>
          <w:lang w:val="en-US" w:eastAsia="zh-CN"/>
        </w:rPr>
        <w:t>第二部分 2</w:t>
      </w:r>
      <w:r>
        <w:rPr>
          <w:rStyle w:val="25"/>
          <w:rFonts w:hint="eastAsia" w:ascii="黑体" w:hAnsi="黑体" w:eastAsia="黑体"/>
          <w:b w:val="0"/>
          <w:bCs w:val="0"/>
        </w:rPr>
        <w:t>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2"/>
      <w:bookmarkEnd w:id="23"/>
    </w:p>
    <w:p>
      <w:pPr>
        <w:widowControl/>
        <w:jc w:val="left"/>
        <w:rPr>
          <w:rStyle w:val="25"/>
          <w:rFonts w:hint="eastAsia" w:ascii="黑体" w:hAnsi="黑体" w:eastAsia="黑体"/>
          <w:b w:val="0"/>
          <w:bCs w:val="0"/>
        </w:rPr>
      </w:pPr>
    </w:p>
    <w:p>
      <w:pPr>
        <w:widowControl/>
        <w:ind w:firstLine="960" w:firstLineChars="300"/>
        <w:jc w:val="left"/>
        <w:rPr>
          <w:rFonts w:hint="eastAsia" w:ascii="黑体" w:hAnsi="黑体" w:eastAsia="黑体" w:cstheme="majorBidi"/>
          <w:b w:val="0"/>
          <w:bCs/>
          <w:color w:val="000000"/>
          <w:kern w:val="2"/>
          <w:sz w:val="32"/>
          <w:szCs w:val="32"/>
          <w:lang w:val="en-US" w:eastAsia="zh-CN" w:bidi="ar-SA"/>
        </w:rPr>
      </w:pPr>
      <w:bookmarkStart w:id="24" w:name="_Toc15396603"/>
      <w:bookmarkStart w:id="25" w:name="_Toc15377205"/>
      <w:r>
        <w:rPr>
          <w:rFonts w:hint="eastAsia" w:ascii="黑体" w:hAnsi="黑体" w:eastAsia="黑体" w:cstheme="majorBidi"/>
          <w:b w:val="0"/>
          <w:bCs/>
          <w:color w:val="000000"/>
          <w:kern w:val="2"/>
          <w:sz w:val="32"/>
          <w:szCs w:val="32"/>
          <w:lang w:val="en-US" w:eastAsia="zh-CN" w:bidi="ar-SA"/>
        </w:rPr>
        <w:t>一、收入支出决算总体情况说明</w:t>
      </w:r>
      <w:bookmarkEnd w:id="24"/>
      <w:bookmarkEnd w:id="25"/>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方正仿宋简体" w:eastAsia="方正仿宋简体"/>
          <w:color w:val="000000"/>
          <w:sz w:val="32"/>
          <w:szCs w:val="32"/>
        </w:rPr>
        <w:drawing>
          <wp:anchor distT="0" distB="0" distL="114300" distR="114300" simplePos="0" relativeHeight="251709440" behindDoc="0" locked="0" layoutInCell="1" allowOverlap="1">
            <wp:simplePos x="0" y="0"/>
            <wp:positionH relativeFrom="column">
              <wp:posOffset>2682240</wp:posOffset>
            </wp:positionH>
            <wp:positionV relativeFrom="paragraph">
              <wp:posOffset>1315720</wp:posOffset>
            </wp:positionV>
            <wp:extent cx="2557145" cy="1917700"/>
            <wp:effectExtent l="4445" t="4445" r="10160" b="2095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1840.91</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val="en-US" w:eastAsia="zh-CN"/>
        </w:rPr>
        <w:t>增加397.58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27.55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工资福利支出增加。</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left"/>
        <w:rPr>
          <w:rFonts w:ascii="仿宋_GB2312" w:eastAsia="仿宋_GB2312"/>
          <w:color w:val="000000"/>
          <w:sz w:val="32"/>
          <w:szCs w:val="32"/>
        </w:rPr>
      </w:pPr>
    </w:p>
    <w:p>
      <w:pPr>
        <w:pStyle w:val="24"/>
        <w:numPr>
          <w:ilvl w:val="0"/>
          <w:numId w:val="0"/>
        </w:numPr>
        <w:spacing w:line="600" w:lineRule="exact"/>
        <w:ind w:left="640" w:left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562" w:firstLineChars="200"/>
        <w:outlineLvl w:val="1"/>
        <w:rPr>
          <w:rFonts w:ascii="仿宋" w:hAnsi="仿宋" w:eastAsia="仿宋"/>
          <w:color w:val="000000"/>
          <w:sz w:val="32"/>
          <w:szCs w:val="32"/>
        </w:rPr>
      </w:pPr>
      <w:r>
        <w:rPr>
          <w:rFonts w:hint="eastAsia" w:ascii="方正仿宋简体" w:eastAsia="方正仿宋简体"/>
          <w:b/>
          <w:color w:val="000000"/>
          <w:sz w:val="28"/>
          <w:szCs w:val="28"/>
        </w:rPr>
        <w:drawing>
          <wp:anchor distT="0" distB="0" distL="114300" distR="114300" simplePos="0" relativeHeight="251658240" behindDoc="0" locked="0" layoutInCell="1" allowOverlap="1">
            <wp:simplePos x="0" y="0"/>
            <wp:positionH relativeFrom="column">
              <wp:posOffset>2663825</wp:posOffset>
            </wp:positionH>
            <wp:positionV relativeFrom="paragraph">
              <wp:posOffset>2105025</wp:posOffset>
            </wp:positionV>
            <wp:extent cx="2454910" cy="1533525"/>
            <wp:effectExtent l="0" t="0" r="2540" b="9525"/>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7"/>
                    <a:srcRect/>
                    <a:stretch>
                      <a:fillRect/>
                    </a:stretch>
                  </pic:blipFill>
                  <pic:spPr>
                    <a:xfrm>
                      <a:off x="0" y="0"/>
                      <a:ext cx="2454910" cy="1533525"/>
                    </a:xfrm>
                    <a:prstGeom prst="rect">
                      <a:avLst/>
                    </a:prstGeom>
                    <a:noFill/>
                  </pic:spPr>
                </pic:pic>
              </a:graphicData>
            </a:graphic>
          </wp:anchor>
        </w:drawing>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1840.91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1840.91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0"/>
        </w:numPr>
        <w:spacing w:line="600" w:lineRule="exact"/>
        <w:ind w:left="640" w:leftChars="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收入</w:t>
      </w:r>
      <w:r>
        <w:rPr>
          <w:rFonts w:hint="eastAsia" w:ascii="仿宋" w:hAnsi="仿宋" w:eastAsia="仿宋"/>
          <w:color w:val="000000" w:themeColor="text1"/>
          <w:sz w:val="32"/>
          <w:szCs w:val="32"/>
          <w14:textFill>
            <w14:solidFill>
              <w14:schemeClr w14:val="tx1"/>
            </w14:solidFill>
          </w14:textFill>
        </w:rPr>
        <w:t>决算结构图）（饼状图</w:t>
      </w:r>
    </w:p>
    <w:p>
      <w:pPr>
        <w:pStyle w:val="24"/>
        <w:numPr>
          <w:ilvl w:val="0"/>
          <w:numId w:val="0"/>
        </w:numPr>
        <w:spacing w:line="600" w:lineRule="exact"/>
        <w:ind w:left="640" w:leftChars="0"/>
        <w:rPr>
          <w:rFonts w:hint="eastAsia" w:ascii="仿宋" w:hAnsi="仿宋" w:eastAsia="仿宋"/>
          <w:color w:val="000000" w:themeColor="text1"/>
          <w:sz w:val="32"/>
          <w:szCs w:val="32"/>
          <w14:textFill>
            <w14:solidFill>
              <w14:schemeClr w14:val="tx1"/>
            </w14:solidFill>
          </w14:textFill>
        </w:rPr>
      </w:pPr>
    </w:p>
    <w:p>
      <w:pPr>
        <w:pStyle w:val="24"/>
        <w:numPr>
          <w:ilvl w:val="0"/>
          <w:numId w:val="0"/>
        </w:numPr>
        <w:spacing w:line="600" w:lineRule="exact"/>
        <w:ind w:left="640" w:leftChars="0"/>
        <w:rPr>
          <w:rFonts w:hint="eastAsia" w:ascii="方正仿宋简体" w:eastAsia="方正仿宋简体"/>
          <w:b w:val="0"/>
          <w:bCs/>
          <w:color w:val="000000"/>
          <w:sz w:val="28"/>
          <w:szCs w:val="28"/>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4"/>
        <w:numPr>
          <w:ilvl w:val="0"/>
          <w:numId w:val="0"/>
        </w:numPr>
        <w:spacing w:line="600" w:lineRule="exact"/>
        <w:ind w:firstLine="640" w:firstLineChars="20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hint="eastAsia" w:ascii="方正仿宋简体" w:eastAsia="方正仿宋简体"/>
          <w:b w:val="0"/>
          <w:bCs/>
          <w:color w:val="000000"/>
          <w:sz w:val="28"/>
          <w:szCs w:val="28"/>
          <w:lang w:eastAsia="zh-CN"/>
        </w:rPr>
        <w:drawing>
          <wp:anchor distT="0" distB="0" distL="114300" distR="114300" simplePos="0" relativeHeight="251674624" behindDoc="1" locked="0" layoutInCell="1" allowOverlap="1">
            <wp:simplePos x="0" y="0"/>
            <wp:positionH relativeFrom="column">
              <wp:posOffset>2282190</wp:posOffset>
            </wp:positionH>
            <wp:positionV relativeFrom="paragraph">
              <wp:posOffset>1397635</wp:posOffset>
            </wp:positionV>
            <wp:extent cx="2980690" cy="1908810"/>
            <wp:effectExtent l="4445" t="5080" r="5715" b="10160"/>
            <wp:wrapTight wrapText="bothSides">
              <wp:wrapPolygon>
                <wp:start x="-32" y="-57"/>
                <wp:lineTo x="-32" y="21499"/>
                <wp:lineTo x="21503" y="21499"/>
                <wp:lineTo x="21503" y="-57"/>
                <wp:lineTo x="-32" y="-5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1840.91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1466.03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79.64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374.88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20.36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pStyle w:val="24"/>
        <w:numPr>
          <w:ilvl w:val="0"/>
          <w:numId w:val="0"/>
        </w:numPr>
        <w:spacing w:line="600" w:lineRule="exact"/>
        <w:ind w:left="640" w:leftChars="0"/>
        <w:rPr>
          <w:rFonts w:hint="eastAsia" w:ascii="方正仿宋简体" w:eastAsia="方正仿宋简体"/>
          <w:b/>
          <w:color w:val="000000"/>
          <w:sz w:val="32"/>
          <w:szCs w:val="32"/>
        </w:rPr>
      </w:pPr>
    </w:p>
    <w:p>
      <w:pPr>
        <w:spacing w:line="600" w:lineRule="exact"/>
        <w:ind w:firstLine="640" w:firstLineChars="200"/>
        <w:rPr>
          <w:rFonts w:ascii="仿宋_GB2312" w:eastAsia="仿宋_GB2312"/>
          <w:color w:val="FF0000"/>
          <w:sz w:val="32"/>
          <w:szCs w:val="32"/>
        </w:rPr>
      </w:pPr>
    </w:p>
    <w:p>
      <w:pPr>
        <w:spacing w:line="600" w:lineRule="exact"/>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方正仿宋简体" w:eastAsia="方正仿宋简体"/>
          <w:color w:val="000000"/>
          <w:sz w:val="32"/>
          <w:szCs w:val="32"/>
        </w:rPr>
        <w:drawing>
          <wp:anchor distT="0" distB="0" distL="114300" distR="114300" simplePos="0" relativeHeight="251735040" behindDoc="0" locked="0" layoutInCell="1" allowOverlap="1">
            <wp:simplePos x="0" y="0"/>
            <wp:positionH relativeFrom="column">
              <wp:posOffset>2703830</wp:posOffset>
            </wp:positionH>
            <wp:positionV relativeFrom="paragraph">
              <wp:posOffset>1207135</wp:posOffset>
            </wp:positionV>
            <wp:extent cx="2557145" cy="1798320"/>
            <wp:effectExtent l="4445" t="4445" r="10160" b="698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1840.91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val="en-US" w:eastAsia="zh-CN"/>
        </w:rPr>
        <w:t>增加397.58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27.55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工资福利支出增加。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1840.91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年相比，一般公共预算财政拨款收、支总计各</w:t>
      </w:r>
      <w:r>
        <w:rPr>
          <w:rFonts w:hint="eastAsia" w:ascii="仿宋" w:hAnsi="仿宋" w:eastAsia="仿宋"/>
          <w:color w:val="000000"/>
          <w:sz w:val="32"/>
          <w:szCs w:val="32"/>
          <w:lang w:val="en-US" w:eastAsia="zh-CN"/>
        </w:rPr>
        <w:t>增加397.58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27.55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工资福利支出增加。</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方正仿宋简体" w:eastAsia="方正仿宋简体"/>
          <w:color w:val="000000"/>
          <w:sz w:val="32"/>
          <w:szCs w:val="32"/>
        </w:rPr>
        <w:drawing>
          <wp:anchor distT="0" distB="0" distL="114300" distR="114300" simplePos="0" relativeHeight="251682816" behindDoc="0" locked="0" layoutInCell="1" allowOverlap="1">
            <wp:simplePos x="0" y="0"/>
            <wp:positionH relativeFrom="column">
              <wp:posOffset>2703830</wp:posOffset>
            </wp:positionH>
            <wp:positionV relativeFrom="paragraph">
              <wp:posOffset>416560</wp:posOffset>
            </wp:positionV>
            <wp:extent cx="2557145" cy="1917700"/>
            <wp:effectExtent l="4445" t="4445" r="10160" b="209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rPr>
          <w:rFonts w:hint="eastAsia" w:ascii="方正仿宋简体" w:hAnsi="宋体" w:eastAsia="方正仿宋简体"/>
          <w:kern w:val="0"/>
          <w:sz w:val="28"/>
          <w:szCs w:val="28"/>
        </w:rPr>
      </w:pP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仿宋" w:hAnsi="仿宋" w:eastAsia="仿宋"/>
          <w:b/>
          <w:color w:val="000000"/>
          <w:sz w:val="32"/>
          <w:szCs w:val="32"/>
        </w:rPr>
      </w:pPr>
      <w:r>
        <w:rPr>
          <w:rFonts w:hint="eastAsia" w:ascii="方正仿宋简体" w:eastAsia="方正仿宋简体"/>
          <w:color w:val="000000"/>
          <w:sz w:val="32"/>
          <w:szCs w:val="32"/>
        </w:rPr>
        <w:t>（</w:t>
      </w:r>
      <w:r>
        <w:rPr>
          <w:rFonts w:hint="eastAsia" w:ascii="仿宋" w:hAnsi="仿宋" w:eastAsia="仿宋"/>
          <w:b/>
          <w:color w:val="000000"/>
          <w:sz w:val="32"/>
          <w:szCs w:val="32"/>
        </w:rPr>
        <w:t>二）一般公共预算财政拨款支出决算结构情况</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我校2019年一般公共预算财政拨款支出1840.91万元，主要用于以下方面:</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1、一般公共服务支出（无），</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2、教育支出1537.92万元，占83.54%；</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3、社会保障和就业支出157.40万元，</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占8.55%；</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4、医疗卫生支出51.16万元，占2.78%；</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5、住房保障支出94.44万元，占5.13%；</w:t>
      </w:r>
    </w:p>
    <w:p>
      <w:pPr>
        <w:spacing w:line="600" w:lineRule="exact"/>
        <w:ind w:firstLine="640" w:firstLineChars="200"/>
        <w:rPr>
          <w:rFonts w:hint="eastAsia" w:ascii="方正仿宋简体" w:eastAsia="方正仿宋简体"/>
          <w:color w:val="000000"/>
          <w:sz w:val="32"/>
          <w:szCs w:val="32"/>
        </w:rPr>
      </w:pPr>
      <w:r>
        <w:rPr>
          <w:rFonts w:hint="eastAsia" w:ascii="仿宋" w:hAnsi="仿宋" w:eastAsia="仿宋"/>
          <w:color w:val="000000"/>
          <w:sz w:val="32"/>
          <w:szCs w:val="32"/>
          <w:lang w:val="en-US" w:eastAsia="zh-CN"/>
        </w:rPr>
        <w:t>图6：一般公共预算财政拨款支出决算结构）（饼状图）</w:t>
      </w:r>
    </w:p>
    <w:p>
      <w:pPr>
        <w:spacing w:line="600" w:lineRule="exact"/>
        <w:ind w:firstLine="420" w:firstLineChars="200"/>
        <w:rPr>
          <w:rFonts w:hint="eastAsia" w:ascii="方正仿宋简体" w:eastAsia="方正仿宋简体"/>
          <w:color w:val="000000"/>
          <w:sz w:val="32"/>
          <w:szCs w:val="32"/>
        </w:rPr>
      </w:pPr>
      <w:r>
        <w:drawing>
          <wp:anchor distT="0" distB="0" distL="114300" distR="114300" simplePos="0" relativeHeight="251742208" behindDoc="0" locked="0" layoutInCell="1" allowOverlap="1">
            <wp:simplePos x="0" y="0"/>
            <wp:positionH relativeFrom="column">
              <wp:posOffset>606425</wp:posOffset>
            </wp:positionH>
            <wp:positionV relativeFrom="paragraph">
              <wp:posOffset>125730</wp:posOffset>
            </wp:positionV>
            <wp:extent cx="4121785" cy="2485390"/>
            <wp:effectExtent l="0" t="0" r="12065"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121785" cy="2485390"/>
                    </a:xfrm>
                    <a:prstGeom prst="rect">
                      <a:avLst/>
                    </a:prstGeom>
                    <a:noFill/>
                    <a:ln>
                      <a:noFill/>
                    </a:ln>
                  </pic:spPr>
                </pic:pic>
              </a:graphicData>
            </a:graphic>
          </wp:anchor>
        </w:drawing>
      </w: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方正仿宋简体" w:eastAsia="方正仿宋简体"/>
          <w:color w:val="000000"/>
          <w:sz w:val="32"/>
          <w:szCs w:val="32"/>
        </w:rPr>
      </w:pPr>
    </w:p>
    <w:p>
      <w:pPr>
        <w:spacing w:line="600" w:lineRule="exact"/>
        <w:ind w:firstLine="640" w:firstLineChars="200"/>
        <w:rPr>
          <w:rFonts w:hint="eastAsia" w:ascii="仿宋" w:hAnsi="仿宋" w:eastAsia="仿宋"/>
          <w:b/>
          <w:color w:val="000000"/>
          <w:sz w:val="32"/>
          <w:szCs w:val="32"/>
        </w:rPr>
      </w:pPr>
      <w:r>
        <w:rPr>
          <w:rFonts w:hint="eastAsia" w:ascii="方正仿宋简体" w:eastAsia="方正仿宋简体"/>
          <w:color w:val="000000"/>
          <w:sz w:val="32"/>
          <w:szCs w:val="32"/>
        </w:rPr>
        <w:t>（</w:t>
      </w:r>
      <w:r>
        <w:rPr>
          <w:rFonts w:hint="eastAsia" w:ascii="仿宋" w:hAnsi="仿宋" w:eastAsia="仿宋"/>
          <w:b/>
          <w:color w:val="000000"/>
          <w:sz w:val="32"/>
          <w:szCs w:val="32"/>
        </w:rPr>
        <w:t>三）一般公共预算财政拨款支出决算具体情况</w:t>
      </w:r>
    </w:p>
    <w:p>
      <w:pPr>
        <w:spacing w:line="600" w:lineRule="exact"/>
        <w:ind w:firstLine="640" w:firstLineChars="200"/>
        <w:rPr>
          <w:rFonts w:hint="eastAsia" w:ascii="仿宋" w:hAnsi="仿宋" w:eastAsia="仿宋"/>
          <w:color w:val="000000"/>
          <w:sz w:val="32"/>
          <w:szCs w:val="32"/>
          <w:lang w:val="en-US" w:eastAsia="zh-CN"/>
        </w:rPr>
      </w:pPr>
      <w:r>
        <w:rPr>
          <w:rStyle w:val="15"/>
          <w:rFonts w:hint="eastAsia" w:ascii="方正仿宋简体" w:eastAsia="方正仿宋简体"/>
          <w:b w:val="0"/>
          <w:bCs/>
          <w:color w:val="000000"/>
          <w:sz w:val="32"/>
          <w:szCs w:val="32"/>
        </w:rPr>
        <w:t>1</w:t>
      </w:r>
      <w:r>
        <w:rPr>
          <w:rFonts w:hint="eastAsia" w:ascii="方正仿宋简体" w:hAnsi="宋体" w:eastAsia="方正仿宋简体"/>
          <w:kern w:val="0"/>
          <w:sz w:val="28"/>
          <w:szCs w:val="28"/>
        </w:rPr>
        <w:t>.</w:t>
      </w:r>
      <w:r>
        <w:rPr>
          <w:rFonts w:hint="eastAsia" w:ascii="仿宋" w:hAnsi="仿宋" w:eastAsia="仿宋"/>
          <w:color w:val="000000"/>
          <w:sz w:val="32"/>
          <w:szCs w:val="32"/>
          <w:lang w:val="en-US" w:eastAsia="zh-CN"/>
        </w:rPr>
        <w:t>一般公共服务：无</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2.教育支出（205）:普通教育（20502）2019年决算数为1537.92万元，其中：学前教育（2050201）29.82万元，小学教育（2050202）1508.10万元。完成预算100%，</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3.科学技术:无</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4.文化体育与传媒:无　　</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5.社会保障和就业（208）:行政事业单位离退休（20805）2019年决算数为157.40万元，其中，机关事业单位基本养老保险缴费（20890505）决算数为157.40万元，完成预算100%。</w:t>
      </w:r>
      <w:r>
        <w:rPr>
          <w:rFonts w:hint="eastAsia" w:ascii="仿宋" w:hAnsi="仿宋" w:eastAsia="仿宋"/>
          <w:color w:val="000000"/>
          <w:sz w:val="32"/>
          <w:szCs w:val="32"/>
          <w:lang w:val="en-US" w:eastAsia="zh-CN"/>
        </w:rPr>
        <w:br w:type="textWrapping"/>
      </w:r>
      <w:r>
        <w:rPr>
          <w:rFonts w:hint="eastAsia" w:ascii="仿宋" w:hAnsi="仿宋" w:eastAsia="仿宋"/>
          <w:color w:val="000000"/>
          <w:sz w:val="32"/>
          <w:szCs w:val="32"/>
          <w:lang w:val="en-US" w:eastAsia="zh-CN"/>
        </w:rPr>
        <w:t>　　6.医疗卫生与计划生育（210）:医疗保障（21011）2019年决算数为51.16万元，其中事业单位医疗（2101102）决算数为51.16万元，完成预算100%。</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7、住房保障（221）：住房改革支出（22102）2019年决算数为94.44万元，其中,住房公积金(2210201) 算数为894.44万元.</w:t>
      </w:r>
    </w:p>
    <w:bookmarkEnd w:id="34"/>
    <w:p>
      <w:pPr>
        <w:tabs>
          <w:tab w:val="right" w:pos="8306"/>
        </w:tabs>
        <w:spacing w:line="600" w:lineRule="exact"/>
        <w:ind w:firstLine="640"/>
        <w:outlineLvl w:val="1"/>
        <w:rPr>
          <w:rStyle w:val="26"/>
        </w:rPr>
      </w:pPr>
      <w:bookmarkStart w:id="35" w:name="_Toc15377214"/>
      <w:bookmarkStart w:id="36"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5"/>
      <w:bookmarkEnd w:id="36"/>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1466.03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1305.10</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488.89</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39.48</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271.79</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157.40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职工基本医疗保险费</w:t>
      </w:r>
      <w:r>
        <w:rPr>
          <w:rFonts w:hint="eastAsia" w:ascii="仿宋" w:hAnsi="仿宋" w:eastAsia="仿宋"/>
          <w:color w:val="000000"/>
          <w:sz w:val="32"/>
          <w:szCs w:val="32"/>
          <w:lang w:val="en-US" w:eastAsia="zh-CN"/>
        </w:rPr>
        <w:t>51.16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住房公积金</w:t>
      </w:r>
      <w:r>
        <w:rPr>
          <w:rFonts w:hint="eastAsia" w:ascii="仿宋" w:hAnsi="仿宋" w:eastAsia="仿宋"/>
          <w:color w:val="000000"/>
          <w:sz w:val="32"/>
          <w:szCs w:val="32"/>
          <w:lang w:val="en-US" w:eastAsia="zh-CN"/>
        </w:rPr>
        <w:t>94.44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，其他工资福利支出</w:t>
      </w:r>
      <w:r>
        <w:rPr>
          <w:rFonts w:hint="eastAsia" w:ascii="仿宋" w:hAnsi="仿宋" w:eastAsia="仿宋"/>
          <w:color w:val="000000"/>
          <w:sz w:val="32"/>
          <w:szCs w:val="32"/>
          <w:lang w:val="en-US" w:eastAsia="zh-CN"/>
        </w:rPr>
        <w:t>181.88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160.93</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74.50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印刷费</w:t>
      </w:r>
      <w:r>
        <w:rPr>
          <w:rFonts w:hint="eastAsia" w:ascii="仿宋" w:hAnsi="仿宋" w:eastAsia="仿宋"/>
          <w:color w:val="000000"/>
          <w:sz w:val="32"/>
          <w:szCs w:val="32"/>
          <w:lang w:val="en-US" w:eastAsia="zh-CN"/>
        </w:rPr>
        <w:t>2.31万元，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4.84</w:t>
      </w:r>
      <w:r>
        <w:rPr>
          <w:rFonts w:hint="eastAsia" w:ascii="仿宋" w:hAnsi="仿宋" w:eastAsia="仿宋"/>
          <w:color w:val="000000"/>
          <w:sz w:val="32"/>
          <w:szCs w:val="32"/>
        </w:rPr>
        <w:t>万元、电费</w:t>
      </w:r>
      <w:r>
        <w:rPr>
          <w:rFonts w:hint="eastAsia" w:ascii="仿宋" w:hAnsi="仿宋" w:eastAsia="仿宋"/>
          <w:color w:val="000000"/>
          <w:sz w:val="32"/>
          <w:szCs w:val="32"/>
          <w:lang w:val="en-US" w:eastAsia="zh-CN"/>
        </w:rPr>
        <w:t>6.03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邮电费</w:t>
      </w:r>
      <w:r>
        <w:rPr>
          <w:rFonts w:hint="eastAsia" w:ascii="仿宋" w:hAnsi="仿宋" w:eastAsia="仿宋"/>
          <w:color w:val="000000"/>
          <w:sz w:val="32"/>
          <w:szCs w:val="32"/>
          <w:lang w:val="en-US" w:eastAsia="zh-CN"/>
        </w:rPr>
        <w:t>0.98万元，物业管理费16.47万元，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12.65</w:t>
      </w:r>
      <w:r>
        <w:rPr>
          <w:rFonts w:hint="eastAsia" w:ascii="仿宋" w:hAnsi="仿宋" w:eastAsia="仿宋"/>
          <w:color w:val="000000"/>
          <w:sz w:val="32"/>
          <w:szCs w:val="32"/>
        </w:rPr>
        <w:t>万元、维修（护）费</w:t>
      </w:r>
      <w:r>
        <w:rPr>
          <w:rFonts w:hint="eastAsia" w:ascii="仿宋" w:hAnsi="仿宋" w:eastAsia="仿宋"/>
          <w:color w:val="000000"/>
          <w:sz w:val="32"/>
          <w:szCs w:val="32"/>
          <w:lang w:val="en-US" w:eastAsia="zh-CN"/>
        </w:rPr>
        <w:t>7.67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租赁费</w:t>
      </w:r>
      <w:r>
        <w:rPr>
          <w:rFonts w:hint="eastAsia" w:ascii="仿宋" w:hAnsi="仿宋" w:eastAsia="仿宋"/>
          <w:color w:val="000000"/>
          <w:sz w:val="32"/>
          <w:szCs w:val="32"/>
          <w:lang w:val="en-US" w:eastAsia="zh-CN"/>
        </w:rPr>
        <w:t>0.30万元，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12.55</w:t>
      </w:r>
      <w:r>
        <w:rPr>
          <w:rFonts w:hint="eastAsia" w:ascii="仿宋" w:hAnsi="仿宋" w:eastAsia="仿宋"/>
          <w:color w:val="000000"/>
          <w:sz w:val="32"/>
          <w:szCs w:val="32"/>
        </w:rPr>
        <w:t>万元、公务接待费</w:t>
      </w:r>
      <w:r>
        <w:rPr>
          <w:rFonts w:hint="eastAsia" w:ascii="仿宋" w:hAnsi="仿宋" w:eastAsia="仿宋"/>
          <w:color w:val="000000"/>
          <w:sz w:val="32"/>
          <w:szCs w:val="32"/>
          <w:lang w:val="en-US" w:eastAsia="zh-CN"/>
        </w:rPr>
        <w:t>0.36</w:t>
      </w:r>
      <w:r>
        <w:rPr>
          <w:rFonts w:hint="eastAsia" w:ascii="仿宋" w:hAnsi="仿宋" w:eastAsia="仿宋"/>
          <w:color w:val="000000"/>
          <w:sz w:val="32"/>
          <w:szCs w:val="32"/>
        </w:rPr>
        <w:t>万元、劳务费</w:t>
      </w:r>
      <w:r>
        <w:rPr>
          <w:rFonts w:hint="eastAsia" w:ascii="仿宋" w:hAnsi="仿宋" w:eastAsia="仿宋"/>
          <w:color w:val="000000"/>
          <w:sz w:val="32"/>
          <w:szCs w:val="32"/>
          <w:lang w:val="en-US" w:eastAsia="zh-CN"/>
        </w:rPr>
        <w:t>3.30</w:t>
      </w:r>
      <w:r>
        <w:rPr>
          <w:rFonts w:hint="eastAsia" w:ascii="仿宋" w:hAnsi="仿宋" w:eastAsia="仿宋"/>
          <w:color w:val="000000"/>
          <w:sz w:val="32"/>
          <w:szCs w:val="32"/>
        </w:rPr>
        <w:t>万元、工会经费</w:t>
      </w:r>
      <w:r>
        <w:rPr>
          <w:rFonts w:hint="eastAsia" w:ascii="仿宋" w:hAnsi="仿宋" w:eastAsia="仿宋"/>
          <w:color w:val="000000"/>
          <w:sz w:val="32"/>
          <w:szCs w:val="32"/>
          <w:lang w:val="en-US" w:eastAsia="zh-CN"/>
        </w:rPr>
        <w:t>4.75</w:t>
      </w:r>
      <w:r>
        <w:rPr>
          <w:rFonts w:hint="eastAsia" w:ascii="仿宋" w:hAnsi="仿宋" w:eastAsia="仿宋"/>
          <w:color w:val="000000"/>
          <w:sz w:val="32"/>
          <w:szCs w:val="32"/>
        </w:rPr>
        <w:t>万元、其他商品和服务支出</w:t>
      </w:r>
      <w:r>
        <w:rPr>
          <w:rFonts w:hint="eastAsia" w:ascii="仿宋" w:hAnsi="仿宋" w:eastAsia="仿宋"/>
          <w:color w:val="000000"/>
          <w:sz w:val="32"/>
          <w:szCs w:val="32"/>
          <w:lang w:val="en-US" w:eastAsia="zh-CN"/>
        </w:rPr>
        <w:t>14.23</w:t>
      </w:r>
      <w:r>
        <w:rPr>
          <w:rFonts w:hint="eastAsia" w:ascii="仿宋" w:hAnsi="仿宋" w:eastAsia="仿宋"/>
          <w:color w:val="000000"/>
          <w:sz w:val="32"/>
          <w:szCs w:val="32"/>
        </w:rPr>
        <w:t>万元。</w:t>
      </w:r>
    </w:p>
    <w:p>
      <w:pPr>
        <w:spacing w:line="600" w:lineRule="exact"/>
        <w:outlineLvl w:val="1"/>
        <w:rPr>
          <w:rStyle w:val="26"/>
          <w:rFonts w:ascii="黑体" w:hAnsi="黑体" w:eastAsia="黑体"/>
          <w:b w:val="0"/>
        </w:rPr>
      </w:pPr>
      <w:bookmarkStart w:id="37" w:name="_Toc15377215"/>
      <w:bookmarkStart w:id="38"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color w:val="000000"/>
          <w:sz w:val="32"/>
          <w:szCs w:val="32"/>
        </w:rPr>
      </w:pPr>
      <w:bookmarkStart w:id="39" w:name="_Toc15377216"/>
      <w:r>
        <w:rPr>
          <w:rFonts w:hint="eastAsia" w:ascii="仿宋" w:hAnsi="仿宋" w:eastAsia="仿宋"/>
          <w:b/>
          <w:color w:val="000000"/>
          <w:sz w:val="32"/>
          <w:szCs w:val="32"/>
        </w:rPr>
        <w:t>（一）“三公”经费财政拨款支出决算总体情况说明</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0.36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Fonts w:hint="eastAsia" w:ascii="仿宋" w:hAnsi="仿宋" w:eastAsia="仿宋"/>
          <w:color w:val="000000"/>
          <w:sz w:val="32"/>
          <w:szCs w:val="32"/>
          <w:lang w:eastAsia="zh-CN"/>
        </w:rPr>
        <w:t>严格控制开支</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40" w:name="_Toc15377217"/>
      <w:r>
        <w:rPr>
          <w:rFonts w:hint="eastAsia" w:ascii="仿宋" w:hAnsi="仿宋" w:eastAsia="仿宋"/>
          <w:b/>
          <w:color w:val="000000"/>
          <w:sz w:val="32"/>
          <w:szCs w:val="32"/>
        </w:rPr>
        <w:t>（二）“三公”经费财政拨款支出决算具体情况说明</w:t>
      </w:r>
      <w:bookmarkEnd w:id="4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方正仿宋简体" w:hAnsi="宋体" w:eastAsia="方正仿宋简体"/>
          <w:kern w:val="0"/>
          <w:sz w:val="28"/>
          <w:szCs w:val="28"/>
        </w:rPr>
        <w:drawing>
          <wp:anchor distT="0" distB="0" distL="114300" distR="114300" simplePos="0" relativeHeight="251741184" behindDoc="0" locked="0" layoutInCell="1" allowOverlap="1">
            <wp:simplePos x="0" y="0"/>
            <wp:positionH relativeFrom="column">
              <wp:posOffset>3248660</wp:posOffset>
            </wp:positionH>
            <wp:positionV relativeFrom="paragraph">
              <wp:posOffset>46355</wp:posOffset>
            </wp:positionV>
            <wp:extent cx="2640965" cy="1647825"/>
            <wp:effectExtent l="0" t="0" r="6985" b="9525"/>
            <wp:wrapSquare wrapText="bothSides"/>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noChangeArrowheads="1"/>
                    </pic:cNvPicPr>
                  </pic:nvPicPr>
                  <pic:blipFill>
                    <a:blip r:embed="rId12"/>
                    <a:srcRect/>
                    <a:stretch>
                      <a:fillRect/>
                    </a:stretch>
                  </pic:blipFill>
                  <pic:spPr>
                    <a:xfrm>
                      <a:off x="0" y="0"/>
                      <a:ext cx="2640965" cy="1647825"/>
                    </a:xfrm>
                    <a:prstGeom prst="rect">
                      <a:avLst/>
                    </a:prstGeom>
                    <a:noFill/>
                  </pic:spPr>
                </pic:pic>
              </a:graphicData>
            </a:graphic>
          </wp:anchor>
        </w:drawing>
      </w:r>
      <w:r>
        <w:rPr>
          <w:rFonts w:hint="eastAsia" w:ascii="仿宋" w:hAnsi="仿宋" w:eastAsia="仿宋"/>
          <w:color w:val="000000"/>
          <w:sz w:val="32"/>
          <w:szCs w:val="32"/>
        </w:rPr>
        <w:t>（图8：“三公”经费财政拨款支出结构）（饼状图）</w:t>
      </w:r>
    </w:p>
    <w:p>
      <w:pPr>
        <w:numPr>
          <w:ilvl w:val="0"/>
          <w:numId w:val="0"/>
        </w:numPr>
        <w:spacing w:line="600" w:lineRule="exact"/>
        <w:rPr>
          <w:rFonts w:hint="eastAsia" w:ascii="仿宋_GB2312" w:eastAsia="仿宋_GB2312"/>
          <w:b/>
          <w:color w:val="000000"/>
          <w:sz w:val="32"/>
          <w:szCs w:val="32"/>
          <w:lang w:eastAsia="zh-CN"/>
        </w:rPr>
      </w:pPr>
    </w:p>
    <w:p>
      <w:pPr>
        <w:numPr>
          <w:ilvl w:val="0"/>
          <w:numId w:val="0"/>
        </w:numPr>
        <w:spacing w:line="600" w:lineRule="exact"/>
        <w:rPr>
          <w:rFonts w:hint="eastAsia" w:ascii="仿宋_GB2312" w:eastAsia="仿宋_GB2312"/>
          <w:b/>
          <w:color w:val="000000"/>
          <w:sz w:val="32"/>
          <w:szCs w:val="32"/>
          <w:lang w:eastAsia="zh-CN"/>
        </w:rPr>
      </w:pPr>
    </w:p>
    <w:p>
      <w:pPr>
        <w:numPr>
          <w:ilvl w:val="0"/>
          <w:numId w:val="0"/>
        </w:numPr>
        <w:spacing w:line="600" w:lineRule="exact"/>
        <w:ind w:firstLine="643" w:firstLineChars="200"/>
        <w:rPr>
          <w:rFonts w:hint="eastAsia" w:ascii="仿宋_GB2312" w:eastAsia="仿宋_GB2312"/>
          <w:b/>
          <w:color w:val="000000"/>
          <w:sz w:val="32"/>
          <w:szCs w:val="32"/>
          <w:lang w:eastAsia="zh-CN"/>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eastAsia="zh-CN"/>
        </w:rPr>
        <w:t>：无</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eastAsia="zh-CN"/>
        </w:rPr>
        <w:t>：无</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0.36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 w:hAnsi="仿宋" w:eastAsia="仿宋"/>
          <w:color w:val="000000"/>
          <w:sz w:val="32"/>
          <w:szCs w:val="32"/>
        </w:rPr>
        <w:t>决算数与预算数持平</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的主要原因是</w:t>
      </w:r>
      <w:r>
        <w:rPr>
          <w:rFonts w:hint="eastAsia" w:ascii="仿宋" w:hAnsi="仿宋" w:eastAsia="仿宋"/>
          <w:color w:val="000000"/>
          <w:sz w:val="32"/>
          <w:szCs w:val="32"/>
          <w:lang w:eastAsia="zh-CN"/>
        </w:rPr>
        <w:t>严格控制开支</w:t>
      </w:r>
      <w:r>
        <w:rPr>
          <w:rFonts w:hint="eastAsia" w:ascii="仿宋" w:hAnsi="仿宋" w:eastAsia="仿宋"/>
          <w:color w:val="000000"/>
          <w:sz w:val="32"/>
          <w:szCs w:val="32"/>
        </w:rPr>
        <w:t>。</w:t>
      </w:r>
    </w:p>
    <w:p>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183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0.36</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三年级县上抽考公务接待</w:t>
      </w:r>
      <w:r>
        <w:rPr>
          <w:rFonts w:hint="eastAsia" w:ascii="仿宋_GB2312" w:eastAsia="仿宋_GB2312"/>
          <w:color w:val="000000"/>
          <w:sz w:val="32"/>
          <w:szCs w:val="32"/>
          <w:lang w:val="en-US" w:eastAsia="zh-CN"/>
        </w:rPr>
        <w:t>900元，六年级毕业检测</w:t>
      </w:r>
      <w:r>
        <w:rPr>
          <w:rFonts w:hint="eastAsia" w:ascii="仿宋_GB2312" w:eastAsia="仿宋_GB2312"/>
          <w:color w:val="000000"/>
          <w:sz w:val="32"/>
          <w:szCs w:val="32"/>
          <w:lang w:eastAsia="zh-CN"/>
        </w:rPr>
        <w:t>公务接待</w:t>
      </w:r>
      <w:r>
        <w:rPr>
          <w:rFonts w:hint="eastAsia" w:ascii="仿宋_GB2312" w:eastAsia="仿宋_GB2312"/>
          <w:color w:val="000000"/>
          <w:sz w:val="32"/>
          <w:szCs w:val="32"/>
          <w:lang w:val="en-US" w:eastAsia="zh-CN"/>
        </w:rPr>
        <w:t>1060元，迎均衡发展检查740元，五四文艺演出公务接待900元。累计3600元。</w:t>
      </w:r>
    </w:p>
    <w:p>
      <w:pPr>
        <w:spacing w:line="600" w:lineRule="exact"/>
        <w:ind w:firstLine="640"/>
        <w:outlineLvl w:val="1"/>
        <w:rPr>
          <w:rStyle w:val="26"/>
          <w:rFonts w:ascii="黑体" w:hAnsi="黑体" w:eastAsia="黑体"/>
        </w:rPr>
      </w:pPr>
      <w:bookmarkStart w:id="41" w:name="_Toc15396610"/>
      <w:bookmarkStart w:id="42"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3" w:name="_Toc15377219"/>
      <w:bookmarkStart w:id="44" w:name="_Toc15396611"/>
      <w:r>
        <w:rPr>
          <w:rStyle w:val="26"/>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效果较好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效果较好</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托管幼儿园幼儿保教费减免经费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pPr>
        <w:numPr>
          <w:ilvl w:val="0"/>
          <w:numId w:val="0"/>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“托管幼儿园幼儿保教费减免经费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29.82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29.82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宣汉县育才小学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宣汉县育才小学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29.82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29.82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29.82</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29.82</w:t>
            </w:r>
            <w:bookmarkStart w:id="71" w:name="_GoBack"/>
            <w:bookmarkEnd w:id="71"/>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29.82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29.82</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宣汉县育才小学</w:t>
      </w:r>
      <w:r>
        <w:rPr>
          <w:rFonts w:hint="eastAsia" w:ascii="仿宋_GB2312" w:hAnsi="仿宋_GB2312" w:eastAsia="仿宋_GB2312" w:cs="仿宋_GB2312"/>
          <w:sz w:val="32"/>
          <w:szCs w:val="32"/>
        </w:rPr>
        <w:t>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托管幼儿园幼儿保教费减免经费</w:t>
      </w:r>
      <w:r>
        <w:rPr>
          <w:rFonts w:hint="eastAsia" w:ascii="仿宋_GB2312" w:hAnsi="仿宋_GB2312" w:eastAsia="仿宋_GB2312" w:cs="仿宋_GB2312"/>
          <w:sz w:val="32"/>
          <w:szCs w:val="32"/>
        </w:rPr>
        <w:t>项目开展了绩效评价，《项目201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45" w:name="_Toc15396612"/>
      <w:bookmarkStart w:id="46"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color w:val="000000"/>
          <w:sz w:val="32"/>
          <w:szCs w:val="32"/>
        </w:rPr>
      </w:pPr>
      <w:bookmarkStart w:id="47" w:name="_Toc15377222"/>
      <w:r>
        <w:rPr>
          <w:rFonts w:hint="eastAsia" w:ascii="仿宋" w:hAnsi="仿宋" w:eastAsia="仿宋"/>
          <w:b/>
          <w:color w:val="000000"/>
          <w:sz w:val="32"/>
          <w:szCs w:val="32"/>
        </w:rPr>
        <w:t>（一）机关运行经费支出情况</w:t>
      </w:r>
      <w:bookmarkEnd w:id="47"/>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宣汉县育才小学</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年决算数持平）。</w:t>
      </w:r>
      <w:r>
        <w:rPr>
          <w:rFonts w:hint="eastAsia" w:ascii="仿宋_GB2312" w:eastAsia="仿宋_GB2312"/>
          <w:color w:val="000000" w:themeColor="text1"/>
          <w:sz w:val="32"/>
          <w:szCs w:val="32"/>
          <w14:textFill>
            <w14:solidFill>
              <w14:schemeClr w14:val="tx1"/>
            </w14:solidFill>
          </w14:textFill>
        </w:rPr>
        <w:t>主要原因</w:t>
      </w:r>
      <w:r>
        <w:rPr>
          <w:rFonts w:hint="eastAsia" w:ascii="仿宋_GB2312" w:eastAsia="仿宋_GB2312"/>
          <w:color w:val="000000" w:themeColor="text1"/>
          <w:sz w:val="32"/>
          <w:szCs w:val="32"/>
          <w:lang w:eastAsia="zh-CN"/>
          <w14:textFill>
            <w14:solidFill>
              <w14:schemeClr w14:val="tx1"/>
            </w14:solidFill>
          </w14:textFill>
        </w:rPr>
        <w:t>：无</w:t>
      </w:r>
    </w:p>
    <w:p>
      <w:pPr>
        <w:spacing w:line="600" w:lineRule="exact"/>
        <w:ind w:firstLine="640"/>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8" w:name="_Toc15377223"/>
      <w:r>
        <w:rPr>
          <w:rFonts w:hint="eastAsia" w:ascii="仿宋" w:hAnsi="仿宋" w:eastAsia="仿宋"/>
          <w:b/>
          <w:color w:val="000000"/>
          <w:sz w:val="32"/>
          <w:szCs w:val="32"/>
        </w:rPr>
        <w:t>（二）政府采购支出情况</w:t>
      </w:r>
      <w:bookmarkEnd w:id="4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宣汉县育才小学</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4"/>
      <w:r>
        <w:rPr>
          <w:rFonts w:hint="eastAsia" w:ascii="仿宋" w:hAnsi="仿宋" w:eastAsia="仿宋"/>
          <w:b/>
          <w:color w:val="000000"/>
          <w:sz w:val="32"/>
          <w:szCs w:val="32"/>
        </w:rPr>
        <w:t>（三）国有资产占有使用情况</w:t>
      </w:r>
      <w:bookmarkEnd w:id="49"/>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宣汉县育才小学</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0" w:name="_Toc15377225"/>
      <w:bookmarkStart w:id="51"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2" w:name="_Toc15377226"/>
      <w:r>
        <w:rPr>
          <w:rFonts w:ascii="宋体"/>
          <w:b/>
          <w:color w:val="000000"/>
          <w:sz w:val="44"/>
          <w:szCs w:val="44"/>
        </w:rPr>
        <w:br w:type="page"/>
      </w:r>
      <w:bookmarkStart w:id="53"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3"/>
    </w:p>
    <w:p>
      <w:pPr>
        <w:spacing w:line="600" w:lineRule="exact"/>
        <w:jc w:val="center"/>
        <w:outlineLvl w:val="0"/>
        <w:rPr>
          <w:rStyle w:val="25"/>
        </w:rPr>
      </w:pPr>
    </w:p>
    <w:p>
      <w:pPr>
        <w:pStyle w:val="3"/>
        <w:rPr>
          <w:rStyle w:val="25"/>
          <w:rFonts w:ascii="仿宋" w:hAnsi="仿宋" w:eastAsia="仿宋"/>
          <w:b w:val="0"/>
          <w:bCs w:val="0"/>
          <w:sz w:val="32"/>
          <w:szCs w:val="32"/>
        </w:rPr>
      </w:pPr>
      <w:bookmarkStart w:id="54" w:name="_Toc15396615"/>
      <w:r>
        <w:rPr>
          <w:rStyle w:val="25"/>
          <w:rFonts w:hint="eastAsia" w:ascii="仿宋" w:hAnsi="仿宋" w:eastAsia="仿宋"/>
          <w:b w:val="0"/>
          <w:bCs w:val="0"/>
          <w:sz w:val="32"/>
          <w:szCs w:val="32"/>
        </w:rPr>
        <w:t>附件1</w:t>
      </w:r>
      <w:bookmarkEnd w:id="54"/>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lang w:eastAsia="zh-CN"/>
        </w:rPr>
        <w:t>宣汉县育才小学</w:t>
      </w: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（一）机构组成</w:t>
      </w:r>
      <w:r>
        <w:rPr>
          <w:rFonts w:hint="eastAsia" w:ascii="仿宋" w:hAnsi="仿宋" w:eastAsia="仿宋" w:cs="仿宋_GB2312"/>
          <w:sz w:val="32"/>
          <w:szCs w:val="32"/>
          <w:lang w:eastAsia="zh-CN"/>
        </w:rPr>
        <w:t>：我校是一所县城完全小学，无下辖机构。</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（二）机构职能。</w:t>
      </w:r>
      <w:r>
        <w:rPr>
          <w:rFonts w:hint="eastAsia" w:ascii="仿宋" w:hAnsi="仿宋" w:eastAsia="仿宋" w:cs="仿宋_GB2312"/>
          <w:sz w:val="32"/>
          <w:szCs w:val="32"/>
          <w:lang w:eastAsia="zh-CN"/>
        </w:rPr>
        <w:t>完成义务教育阶段</w:t>
      </w:r>
      <w:r>
        <w:rPr>
          <w:rFonts w:hint="eastAsia" w:ascii="仿宋" w:hAnsi="仿宋" w:eastAsia="仿宋" w:cs="仿宋_GB2312"/>
          <w:sz w:val="32"/>
          <w:szCs w:val="32"/>
          <w:lang w:val="en-US" w:eastAsia="zh-CN"/>
        </w:rPr>
        <w:t>1-6年级教育教学任务。</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val="en-US" w:eastAsia="zh-CN"/>
        </w:rPr>
        <w:t>2019年末，教师105人，学生2768人.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（一）部门财政资金收入情况</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1840.91万元。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1840.91万元</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部门绩效目标制定</w:t>
      </w:r>
      <w:r>
        <w:rPr>
          <w:rFonts w:hint="eastAsia" w:ascii="仿宋" w:hAnsi="仿宋" w:eastAsia="仿宋" w:cs="仿宋_GB2312"/>
          <w:sz w:val="32"/>
          <w:szCs w:val="32"/>
          <w:lang w:eastAsia="zh-CN"/>
        </w:rPr>
        <w:t>较好</w:t>
      </w:r>
      <w:r>
        <w:rPr>
          <w:rFonts w:ascii="仿宋" w:hAnsi="仿宋" w:eastAsia="仿宋" w:cs="仿宋_GB2312"/>
          <w:sz w:val="32"/>
          <w:szCs w:val="32"/>
        </w:rPr>
        <w:t>、目标完成</w:t>
      </w:r>
      <w:r>
        <w:rPr>
          <w:rFonts w:hint="eastAsia" w:ascii="仿宋" w:hAnsi="仿宋" w:eastAsia="仿宋" w:cs="仿宋_GB2312"/>
          <w:sz w:val="32"/>
          <w:szCs w:val="32"/>
          <w:lang w:eastAsia="zh-CN"/>
        </w:rPr>
        <w:t>较好</w:t>
      </w:r>
      <w:r>
        <w:rPr>
          <w:rFonts w:ascii="仿宋" w:hAnsi="仿宋" w:eastAsia="仿宋" w:cs="仿宋_GB2312"/>
          <w:sz w:val="32"/>
          <w:szCs w:val="32"/>
        </w:rPr>
        <w:t>、预算编制准确、支出控制</w:t>
      </w:r>
      <w:r>
        <w:rPr>
          <w:rFonts w:hint="eastAsia" w:ascii="仿宋" w:hAnsi="仿宋" w:eastAsia="仿宋" w:cs="仿宋_GB2312"/>
          <w:sz w:val="32"/>
          <w:szCs w:val="32"/>
          <w:lang w:eastAsia="zh-CN"/>
        </w:rPr>
        <w:t>较好</w:t>
      </w:r>
      <w:r>
        <w:rPr>
          <w:rFonts w:ascii="仿宋" w:hAnsi="仿宋" w:eastAsia="仿宋" w:cs="仿宋_GB2312"/>
          <w:sz w:val="32"/>
          <w:szCs w:val="32"/>
        </w:rPr>
        <w:t>、预算动态调整</w:t>
      </w:r>
      <w:r>
        <w:rPr>
          <w:rFonts w:hint="eastAsia" w:ascii="仿宋" w:hAnsi="仿宋" w:eastAsia="仿宋" w:cs="仿宋_GB2312"/>
          <w:sz w:val="32"/>
          <w:szCs w:val="32"/>
          <w:lang w:eastAsia="zh-CN"/>
        </w:rPr>
        <w:t>较好</w:t>
      </w:r>
      <w:r>
        <w:rPr>
          <w:rFonts w:ascii="仿宋" w:hAnsi="仿宋" w:eastAsia="仿宋" w:cs="仿宋_GB2312"/>
          <w:sz w:val="32"/>
          <w:szCs w:val="32"/>
        </w:rPr>
        <w:t>、执行进度</w:t>
      </w:r>
      <w:r>
        <w:rPr>
          <w:rFonts w:hint="eastAsia" w:ascii="仿宋" w:hAnsi="仿宋" w:eastAsia="仿宋" w:cs="仿宋_GB2312"/>
          <w:sz w:val="32"/>
          <w:szCs w:val="32"/>
          <w:lang w:eastAsia="zh-CN"/>
        </w:rPr>
        <w:t>较好</w:t>
      </w:r>
      <w:r>
        <w:rPr>
          <w:rFonts w:ascii="仿宋" w:hAnsi="仿宋" w:eastAsia="仿宋" w:cs="仿宋_GB2312"/>
          <w:sz w:val="32"/>
          <w:szCs w:val="32"/>
        </w:rPr>
        <w:t>、预算完成情况</w:t>
      </w:r>
      <w:r>
        <w:rPr>
          <w:rFonts w:hint="eastAsia" w:ascii="仿宋" w:hAnsi="仿宋" w:eastAsia="仿宋" w:cs="仿宋_GB2312"/>
          <w:sz w:val="32"/>
          <w:szCs w:val="32"/>
          <w:lang w:eastAsia="zh-CN"/>
        </w:rPr>
        <w:t>较好、无</w:t>
      </w:r>
      <w:r>
        <w:rPr>
          <w:rFonts w:ascii="仿宋" w:hAnsi="仿宋" w:eastAsia="仿宋" w:cs="仿宋_GB2312"/>
          <w:sz w:val="32"/>
          <w:szCs w:val="32"/>
        </w:rPr>
        <w:t>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专项预算项目程序严密、规划合理、结果符合、分配科学、分配及时、专项预算绩效目标完成、实施绩效、</w:t>
      </w:r>
      <w:r>
        <w:rPr>
          <w:rFonts w:hint="eastAsia" w:ascii="仿宋" w:hAnsi="仿宋" w:eastAsia="仿宋" w:cs="仿宋_GB2312"/>
          <w:sz w:val="32"/>
          <w:szCs w:val="32"/>
          <w:lang w:eastAsia="zh-CN"/>
        </w:rPr>
        <w:t>无</w:t>
      </w:r>
      <w:r>
        <w:rPr>
          <w:rFonts w:ascii="仿宋" w:hAnsi="仿宋" w:eastAsia="仿宋" w:cs="仿宋_GB2312"/>
          <w:sz w:val="32"/>
          <w:szCs w:val="32"/>
        </w:rPr>
        <w:t>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lang w:eastAsia="zh-CN"/>
        </w:rPr>
        <w:t>较好</w:t>
      </w:r>
      <w:r>
        <w:rPr>
          <w:rFonts w:ascii="仿宋" w:hAnsi="仿宋" w:eastAsia="仿宋" w:cs="仿宋_GB2312"/>
          <w:sz w:val="32"/>
          <w:szCs w:val="32"/>
        </w:rPr>
        <w:t>、绩效目标公开和自评公开、评价结果</w:t>
      </w:r>
      <w:r>
        <w:rPr>
          <w:rFonts w:hint="eastAsia" w:ascii="仿宋" w:hAnsi="仿宋" w:eastAsia="仿宋" w:cs="仿宋_GB2312"/>
          <w:sz w:val="32"/>
          <w:szCs w:val="32"/>
          <w:lang w:eastAsia="zh-CN"/>
        </w:rPr>
        <w:t>较好，</w:t>
      </w:r>
      <w:r>
        <w:rPr>
          <w:rFonts w:ascii="仿宋" w:hAnsi="仿宋" w:eastAsia="仿宋" w:cs="仿宋_GB2312"/>
          <w:sz w:val="32"/>
          <w:szCs w:val="32"/>
        </w:rPr>
        <w:t>整改和应用结果反馈</w:t>
      </w:r>
      <w:r>
        <w:rPr>
          <w:rFonts w:hint="eastAsia" w:ascii="仿宋" w:hAnsi="仿宋" w:eastAsia="仿宋" w:cs="仿宋_GB2312"/>
          <w:sz w:val="32"/>
          <w:szCs w:val="32"/>
          <w:lang w:eastAsia="zh-CN"/>
        </w:rPr>
        <w:t>好</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：较好</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（二）存在问题</w:t>
      </w:r>
      <w:r>
        <w:rPr>
          <w:rFonts w:hint="eastAsia" w:ascii="仿宋" w:hAnsi="仿宋" w:eastAsia="仿宋" w:cs="仿宋_GB2312"/>
          <w:sz w:val="32"/>
          <w:szCs w:val="32"/>
          <w:lang w:eastAsia="zh-CN"/>
        </w:rPr>
        <w:t>：无</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（三）改进建议</w:t>
      </w:r>
      <w:r>
        <w:rPr>
          <w:rFonts w:hint="eastAsia" w:ascii="仿宋" w:hAnsi="仿宋" w:eastAsia="仿宋" w:cs="仿宋_GB2312"/>
          <w:sz w:val="32"/>
          <w:szCs w:val="32"/>
          <w:lang w:eastAsia="zh-CN"/>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56" w:name="_Toc15396617"/>
      <w:r>
        <w:rPr>
          <w:rStyle w:val="25"/>
          <w:rFonts w:hint="eastAsia" w:ascii="仿宋" w:hAnsi="仿宋" w:eastAsia="仿宋"/>
          <w:b w:val="0"/>
          <w:bCs w:val="0"/>
          <w:sz w:val="32"/>
          <w:szCs w:val="32"/>
        </w:rPr>
        <w:t>附件2</w:t>
      </w:r>
      <w:bookmarkEnd w:id="56"/>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5"/>
          <w:rFonts w:ascii="黑体" w:hAnsi="黑体" w:eastAsia="黑体"/>
          <w:b w:val="0"/>
        </w:rPr>
      </w:pPr>
      <w:bookmarkStart w:id="57"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2"/>
      <w:bookmarkEnd w:id="57"/>
    </w:p>
    <w:p>
      <w:pPr>
        <w:spacing w:line="600" w:lineRule="exact"/>
        <w:jc w:val="center"/>
        <w:outlineLvl w:val="0"/>
        <w:rPr>
          <w:rFonts w:ascii="仿宋" w:hAnsi="仿宋" w:eastAsia="仿宋"/>
          <w:b/>
          <w:color w:val="000000"/>
          <w:sz w:val="44"/>
          <w:szCs w:val="44"/>
        </w:rPr>
      </w:pPr>
    </w:p>
    <w:p>
      <w:pPr>
        <w:pStyle w:val="3"/>
        <w:numPr>
          <w:ilvl w:val="0"/>
          <w:numId w:val="6"/>
        </w:numPr>
        <w:rPr>
          <w:rStyle w:val="26"/>
          <w:rFonts w:hint="eastAsia" w:ascii="仿宋" w:hAnsi="仿宋" w:eastAsia="仿宋"/>
          <w:b w:val="0"/>
          <w:bCs w:val="0"/>
        </w:rPr>
      </w:pPr>
      <w:bookmarkStart w:id="58" w:name="_Toc15396619"/>
      <w:r>
        <w:rPr>
          <w:rFonts w:hint="eastAsia" w:ascii="仿宋" w:hAnsi="仿宋" w:eastAsia="仿宋"/>
          <w:b w:val="0"/>
          <w:color w:val="000000"/>
        </w:rPr>
        <w:t>收</w:t>
      </w:r>
      <w:r>
        <w:rPr>
          <w:rStyle w:val="26"/>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F2AC36F9"/>
    <w:multiLevelType w:val="singleLevel"/>
    <w:tmpl w:val="F2AC36F9"/>
    <w:lvl w:ilvl="0" w:tentative="0">
      <w:start w:val="1"/>
      <w:numFmt w:val="chineseCounting"/>
      <w:suff w:val="nothing"/>
      <w:lvlText w:val="%1、"/>
      <w:lvlJc w:val="left"/>
      <w:rPr>
        <w:rFonts w:hint="eastAsia"/>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7240563D"/>
    <w:multiLevelType w:val="multilevel"/>
    <w:tmpl w:val="7240563D"/>
    <w:lvl w:ilvl="0" w:tentative="0">
      <w:start w:val="1"/>
      <w:numFmt w:val="decimal"/>
      <w:lvlText w:val="%1、"/>
      <w:lvlJc w:val="left"/>
      <w:pPr>
        <w:ind w:left="2080" w:hanging="720"/>
      </w:pPr>
      <w:rPr>
        <w:rFonts w:hint="default"/>
      </w:rPr>
    </w:lvl>
    <w:lvl w:ilvl="1" w:tentative="0">
      <w:start w:val="1"/>
      <w:numFmt w:val="lowerLetter"/>
      <w:lvlText w:val="%2)"/>
      <w:lvlJc w:val="left"/>
      <w:pPr>
        <w:ind w:left="2200" w:hanging="420"/>
      </w:pPr>
    </w:lvl>
    <w:lvl w:ilvl="2" w:tentative="0">
      <w:start w:val="1"/>
      <w:numFmt w:val="lowerRoman"/>
      <w:lvlText w:val="%3."/>
      <w:lvlJc w:val="right"/>
      <w:pPr>
        <w:ind w:left="2620" w:hanging="420"/>
      </w:pPr>
    </w:lvl>
    <w:lvl w:ilvl="3" w:tentative="0">
      <w:start w:val="1"/>
      <w:numFmt w:val="decimal"/>
      <w:lvlText w:val="%4."/>
      <w:lvlJc w:val="left"/>
      <w:pPr>
        <w:ind w:left="3040" w:hanging="420"/>
      </w:pPr>
    </w:lvl>
    <w:lvl w:ilvl="4" w:tentative="0">
      <w:start w:val="1"/>
      <w:numFmt w:val="lowerLetter"/>
      <w:lvlText w:val="%5)"/>
      <w:lvlJc w:val="left"/>
      <w:pPr>
        <w:ind w:left="3460" w:hanging="420"/>
      </w:pPr>
    </w:lvl>
    <w:lvl w:ilvl="5" w:tentative="0">
      <w:start w:val="1"/>
      <w:numFmt w:val="lowerRoman"/>
      <w:lvlText w:val="%6."/>
      <w:lvlJc w:val="right"/>
      <w:pPr>
        <w:ind w:left="3880" w:hanging="420"/>
      </w:pPr>
    </w:lvl>
    <w:lvl w:ilvl="6" w:tentative="0">
      <w:start w:val="1"/>
      <w:numFmt w:val="decimal"/>
      <w:lvlText w:val="%7."/>
      <w:lvlJc w:val="left"/>
      <w:pPr>
        <w:ind w:left="4300" w:hanging="420"/>
      </w:pPr>
    </w:lvl>
    <w:lvl w:ilvl="7" w:tentative="0">
      <w:start w:val="1"/>
      <w:numFmt w:val="lowerLetter"/>
      <w:lvlText w:val="%8)"/>
      <w:lvlJc w:val="left"/>
      <w:pPr>
        <w:ind w:left="4720" w:hanging="420"/>
      </w:pPr>
    </w:lvl>
    <w:lvl w:ilvl="8" w:tentative="0">
      <w:start w:val="1"/>
      <w:numFmt w:val="lowerRoman"/>
      <w:lvlText w:val="%9."/>
      <w:lvlJc w:val="right"/>
      <w:pPr>
        <w:ind w:left="5140" w:hanging="42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4135"/>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042A48"/>
    <w:rsid w:val="01091FAF"/>
    <w:rsid w:val="01285D7C"/>
    <w:rsid w:val="01912572"/>
    <w:rsid w:val="01C77755"/>
    <w:rsid w:val="028342F6"/>
    <w:rsid w:val="03497417"/>
    <w:rsid w:val="03CD2345"/>
    <w:rsid w:val="04986E65"/>
    <w:rsid w:val="05485D0E"/>
    <w:rsid w:val="057E4F09"/>
    <w:rsid w:val="05A921CF"/>
    <w:rsid w:val="05E07B7C"/>
    <w:rsid w:val="0695511B"/>
    <w:rsid w:val="07340980"/>
    <w:rsid w:val="076C7461"/>
    <w:rsid w:val="07B50803"/>
    <w:rsid w:val="07B80F7C"/>
    <w:rsid w:val="07F56A4F"/>
    <w:rsid w:val="08331131"/>
    <w:rsid w:val="08BE6554"/>
    <w:rsid w:val="08C30033"/>
    <w:rsid w:val="08CD7651"/>
    <w:rsid w:val="09545107"/>
    <w:rsid w:val="09CA1577"/>
    <w:rsid w:val="0A052994"/>
    <w:rsid w:val="0A4324B1"/>
    <w:rsid w:val="0AC547A3"/>
    <w:rsid w:val="0B1A273A"/>
    <w:rsid w:val="0B7601ED"/>
    <w:rsid w:val="0BF22668"/>
    <w:rsid w:val="0C305821"/>
    <w:rsid w:val="0D3A71D4"/>
    <w:rsid w:val="0FEF300C"/>
    <w:rsid w:val="10C055FF"/>
    <w:rsid w:val="11E83BBE"/>
    <w:rsid w:val="11F771D9"/>
    <w:rsid w:val="121D2A5D"/>
    <w:rsid w:val="124B09C4"/>
    <w:rsid w:val="12A76176"/>
    <w:rsid w:val="13214FBE"/>
    <w:rsid w:val="135D7585"/>
    <w:rsid w:val="13724D3A"/>
    <w:rsid w:val="1378123E"/>
    <w:rsid w:val="139132F6"/>
    <w:rsid w:val="13F84602"/>
    <w:rsid w:val="15417ED4"/>
    <w:rsid w:val="163F4A25"/>
    <w:rsid w:val="16774C6C"/>
    <w:rsid w:val="16BB723D"/>
    <w:rsid w:val="16C5783B"/>
    <w:rsid w:val="170B40B5"/>
    <w:rsid w:val="183D5A82"/>
    <w:rsid w:val="194E6293"/>
    <w:rsid w:val="1A8227C9"/>
    <w:rsid w:val="1C2D5F92"/>
    <w:rsid w:val="1C517D92"/>
    <w:rsid w:val="1C6175E4"/>
    <w:rsid w:val="1C824FB8"/>
    <w:rsid w:val="1CC43C3B"/>
    <w:rsid w:val="1D350895"/>
    <w:rsid w:val="1D8C080B"/>
    <w:rsid w:val="1E6C39FE"/>
    <w:rsid w:val="1EB30A9D"/>
    <w:rsid w:val="1EC65CCC"/>
    <w:rsid w:val="1EEA6276"/>
    <w:rsid w:val="1F041B1C"/>
    <w:rsid w:val="203F49CE"/>
    <w:rsid w:val="204E5B16"/>
    <w:rsid w:val="20574F8F"/>
    <w:rsid w:val="208A6452"/>
    <w:rsid w:val="209F37C7"/>
    <w:rsid w:val="21162C3E"/>
    <w:rsid w:val="217C0C73"/>
    <w:rsid w:val="21DB36D0"/>
    <w:rsid w:val="224936C9"/>
    <w:rsid w:val="228F0659"/>
    <w:rsid w:val="23337DD5"/>
    <w:rsid w:val="23EA6AAC"/>
    <w:rsid w:val="240371BF"/>
    <w:rsid w:val="24326E7A"/>
    <w:rsid w:val="248E4EF9"/>
    <w:rsid w:val="24A91D2A"/>
    <w:rsid w:val="25113033"/>
    <w:rsid w:val="252B7FFE"/>
    <w:rsid w:val="256E7F09"/>
    <w:rsid w:val="257177DD"/>
    <w:rsid w:val="25EB3296"/>
    <w:rsid w:val="26350BB2"/>
    <w:rsid w:val="268A6E21"/>
    <w:rsid w:val="268A7E5F"/>
    <w:rsid w:val="26936AD0"/>
    <w:rsid w:val="26A75317"/>
    <w:rsid w:val="26C7667A"/>
    <w:rsid w:val="277A32B9"/>
    <w:rsid w:val="28397822"/>
    <w:rsid w:val="28963DC6"/>
    <w:rsid w:val="28D5551C"/>
    <w:rsid w:val="28D8489D"/>
    <w:rsid w:val="293436A1"/>
    <w:rsid w:val="293A37BB"/>
    <w:rsid w:val="298403B8"/>
    <w:rsid w:val="29EC6471"/>
    <w:rsid w:val="29FD04D3"/>
    <w:rsid w:val="2AA13D5C"/>
    <w:rsid w:val="2AB40C96"/>
    <w:rsid w:val="2AE641C4"/>
    <w:rsid w:val="2B127592"/>
    <w:rsid w:val="2B303D0C"/>
    <w:rsid w:val="2C016980"/>
    <w:rsid w:val="2C1803BA"/>
    <w:rsid w:val="2C3B4A7D"/>
    <w:rsid w:val="2D005543"/>
    <w:rsid w:val="2DC72575"/>
    <w:rsid w:val="2EC20B34"/>
    <w:rsid w:val="2EE61428"/>
    <w:rsid w:val="2F667538"/>
    <w:rsid w:val="2F672939"/>
    <w:rsid w:val="2F7173F4"/>
    <w:rsid w:val="2FEF1808"/>
    <w:rsid w:val="30F55546"/>
    <w:rsid w:val="3132076D"/>
    <w:rsid w:val="31462416"/>
    <w:rsid w:val="31650E11"/>
    <w:rsid w:val="319F7F4E"/>
    <w:rsid w:val="3216737A"/>
    <w:rsid w:val="321B3F9E"/>
    <w:rsid w:val="32744A79"/>
    <w:rsid w:val="32AF66C1"/>
    <w:rsid w:val="33F367DE"/>
    <w:rsid w:val="34C600B7"/>
    <w:rsid w:val="350558DC"/>
    <w:rsid w:val="35197F29"/>
    <w:rsid w:val="359702AF"/>
    <w:rsid w:val="3606770B"/>
    <w:rsid w:val="369C407F"/>
    <w:rsid w:val="36AA2061"/>
    <w:rsid w:val="37103755"/>
    <w:rsid w:val="37CA3175"/>
    <w:rsid w:val="381D59C6"/>
    <w:rsid w:val="385F2D9F"/>
    <w:rsid w:val="3863346F"/>
    <w:rsid w:val="38981A2C"/>
    <w:rsid w:val="38AF4000"/>
    <w:rsid w:val="3A284DED"/>
    <w:rsid w:val="3A4961A2"/>
    <w:rsid w:val="3A753BCF"/>
    <w:rsid w:val="3B160602"/>
    <w:rsid w:val="3B62384E"/>
    <w:rsid w:val="3B7A5DCB"/>
    <w:rsid w:val="3C7D180B"/>
    <w:rsid w:val="3CE61241"/>
    <w:rsid w:val="3D7D7B49"/>
    <w:rsid w:val="3D932636"/>
    <w:rsid w:val="3E033259"/>
    <w:rsid w:val="3E8057E0"/>
    <w:rsid w:val="3F5C3BD4"/>
    <w:rsid w:val="3F6B6D06"/>
    <w:rsid w:val="3F847BC6"/>
    <w:rsid w:val="3F8A6316"/>
    <w:rsid w:val="400F63B6"/>
    <w:rsid w:val="40BC24D7"/>
    <w:rsid w:val="411C0604"/>
    <w:rsid w:val="41A81BF4"/>
    <w:rsid w:val="41CD6368"/>
    <w:rsid w:val="423C6D97"/>
    <w:rsid w:val="42B128CE"/>
    <w:rsid w:val="42D4444D"/>
    <w:rsid w:val="42D6389B"/>
    <w:rsid w:val="43901FF3"/>
    <w:rsid w:val="4485407B"/>
    <w:rsid w:val="45197877"/>
    <w:rsid w:val="454147D7"/>
    <w:rsid w:val="45E77CA6"/>
    <w:rsid w:val="45F058D9"/>
    <w:rsid w:val="463F55CF"/>
    <w:rsid w:val="47A54771"/>
    <w:rsid w:val="47F14A28"/>
    <w:rsid w:val="48080F9A"/>
    <w:rsid w:val="48BF745D"/>
    <w:rsid w:val="48F3371D"/>
    <w:rsid w:val="493230EC"/>
    <w:rsid w:val="495B5E6A"/>
    <w:rsid w:val="49FD362E"/>
    <w:rsid w:val="4A0809C1"/>
    <w:rsid w:val="4A40059B"/>
    <w:rsid w:val="4A7C14F5"/>
    <w:rsid w:val="4B007C79"/>
    <w:rsid w:val="4BBB5258"/>
    <w:rsid w:val="4BC21A96"/>
    <w:rsid w:val="4BC477E8"/>
    <w:rsid w:val="4CF44C00"/>
    <w:rsid w:val="4DA352C1"/>
    <w:rsid w:val="4E3F7726"/>
    <w:rsid w:val="4F1B5AD7"/>
    <w:rsid w:val="4F376DF7"/>
    <w:rsid w:val="4F4063A9"/>
    <w:rsid w:val="4FEE2A09"/>
    <w:rsid w:val="50282467"/>
    <w:rsid w:val="50487254"/>
    <w:rsid w:val="505E433A"/>
    <w:rsid w:val="5087262A"/>
    <w:rsid w:val="50DB7D4A"/>
    <w:rsid w:val="51637AEE"/>
    <w:rsid w:val="528A1716"/>
    <w:rsid w:val="53363F16"/>
    <w:rsid w:val="54390DA4"/>
    <w:rsid w:val="546D54C6"/>
    <w:rsid w:val="54C4172B"/>
    <w:rsid w:val="56AE7BCC"/>
    <w:rsid w:val="56BE0925"/>
    <w:rsid w:val="57374B83"/>
    <w:rsid w:val="573B119C"/>
    <w:rsid w:val="575240A1"/>
    <w:rsid w:val="5821259E"/>
    <w:rsid w:val="585D74CE"/>
    <w:rsid w:val="591B4588"/>
    <w:rsid w:val="594375A2"/>
    <w:rsid w:val="597134D9"/>
    <w:rsid w:val="59950FAA"/>
    <w:rsid w:val="5A3B2110"/>
    <w:rsid w:val="5AB203EB"/>
    <w:rsid w:val="5ACD037B"/>
    <w:rsid w:val="5B0116A5"/>
    <w:rsid w:val="5BBD072B"/>
    <w:rsid w:val="5BE53900"/>
    <w:rsid w:val="5C55381B"/>
    <w:rsid w:val="5C6854A6"/>
    <w:rsid w:val="5CC02D5E"/>
    <w:rsid w:val="5CEA675F"/>
    <w:rsid w:val="5D166438"/>
    <w:rsid w:val="5D413BFF"/>
    <w:rsid w:val="5D8272FC"/>
    <w:rsid w:val="5DE41F6F"/>
    <w:rsid w:val="5DE553BB"/>
    <w:rsid w:val="5E1B72EA"/>
    <w:rsid w:val="5F411F54"/>
    <w:rsid w:val="5F6D3791"/>
    <w:rsid w:val="5F707280"/>
    <w:rsid w:val="5FC04881"/>
    <w:rsid w:val="5FF607D3"/>
    <w:rsid w:val="602020F6"/>
    <w:rsid w:val="607C5168"/>
    <w:rsid w:val="609A3012"/>
    <w:rsid w:val="60A32513"/>
    <w:rsid w:val="62246AB5"/>
    <w:rsid w:val="62696D99"/>
    <w:rsid w:val="6283698A"/>
    <w:rsid w:val="62D25375"/>
    <w:rsid w:val="63A23B00"/>
    <w:rsid w:val="640072CD"/>
    <w:rsid w:val="64556E75"/>
    <w:rsid w:val="64640DCD"/>
    <w:rsid w:val="647D6A9E"/>
    <w:rsid w:val="64D26B63"/>
    <w:rsid w:val="64E50B1A"/>
    <w:rsid w:val="651B0E90"/>
    <w:rsid w:val="65B637C1"/>
    <w:rsid w:val="666C5E09"/>
    <w:rsid w:val="667D3CF7"/>
    <w:rsid w:val="671B69AD"/>
    <w:rsid w:val="675E3569"/>
    <w:rsid w:val="67C257C0"/>
    <w:rsid w:val="67E66480"/>
    <w:rsid w:val="67E964AE"/>
    <w:rsid w:val="69D037B4"/>
    <w:rsid w:val="6A5C7F9D"/>
    <w:rsid w:val="6AAD3C2F"/>
    <w:rsid w:val="6ABC0E11"/>
    <w:rsid w:val="6AD04A13"/>
    <w:rsid w:val="6B2749CC"/>
    <w:rsid w:val="6B885F19"/>
    <w:rsid w:val="6C4934B3"/>
    <w:rsid w:val="6C517164"/>
    <w:rsid w:val="6C6D7E37"/>
    <w:rsid w:val="6CAA1045"/>
    <w:rsid w:val="6CF43606"/>
    <w:rsid w:val="6D407525"/>
    <w:rsid w:val="6D794136"/>
    <w:rsid w:val="6D8C0CC9"/>
    <w:rsid w:val="6DFB610C"/>
    <w:rsid w:val="6EC75B2C"/>
    <w:rsid w:val="6F676C88"/>
    <w:rsid w:val="6FBA281E"/>
    <w:rsid w:val="6FF24D30"/>
    <w:rsid w:val="73156681"/>
    <w:rsid w:val="73681818"/>
    <w:rsid w:val="74521289"/>
    <w:rsid w:val="745F545C"/>
    <w:rsid w:val="74905EDB"/>
    <w:rsid w:val="74E85927"/>
    <w:rsid w:val="74F52008"/>
    <w:rsid w:val="757D4818"/>
    <w:rsid w:val="759B7D3F"/>
    <w:rsid w:val="75E90A36"/>
    <w:rsid w:val="761C7873"/>
    <w:rsid w:val="76467A01"/>
    <w:rsid w:val="76686255"/>
    <w:rsid w:val="771B003E"/>
    <w:rsid w:val="776D2DBC"/>
    <w:rsid w:val="782526EF"/>
    <w:rsid w:val="78344508"/>
    <w:rsid w:val="78B444F7"/>
    <w:rsid w:val="78CC6388"/>
    <w:rsid w:val="79B65382"/>
    <w:rsid w:val="79FF019B"/>
    <w:rsid w:val="7ACC7318"/>
    <w:rsid w:val="7AF82EB9"/>
    <w:rsid w:val="7B3979EE"/>
    <w:rsid w:val="7B566563"/>
    <w:rsid w:val="7C5E569B"/>
    <w:rsid w:val="7C882B44"/>
    <w:rsid w:val="7D7C5A2F"/>
    <w:rsid w:val="7EFB6169"/>
    <w:rsid w:val="7F10746A"/>
    <w:rsid w:val="7FE864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2018年一般公共预算拨款</c:v>
                </c:pt>
                <c:pt idx="1">
                  <c:v>2019年一般公共预算拨款</c:v>
                </c:pt>
              </c:strCache>
            </c:strRef>
          </c:cat>
          <c:val>
            <c:numRef>
              <c:f>Sheet1!$B$2:$B$3</c:f>
              <c:numCache>
                <c:formatCode>General</c:formatCode>
                <c:ptCount val="2"/>
                <c:pt idx="0">
                  <c:v>1443.33</c:v>
                </c:pt>
                <c:pt idx="1">
                  <c:v>1840.91</c:v>
                </c:pt>
              </c:numCache>
            </c:numRef>
          </c:val>
        </c:ser>
        <c:dLbls>
          <c:showLegendKey val="0"/>
          <c:showVal val="0"/>
          <c:showCatName val="0"/>
          <c:showSerName val="0"/>
          <c:showPercent val="0"/>
          <c:showBubbleSize val="0"/>
        </c:dLbls>
        <c:gapWidth val="150"/>
        <c:overlap val="0"/>
        <c:axId val="540895104"/>
        <c:axId val="608572374"/>
      </c:barChart>
      <c:catAx>
        <c:axId val="54089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572374"/>
        <c:crosses val="autoZero"/>
        <c:auto val="1"/>
        <c:lblAlgn val="ctr"/>
        <c:lblOffset val="100"/>
        <c:noMultiLvlLbl val="0"/>
      </c:catAx>
      <c:valAx>
        <c:axId val="6085723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89510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altLang="zh-CN"/>
              <a:t>金额</a:t>
            </a:r>
            <a:endParaRPr altLang="zh-CN"/>
          </a:p>
        </c:rich>
      </c:tx>
      <c:layout>
        <c:manualLayout>
          <c:xMode val="edge"/>
          <c:yMode val="edge"/>
          <c:x val="0.410950149126545"/>
          <c:y val="0.0459081836327345"/>
        </c:manualLayout>
      </c:layout>
      <c:overlay val="1"/>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dLblPos val="ctr"/>
              <c:showLegendKey val="0"/>
              <c:showVal val="1"/>
              <c:showCatName val="1"/>
              <c:showSerName val="0"/>
              <c:showPercent val="0"/>
              <c:showBubbleSize val="0"/>
              <c:extLst>
                <c:ext xmlns:c15="http://schemas.microsoft.com/office/drawing/2012/chart" uri="{CE6537A1-D6FC-4f65-9D91-7224C49458BB}">
                  <c15:layout>
                    <c:manualLayout>
                      <c:w val="0.269492969748615"/>
                      <c:h val="0.232202262142382"/>
                    </c:manualLayout>
                  </c15:layout>
                </c:ext>
              </c:extLst>
            </c:dLbl>
            <c:dLbl>
              <c:idx val="1"/>
              <c:layout>
                <c:manualLayout>
                  <c:x val="0.0327024654552211"/>
                  <c:y val="0.284705095674827"/>
                </c:manualLayout>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0.7964</c:v>
                </c:pt>
                <c:pt idx="1">
                  <c:v>0.2036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2018年一般公共预算拨款</c:v>
                </c:pt>
                <c:pt idx="1">
                  <c:v>2019年一般公共预算拨款</c:v>
                </c:pt>
              </c:strCache>
            </c:strRef>
          </c:cat>
          <c:val>
            <c:numRef>
              <c:f>Sheet1!$B$2:$B$3</c:f>
              <c:numCache>
                <c:formatCode>General</c:formatCode>
                <c:ptCount val="2"/>
                <c:pt idx="0">
                  <c:v>1443.33</c:v>
                </c:pt>
                <c:pt idx="1">
                  <c:v>1840.91</c:v>
                </c:pt>
              </c:numCache>
            </c:numRef>
          </c:val>
        </c:ser>
        <c:dLbls>
          <c:showLegendKey val="0"/>
          <c:showVal val="0"/>
          <c:showCatName val="0"/>
          <c:showSerName val="0"/>
          <c:showPercent val="0"/>
          <c:showBubbleSize val="0"/>
        </c:dLbls>
        <c:gapWidth val="150"/>
        <c:overlap val="0"/>
        <c:axId val="540895104"/>
        <c:axId val="608572374"/>
      </c:barChart>
      <c:catAx>
        <c:axId val="54089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572374"/>
        <c:crosses val="autoZero"/>
        <c:auto val="1"/>
        <c:lblAlgn val="ctr"/>
        <c:lblOffset val="100"/>
        <c:noMultiLvlLbl val="0"/>
      </c:catAx>
      <c:valAx>
        <c:axId val="6085723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89510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2018年一般公共预算拨款</c:v>
                </c:pt>
                <c:pt idx="1">
                  <c:v>2019年一般公共预算拨款</c:v>
                </c:pt>
              </c:strCache>
            </c:strRef>
          </c:cat>
          <c:val>
            <c:numRef>
              <c:f>Sheet1!$B$2:$B$3</c:f>
              <c:numCache>
                <c:formatCode>General</c:formatCode>
                <c:ptCount val="2"/>
                <c:pt idx="0">
                  <c:v>1443.33</c:v>
                </c:pt>
                <c:pt idx="1">
                  <c:v>1840.91</c:v>
                </c:pt>
              </c:numCache>
            </c:numRef>
          </c:val>
        </c:ser>
        <c:dLbls>
          <c:showLegendKey val="0"/>
          <c:showVal val="0"/>
          <c:showCatName val="0"/>
          <c:showSerName val="0"/>
          <c:showPercent val="0"/>
          <c:showBubbleSize val="0"/>
        </c:dLbls>
        <c:gapWidth val="150"/>
        <c:overlap val="0"/>
        <c:axId val="540895104"/>
        <c:axId val="608572374"/>
      </c:barChart>
      <c:catAx>
        <c:axId val="54089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572374"/>
        <c:crosses val="autoZero"/>
        <c:auto val="1"/>
        <c:lblAlgn val="ctr"/>
        <c:lblOffset val="100"/>
        <c:noMultiLvlLbl val="0"/>
      </c:catAx>
      <c:valAx>
        <c:axId val="6085723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89510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30</TotalTime>
  <ScaleCrop>false</ScaleCrop>
  <LinksUpToDate>false</LinksUpToDate>
  <CharactersWithSpaces>9641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光明磊落</cp:lastModifiedBy>
  <cp:lastPrinted>2019-08-01T00:48:00Z</cp:lastPrinted>
  <dcterms:modified xsi:type="dcterms:W3CDTF">2020-11-12T02:15:43Z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