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7425"/>
      <w:bookmarkStart w:id="4" w:name="_Toc15396475"/>
      <w:bookmarkStart w:id="5" w:name="_Toc15378441"/>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default" w:ascii="方正小标宋简体" w:hAnsi="宋体" w:eastAsia="方正小标宋简体"/>
          <w:color w:val="000000"/>
          <w:sz w:val="72"/>
          <w:szCs w:val="72"/>
          <w:lang w:val="en-US" w:eastAsia="zh-CN"/>
        </w:rPr>
      </w:pPr>
      <w:bookmarkStart w:id="6" w:name="_Toc15378442"/>
      <w:bookmarkStart w:id="7" w:name="_Toc15377426"/>
      <w:bookmarkStart w:id="8" w:name="_Toc15396476"/>
      <w:bookmarkStart w:id="9" w:name="_Toc15396598"/>
      <w:bookmarkStart w:id="10" w:name="_Toc15377194"/>
      <w:r>
        <w:rPr>
          <w:rFonts w:hint="eastAsia" w:ascii="方正小标宋简体" w:hAnsi="宋体" w:eastAsia="方正小标宋简体"/>
          <w:color w:val="000000"/>
          <w:sz w:val="52"/>
          <w:szCs w:val="52"/>
        </w:rPr>
        <w:t>四川省</w:t>
      </w:r>
      <w:bookmarkEnd w:id="0"/>
      <w:bookmarkStart w:id="11" w:name="_Toc15306268"/>
      <w:r>
        <w:rPr>
          <w:rFonts w:hint="eastAsia" w:ascii="方正小标宋简体" w:hAnsi="宋体" w:eastAsia="方正小标宋简体"/>
          <w:color w:val="000000"/>
          <w:sz w:val="52"/>
          <w:szCs w:val="52"/>
          <w:lang w:eastAsia="zh-CN"/>
        </w:rPr>
        <w:t>宣汉县</w:t>
      </w:r>
      <w:r>
        <w:rPr>
          <w:rFonts w:hint="eastAsia" w:ascii="方正小标宋简体" w:hAnsi="宋体" w:eastAsia="方正小标宋简体"/>
          <w:color w:val="000000"/>
          <w:sz w:val="52"/>
          <w:szCs w:val="52"/>
          <w:lang w:val="en-US" w:eastAsia="zh-CN"/>
        </w:rPr>
        <w:t>特殊教育学校</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w:t>
      </w:r>
      <w:r>
        <w:rPr>
          <w:rStyle w:val="16"/>
          <w:rFonts w:hint="eastAsia"/>
          <w:lang w:val="en-US" w:eastAsia="zh-CN"/>
        </w:rPr>
        <w:t>19</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（一）主要职能。</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sz w:val="32"/>
          <w:szCs w:val="32"/>
        </w:rPr>
        <w:t>我校负责全县的特殊教育，</w:t>
      </w:r>
      <w:r>
        <w:rPr>
          <w:rFonts w:hint="eastAsia" w:ascii="仿宋" w:hAnsi="仿宋" w:eastAsia="仿宋"/>
          <w:sz w:val="32"/>
          <w:szCs w:val="32"/>
          <w:lang w:eastAsia="zh-CN"/>
        </w:rPr>
        <w:t>目前</w:t>
      </w:r>
      <w:r>
        <w:rPr>
          <w:rFonts w:hint="eastAsia" w:ascii="仿宋" w:hAnsi="仿宋" w:eastAsia="仿宋"/>
          <w:sz w:val="32"/>
          <w:szCs w:val="32"/>
        </w:rPr>
        <w:t>招收</w:t>
      </w:r>
      <w:r>
        <w:rPr>
          <w:rFonts w:hint="eastAsia" w:ascii="仿宋" w:hAnsi="仿宋" w:eastAsia="仿宋"/>
          <w:sz w:val="32"/>
          <w:szCs w:val="32"/>
          <w:lang w:eastAsia="zh-CN"/>
        </w:rPr>
        <w:t>听障</w:t>
      </w:r>
      <w:r>
        <w:rPr>
          <w:rFonts w:hint="eastAsia" w:ascii="仿宋" w:hAnsi="仿宋" w:eastAsia="仿宋"/>
          <w:sz w:val="32"/>
          <w:szCs w:val="32"/>
        </w:rPr>
        <w:t>儿童和智障儿童两个类别的残疾学生；教学形式有学校</w:t>
      </w:r>
      <w:r>
        <w:rPr>
          <w:rFonts w:hint="eastAsia" w:ascii="仿宋" w:hAnsi="仿宋" w:eastAsia="仿宋"/>
          <w:sz w:val="32"/>
          <w:szCs w:val="32"/>
          <w:lang w:eastAsia="zh-CN"/>
        </w:rPr>
        <w:t>聋</w:t>
      </w:r>
      <w:r>
        <w:rPr>
          <w:rFonts w:hint="eastAsia" w:ascii="仿宋" w:hAnsi="仿宋" w:eastAsia="仿宋"/>
          <w:sz w:val="32"/>
          <w:szCs w:val="32"/>
        </w:rPr>
        <w:t>教育、</w:t>
      </w:r>
      <w:r>
        <w:rPr>
          <w:rFonts w:hint="eastAsia" w:ascii="仿宋" w:hAnsi="仿宋" w:eastAsia="仿宋"/>
          <w:sz w:val="32"/>
          <w:szCs w:val="32"/>
          <w:lang w:eastAsia="zh-CN"/>
        </w:rPr>
        <w:t>培智教育、</w:t>
      </w:r>
      <w:r>
        <w:rPr>
          <w:rFonts w:hint="eastAsia" w:ascii="仿宋" w:hAnsi="仿宋" w:eastAsia="仿宋"/>
          <w:sz w:val="32"/>
          <w:szCs w:val="32"/>
        </w:rPr>
        <w:t>指导随班就读、送教上门</w:t>
      </w:r>
      <w:r>
        <w:rPr>
          <w:rFonts w:hint="eastAsia" w:ascii="仿宋" w:hAnsi="仿宋" w:eastAsia="仿宋"/>
          <w:sz w:val="32"/>
          <w:szCs w:val="32"/>
          <w:lang w:eastAsia="zh-CN"/>
        </w:rPr>
        <w:t>等四</w:t>
      </w:r>
      <w:r>
        <w:rPr>
          <w:rFonts w:hint="eastAsia" w:ascii="仿宋" w:hAnsi="仿宋" w:eastAsia="仿宋"/>
          <w:sz w:val="32"/>
          <w:szCs w:val="32"/>
        </w:rPr>
        <w:t>种形式。</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sz w:val="32"/>
          <w:szCs w:val="32"/>
        </w:rPr>
        <w:t>我校严格按照国家和教育部的规定和宣汉县教科局的要求，根据特殊教育的特点开展各项工作，学校办学方向明确，努力将学校办成全市最优秀的特殊教育示范学校。</w:t>
      </w:r>
    </w:p>
    <w:p>
      <w:pPr>
        <w:pStyle w:val="3"/>
        <w:rPr>
          <w:rStyle w:val="26"/>
          <w:b w:val="0"/>
          <w:bCs w:val="0"/>
        </w:rPr>
      </w:pPr>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1</w:t>
      </w:r>
      <w:r>
        <w:rPr>
          <w:rFonts w:ascii="仿宋" w:hAnsi="仿宋" w:eastAsia="仿宋"/>
          <w:sz w:val="24"/>
          <w:szCs w:val="22"/>
        </w:rPr>
        <w:t>.</w:t>
      </w:r>
      <w:r>
        <w:rPr>
          <w:rFonts w:hint="eastAsia" w:ascii="仿宋" w:hAnsi="仿宋" w:eastAsia="仿宋"/>
          <w:sz w:val="32"/>
          <w:szCs w:val="32"/>
        </w:rPr>
        <w:t>机构情况：我校共有</w:t>
      </w:r>
      <w:r>
        <w:rPr>
          <w:rFonts w:ascii="仿宋" w:hAnsi="仿宋" w:eastAsia="仿宋"/>
          <w:sz w:val="32"/>
          <w:szCs w:val="32"/>
        </w:rPr>
        <w:t>12</w:t>
      </w:r>
      <w:r>
        <w:rPr>
          <w:rFonts w:hint="eastAsia" w:ascii="仿宋" w:hAnsi="仿宋" w:eastAsia="仿宋"/>
          <w:sz w:val="32"/>
          <w:szCs w:val="32"/>
        </w:rPr>
        <w:t>个教学班，在校学生</w:t>
      </w:r>
      <w:r>
        <w:rPr>
          <w:rFonts w:ascii="仿宋" w:hAnsi="仿宋" w:eastAsia="仿宋"/>
          <w:sz w:val="32"/>
          <w:szCs w:val="32"/>
        </w:rPr>
        <w:t>1</w:t>
      </w:r>
      <w:r>
        <w:rPr>
          <w:rFonts w:hint="eastAsia" w:ascii="仿宋" w:hAnsi="仿宋" w:eastAsia="仿宋"/>
          <w:sz w:val="32"/>
          <w:szCs w:val="32"/>
          <w:lang w:val="en-US" w:eastAsia="zh-CN"/>
        </w:rPr>
        <w:t>58</w:t>
      </w:r>
      <w:r>
        <w:rPr>
          <w:rFonts w:hint="eastAsia" w:ascii="仿宋" w:hAnsi="仿宋" w:eastAsia="仿宋"/>
          <w:sz w:val="32"/>
          <w:szCs w:val="32"/>
        </w:rPr>
        <w:t>人，学校实行封闭式管理，学校占地面积</w:t>
      </w:r>
      <w:r>
        <w:rPr>
          <w:rFonts w:ascii="仿宋" w:hAnsi="仿宋" w:eastAsia="仿宋"/>
          <w:sz w:val="32"/>
          <w:szCs w:val="32"/>
        </w:rPr>
        <w:t>2572</w:t>
      </w:r>
      <w:r>
        <w:rPr>
          <w:rFonts w:hint="eastAsia" w:ascii="仿宋" w:hAnsi="仿宋" w:eastAsia="仿宋"/>
          <w:sz w:val="32"/>
          <w:szCs w:val="32"/>
        </w:rPr>
        <w:t>平方米，建筑面积</w:t>
      </w:r>
      <w:r>
        <w:rPr>
          <w:rFonts w:ascii="仿宋" w:hAnsi="仿宋" w:eastAsia="仿宋"/>
          <w:sz w:val="32"/>
          <w:szCs w:val="32"/>
        </w:rPr>
        <w:t>3</w:t>
      </w:r>
      <w:r>
        <w:rPr>
          <w:rFonts w:hint="eastAsia" w:ascii="仿宋" w:hAnsi="仿宋" w:eastAsia="仿宋"/>
          <w:sz w:val="32"/>
          <w:szCs w:val="32"/>
          <w:lang w:val="en-US" w:eastAsia="zh-CN"/>
        </w:rPr>
        <w:t>347</w:t>
      </w:r>
      <w:r>
        <w:rPr>
          <w:rFonts w:hint="eastAsia" w:ascii="仿宋" w:hAnsi="仿宋" w:eastAsia="仿宋"/>
          <w:sz w:val="32"/>
          <w:szCs w:val="32"/>
        </w:rPr>
        <w:t>平方米。</w:t>
      </w:r>
    </w:p>
    <w:p>
      <w:pPr>
        <w:snapToGrid w:val="0"/>
        <w:spacing w:line="360" w:lineRule="auto"/>
        <w:ind w:firstLine="640" w:firstLineChars="200"/>
        <w:rPr>
          <w:rFonts w:hint="eastAsia"/>
          <w:color w:val="000000"/>
          <w:sz w:val="32"/>
          <w:szCs w:val="32"/>
        </w:rPr>
      </w:pPr>
      <w:r>
        <w:rPr>
          <w:rFonts w:ascii="仿宋" w:hAnsi="仿宋" w:eastAsia="仿宋"/>
          <w:sz w:val="32"/>
          <w:szCs w:val="32"/>
        </w:rPr>
        <w:t>2</w:t>
      </w:r>
      <w:r>
        <w:rPr>
          <w:rFonts w:hint="eastAsia" w:ascii="仿宋" w:hAnsi="仿宋" w:eastAsia="仿宋"/>
          <w:sz w:val="32"/>
          <w:szCs w:val="32"/>
        </w:rPr>
        <w:t>．人员情况：共有在职教职工</w:t>
      </w:r>
      <w:r>
        <w:rPr>
          <w:rFonts w:ascii="仿宋" w:hAnsi="仿宋" w:eastAsia="仿宋"/>
          <w:sz w:val="32"/>
          <w:szCs w:val="32"/>
        </w:rPr>
        <w:t>1</w:t>
      </w:r>
      <w:r>
        <w:rPr>
          <w:rFonts w:hint="eastAsia" w:ascii="仿宋" w:hAnsi="仿宋" w:eastAsia="仿宋"/>
          <w:sz w:val="32"/>
          <w:szCs w:val="32"/>
          <w:lang w:val="en-US" w:eastAsia="zh-CN"/>
        </w:rPr>
        <w:t>7</w:t>
      </w:r>
      <w:r>
        <w:rPr>
          <w:rFonts w:hint="eastAsia" w:ascii="仿宋" w:hAnsi="仿宋" w:eastAsia="仿宋"/>
          <w:sz w:val="32"/>
          <w:szCs w:val="32"/>
        </w:rPr>
        <w:t>人，其中专业技术人员</w:t>
      </w:r>
      <w:r>
        <w:rPr>
          <w:rFonts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人，工勤人员</w:t>
      </w:r>
      <w:r>
        <w:rPr>
          <w:rFonts w:ascii="仿宋" w:hAnsi="仿宋" w:eastAsia="仿宋"/>
          <w:sz w:val="32"/>
          <w:szCs w:val="32"/>
        </w:rPr>
        <w:t>1</w:t>
      </w:r>
      <w:r>
        <w:rPr>
          <w:rFonts w:hint="eastAsia" w:ascii="仿宋" w:hAnsi="仿宋" w:eastAsia="仿宋"/>
          <w:sz w:val="32"/>
          <w:szCs w:val="32"/>
        </w:rPr>
        <w:t>人。另</w:t>
      </w:r>
      <w:r>
        <w:rPr>
          <w:rFonts w:hint="eastAsia" w:ascii="仿宋" w:hAnsi="仿宋" w:eastAsia="仿宋"/>
          <w:sz w:val="32"/>
          <w:szCs w:val="32"/>
          <w:lang w:eastAsia="zh-CN"/>
        </w:rPr>
        <w:t>有两名借调教师和</w:t>
      </w:r>
      <w:r>
        <w:rPr>
          <w:rFonts w:hint="eastAsia" w:ascii="仿宋" w:hAnsi="仿宋" w:eastAsia="仿宋"/>
          <w:sz w:val="32"/>
          <w:szCs w:val="32"/>
        </w:rPr>
        <w:t>聘请有</w:t>
      </w:r>
      <w:r>
        <w:rPr>
          <w:rFonts w:hint="eastAsia" w:ascii="仿宋" w:hAnsi="仿宋" w:eastAsia="仿宋"/>
          <w:sz w:val="32"/>
          <w:szCs w:val="32"/>
          <w:lang w:val="en-US" w:eastAsia="zh-CN"/>
        </w:rPr>
        <w:t>8</w:t>
      </w:r>
      <w:r>
        <w:rPr>
          <w:rFonts w:hint="eastAsia" w:ascii="仿宋" w:hAnsi="仿宋" w:eastAsia="仿宋"/>
          <w:sz w:val="32"/>
          <w:szCs w:val="32"/>
        </w:rPr>
        <w:t>名代课教师，</w:t>
      </w:r>
      <w:r>
        <w:rPr>
          <w:rFonts w:ascii="仿宋" w:hAnsi="仿宋" w:eastAsia="仿宋"/>
          <w:sz w:val="32"/>
          <w:szCs w:val="32"/>
        </w:rPr>
        <w:t>4</w:t>
      </w:r>
      <w:r>
        <w:rPr>
          <w:rFonts w:hint="eastAsia" w:ascii="仿宋" w:hAnsi="仿宋" w:eastAsia="仿宋"/>
          <w:sz w:val="32"/>
          <w:szCs w:val="32"/>
        </w:rPr>
        <w:t>名工勤人员。</w:t>
      </w:r>
    </w:p>
    <w:p>
      <w:pPr>
        <w:pStyle w:val="5"/>
        <w:adjustRightInd w:val="0"/>
        <w:snapToGrid w:val="0"/>
        <w:spacing w:before="93" w:line="600" w:lineRule="exact"/>
        <w:ind w:firstLine="1120" w:firstLineChars="350"/>
        <w:rPr>
          <w:rFonts w:ascii="仿宋" w:hAnsi="仿宋" w:eastAsia="仿宋"/>
          <w:color w:val="000000"/>
          <w:sz w:val="32"/>
          <w:szCs w:val="32"/>
        </w:rPr>
      </w:pPr>
    </w:p>
    <w:bookmarkEnd w:id="14"/>
    <w:bookmarkEnd w:id="15"/>
    <w:p>
      <w:pPr>
        <w:widowControl/>
        <w:jc w:val="left"/>
        <w:rPr>
          <w:rStyle w:val="25"/>
          <w:rFonts w:hint="eastAsia" w:ascii="黑体" w:hAnsi="黑体" w:eastAsia="黑体"/>
          <w:b w:val="0"/>
          <w:bCs w:val="0"/>
          <w:lang w:val="en-US" w:eastAsia="zh-CN"/>
        </w:rPr>
      </w:pPr>
      <w:bookmarkStart w:id="16" w:name="_Toc15396602"/>
      <w:bookmarkStart w:id="17" w:name="_Toc15377204"/>
    </w:p>
    <w:p>
      <w:pPr>
        <w:widowControl/>
        <w:jc w:val="left"/>
        <w:rPr>
          <w:rStyle w:val="25"/>
          <w:rFonts w:hint="eastAsia" w:ascii="黑体" w:hAnsi="黑体" w:eastAsia="黑体"/>
          <w:b w:val="0"/>
          <w:bCs w:val="0"/>
        </w:rPr>
      </w:pPr>
      <w:r>
        <w:rPr>
          <w:rStyle w:val="25"/>
          <w:rFonts w:hint="eastAsia" w:ascii="黑体" w:hAnsi="黑体" w:eastAsia="黑体"/>
          <w:b w:val="0"/>
          <w:bCs w:val="0"/>
          <w:lang w:val="en-US" w:eastAsia="zh-CN"/>
        </w:rPr>
        <w:t>第二部分 2</w:t>
      </w:r>
      <w:r>
        <w:rPr>
          <w:rStyle w:val="25"/>
          <w:rFonts w:hint="eastAsia" w:ascii="黑体" w:hAnsi="黑体" w:eastAsia="黑体"/>
          <w:b w:val="0"/>
          <w:bCs w:val="0"/>
        </w:rPr>
        <w:t>01</w:t>
      </w:r>
      <w:r>
        <w:rPr>
          <w:rStyle w:val="25"/>
          <w:rFonts w:hint="eastAsia" w:ascii="黑体" w:hAnsi="黑体" w:eastAsia="黑体"/>
          <w:b w:val="0"/>
          <w:bCs w:val="0"/>
          <w:lang w:val="en-US" w:eastAsia="zh-CN"/>
        </w:rPr>
        <w:t>9</w:t>
      </w:r>
      <w:r>
        <w:rPr>
          <w:rStyle w:val="25"/>
          <w:rFonts w:hint="eastAsia" w:ascii="黑体" w:hAnsi="黑体" w:eastAsia="黑体"/>
          <w:b w:val="0"/>
          <w:bCs w:val="0"/>
        </w:rPr>
        <w:t>年度部门决算情况说明</w:t>
      </w:r>
      <w:bookmarkEnd w:id="16"/>
      <w:bookmarkEnd w:id="17"/>
    </w:p>
    <w:p>
      <w:pPr>
        <w:widowControl/>
        <w:jc w:val="left"/>
        <w:rPr>
          <w:rStyle w:val="25"/>
          <w:rFonts w:hint="eastAsia" w:ascii="黑体" w:hAnsi="黑体" w:eastAsia="黑体"/>
          <w:b w:val="0"/>
          <w:bCs w:val="0"/>
        </w:rPr>
      </w:pPr>
    </w:p>
    <w:p>
      <w:pPr>
        <w:widowControl/>
        <w:ind w:firstLine="960" w:firstLineChars="300"/>
        <w:jc w:val="left"/>
        <w:rPr>
          <w:rFonts w:hint="eastAsia" w:ascii="黑体" w:hAnsi="黑体" w:eastAsia="黑体" w:cstheme="majorBidi"/>
          <w:b w:val="0"/>
          <w:bCs/>
          <w:color w:val="000000"/>
          <w:kern w:val="2"/>
          <w:sz w:val="32"/>
          <w:szCs w:val="32"/>
          <w:lang w:val="en-US" w:eastAsia="zh-CN" w:bidi="ar-SA"/>
        </w:rPr>
      </w:pPr>
      <w:bookmarkStart w:id="18" w:name="_Toc15396603"/>
      <w:bookmarkStart w:id="19" w:name="_Toc15377205"/>
      <w:r>
        <w:rPr>
          <w:rFonts w:hint="eastAsia" w:ascii="黑体" w:hAnsi="黑体" w:eastAsia="黑体" w:cstheme="majorBidi"/>
          <w:b w:val="0"/>
          <w:bCs/>
          <w:color w:val="000000"/>
          <w:kern w:val="2"/>
          <w:sz w:val="32"/>
          <w:szCs w:val="32"/>
          <w:lang w:val="en-US" w:eastAsia="zh-CN" w:bidi="ar-SA"/>
        </w:rPr>
        <w:t>一、收入支出决算总体情况说明</w:t>
      </w:r>
      <w:bookmarkEnd w:id="18"/>
      <w:bookmarkEnd w:id="19"/>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方正仿宋简体" w:eastAsia="方正仿宋简体"/>
          <w:color w:val="000000"/>
          <w:sz w:val="32"/>
          <w:szCs w:val="32"/>
        </w:rPr>
        <w:drawing>
          <wp:anchor distT="0" distB="0" distL="114300" distR="114300" simplePos="0" relativeHeight="251709440" behindDoc="0" locked="0" layoutInCell="1" allowOverlap="1">
            <wp:simplePos x="0" y="0"/>
            <wp:positionH relativeFrom="column">
              <wp:posOffset>2682240</wp:posOffset>
            </wp:positionH>
            <wp:positionV relativeFrom="paragraph">
              <wp:posOffset>1315720</wp:posOffset>
            </wp:positionV>
            <wp:extent cx="2557145" cy="1917700"/>
            <wp:effectExtent l="4445" t="4445" r="10160" b="20955"/>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373.35</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val="en-US" w:eastAsia="zh-CN"/>
        </w:rPr>
        <w:t>增加34.93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10.32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工资福利支出增加。</w:t>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jc w:val="left"/>
        <w:rPr>
          <w:rFonts w:ascii="仿宋_GB2312" w:eastAsia="仿宋_GB2312"/>
          <w:color w:val="000000"/>
          <w:sz w:val="32"/>
          <w:szCs w:val="32"/>
        </w:rPr>
      </w:pPr>
    </w:p>
    <w:p>
      <w:pPr>
        <w:pStyle w:val="24"/>
        <w:numPr>
          <w:ilvl w:val="0"/>
          <w:numId w:val="0"/>
        </w:numPr>
        <w:spacing w:line="600" w:lineRule="exact"/>
        <w:ind w:left="640" w:leftChars="0"/>
        <w:outlineLvl w:val="1"/>
        <w:rPr>
          <w:rStyle w:val="26"/>
          <w:rFonts w:ascii="黑体" w:hAnsi="黑体" w:eastAsia="黑体"/>
          <w:b w:val="0"/>
        </w:rPr>
      </w:pPr>
      <w:bookmarkStart w:id="20" w:name="_Toc15396604"/>
      <w:bookmarkStart w:id="21"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6"/>
          <w:rFonts w:hint="eastAsia" w:ascii="黑体" w:hAnsi="黑体" w:eastAsia="黑体"/>
          <w:b w:val="0"/>
        </w:rPr>
        <w:t>入决算情况说明</w:t>
      </w:r>
      <w:bookmarkEnd w:id="20"/>
      <w:bookmarkEnd w:id="21"/>
    </w:p>
    <w:p>
      <w:pPr>
        <w:spacing w:line="600" w:lineRule="exact"/>
        <w:ind w:firstLine="560" w:firstLineChars="200"/>
        <w:outlineLvl w:val="1"/>
        <w:rPr>
          <w:rFonts w:ascii="仿宋" w:hAnsi="仿宋" w:eastAsia="仿宋"/>
          <w:color w:val="000000"/>
          <w:sz w:val="32"/>
          <w:szCs w:val="32"/>
        </w:rPr>
      </w:pPr>
      <w:r>
        <w:rPr>
          <w:rFonts w:hint="eastAsia" w:ascii="方正仿宋简体" w:eastAsia="方正仿宋简体"/>
          <w:b/>
          <w:color w:val="000000"/>
          <w:sz w:val="28"/>
          <w:szCs w:val="28"/>
        </w:rPr>
        <w:drawing>
          <wp:anchor distT="0" distB="0" distL="114300" distR="114300" simplePos="0" relativeHeight="251658240" behindDoc="0" locked="0" layoutInCell="1" allowOverlap="1">
            <wp:simplePos x="0" y="0"/>
            <wp:positionH relativeFrom="column">
              <wp:posOffset>2663825</wp:posOffset>
            </wp:positionH>
            <wp:positionV relativeFrom="paragraph">
              <wp:posOffset>2105025</wp:posOffset>
            </wp:positionV>
            <wp:extent cx="2454910" cy="1533525"/>
            <wp:effectExtent l="0" t="0" r="2540" b="9525"/>
            <wp:wrapSquare wrapText="bothSides"/>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noChangeArrowheads="1"/>
                    </pic:cNvPicPr>
                  </pic:nvPicPr>
                  <pic:blipFill>
                    <a:blip r:embed="rId7"/>
                    <a:srcRect/>
                    <a:stretch>
                      <a:fillRect/>
                    </a:stretch>
                  </pic:blipFill>
                  <pic:spPr>
                    <a:xfrm>
                      <a:off x="0" y="0"/>
                      <a:ext cx="2454910" cy="1533525"/>
                    </a:xfrm>
                    <a:prstGeom prst="rect">
                      <a:avLst/>
                    </a:prstGeom>
                    <a:noFill/>
                  </pic:spPr>
                </pic:pic>
              </a:graphicData>
            </a:graphic>
          </wp:anchor>
        </w:drawing>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373.35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373.35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4"/>
        <w:numPr>
          <w:ilvl w:val="0"/>
          <w:numId w:val="0"/>
        </w:numPr>
        <w:spacing w:line="600" w:lineRule="exact"/>
        <w:ind w:left="640" w:leftChars="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收入</w:t>
      </w:r>
      <w:r>
        <w:rPr>
          <w:rFonts w:hint="eastAsia" w:ascii="仿宋" w:hAnsi="仿宋" w:eastAsia="仿宋"/>
          <w:color w:val="000000" w:themeColor="text1"/>
          <w:sz w:val="32"/>
          <w:szCs w:val="32"/>
          <w14:textFill>
            <w14:solidFill>
              <w14:schemeClr w14:val="tx1"/>
            </w14:solidFill>
          </w14:textFill>
        </w:rPr>
        <w:t>决算结构图）（饼状图</w:t>
      </w:r>
    </w:p>
    <w:p>
      <w:pPr>
        <w:pStyle w:val="24"/>
        <w:numPr>
          <w:ilvl w:val="0"/>
          <w:numId w:val="0"/>
        </w:numPr>
        <w:spacing w:line="600" w:lineRule="exact"/>
        <w:ind w:left="640" w:leftChars="0"/>
        <w:rPr>
          <w:rFonts w:hint="eastAsia" w:ascii="仿宋" w:hAnsi="仿宋" w:eastAsia="仿宋"/>
          <w:color w:val="000000" w:themeColor="text1"/>
          <w:sz w:val="32"/>
          <w:szCs w:val="32"/>
          <w14:textFill>
            <w14:solidFill>
              <w14:schemeClr w14:val="tx1"/>
            </w14:solidFill>
          </w14:textFill>
        </w:rPr>
      </w:pPr>
    </w:p>
    <w:p>
      <w:pPr>
        <w:pStyle w:val="24"/>
        <w:numPr>
          <w:ilvl w:val="0"/>
          <w:numId w:val="0"/>
        </w:numPr>
        <w:spacing w:line="600" w:lineRule="exact"/>
        <w:ind w:left="640" w:leftChars="0"/>
        <w:rPr>
          <w:rFonts w:hint="eastAsia" w:ascii="方正仿宋简体" w:eastAsia="方正仿宋简体"/>
          <w:b w:val="0"/>
          <w:bCs/>
          <w:color w:val="000000"/>
          <w:sz w:val="28"/>
          <w:szCs w:val="28"/>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pStyle w:val="24"/>
        <w:numPr>
          <w:ilvl w:val="0"/>
          <w:numId w:val="0"/>
        </w:numPr>
        <w:spacing w:line="600" w:lineRule="exact"/>
        <w:ind w:firstLine="640" w:firstLineChars="200"/>
        <w:outlineLvl w:val="1"/>
        <w:rPr>
          <w:rStyle w:val="26"/>
          <w:rFonts w:ascii="黑体" w:hAnsi="黑体" w:eastAsia="黑体"/>
          <w:b w:val="0"/>
        </w:rPr>
      </w:pPr>
      <w:bookmarkStart w:id="22" w:name="_Toc15396605"/>
      <w:bookmarkStart w:id="23" w:name="_Toc15377207"/>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6"/>
          <w:rFonts w:hint="eastAsia" w:ascii="黑体" w:hAnsi="黑体" w:eastAsia="黑体"/>
          <w:b w:val="0"/>
        </w:rPr>
        <w:t>出决算情况说明</w:t>
      </w:r>
      <w:bookmarkEnd w:id="22"/>
      <w:bookmarkEnd w:id="23"/>
    </w:p>
    <w:p>
      <w:pPr>
        <w:spacing w:line="600" w:lineRule="exact"/>
        <w:ind w:firstLine="640"/>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373.35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342.41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91.71</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30.94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8.29</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outlineLvl w:val="1"/>
        <w:rPr>
          <w:rStyle w:val="26"/>
          <w:rFonts w:ascii="黑体" w:hAnsi="黑体" w:eastAsia="黑体"/>
          <w:b w:val="0"/>
        </w:rPr>
      </w:pPr>
      <w:bookmarkStart w:id="24" w:name="_Toc15396606"/>
      <w:bookmarkStart w:id="25" w:name="_Toc15377208"/>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373.35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年相比，财政拨款收、支总计各</w:t>
      </w:r>
      <w:r>
        <w:rPr>
          <w:rFonts w:hint="eastAsia" w:ascii="仿宋" w:hAnsi="仿宋" w:eastAsia="仿宋"/>
          <w:color w:val="000000"/>
          <w:sz w:val="32"/>
          <w:szCs w:val="32"/>
          <w:lang w:val="en-US" w:eastAsia="zh-CN"/>
        </w:rPr>
        <w:t>增加34.93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10.32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工资福利支出增加。</w:t>
      </w:r>
    </w:p>
    <w:p>
      <w:pPr>
        <w:spacing w:line="600" w:lineRule="exact"/>
        <w:ind w:firstLine="640" w:firstLineChars="200"/>
        <w:outlineLvl w:val="1"/>
        <w:rPr>
          <w:rStyle w:val="26"/>
          <w:rFonts w:ascii="黑体" w:hAnsi="黑体" w:eastAsia="黑体"/>
          <w:b w:val="0"/>
        </w:rPr>
      </w:pPr>
      <w:bookmarkStart w:id="26" w:name="_Toc15377209"/>
      <w:bookmarkStart w:id="2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color w:val="000000"/>
          <w:sz w:val="32"/>
          <w:szCs w:val="32"/>
        </w:rPr>
      </w:pPr>
      <w:bookmarkStart w:id="28" w:name="_Toc15377210"/>
      <w:r>
        <w:rPr>
          <w:rFonts w:hint="eastAsia" w:ascii="仿宋" w:hAnsi="仿宋" w:eastAsia="仿宋"/>
          <w:b/>
          <w:color w:val="000000"/>
          <w:sz w:val="32"/>
          <w:szCs w:val="32"/>
        </w:rPr>
        <w:t>（一）一般公共预算财政拨款支出决算总体情况</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373.35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年相比，一般公共预算财政拨款收、支总计各</w:t>
      </w:r>
      <w:r>
        <w:rPr>
          <w:rFonts w:hint="eastAsia" w:ascii="仿宋" w:hAnsi="仿宋" w:eastAsia="仿宋"/>
          <w:color w:val="000000"/>
          <w:sz w:val="32"/>
          <w:szCs w:val="32"/>
          <w:lang w:val="en-US" w:eastAsia="zh-CN"/>
        </w:rPr>
        <w:t>增加34.93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10.32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工资福利支出增加。</w:t>
      </w:r>
    </w:p>
    <w:p>
      <w:pPr>
        <w:spacing w:line="600" w:lineRule="exact"/>
        <w:ind w:firstLine="640" w:firstLineChars="200"/>
        <w:rPr>
          <w:rFonts w:hint="eastAsia" w:ascii="仿宋" w:hAnsi="仿宋" w:eastAsia="仿宋"/>
          <w:b/>
          <w:color w:val="000000"/>
          <w:sz w:val="32"/>
          <w:szCs w:val="32"/>
        </w:rPr>
      </w:pPr>
      <w:r>
        <w:rPr>
          <w:rFonts w:hint="eastAsia" w:ascii="方正仿宋简体" w:eastAsia="方正仿宋简体"/>
          <w:color w:val="000000"/>
          <w:sz w:val="32"/>
          <w:szCs w:val="32"/>
        </w:rPr>
        <w:t>（</w:t>
      </w:r>
      <w:r>
        <w:rPr>
          <w:rFonts w:hint="eastAsia" w:ascii="仿宋" w:hAnsi="仿宋" w:eastAsia="仿宋"/>
          <w:b/>
          <w:color w:val="000000"/>
          <w:sz w:val="32"/>
          <w:szCs w:val="32"/>
        </w:rPr>
        <w:t>二）一般公共预算财政拨款支出决算结构情况</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我校2019年一般公共预算财政拨款支出373.35万元，主要用于以下方面:</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1、一般公共服务支出（无），</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2、教育支出319.54万元，占85.59%；</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3、社会保障和就业支出27.95万元，</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占7.49%；</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4、医疗卫生支出9.08万元，占24.32%；</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5、住房保障支出16.77万元，占4.49%；</w:t>
      </w:r>
    </w:p>
    <w:p>
      <w:pPr>
        <w:spacing w:line="600" w:lineRule="exact"/>
        <w:ind w:firstLine="640" w:firstLineChars="200"/>
        <w:rPr>
          <w:rFonts w:hint="eastAsia" w:ascii="仿宋" w:hAnsi="仿宋" w:eastAsia="仿宋"/>
          <w:b/>
          <w:color w:val="000000"/>
          <w:sz w:val="32"/>
          <w:szCs w:val="32"/>
        </w:rPr>
      </w:pPr>
      <w:r>
        <w:rPr>
          <w:rFonts w:hint="eastAsia" w:ascii="方正仿宋简体" w:eastAsia="方正仿宋简体"/>
          <w:color w:val="000000"/>
          <w:sz w:val="32"/>
          <w:szCs w:val="32"/>
        </w:rPr>
        <w:t>（</w:t>
      </w:r>
      <w:r>
        <w:rPr>
          <w:rFonts w:hint="eastAsia" w:ascii="仿宋" w:hAnsi="仿宋" w:eastAsia="仿宋"/>
          <w:b/>
          <w:color w:val="000000"/>
          <w:sz w:val="32"/>
          <w:szCs w:val="32"/>
        </w:rPr>
        <w:t>三）一般公共预算财政拨款支出决算具体情况</w:t>
      </w:r>
    </w:p>
    <w:p>
      <w:pPr>
        <w:spacing w:line="600" w:lineRule="exact"/>
        <w:ind w:firstLine="640" w:firstLineChars="200"/>
        <w:rPr>
          <w:rFonts w:hint="eastAsia" w:ascii="仿宋" w:hAnsi="仿宋" w:eastAsia="仿宋"/>
          <w:color w:val="000000"/>
          <w:sz w:val="32"/>
          <w:szCs w:val="32"/>
          <w:lang w:val="en-US" w:eastAsia="zh-CN"/>
        </w:rPr>
      </w:pPr>
      <w:r>
        <w:rPr>
          <w:rStyle w:val="15"/>
          <w:rFonts w:hint="eastAsia" w:ascii="方正仿宋简体" w:eastAsia="方正仿宋简体"/>
          <w:b w:val="0"/>
          <w:bCs/>
          <w:color w:val="000000"/>
          <w:sz w:val="32"/>
          <w:szCs w:val="32"/>
        </w:rPr>
        <w:t>1</w:t>
      </w:r>
      <w:r>
        <w:rPr>
          <w:rFonts w:hint="eastAsia" w:ascii="方正仿宋简体" w:hAnsi="宋体" w:eastAsia="方正仿宋简体"/>
          <w:kern w:val="0"/>
          <w:sz w:val="28"/>
          <w:szCs w:val="28"/>
        </w:rPr>
        <w:t>.</w:t>
      </w:r>
      <w:r>
        <w:rPr>
          <w:rFonts w:hint="eastAsia" w:ascii="仿宋" w:hAnsi="仿宋" w:eastAsia="仿宋"/>
          <w:color w:val="000000"/>
          <w:sz w:val="32"/>
          <w:szCs w:val="32"/>
          <w:lang w:val="en-US" w:eastAsia="zh-CN"/>
        </w:rPr>
        <w:t>一般公共服务：无</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2.教育支出（205）:特殊教育（2050701）2019年决算数为373.35元。完成预算100%。</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3.科学技术:无</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4.文化体育与传媒:无　　</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5.社会保障和就业（208）:行政事业单位离退休（20805）2019年决算数为27.95万元，其中，机关事业单位基本养老保险缴费（20890505）决算数为27.95万元，完成预算100%。</w:t>
      </w:r>
      <w:r>
        <w:rPr>
          <w:rFonts w:hint="eastAsia" w:ascii="仿宋" w:hAnsi="仿宋" w:eastAsia="仿宋"/>
          <w:color w:val="000000"/>
          <w:sz w:val="32"/>
          <w:szCs w:val="32"/>
          <w:lang w:val="en-US" w:eastAsia="zh-CN"/>
        </w:rPr>
        <w:br w:type="textWrapping"/>
      </w:r>
      <w:r>
        <w:rPr>
          <w:rFonts w:hint="eastAsia" w:ascii="仿宋" w:hAnsi="仿宋" w:eastAsia="仿宋"/>
          <w:color w:val="000000"/>
          <w:sz w:val="32"/>
          <w:szCs w:val="32"/>
          <w:lang w:val="en-US" w:eastAsia="zh-CN"/>
        </w:rPr>
        <w:t>　　6.医疗卫生与计划生育（210）:医疗保障（21011）2019年决算数为9.08万元，其中事业单位医疗（2101102）决算数为9.08万元，完成预算100%。</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7、住房保障（221）：住房改革支出（22102）2019年决算数为16.77万元，其中,住房公积金(2210201) 算数为16.77万元.</w:t>
      </w:r>
    </w:p>
    <w:bookmarkEnd w:id="28"/>
    <w:p>
      <w:pPr>
        <w:tabs>
          <w:tab w:val="right" w:pos="8306"/>
        </w:tabs>
        <w:spacing w:line="600" w:lineRule="exact"/>
        <w:ind w:firstLine="640"/>
        <w:outlineLvl w:val="1"/>
        <w:rPr>
          <w:rStyle w:val="26"/>
        </w:rPr>
      </w:pPr>
      <w:bookmarkStart w:id="29" w:name="_Toc15396608"/>
      <w:bookmarkStart w:id="30"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29"/>
      <w:bookmarkEnd w:id="30"/>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342.41</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230.86</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78.89</w:t>
      </w:r>
      <w:r>
        <w:rPr>
          <w:rFonts w:hint="eastAsia" w:ascii="仿宋" w:hAnsi="仿宋" w:eastAsia="仿宋"/>
          <w:color w:val="000000"/>
          <w:sz w:val="32"/>
          <w:szCs w:val="32"/>
        </w:rPr>
        <w:t>万元、津贴补贴</w:t>
      </w:r>
      <w:r>
        <w:rPr>
          <w:rFonts w:hint="eastAsia" w:ascii="仿宋" w:hAnsi="仿宋" w:eastAsia="仿宋"/>
          <w:color w:val="000000"/>
          <w:sz w:val="32"/>
          <w:szCs w:val="32"/>
          <w:lang w:val="en-US" w:eastAsia="zh-CN"/>
        </w:rPr>
        <w:t>18.29</w:t>
      </w:r>
      <w:r>
        <w:rPr>
          <w:rFonts w:hint="eastAsia" w:ascii="仿宋" w:hAnsi="仿宋" w:eastAsia="仿宋"/>
          <w:color w:val="000000"/>
          <w:sz w:val="32"/>
          <w:szCs w:val="32"/>
        </w:rPr>
        <w:t>万元、绩效工资</w:t>
      </w:r>
      <w:r>
        <w:rPr>
          <w:rFonts w:hint="eastAsia" w:ascii="仿宋" w:hAnsi="仿宋" w:eastAsia="仿宋"/>
          <w:color w:val="000000"/>
          <w:sz w:val="32"/>
          <w:szCs w:val="32"/>
          <w:lang w:val="en-US" w:eastAsia="zh-CN"/>
        </w:rPr>
        <w:t>46.72</w:t>
      </w:r>
      <w:r>
        <w:rPr>
          <w:rFonts w:hint="eastAsia" w:ascii="仿宋" w:hAnsi="仿宋" w:eastAsia="仿宋"/>
          <w:color w:val="000000"/>
          <w:sz w:val="32"/>
          <w:szCs w:val="32"/>
        </w:rPr>
        <w:t>万元、机关事业单位基本养老保险缴费</w:t>
      </w:r>
      <w:r>
        <w:rPr>
          <w:rFonts w:hint="eastAsia" w:ascii="仿宋" w:hAnsi="仿宋" w:eastAsia="仿宋"/>
          <w:color w:val="000000"/>
          <w:sz w:val="32"/>
          <w:szCs w:val="32"/>
          <w:lang w:val="en-US" w:eastAsia="zh-CN"/>
        </w:rPr>
        <w:t>27.95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职工基本医疗保险费</w:t>
      </w:r>
      <w:r>
        <w:rPr>
          <w:rFonts w:hint="eastAsia" w:ascii="仿宋" w:hAnsi="仿宋" w:eastAsia="仿宋"/>
          <w:color w:val="000000"/>
          <w:sz w:val="32"/>
          <w:szCs w:val="32"/>
          <w:lang w:val="en-US" w:eastAsia="zh-CN"/>
        </w:rPr>
        <w:t>9.08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住房公积金</w:t>
      </w:r>
      <w:r>
        <w:rPr>
          <w:rFonts w:hint="eastAsia" w:ascii="仿宋" w:hAnsi="仿宋" w:eastAsia="仿宋"/>
          <w:color w:val="000000"/>
          <w:sz w:val="32"/>
          <w:szCs w:val="32"/>
          <w:lang w:val="en-US" w:eastAsia="zh-CN"/>
        </w:rPr>
        <w:t>16.77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，其他工资福利支出</w:t>
      </w:r>
      <w:r>
        <w:rPr>
          <w:rFonts w:hint="eastAsia" w:ascii="仿宋" w:hAnsi="仿宋" w:eastAsia="仿宋"/>
          <w:color w:val="000000"/>
          <w:sz w:val="32"/>
          <w:szCs w:val="32"/>
          <w:lang w:val="en-US" w:eastAsia="zh-CN"/>
        </w:rPr>
        <w:t>29.72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lang w:val="en-US" w:eastAsia="zh-CN"/>
        </w:rPr>
        <w:t>项目支出27.31万元：学生生活补助6.16万元，助学金21.15万元。（未包括办公费项目3.63万元）</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115.18</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23.52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其中项目支出3.63万元）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印刷费</w:t>
      </w:r>
      <w:r>
        <w:rPr>
          <w:rFonts w:hint="eastAsia" w:ascii="仿宋" w:hAnsi="仿宋" w:eastAsia="仿宋"/>
          <w:color w:val="000000"/>
          <w:sz w:val="32"/>
          <w:szCs w:val="32"/>
          <w:lang w:val="en-US" w:eastAsia="zh-CN"/>
        </w:rPr>
        <w:t>1.05万元，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2.84</w:t>
      </w:r>
      <w:r>
        <w:rPr>
          <w:rFonts w:hint="eastAsia" w:ascii="仿宋" w:hAnsi="仿宋" w:eastAsia="仿宋"/>
          <w:color w:val="000000"/>
          <w:sz w:val="32"/>
          <w:szCs w:val="32"/>
        </w:rPr>
        <w:t>万元、电费</w:t>
      </w:r>
      <w:r>
        <w:rPr>
          <w:rFonts w:hint="eastAsia" w:ascii="仿宋" w:hAnsi="仿宋" w:eastAsia="仿宋"/>
          <w:color w:val="000000"/>
          <w:sz w:val="32"/>
          <w:szCs w:val="32"/>
          <w:lang w:val="en-US" w:eastAsia="zh-CN"/>
        </w:rPr>
        <w:t>4.6</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邮电费</w:t>
      </w:r>
      <w:r>
        <w:rPr>
          <w:rFonts w:hint="eastAsia" w:ascii="仿宋" w:hAnsi="仿宋" w:eastAsia="仿宋"/>
          <w:color w:val="000000"/>
          <w:sz w:val="32"/>
          <w:szCs w:val="32"/>
          <w:lang w:val="en-US" w:eastAsia="zh-CN"/>
        </w:rPr>
        <w:t>4.1万元，物业管理费5.1万元，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24.4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送教上门）</w:t>
      </w:r>
      <w:r>
        <w:rPr>
          <w:rFonts w:hint="eastAsia" w:ascii="仿宋" w:hAnsi="仿宋" w:eastAsia="仿宋"/>
          <w:color w:val="000000"/>
          <w:sz w:val="32"/>
          <w:szCs w:val="32"/>
        </w:rPr>
        <w:t>、维修（护）费</w:t>
      </w:r>
      <w:r>
        <w:rPr>
          <w:rFonts w:hint="eastAsia" w:ascii="仿宋" w:hAnsi="仿宋" w:eastAsia="仿宋"/>
          <w:color w:val="000000"/>
          <w:sz w:val="32"/>
          <w:szCs w:val="32"/>
          <w:lang w:val="en-US" w:eastAsia="zh-CN"/>
        </w:rPr>
        <w:t>26.56</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，会议费5.2万元（全市特殊教育研讨会在我校召开），</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5.8</w:t>
      </w:r>
      <w:r>
        <w:rPr>
          <w:rFonts w:hint="eastAsia" w:ascii="仿宋" w:hAnsi="仿宋" w:eastAsia="仿宋"/>
          <w:color w:val="000000"/>
          <w:sz w:val="32"/>
          <w:szCs w:val="32"/>
        </w:rPr>
        <w:t>万元、公务接待费</w:t>
      </w:r>
      <w:r>
        <w:rPr>
          <w:rFonts w:hint="eastAsia" w:ascii="仿宋" w:hAnsi="仿宋" w:eastAsia="仿宋"/>
          <w:color w:val="000000"/>
          <w:sz w:val="32"/>
          <w:szCs w:val="32"/>
          <w:lang w:val="en-US" w:eastAsia="zh-CN"/>
        </w:rPr>
        <w:t>0.69</w:t>
      </w:r>
      <w:r>
        <w:rPr>
          <w:rFonts w:hint="eastAsia" w:ascii="仿宋" w:hAnsi="仿宋" w:eastAsia="仿宋"/>
          <w:color w:val="000000"/>
          <w:sz w:val="32"/>
          <w:szCs w:val="32"/>
        </w:rPr>
        <w:t>万元、劳务费</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万元、工会经费</w:t>
      </w:r>
      <w:r>
        <w:rPr>
          <w:rFonts w:hint="eastAsia" w:ascii="仿宋" w:hAnsi="仿宋" w:eastAsia="仿宋"/>
          <w:color w:val="000000"/>
          <w:sz w:val="32"/>
          <w:szCs w:val="32"/>
          <w:lang w:val="en-US" w:eastAsia="zh-CN"/>
        </w:rPr>
        <w:t>0.77</w:t>
      </w:r>
      <w:r>
        <w:rPr>
          <w:rFonts w:hint="eastAsia" w:ascii="仿宋" w:hAnsi="仿宋" w:eastAsia="仿宋"/>
          <w:color w:val="000000"/>
          <w:sz w:val="32"/>
          <w:szCs w:val="32"/>
        </w:rPr>
        <w:t>万元、其他商品和服务支出</w:t>
      </w:r>
      <w:r>
        <w:rPr>
          <w:rFonts w:hint="eastAsia" w:ascii="仿宋" w:hAnsi="仿宋" w:eastAsia="仿宋"/>
          <w:color w:val="000000"/>
          <w:sz w:val="32"/>
          <w:szCs w:val="32"/>
          <w:lang w:val="en-US" w:eastAsia="zh-CN"/>
        </w:rPr>
        <w:t>7.55</w:t>
      </w:r>
      <w:r>
        <w:rPr>
          <w:rFonts w:hint="eastAsia" w:ascii="仿宋" w:hAnsi="仿宋" w:eastAsia="仿宋"/>
          <w:color w:val="000000"/>
          <w:sz w:val="32"/>
          <w:szCs w:val="32"/>
        </w:rPr>
        <w:t>万元。</w:t>
      </w:r>
    </w:p>
    <w:p>
      <w:pPr>
        <w:spacing w:line="600" w:lineRule="exact"/>
        <w:ind w:firstLine="645"/>
        <w:rPr>
          <w:rFonts w:hint="eastAsia" w:ascii="仿宋" w:hAnsi="仿宋" w:eastAsia="仿宋"/>
          <w:color w:val="000000"/>
          <w:sz w:val="32"/>
          <w:szCs w:val="32"/>
        </w:rPr>
      </w:pPr>
    </w:p>
    <w:p>
      <w:pPr>
        <w:spacing w:line="600" w:lineRule="exact"/>
        <w:outlineLvl w:val="1"/>
        <w:rPr>
          <w:rStyle w:val="26"/>
          <w:rFonts w:ascii="黑体" w:hAnsi="黑体" w:eastAsia="黑体"/>
          <w:b w:val="0"/>
        </w:rPr>
      </w:pPr>
      <w:bookmarkStart w:id="31" w:name="_Toc15377215"/>
      <w:bookmarkStart w:id="32"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1"/>
      <w:bookmarkEnd w:id="32"/>
    </w:p>
    <w:p>
      <w:pPr>
        <w:spacing w:line="600" w:lineRule="exact"/>
        <w:ind w:firstLine="640"/>
        <w:outlineLvl w:val="2"/>
        <w:rPr>
          <w:rFonts w:ascii="仿宋" w:hAnsi="仿宋" w:eastAsia="仿宋"/>
          <w:b/>
          <w:color w:val="000000"/>
          <w:sz w:val="32"/>
          <w:szCs w:val="32"/>
        </w:rPr>
      </w:pPr>
      <w:bookmarkStart w:id="33" w:name="_Toc15377216"/>
      <w:r>
        <w:rPr>
          <w:rFonts w:hint="eastAsia" w:ascii="仿宋" w:hAnsi="仿宋" w:eastAsia="仿宋"/>
          <w:b/>
          <w:color w:val="000000"/>
          <w:sz w:val="32"/>
          <w:szCs w:val="32"/>
        </w:rPr>
        <w:t>（一）“三公”经费财政拨款支出决算总体情况说明</w:t>
      </w:r>
      <w:bookmarkEnd w:id="3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0.69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，决算数与预算数持平的主要原因是</w:t>
      </w:r>
      <w:r>
        <w:rPr>
          <w:rFonts w:hint="eastAsia" w:ascii="仿宋" w:hAnsi="仿宋" w:eastAsia="仿宋"/>
          <w:color w:val="000000"/>
          <w:sz w:val="32"/>
          <w:szCs w:val="32"/>
          <w:lang w:eastAsia="zh-CN"/>
        </w:rPr>
        <w:t>严格控制开支</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4" w:name="_Toc15377217"/>
      <w:r>
        <w:rPr>
          <w:rFonts w:hint="eastAsia" w:ascii="仿宋" w:hAnsi="仿宋" w:eastAsia="仿宋"/>
          <w:b/>
          <w:color w:val="000000"/>
          <w:sz w:val="32"/>
          <w:szCs w:val="32"/>
        </w:rPr>
        <w:t>（二）“三公”经费财政拨款支出决算具体情况说明</w:t>
      </w:r>
      <w:bookmarkEnd w:id="34"/>
    </w:p>
    <w:p>
      <w:pPr>
        <w:spacing w:line="600" w:lineRule="exact"/>
        <w:ind w:firstLine="640"/>
        <w:rPr>
          <w:rFonts w:hint="eastAsia" w:ascii="仿宋_GB2312" w:eastAsia="仿宋_GB2312"/>
          <w:b/>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0.69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numPr>
          <w:ilvl w:val="0"/>
          <w:numId w:val="0"/>
        </w:numPr>
        <w:spacing w:line="600" w:lineRule="exact"/>
        <w:ind w:firstLine="643" w:firstLineChars="200"/>
        <w:rPr>
          <w:rFonts w:hint="eastAsia" w:ascii="仿宋_GB2312" w:eastAsia="仿宋_GB2312"/>
          <w:b/>
          <w:color w:val="000000"/>
          <w:sz w:val="32"/>
          <w:szCs w:val="32"/>
          <w:lang w:eastAsia="zh-CN"/>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eastAsia="zh-CN"/>
        </w:rPr>
        <w:t>：无</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eastAsia="zh-CN"/>
        </w:rPr>
        <w:t>：无</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0.69</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 w:hAnsi="仿宋" w:eastAsia="仿宋"/>
          <w:color w:val="000000"/>
          <w:sz w:val="32"/>
          <w:szCs w:val="32"/>
        </w:rPr>
        <w:t>决算数与预算数</w:t>
      </w:r>
      <w:r>
        <w:rPr>
          <w:rFonts w:hint="eastAsia" w:ascii="仿宋" w:hAnsi="仿宋" w:eastAsia="仿宋"/>
          <w:color w:val="000000"/>
          <w:sz w:val="32"/>
          <w:szCs w:val="32"/>
          <w:lang w:val="en-US" w:eastAsia="zh-CN"/>
        </w:rPr>
        <w:t>降低11.5%,</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严格控制开支</w:t>
      </w:r>
      <w:r>
        <w:rPr>
          <w:rFonts w:hint="eastAsia" w:ascii="仿宋" w:hAnsi="仿宋" w:eastAsia="仿宋"/>
          <w:color w:val="000000"/>
          <w:sz w:val="32"/>
          <w:szCs w:val="32"/>
        </w:rPr>
        <w:t>。</w:t>
      </w:r>
    </w:p>
    <w:p>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102</w:t>
      </w:r>
      <w:r>
        <w:rPr>
          <w:rFonts w:hint="eastAsia" w:ascii="仿宋_GB2312" w:eastAsia="仿宋_GB2312"/>
          <w:color w:val="000000"/>
          <w:sz w:val="32"/>
          <w:szCs w:val="32"/>
        </w:rPr>
        <w:t>人次（</w:t>
      </w:r>
      <w:r>
        <w:rPr>
          <w:rFonts w:hint="eastAsia" w:ascii="仿宋_GB2312" w:eastAsia="仿宋_GB2312"/>
          <w:color w:val="000000"/>
          <w:sz w:val="32"/>
          <w:szCs w:val="32"/>
          <w:lang w:val="en-US" w:eastAsia="zh-CN"/>
        </w:rPr>
        <w:t>不</w:t>
      </w:r>
      <w:r>
        <w:rPr>
          <w:rFonts w:hint="eastAsia" w:ascii="仿宋_GB2312" w:eastAsia="仿宋_GB2312"/>
          <w:color w:val="000000"/>
          <w:sz w:val="32"/>
          <w:szCs w:val="32"/>
        </w:rPr>
        <w:t>包括陪同人员），共计支出</w:t>
      </w:r>
      <w:r>
        <w:rPr>
          <w:rFonts w:hint="eastAsia" w:ascii="仿宋_GB2312" w:eastAsia="仿宋_GB2312"/>
          <w:color w:val="000000"/>
          <w:sz w:val="32"/>
          <w:szCs w:val="32"/>
          <w:lang w:val="en-US" w:eastAsia="zh-CN"/>
        </w:rPr>
        <w:t>0.69</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Style w:val="26"/>
          <w:rFonts w:ascii="黑体" w:hAnsi="黑体" w:eastAsia="黑体"/>
        </w:rPr>
      </w:pPr>
      <w:bookmarkStart w:id="35" w:name="_Toc15396610"/>
      <w:bookmarkStart w:id="36"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35"/>
      <w:bookmarkEnd w:id="3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bookmarkStart w:id="65" w:name="_GoBack"/>
      <w:bookmarkEnd w:id="65"/>
    </w:p>
    <w:p>
      <w:pPr>
        <w:spacing w:line="600" w:lineRule="exact"/>
        <w:ind w:firstLine="640"/>
        <w:rPr>
          <w:rFonts w:ascii="仿宋_GB2312" w:eastAsia="仿宋_GB2312"/>
          <w:color w:val="000000"/>
          <w:sz w:val="32"/>
          <w:szCs w:val="32"/>
        </w:rPr>
      </w:pPr>
    </w:p>
    <w:p>
      <w:pPr>
        <w:numPr>
          <w:ilvl w:val="0"/>
          <w:numId w:val="1"/>
        </w:numPr>
        <w:spacing w:line="600" w:lineRule="exact"/>
        <w:ind w:firstLine="640"/>
        <w:outlineLvl w:val="1"/>
        <w:rPr>
          <w:rStyle w:val="26"/>
          <w:rFonts w:ascii="黑体" w:hAnsi="黑体" w:eastAsia="黑体"/>
          <w:b w:val="0"/>
        </w:rPr>
      </w:pPr>
      <w:bookmarkStart w:id="37" w:name="_Toc15377219"/>
      <w:bookmarkStart w:id="38" w:name="_Toc15396611"/>
      <w:r>
        <w:rPr>
          <w:rStyle w:val="26"/>
          <w:rFonts w:hint="eastAsia" w:ascii="黑体" w:hAnsi="黑体" w:eastAsia="黑体"/>
          <w:b w:val="0"/>
        </w:rPr>
        <w:t>国有资本经营预算支出决算情况说明</w:t>
      </w:r>
      <w:bookmarkEnd w:id="37"/>
      <w:bookmarkEnd w:id="3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4"/>
        <w:numPr>
          <w:ilvl w:val="0"/>
          <w:numId w:val="2"/>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3"/>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效果较好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效果较好</w:t>
      </w:r>
      <w:r>
        <w:rPr>
          <w:rFonts w:hint="eastAsia" w:ascii="仿宋_GB2312" w:hAnsi="仿宋_GB2312" w:eastAsia="仿宋_GB2312" w:cs="仿宋_GB2312"/>
          <w:sz w:val="32"/>
          <w:szCs w:val="32"/>
        </w:rPr>
        <w:t>。</w:t>
      </w:r>
    </w:p>
    <w:p>
      <w:pPr>
        <w:numPr>
          <w:ilvl w:val="0"/>
          <w:numId w:val="3"/>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val="en-US" w:eastAsia="zh-CN"/>
        </w:rPr>
        <w:t>学生生活补助和助学金</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numPr>
          <w:ilvl w:val="0"/>
          <w:numId w:val="0"/>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学生生活补助和助学金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30.94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30.94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宣汉县</w:t>
            </w:r>
            <w:r>
              <w:rPr>
                <w:rFonts w:hint="eastAsia" w:ascii="宋体" w:hAnsi="宋体" w:cs="宋体"/>
                <w:color w:val="000000"/>
                <w:sz w:val="24"/>
                <w:lang w:val="en-US" w:eastAsia="zh-CN"/>
              </w:rPr>
              <w:t>特殊教育学校</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eastAsia="zh-CN"/>
              </w:rPr>
              <w:t>宣汉县</w:t>
            </w:r>
            <w:r>
              <w:rPr>
                <w:rFonts w:hint="eastAsia" w:ascii="宋体" w:hAnsi="宋体" w:cs="宋体"/>
                <w:color w:val="000000"/>
                <w:sz w:val="24"/>
                <w:lang w:val="en-US" w:eastAsia="zh-CN"/>
              </w:rPr>
              <w:t>特殊教育学校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30.94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30.94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30.94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30.94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30.94</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30.94</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30.94</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30.94</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3"/>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宣汉县</w:t>
      </w:r>
      <w:r>
        <w:rPr>
          <w:rFonts w:hint="eastAsia" w:ascii="仿宋_GB2312" w:hAnsi="仿宋_GB2312" w:eastAsia="仿宋_GB2312" w:cs="仿宋_GB2312"/>
          <w:sz w:val="32"/>
          <w:szCs w:val="32"/>
          <w:lang w:val="en-US" w:eastAsia="zh-CN"/>
        </w:rPr>
        <w:t>特殊教育学校</w:t>
      </w:r>
      <w:r>
        <w:rPr>
          <w:rFonts w:hint="eastAsia" w:ascii="仿宋_GB2312" w:hAnsi="仿宋_GB2312" w:eastAsia="仿宋_GB2312" w:cs="仿宋_GB2312"/>
          <w:sz w:val="32"/>
          <w:szCs w:val="32"/>
        </w:rPr>
        <w:t>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val="en-US" w:eastAsia="zh-CN"/>
        </w:rPr>
        <w:t>水学生生活费和助学金</w:t>
      </w:r>
      <w:r>
        <w:rPr>
          <w:rFonts w:hint="eastAsia" w:ascii="仿宋_GB2312" w:hAnsi="仿宋_GB2312" w:eastAsia="仿宋_GB2312" w:cs="仿宋_GB2312"/>
          <w:sz w:val="32"/>
          <w:szCs w:val="32"/>
        </w:rPr>
        <w:t>项目开展了绩效评价，《项目201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39" w:name="_Toc15377221"/>
      <w:bookmarkStart w:id="40"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39"/>
      <w:bookmarkEnd w:id="40"/>
    </w:p>
    <w:p>
      <w:pPr>
        <w:spacing w:line="600" w:lineRule="exact"/>
        <w:ind w:firstLine="643" w:firstLineChars="200"/>
        <w:outlineLvl w:val="2"/>
        <w:rPr>
          <w:rFonts w:ascii="仿宋" w:hAnsi="仿宋" w:eastAsia="仿宋"/>
          <w:color w:val="000000"/>
          <w:sz w:val="32"/>
          <w:szCs w:val="32"/>
        </w:rPr>
      </w:pPr>
      <w:bookmarkStart w:id="41" w:name="_Toc15377222"/>
      <w:r>
        <w:rPr>
          <w:rFonts w:hint="eastAsia" w:ascii="仿宋" w:hAnsi="仿宋" w:eastAsia="仿宋"/>
          <w:b/>
          <w:color w:val="000000"/>
          <w:sz w:val="32"/>
          <w:szCs w:val="32"/>
        </w:rPr>
        <w:t>（一）机关运行经费支出情况</w:t>
      </w:r>
      <w:bookmarkEnd w:id="41"/>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宣汉县</w:t>
      </w:r>
      <w:r>
        <w:rPr>
          <w:rFonts w:hint="eastAsia" w:ascii="仿宋_GB2312" w:eastAsia="仿宋_GB2312"/>
          <w:color w:val="000000"/>
          <w:sz w:val="32"/>
          <w:szCs w:val="32"/>
          <w:lang w:val="en-US" w:eastAsia="zh-CN"/>
        </w:rPr>
        <w:t>特殊教育学校</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年决算数持平）。</w:t>
      </w:r>
      <w:r>
        <w:rPr>
          <w:rFonts w:hint="eastAsia" w:ascii="仿宋_GB2312" w:eastAsia="仿宋_GB2312"/>
          <w:color w:val="000000" w:themeColor="text1"/>
          <w:sz w:val="32"/>
          <w:szCs w:val="32"/>
          <w14:textFill>
            <w14:solidFill>
              <w14:schemeClr w14:val="tx1"/>
            </w14:solidFill>
          </w14:textFill>
        </w:rPr>
        <w:t>主要原因</w:t>
      </w:r>
      <w:r>
        <w:rPr>
          <w:rFonts w:hint="eastAsia" w:ascii="仿宋_GB2312" w:eastAsia="仿宋_GB2312"/>
          <w:color w:val="000000" w:themeColor="text1"/>
          <w:sz w:val="32"/>
          <w:szCs w:val="32"/>
          <w:lang w:eastAsia="zh-CN"/>
          <w14:textFill>
            <w14:solidFill>
              <w14:schemeClr w14:val="tx1"/>
            </w14:solidFill>
          </w14:textFill>
        </w:rPr>
        <w:t>：无</w:t>
      </w:r>
    </w:p>
    <w:p>
      <w:pPr>
        <w:spacing w:line="600" w:lineRule="exact"/>
        <w:ind w:firstLine="640"/>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2" w:name="_Toc15377223"/>
      <w:r>
        <w:rPr>
          <w:rFonts w:hint="eastAsia" w:ascii="仿宋" w:hAnsi="仿宋" w:eastAsia="仿宋"/>
          <w:b/>
          <w:color w:val="000000"/>
          <w:sz w:val="32"/>
          <w:szCs w:val="32"/>
        </w:rPr>
        <w:t>（二）政府采购支出情况</w:t>
      </w:r>
      <w:bookmarkEnd w:id="4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宣汉县</w:t>
      </w:r>
      <w:r>
        <w:rPr>
          <w:rFonts w:hint="eastAsia" w:ascii="仿宋_GB2312" w:eastAsia="仿宋_GB2312"/>
          <w:color w:val="000000"/>
          <w:sz w:val="32"/>
          <w:szCs w:val="32"/>
          <w:lang w:val="en-US" w:eastAsia="zh-CN"/>
        </w:rPr>
        <w:t>特殊教育学校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3" w:name="_Toc15377224"/>
      <w:r>
        <w:rPr>
          <w:rFonts w:hint="eastAsia" w:ascii="仿宋" w:hAnsi="仿宋" w:eastAsia="仿宋"/>
          <w:b/>
          <w:color w:val="000000"/>
          <w:sz w:val="32"/>
          <w:szCs w:val="32"/>
        </w:rPr>
        <w:t>（三）国有资产占有使用情况</w:t>
      </w:r>
      <w:bookmarkEnd w:id="43"/>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宣汉县</w:t>
      </w:r>
      <w:r>
        <w:rPr>
          <w:rFonts w:hint="eastAsia" w:ascii="仿宋_GB2312" w:eastAsia="仿宋_GB2312"/>
          <w:color w:val="000000"/>
          <w:sz w:val="32"/>
          <w:szCs w:val="32"/>
          <w:lang w:val="en-US" w:eastAsia="zh-CN"/>
        </w:rPr>
        <w:t>特殊教育学校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3" w:firstLineChars="150"/>
        <w:jc w:val="center"/>
        <w:outlineLvl w:val="0"/>
        <w:rPr>
          <w:rStyle w:val="25"/>
          <w:rFonts w:ascii="黑体" w:hAnsi="黑体" w:eastAsia="黑体"/>
          <w:b w:val="0"/>
        </w:rPr>
      </w:pPr>
      <w:bookmarkStart w:id="44" w:name="_Toc15396613"/>
      <w:bookmarkStart w:id="45" w:name="_Toc15377225"/>
      <w:r>
        <w:rPr>
          <w:rFonts w:hint="eastAsia" w:ascii="黑体" w:hAnsi="黑体" w:eastAsia="黑体"/>
          <w:b/>
          <w:color w:val="000000"/>
          <w:sz w:val="44"/>
          <w:szCs w:val="44"/>
        </w:rPr>
        <w:t>名</w:t>
      </w:r>
      <w:r>
        <w:rPr>
          <w:rStyle w:val="25"/>
          <w:rFonts w:hint="eastAsia" w:ascii="黑体" w:hAnsi="黑体" w:eastAsia="黑体"/>
          <w:b w:val="0"/>
        </w:rPr>
        <w:t>词解释</w:t>
      </w:r>
      <w:bookmarkEnd w:id="44"/>
      <w:bookmarkEnd w:id="45"/>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46" w:name="_Toc15377226"/>
      <w:r>
        <w:rPr>
          <w:rFonts w:ascii="宋体"/>
          <w:b/>
          <w:color w:val="000000"/>
          <w:sz w:val="44"/>
          <w:szCs w:val="44"/>
        </w:rPr>
        <w:br w:type="page"/>
      </w:r>
      <w:bookmarkStart w:id="47"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47"/>
    </w:p>
    <w:p>
      <w:pPr>
        <w:spacing w:line="600" w:lineRule="exact"/>
        <w:jc w:val="center"/>
        <w:outlineLvl w:val="0"/>
        <w:rPr>
          <w:rStyle w:val="25"/>
        </w:rPr>
      </w:pPr>
    </w:p>
    <w:p>
      <w:pPr>
        <w:pStyle w:val="3"/>
        <w:rPr>
          <w:rStyle w:val="25"/>
          <w:rFonts w:ascii="仿宋" w:hAnsi="仿宋" w:eastAsia="仿宋"/>
          <w:b w:val="0"/>
          <w:bCs w:val="0"/>
          <w:sz w:val="32"/>
          <w:szCs w:val="32"/>
        </w:rPr>
      </w:pPr>
      <w:bookmarkStart w:id="48" w:name="_Toc15396615"/>
      <w:r>
        <w:rPr>
          <w:rStyle w:val="25"/>
          <w:rFonts w:hint="eastAsia" w:ascii="仿宋" w:hAnsi="仿宋" w:eastAsia="仿宋"/>
          <w:b w:val="0"/>
          <w:bCs w:val="0"/>
          <w:sz w:val="32"/>
          <w:szCs w:val="32"/>
        </w:rPr>
        <w:t>附件1</w:t>
      </w:r>
      <w:bookmarkEnd w:id="48"/>
    </w:p>
    <w:p>
      <w:pPr>
        <w:spacing w:line="600" w:lineRule="exact"/>
        <w:jc w:val="center"/>
        <w:outlineLvl w:val="0"/>
        <w:rPr>
          <w:rFonts w:ascii="黑体" w:hAnsi="黑体" w:eastAsia="黑体" w:cs="方正小标宋简体"/>
          <w:sz w:val="36"/>
          <w:szCs w:val="36"/>
        </w:rPr>
      </w:pPr>
      <w:bookmarkStart w:id="49" w:name="_Toc15396616"/>
      <w:r>
        <w:rPr>
          <w:rFonts w:hint="eastAsia" w:ascii="黑体" w:hAnsi="黑体" w:eastAsia="黑体" w:cs="方正小标宋简体"/>
          <w:sz w:val="36"/>
          <w:szCs w:val="36"/>
          <w:lang w:eastAsia="zh-CN"/>
        </w:rPr>
        <w:t>宣汉县</w:t>
      </w:r>
      <w:r>
        <w:rPr>
          <w:rFonts w:hint="eastAsia" w:ascii="黑体" w:hAnsi="黑体" w:eastAsia="黑体" w:cs="方正小标宋简体"/>
          <w:sz w:val="36"/>
          <w:szCs w:val="36"/>
          <w:lang w:val="en-US" w:eastAsia="zh-CN"/>
        </w:rPr>
        <w:t>特殊教育学校</w:t>
      </w: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49"/>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sz w:val="32"/>
          <w:szCs w:val="32"/>
        </w:rPr>
        <w:t>我校共有</w:t>
      </w:r>
      <w:r>
        <w:rPr>
          <w:rFonts w:ascii="仿宋" w:hAnsi="仿宋" w:eastAsia="仿宋"/>
          <w:sz w:val="32"/>
          <w:szCs w:val="32"/>
        </w:rPr>
        <w:t>12</w:t>
      </w:r>
      <w:r>
        <w:rPr>
          <w:rFonts w:hint="eastAsia" w:ascii="仿宋" w:hAnsi="仿宋" w:eastAsia="仿宋"/>
          <w:sz w:val="32"/>
          <w:szCs w:val="32"/>
        </w:rPr>
        <w:t>个教学班，学校实行封闭式管理，学校占地面积</w:t>
      </w:r>
      <w:r>
        <w:rPr>
          <w:rFonts w:ascii="仿宋" w:hAnsi="仿宋" w:eastAsia="仿宋"/>
          <w:sz w:val="32"/>
          <w:szCs w:val="32"/>
        </w:rPr>
        <w:t>2572</w:t>
      </w:r>
      <w:r>
        <w:rPr>
          <w:rFonts w:hint="eastAsia" w:ascii="仿宋" w:hAnsi="仿宋" w:eastAsia="仿宋"/>
          <w:sz w:val="32"/>
          <w:szCs w:val="32"/>
        </w:rPr>
        <w:t>平方米，建筑面积</w:t>
      </w:r>
      <w:r>
        <w:rPr>
          <w:rFonts w:ascii="仿宋" w:hAnsi="仿宋" w:eastAsia="仿宋"/>
          <w:sz w:val="32"/>
          <w:szCs w:val="32"/>
        </w:rPr>
        <w:t>3</w:t>
      </w:r>
      <w:r>
        <w:rPr>
          <w:rFonts w:hint="eastAsia" w:ascii="仿宋" w:hAnsi="仿宋" w:eastAsia="仿宋"/>
          <w:sz w:val="32"/>
          <w:szCs w:val="32"/>
          <w:lang w:val="en-US" w:eastAsia="zh-CN"/>
        </w:rPr>
        <w:t>347</w:t>
      </w:r>
      <w:r>
        <w:rPr>
          <w:rFonts w:hint="eastAsia" w:ascii="仿宋" w:hAnsi="仿宋" w:eastAsia="仿宋"/>
          <w:sz w:val="32"/>
          <w:szCs w:val="32"/>
        </w:rPr>
        <w:t>平方米。</w:t>
      </w:r>
    </w:p>
    <w:p>
      <w:pPr>
        <w:pStyle w:val="5"/>
        <w:numPr>
          <w:ilvl w:val="0"/>
          <w:numId w:val="5"/>
        </w:numPr>
        <w:adjustRightInd w:val="0"/>
        <w:snapToGrid w:val="0"/>
        <w:spacing w:before="93" w:line="600" w:lineRule="exact"/>
        <w:ind w:firstLine="672" w:firstLineChars="210"/>
        <w:outlineLvl w:val="2"/>
        <w:rPr>
          <w:rFonts w:ascii="仿宋" w:hAnsi="仿宋" w:eastAsia="仿宋" w:cs="仿宋_GB2312"/>
          <w:sz w:val="32"/>
          <w:szCs w:val="32"/>
        </w:rPr>
      </w:pPr>
      <w:r>
        <w:rPr>
          <w:rFonts w:ascii="仿宋" w:hAnsi="仿宋" w:eastAsia="仿宋" w:cs="仿宋_GB2312"/>
          <w:sz w:val="32"/>
          <w:szCs w:val="32"/>
        </w:rPr>
        <w:t>机构职能。</w:t>
      </w:r>
    </w:p>
    <w:p>
      <w:pPr>
        <w:pStyle w:val="5"/>
        <w:numPr>
          <w:ilvl w:val="0"/>
          <w:numId w:val="0"/>
        </w:numPr>
        <w:adjustRightInd w:val="0"/>
        <w:snapToGrid w:val="0"/>
        <w:spacing w:before="93" w:line="600" w:lineRule="exact"/>
        <w:ind w:firstLine="640" w:firstLineChars="200"/>
        <w:outlineLvl w:val="2"/>
        <w:rPr>
          <w:rFonts w:ascii="仿宋" w:hAnsi="仿宋" w:eastAsia="仿宋"/>
          <w:bCs/>
          <w:color w:val="000000"/>
          <w:sz w:val="32"/>
          <w:szCs w:val="32"/>
        </w:rPr>
      </w:pPr>
      <w:r>
        <w:rPr>
          <w:rFonts w:hint="eastAsia" w:ascii="仿宋" w:hAnsi="仿宋" w:eastAsia="仿宋"/>
          <w:sz w:val="32"/>
          <w:szCs w:val="32"/>
        </w:rPr>
        <w:t>我校负责全县的特殊教育，</w:t>
      </w:r>
      <w:r>
        <w:rPr>
          <w:rFonts w:hint="eastAsia" w:ascii="仿宋" w:hAnsi="仿宋" w:eastAsia="仿宋"/>
          <w:sz w:val="32"/>
          <w:szCs w:val="32"/>
          <w:lang w:eastAsia="zh-CN"/>
        </w:rPr>
        <w:t>目前</w:t>
      </w:r>
      <w:r>
        <w:rPr>
          <w:rFonts w:hint="eastAsia" w:ascii="仿宋" w:hAnsi="仿宋" w:eastAsia="仿宋"/>
          <w:sz w:val="32"/>
          <w:szCs w:val="32"/>
        </w:rPr>
        <w:t>招收</w:t>
      </w:r>
      <w:r>
        <w:rPr>
          <w:rFonts w:hint="eastAsia" w:ascii="仿宋" w:hAnsi="仿宋" w:eastAsia="仿宋"/>
          <w:sz w:val="32"/>
          <w:szCs w:val="32"/>
          <w:lang w:eastAsia="zh-CN"/>
        </w:rPr>
        <w:t>听障</w:t>
      </w:r>
      <w:r>
        <w:rPr>
          <w:rFonts w:hint="eastAsia" w:ascii="仿宋" w:hAnsi="仿宋" w:eastAsia="仿宋"/>
          <w:sz w:val="32"/>
          <w:szCs w:val="32"/>
        </w:rPr>
        <w:t>儿童和智障儿童两个类别的残疾学生；教学形式有学校</w:t>
      </w:r>
      <w:r>
        <w:rPr>
          <w:rFonts w:hint="eastAsia" w:ascii="仿宋" w:hAnsi="仿宋" w:eastAsia="仿宋"/>
          <w:sz w:val="32"/>
          <w:szCs w:val="32"/>
          <w:lang w:eastAsia="zh-CN"/>
        </w:rPr>
        <w:t>聋</w:t>
      </w:r>
      <w:r>
        <w:rPr>
          <w:rFonts w:hint="eastAsia" w:ascii="仿宋" w:hAnsi="仿宋" w:eastAsia="仿宋"/>
          <w:sz w:val="32"/>
          <w:szCs w:val="32"/>
        </w:rPr>
        <w:t>教育、</w:t>
      </w:r>
      <w:r>
        <w:rPr>
          <w:rFonts w:hint="eastAsia" w:ascii="仿宋" w:hAnsi="仿宋" w:eastAsia="仿宋"/>
          <w:sz w:val="32"/>
          <w:szCs w:val="32"/>
          <w:lang w:eastAsia="zh-CN"/>
        </w:rPr>
        <w:t>培智教育、</w:t>
      </w:r>
      <w:r>
        <w:rPr>
          <w:rFonts w:hint="eastAsia" w:ascii="仿宋" w:hAnsi="仿宋" w:eastAsia="仿宋"/>
          <w:sz w:val="32"/>
          <w:szCs w:val="32"/>
        </w:rPr>
        <w:t>指导随班就读、送教上门</w:t>
      </w:r>
      <w:r>
        <w:rPr>
          <w:rFonts w:hint="eastAsia" w:ascii="仿宋" w:hAnsi="仿宋" w:eastAsia="仿宋"/>
          <w:sz w:val="32"/>
          <w:szCs w:val="32"/>
          <w:lang w:eastAsia="zh-CN"/>
        </w:rPr>
        <w:t>等四</w:t>
      </w:r>
      <w:r>
        <w:rPr>
          <w:rFonts w:hint="eastAsia" w:ascii="仿宋" w:hAnsi="仿宋" w:eastAsia="仿宋"/>
          <w:sz w:val="32"/>
          <w:szCs w:val="32"/>
        </w:rPr>
        <w:t>种形式。</w:t>
      </w:r>
    </w:p>
    <w:p>
      <w:pPr>
        <w:spacing w:line="580" w:lineRule="exact"/>
        <w:ind w:firstLine="640" w:firstLineChars="200"/>
        <w:rPr>
          <w:rFonts w:ascii="仿宋" w:hAnsi="仿宋" w:eastAsia="仿宋" w:cs="仿宋_GB2312"/>
          <w:sz w:val="32"/>
          <w:szCs w:val="32"/>
        </w:rPr>
      </w:pPr>
    </w:p>
    <w:p>
      <w:pPr>
        <w:numPr>
          <w:ilvl w:val="0"/>
          <w:numId w:val="5"/>
        </w:numPr>
        <w:snapToGrid w:val="0"/>
        <w:spacing w:line="360" w:lineRule="auto"/>
        <w:ind w:left="0" w:leftChars="0" w:firstLine="672" w:firstLineChars="210"/>
        <w:rPr>
          <w:rFonts w:ascii="仿宋" w:hAnsi="仿宋" w:eastAsia="仿宋" w:cs="仿宋_GB2312"/>
          <w:sz w:val="32"/>
          <w:szCs w:val="32"/>
        </w:rPr>
      </w:pPr>
      <w:r>
        <w:rPr>
          <w:rFonts w:ascii="仿宋" w:hAnsi="仿宋" w:eastAsia="仿宋" w:cs="仿宋_GB2312"/>
          <w:sz w:val="32"/>
          <w:szCs w:val="32"/>
        </w:rPr>
        <w:t>人员概况。</w:t>
      </w:r>
    </w:p>
    <w:p>
      <w:p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sz w:val="32"/>
          <w:szCs w:val="32"/>
        </w:rPr>
        <w:t>人员情况：共有在职教职工</w:t>
      </w:r>
      <w:r>
        <w:rPr>
          <w:rFonts w:ascii="仿宋" w:hAnsi="仿宋" w:eastAsia="仿宋"/>
          <w:sz w:val="32"/>
          <w:szCs w:val="32"/>
        </w:rPr>
        <w:t>1</w:t>
      </w:r>
      <w:r>
        <w:rPr>
          <w:rFonts w:hint="eastAsia" w:ascii="仿宋" w:hAnsi="仿宋" w:eastAsia="仿宋"/>
          <w:sz w:val="32"/>
          <w:szCs w:val="32"/>
          <w:lang w:val="en-US" w:eastAsia="zh-CN"/>
        </w:rPr>
        <w:t>7</w:t>
      </w:r>
      <w:r>
        <w:rPr>
          <w:rFonts w:hint="eastAsia" w:ascii="仿宋" w:hAnsi="仿宋" w:eastAsia="仿宋"/>
          <w:sz w:val="32"/>
          <w:szCs w:val="32"/>
        </w:rPr>
        <w:t>人，其中专业技术人员</w:t>
      </w:r>
      <w:r>
        <w:rPr>
          <w:rFonts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人，工勤人员</w:t>
      </w:r>
      <w:r>
        <w:rPr>
          <w:rFonts w:ascii="仿宋" w:hAnsi="仿宋" w:eastAsia="仿宋"/>
          <w:sz w:val="32"/>
          <w:szCs w:val="32"/>
        </w:rPr>
        <w:t>1</w:t>
      </w:r>
      <w:r>
        <w:rPr>
          <w:rFonts w:hint="eastAsia" w:ascii="仿宋" w:hAnsi="仿宋" w:eastAsia="仿宋"/>
          <w:sz w:val="32"/>
          <w:szCs w:val="32"/>
        </w:rPr>
        <w:t>人。另</w:t>
      </w:r>
      <w:r>
        <w:rPr>
          <w:rFonts w:hint="eastAsia" w:ascii="仿宋" w:hAnsi="仿宋" w:eastAsia="仿宋"/>
          <w:sz w:val="32"/>
          <w:szCs w:val="32"/>
          <w:lang w:eastAsia="zh-CN"/>
        </w:rPr>
        <w:t>有两名借调教师和</w:t>
      </w:r>
      <w:r>
        <w:rPr>
          <w:rFonts w:hint="eastAsia" w:ascii="仿宋" w:hAnsi="仿宋" w:eastAsia="仿宋"/>
          <w:sz w:val="32"/>
          <w:szCs w:val="32"/>
        </w:rPr>
        <w:t>聘请有</w:t>
      </w:r>
      <w:r>
        <w:rPr>
          <w:rFonts w:hint="eastAsia" w:ascii="仿宋" w:hAnsi="仿宋" w:eastAsia="仿宋"/>
          <w:sz w:val="32"/>
          <w:szCs w:val="32"/>
          <w:lang w:val="en-US" w:eastAsia="zh-CN"/>
        </w:rPr>
        <w:t>8</w:t>
      </w:r>
      <w:r>
        <w:rPr>
          <w:rFonts w:hint="eastAsia" w:ascii="仿宋" w:hAnsi="仿宋" w:eastAsia="仿宋"/>
          <w:sz w:val="32"/>
          <w:szCs w:val="32"/>
        </w:rPr>
        <w:t>名代课教师，</w:t>
      </w:r>
      <w:r>
        <w:rPr>
          <w:rFonts w:ascii="仿宋" w:hAnsi="仿宋" w:eastAsia="仿宋"/>
          <w:sz w:val="32"/>
          <w:szCs w:val="32"/>
        </w:rPr>
        <w:t>4</w:t>
      </w:r>
      <w:r>
        <w:rPr>
          <w:rFonts w:hint="eastAsia" w:ascii="仿宋" w:hAnsi="仿宋" w:eastAsia="仿宋"/>
          <w:sz w:val="32"/>
          <w:szCs w:val="32"/>
        </w:rPr>
        <w:t>名工勤人员。</w:t>
      </w:r>
      <w:r>
        <w:rPr>
          <w:rFonts w:hint="eastAsia" w:ascii="仿宋" w:hAnsi="仿宋" w:eastAsia="仿宋"/>
          <w:sz w:val="32"/>
          <w:szCs w:val="32"/>
          <w:lang w:eastAsia="zh-CN"/>
        </w:rPr>
        <w:t>在校学生共有</w:t>
      </w:r>
      <w:r>
        <w:rPr>
          <w:rFonts w:hint="eastAsia" w:ascii="仿宋" w:hAnsi="仿宋" w:eastAsia="仿宋"/>
          <w:sz w:val="32"/>
          <w:szCs w:val="32"/>
          <w:lang w:val="en-US" w:eastAsia="zh-CN"/>
        </w:rPr>
        <w:t>158名。</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（一）部门财政资金收入情况</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373.35万元。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373.35万元</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部门绩效目标制定</w:t>
      </w:r>
      <w:r>
        <w:rPr>
          <w:rFonts w:hint="eastAsia" w:ascii="仿宋" w:hAnsi="仿宋" w:eastAsia="仿宋" w:cs="仿宋_GB2312"/>
          <w:sz w:val="32"/>
          <w:szCs w:val="32"/>
          <w:lang w:eastAsia="zh-CN"/>
        </w:rPr>
        <w:t>较好</w:t>
      </w:r>
      <w:r>
        <w:rPr>
          <w:rFonts w:ascii="仿宋" w:hAnsi="仿宋" w:eastAsia="仿宋" w:cs="仿宋_GB2312"/>
          <w:sz w:val="32"/>
          <w:szCs w:val="32"/>
        </w:rPr>
        <w:t>、目标完成</w:t>
      </w:r>
      <w:r>
        <w:rPr>
          <w:rFonts w:hint="eastAsia" w:ascii="仿宋" w:hAnsi="仿宋" w:eastAsia="仿宋" w:cs="仿宋_GB2312"/>
          <w:sz w:val="32"/>
          <w:szCs w:val="32"/>
          <w:lang w:eastAsia="zh-CN"/>
        </w:rPr>
        <w:t>较好</w:t>
      </w:r>
      <w:r>
        <w:rPr>
          <w:rFonts w:ascii="仿宋" w:hAnsi="仿宋" w:eastAsia="仿宋" w:cs="仿宋_GB2312"/>
          <w:sz w:val="32"/>
          <w:szCs w:val="32"/>
        </w:rPr>
        <w:t>、预算编制准确、支出控制</w:t>
      </w:r>
      <w:r>
        <w:rPr>
          <w:rFonts w:hint="eastAsia" w:ascii="仿宋" w:hAnsi="仿宋" w:eastAsia="仿宋" w:cs="仿宋_GB2312"/>
          <w:sz w:val="32"/>
          <w:szCs w:val="32"/>
          <w:lang w:eastAsia="zh-CN"/>
        </w:rPr>
        <w:t>较好</w:t>
      </w:r>
      <w:r>
        <w:rPr>
          <w:rFonts w:ascii="仿宋" w:hAnsi="仿宋" w:eastAsia="仿宋" w:cs="仿宋_GB2312"/>
          <w:sz w:val="32"/>
          <w:szCs w:val="32"/>
        </w:rPr>
        <w:t>、预算动态调整</w:t>
      </w:r>
      <w:r>
        <w:rPr>
          <w:rFonts w:hint="eastAsia" w:ascii="仿宋" w:hAnsi="仿宋" w:eastAsia="仿宋" w:cs="仿宋_GB2312"/>
          <w:sz w:val="32"/>
          <w:szCs w:val="32"/>
          <w:lang w:eastAsia="zh-CN"/>
        </w:rPr>
        <w:t>较好</w:t>
      </w:r>
      <w:r>
        <w:rPr>
          <w:rFonts w:ascii="仿宋" w:hAnsi="仿宋" w:eastAsia="仿宋" w:cs="仿宋_GB2312"/>
          <w:sz w:val="32"/>
          <w:szCs w:val="32"/>
        </w:rPr>
        <w:t>、执行进度</w:t>
      </w:r>
      <w:r>
        <w:rPr>
          <w:rFonts w:hint="eastAsia" w:ascii="仿宋" w:hAnsi="仿宋" w:eastAsia="仿宋" w:cs="仿宋_GB2312"/>
          <w:sz w:val="32"/>
          <w:szCs w:val="32"/>
          <w:lang w:eastAsia="zh-CN"/>
        </w:rPr>
        <w:t>较好</w:t>
      </w:r>
      <w:r>
        <w:rPr>
          <w:rFonts w:ascii="仿宋" w:hAnsi="仿宋" w:eastAsia="仿宋" w:cs="仿宋_GB2312"/>
          <w:sz w:val="32"/>
          <w:szCs w:val="32"/>
        </w:rPr>
        <w:t>、预算完成情况</w:t>
      </w:r>
      <w:r>
        <w:rPr>
          <w:rFonts w:hint="eastAsia" w:ascii="仿宋" w:hAnsi="仿宋" w:eastAsia="仿宋" w:cs="仿宋_GB2312"/>
          <w:sz w:val="32"/>
          <w:szCs w:val="32"/>
          <w:lang w:eastAsia="zh-CN"/>
        </w:rPr>
        <w:t>较好、无</w:t>
      </w:r>
      <w:r>
        <w:rPr>
          <w:rFonts w:ascii="仿宋" w:hAnsi="仿宋" w:eastAsia="仿宋" w:cs="仿宋_GB2312"/>
          <w:sz w:val="32"/>
          <w:szCs w:val="32"/>
        </w:rPr>
        <w:t>违规记录。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专项预算项目程序严密、规划合理、结果符合、分配科学、分配及时、专项预算绩效目标完成、实施绩效、</w:t>
      </w:r>
      <w:r>
        <w:rPr>
          <w:rFonts w:hint="eastAsia" w:ascii="仿宋" w:hAnsi="仿宋" w:eastAsia="仿宋" w:cs="仿宋_GB2312"/>
          <w:sz w:val="32"/>
          <w:szCs w:val="32"/>
          <w:lang w:eastAsia="zh-CN"/>
        </w:rPr>
        <w:t>无</w:t>
      </w:r>
      <w:r>
        <w:rPr>
          <w:rFonts w:ascii="仿宋" w:hAnsi="仿宋" w:eastAsia="仿宋" w:cs="仿宋_GB2312"/>
          <w:sz w:val="32"/>
          <w:szCs w:val="32"/>
        </w:rPr>
        <w:t>违规记录。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lang w:eastAsia="zh-CN"/>
        </w:rPr>
        <w:t>较好</w:t>
      </w:r>
      <w:r>
        <w:rPr>
          <w:rFonts w:ascii="仿宋" w:hAnsi="仿宋" w:eastAsia="仿宋" w:cs="仿宋_GB2312"/>
          <w:sz w:val="32"/>
          <w:szCs w:val="32"/>
        </w:rPr>
        <w:t>、绩效目标公开和自评公开、评价结果</w:t>
      </w:r>
      <w:r>
        <w:rPr>
          <w:rFonts w:hint="eastAsia" w:ascii="仿宋" w:hAnsi="仿宋" w:eastAsia="仿宋" w:cs="仿宋_GB2312"/>
          <w:sz w:val="32"/>
          <w:szCs w:val="32"/>
          <w:lang w:eastAsia="zh-CN"/>
        </w:rPr>
        <w:t>较好，</w:t>
      </w:r>
      <w:r>
        <w:rPr>
          <w:rFonts w:ascii="仿宋" w:hAnsi="仿宋" w:eastAsia="仿宋" w:cs="仿宋_GB2312"/>
          <w:sz w:val="32"/>
          <w:szCs w:val="32"/>
        </w:rPr>
        <w:t>整改和应用结果反馈</w:t>
      </w:r>
      <w:r>
        <w:rPr>
          <w:rFonts w:hint="eastAsia" w:ascii="仿宋" w:hAnsi="仿宋" w:eastAsia="仿宋" w:cs="仿宋_GB2312"/>
          <w:sz w:val="32"/>
          <w:szCs w:val="32"/>
          <w:lang w:eastAsia="zh-CN"/>
        </w:rPr>
        <w:t>好</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（一）评价结论</w:t>
      </w:r>
      <w:r>
        <w:rPr>
          <w:rFonts w:hint="eastAsia" w:ascii="仿宋" w:hAnsi="仿宋" w:eastAsia="仿宋" w:cs="仿宋_GB2312"/>
          <w:sz w:val="32"/>
          <w:szCs w:val="32"/>
          <w:lang w:eastAsia="zh-CN"/>
        </w:rPr>
        <w:t>：较好</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（二）存在问题</w:t>
      </w:r>
      <w:r>
        <w:rPr>
          <w:rFonts w:hint="eastAsia" w:ascii="仿宋" w:hAnsi="仿宋" w:eastAsia="仿宋" w:cs="仿宋_GB2312"/>
          <w:sz w:val="32"/>
          <w:szCs w:val="32"/>
          <w:lang w:eastAsia="zh-CN"/>
        </w:rPr>
        <w:t>：无</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（三）改进建议</w:t>
      </w:r>
      <w:r>
        <w:rPr>
          <w:rFonts w:hint="eastAsia" w:ascii="仿宋" w:hAnsi="仿宋" w:eastAsia="仿宋" w:cs="仿宋_GB2312"/>
          <w:sz w:val="32"/>
          <w:szCs w:val="32"/>
          <w:lang w:eastAsia="zh-CN"/>
        </w:rPr>
        <w:t>：无</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50" w:name="_Toc15396617"/>
      <w:r>
        <w:rPr>
          <w:rStyle w:val="25"/>
          <w:rFonts w:hint="eastAsia" w:ascii="仿宋" w:hAnsi="仿宋" w:eastAsia="仿宋"/>
          <w:b w:val="0"/>
          <w:bCs w:val="0"/>
          <w:sz w:val="32"/>
          <w:szCs w:val="32"/>
        </w:rPr>
        <w:t>附件2</w:t>
      </w:r>
      <w:bookmarkEnd w:id="50"/>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5"/>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5"/>
          <w:rFonts w:ascii="黑体" w:hAnsi="黑体" w:eastAsia="黑体"/>
          <w:b w:val="0"/>
        </w:rPr>
      </w:pPr>
      <w:bookmarkStart w:id="51"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46"/>
      <w:bookmarkEnd w:id="51"/>
    </w:p>
    <w:p>
      <w:pPr>
        <w:spacing w:line="600" w:lineRule="exact"/>
        <w:jc w:val="center"/>
        <w:outlineLvl w:val="0"/>
        <w:rPr>
          <w:rFonts w:ascii="仿宋" w:hAnsi="仿宋" w:eastAsia="仿宋"/>
          <w:b/>
          <w:color w:val="000000"/>
          <w:sz w:val="44"/>
          <w:szCs w:val="44"/>
        </w:rPr>
      </w:pPr>
    </w:p>
    <w:p>
      <w:pPr>
        <w:pStyle w:val="3"/>
        <w:numPr>
          <w:ilvl w:val="0"/>
          <w:numId w:val="6"/>
        </w:numPr>
        <w:rPr>
          <w:rStyle w:val="26"/>
          <w:rFonts w:hint="eastAsia" w:ascii="仿宋" w:hAnsi="仿宋" w:eastAsia="仿宋"/>
          <w:b w:val="0"/>
          <w:bCs w:val="0"/>
        </w:rPr>
      </w:pPr>
      <w:bookmarkStart w:id="52" w:name="_Toc15396619"/>
      <w:r>
        <w:rPr>
          <w:rFonts w:hint="eastAsia" w:ascii="仿宋" w:hAnsi="仿宋" w:eastAsia="仿宋"/>
          <w:b w:val="0"/>
          <w:color w:val="000000"/>
        </w:rPr>
        <w:t>收</w:t>
      </w:r>
      <w:r>
        <w:rPr>
          <w:rStyle w:val="26"/>
          <w:rFonts w:hint="eastAsia" w:ascii="仿宋" w:hAnsi="仿宋" w:eastAsia="仿宋"/>
          <w:b w:val="0"/>
          <w:bCs w:val="0"/>
        </w:rPr>
        <w:t>入支出决算总表</w:t>
      </w:r>
      <w:bookmarkEnd w:id="52"/>
    </w:p>
    <w:p>
      <w:pPr>
        <w:pStyle w:val="3"/>
        <w:rPr>
          <w:rFonts w:ascii="仿宋" w:hAnsi="仿宋" w:eastAsia="仿宋"/>
          <w:color w:val="000000"/>
        </w:rPr>
      </w:pPr>
      <w:bookmarkStart w:id="53"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53"/>
    </w:p>
    <w:p>
      <w:pPr>
        <w:pStyle w:val="3"/>
        <w:rPr>
          <w:rFonts w:ascii="仿宋" w:hAnsi="仿宋" w:eastAsia="仿宋"/>
          <w:color w:val="000000"/>
        </w:rPr>
      </w:pPr>
      <w:bookmarkStart w:id="54"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54"/>
    </w:p>
    <w:p>
      <w:pPr>
        <w:pStyle w:val="3"/>
        <w:rPr>
          <w:rFonts w:ascii="仿宋" w:hAnsi="仿宋" w:eastAsia="仿宋"/>
          <w:b w:val="0"/>
          <w:color w:val="000000"/>
        </w:rPr>
      </w:pPr>
      <w:bookmarkStart w:id="55"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55"/>
    </w:p>
    <w:p>
      <w:pPr>
        <w:pStyle w:val="3"/>
        <w:rPr>
          <w:rFonts w:ascii="仿宋" w:hAnsi="仿宋" w:eastAsia="仿宋"/>
          <w:color w:val="000000"/>
        </w:rPr>
      </w:pPr>
      <w:bookmarkStart w:id="56"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56"/>
    </w:p>
    <w:p>
      <w:pPr>
        <w:pStyle w:val="3"/>
        <w:rPr>
          <w:rFonts w:ascii="仿宋" w:hAnsi="仿宋" w:eastAsia="仿宋"/>
          <w:color w:val="000000"/>
        </w:rPr>
      </w:pPr>
      <w:bookmarkStart w:id="57"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57"/>
    </w:p>
    <w:p>
      <w:pPr>
        <w:pStyle w:val="3"/>
        <w:rPr>
          <w:rFonts w:ascii="仿宋" w:hAnsi="仿宋" w:eastAsia="仿宋"/>
          <w:color w:val="000000"/>
        </w:rPr>
      </w:pPr>
      <w:bookmarkStart w:id="58"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58"/>
    </w:p>
    <w:p>
      <w:pPr>
        <w:pStyle w:val="3"/>
        <w:rPr>
          <w:rFonts w:ascii="仿宋" w:hAnsi="仿宋" w:eastAsia="仿宋"/>
          <w:color w:val="000000"/>
        </w:rPr>
      </w:pPr>
      <w:bookmarkStart w:id="59"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59"/>
    </w:p>
    <w:p>
      <w:pPr>
        <w:pStyle w:val="3"/>
        <w:rPr>
          <w:rFonts w:ascii="仿宋" w:hAnsi="仿宋" w:eastAsia="仿宋"/>
          <w:color w:val="000000"/>
        </w:rPr>
      </w:pPr>
      <w:bookmarkStart w:id="60"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0"/>
    </w:p>
    <w:p>
      <w:pPr>
        <w:pStyle w:val="3"/>
        <w:rPr>
          <w:rFonts w:ascii="仿宋" w:hAnsi="仿宋" w:eastAsia="仿宋"/>
          <w:color w:val="000000"/>
        </w:rPr>
      </w:pPr>
      <w:bookmarkStart w:id="61"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1"/>
    </w:p>
    <w:p>
      <w:pPr>
        <w:pStyle w:val="3"/>
        <w:rPr>
          <w:rFonts w:ascii="仿宋" w:hAnsi="仿宋" w:eastAsia="仿宋"/>
          <w:color w:val="000000"/>
        </w:rPr>
      </w:pPr>
      <w:bookmarkStart w:id="62"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2"/>
    </w:p>
    <w:p>
      <w:pPr>
        <w:pStyle w:val="3"/>
        <w:rPr>
          <w:rFonts w:ascii="仿宋" w:hAnsi="仿宋" w:eastAsia="仿宋"/>
          <w:color w:val="000000"/>
        </w:rPr>
      </w:pPr>
      <w:bookmarkStart w:id="63"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3"/>
    </w:p>
    <w:p>
      <w:pPr>
        <w:pStyle w:val="3"/>
        <w:rPr>
          <w:rFonts w:ascii="仿宋" w:hAnsi="仿宋" w:eastAsia="仿宋"/>
          <w:color w:val="000000" w:themeColor="text1"/>
          <w14:textFill>
            <w14:solidFill>
              <w14:schemeClr w14:val="tx1"/>
            </w14:solidFill>
          </w14:textFill>
        </w:rPr>
      </w:pPr>
      <w:bookmarkStart w:id="64"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6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F2AC36F9"/>
    <w:multiLevelType w:val="singleLevel"/>
    <w:tmpl w:val="F2AC36F9"/>
    <w:lvl w:ilvl="0" w:tentative="0">
      <w:start w:val="1"/>
      <w:numFmt w:val="chineseCounting"/>
      <w:suff w:val="nothing"/>
      <w:lvlText w:val="%1、"/>
      <w:lvlJc w:val="left"/>
      <w:rPr>
        <w:rFonts w:hint="eastAsia"/>
      </w:rPr>
    </w:lvl>
  </w:abstractNum>
  <w:abstractNum w:abstractNumId="4">
    <w:nsid w:val="02971A63"/>
    <w:multiLevelType w:val="singleLevel"/>
    <w:tmpl w:val="02971A63"/>
    <w:lvl w:ilvl="0" w:tentative="0">
      <w:start w:val="2"/>
      <w:numFmt w:val="chineseCounting"/>
      <w:suff w:val="nothing"/>
      <w:lvlText w:val="（%1）"/>
      <w:lvlJc w:val="left"/>
      <w:rPr>
        <w:rFonts w:hint="eastAsia"/>
      </w:r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4135"/>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042A48"/>
    <w:rsid w:val="01091FAF"/>
    <w:rsid w:val="01285D7C"/>
    <w:rsid w:val="01912572"/>
    <w:rsid w:val="01C77755"/>
    <w:rsid w:val="028342F6"/>
    <w:rsid w:val="03497417"/>
    <w:rsid w:val="03CD2345"/>
    <w:rsid w:val="04986E65"/>
    <w:rsid w:val="04DA27F8"/>
    <w:rsid w:val="05485D0E"/>
    <w:rsid w:val="057E4F09"/>
    <w:rsid w:val="05955A34"/>
    <w:rsid w:val="05A921CF"/>
    <w:rsid w:val="05E07B7C"/>
    <w:rsid w:val="0695511B"/>
    <w:rsid w:val="07340980"/>
    <w:rsid w:val="076C7461"/>
    <w:rsid w:val="07B50803"/>
    <w:rsid w:val="07B80F7C"/>
    <w:rsid w:val="07F56A4F"/>
    <w:rsid w:val="08331131"/>
    <w:rsid w:val="083758C6"/>
    <w:rsid w:val="08BE6554"/>
    <w:rsid w:val="08C30033"/>
    <w:rsid w:val="08CD7651"/>
    <w:rsid w:val="09545107"/>
    <w:rsid w:val="09CA1577"/>
    <w:rsid w:val="0A052994"/>
    <w:rsid w:val="0A4324B1"/>
    <w:rsid w:val="0AC547A3"/>
    <w:rsid w:val="0B1A273A"/>
    <w:rsid w:val="0B7601ED"/>
    <w:rsid w:val="0BF22668"/>
    <w:rsid w:val="0C305821"/>
    <w:rsid w:val="0D3A71D4"/>
    <w:rsid w:val="0FEF300C"/>
    <w:rsid w:val="10C055FF"/>
    <w:rsid w:val="11E83BBE"/>
    <w:rsid w:val="11F771D9"/>
    <w:rsid w:val="121D2A5D"/>
    <w:rsid w:val="124B09C4"/>
    <w:rsid w:val="12A76176"/>
    <w:rsid w:val="13214FBE"/>
    <w:rsid w:val="135D7585"/>
    <w:rsid w:val="13724D3A"/>
    <w:rsid w:val="1378123E"/>
    <w:rsid w:val="139132F6"/>
    <w:rsid w:val="13F84602"/>
    <w:rsid w:val="15417ED4"/>
    <w:rsid w:val="163F4A25"/>
    <w:rsid w:val="16774C6C"/>
    <w:rsid w:val="16BB723D"/>
    <w:rsid w:val="16C5783B"/>
    <w:rsid w:val="170B40B5"/>
    <w:rsid w:val="183D5A82"/>
    <w:rsid w:val="194E6293"/>
    <w:rsid w:val="1A8227C9"/>
    <w:rsid w:val="1C2D5F92"/>
    <w:rsid w:val="1C517D92"/>
    <w:rsid w:val="1C6175E4"/>
    <w:rsid w:val="1C824FB8"/>
    <w:rsid w:val="1CC43C3B"/>
    <w:rsid w:val="1D350895"/>
    <w:rsid w:val="1D8C080B"/>
    <w:rsid w:val="1E6C39FE"/>
    <w:rsid w:val="1EB30A9D"/>
    <w:rsid w:val="1EC65CCC"/>
    <w:rsid w:val="1EEA6276"/>
    <w:rsid w:val="1F041B1C"/>
    <w:rsid w:val="203F49CE"/>
    <w:rsid w:val="204E5B16"/>
    <w:rsid w:val="20574F8F"/>
    <w:rsid w:val="208A6452"/>
    <w:rsid w:val="209F37C7"/>
    <w:rsid w:val="21162C3E"/>
    <w:rsid w:val="217C0C73"/>
    <w:rsid w:val="21DB36D0"/>
    <w:rsid w:val="224936C9"/>
    <w:rsid w:val="228F0659"/>
    <w:rsid w:val="22ED53FB"/>
    <w:rsid w:val="23337DD5"/>
    <w:rsid w:val="23EA6AAC"/>
    <w:rsid w:val="240371BF"/>
    <w:rsid w:val="24326E7A"/>
    <w:rsid w:val="248E4EF9"/>
    <w:rsid w:val="24A91D2A"/>
    <w:rsid w:val="25113033"/>
    <w:rsid w:val="252B7FFE"/>
    <w:rsid w:val="256E7F09"/>
    <w:rsid w:val="257177DD"/>
    <w:rsid w:val="25EB3296"/>
    <w:rsid w:val="26350BB2"/>
    <w:rsid w:val="268A6E21"/>
    <w:rsid w:val="268A7E5F"/>
    <w:rsid w:val="26936AD0"/>
    <w:rsid w:val="26A75317"/>
    <w:rsid w:val="26C7667A"/>
    <w:rsid w:val="277A32B9"/>
    <w:rsid w:val="28397822"/>
    <w:rsid w:val="28963DC6"/>
    <w:rsid w:val="28D5551C"/>
    <w:rsid w:val="28D8489D"/>
    <w:rsid w:val="293436A1"/>
    <w:rsid w:val="293A37BB"/>
    <w:rsid w:val="298403B8"/>
    <w:rsid w:val="29EC6471"/>
    <w:rsid w:val="29FD04D3"/>
    <w:rsid w:val="2AA13D5C"/>
    <w:rsid w:val="2AB40C96"/>
    <w:rsid w:val="2AE641C4"/>
    <w:rsid w:val="2B127592"/>
    <w:rsid w:val="2B303D0C"/>
    <w:rsid w:val="2C016980"/>
    <w:rsid w:val="2C1803BA"/>
    <w:rsid w:val="2C3B4A7D"/>
    <w:rsid w:val="2D005543"/>
    <w:rsid w:val="2DC72575"/>
    <w:rsid w:val="2EC20B34"/>
    <w:rsid w:val="2EE61428"/>
    <w:rsid w:val="2F667538"/>
    <w:rsid w:val="2F672939"/>
    <w:rsid w:val="2F7173F4"/>
    <w:rsid w:val="2FE46284"/>
    <w:rsid w:val="2FEF1808"/>
    <w:rsid w:val="30F55546"/>
    <w:rsid w:val="3132076D"/>
    <w:rsid w:val="31462416"/>
    <w:rsid w:val="31650E11"/>
    <w:rsid w:val="319F7F4E"/>
    <w:rsid w:val="3216737A"/>
    <w:rsid w:val="321B3F9E"/>
    <w:rsid w:val="32744A79"/>
    <w:rsid w:val="32AF66C1"/>
    <w:rsid w:val="330B244B"/>
    <w:rsid w:val="33F367DE"/>
    <w:rsid w:val="34C600B7"/>
    <w:rsid w:val="350558DC"/>
    <w:rsid w:val="35197F29"/>
    <w:rsid w:val="359702AF"/>
    <w:rsid w:val="3606770B"/>
    <w:rsid w:val="369C407F"/>
    <w:rsid w:val="36AA2061"/>
    <w:rsid w:val="37103755"/>
    <w:rsid w:val="37CA3175"/>
    <w:rsid w:val="381D59C6"/>
    <w:rsid w:val="385F2D9F"/>
    <w:rsid w:val="3863346F"/>
    <w:rsid w:val="38981A2C"/>
    <w:rsid w:val="38AF4000"/>
    <w:rsid w:val="3A284DED"/>
    <w:rsid w:val="3A4961A2"/>
    <w:rsid w:val="3A753BCF"/>
    <w:rsid w:val="3B160602"/>
    <w:rsid w:val="3B62384E"/>
    <w:rsid w:val="3B7A5DCB"/>
    <w:rsid w:val="3C577A08"/>
    <w:rsid w:val="3C7D180B"/>
    <w:rsid w:val="3CE61241"/>
    <w:rsid w:val="3D7D7B49"/>
    <w:rsid w:val="3D932636"/>
    <w:rsid w:val="3E033259"/>
    <w:rsid w:val="3E8057E0"/>
    <w:rsid w:val="3F5C3BD4"/>
    <w:rsid w:val="3F6B6D06"/>
    <w:rsid w:val="3F847BC6"/>
    <w:rsid w:val="3F8A6316"/>
    <w:rsid w:val="400F63B6"/>
    <w:rsid w:val="40BC24D7"/>
    <w:rsid w:val="411C0604"/>
    <w:rsid w:val="41A81BF4"/>
    <w:rsid w:val="41CD6368"/>
    <w:rsid w:val="423C6D97"/>
    <w:rsid w:val="42B128CE"/>
    <w:rsid w:val="42D4444D"/>
    <w:rsid w:val="42D6389B"/>
    <w:rsid w:val="43901FF3"/>
    <w:rsid w:val="4485407B"/>
    <w:rsid w:val="45197877"/>
    <w:rsid w:val="454147D7"/>
    <w:rsid w:val="45E77CA6"/>
    <w:rsid w:val="45F058D9"/>
    <w:rsid w:val="463F55CF"/>
    <w:rsid w:val="47A54771"/>
    <w:rsid w:val="47F14A28"/>
    <w:rsid w:val="48080F9A"/>
    <w:rsid w:val="48132761"/>
    <w:rsid w:val="48BF745D"/>
    <w:rsid w:val="48F3371D"/>
    <w:rsid w:val="493230EC"/>
    <w:rsid w:val="495B5E6A"/>
    <w:rsid w:val="49FD362E"/>
    <w:rsid w:val="4A0809C1"/>
    <w:rsid w:val="4A40059B"/>
    <w:rsid w:val="4A7C14F5"/>
    <w:rsid w:val="4B007C79"/>
    <w:rsid w:val="4BBB5258"/>
    <w:rsid w:val="4BC21A96"/>
    <w:rsid w:val="4BC477E8"/>
    <w:rsid w:val="4BFA49AA"/>
    <w:rsid w:val="4CF44C00"/>
    <w:rsid w:val="4DA352C1"/>
    <w:rsid w:val="4E3F7726"/>
    <w:rsid w:val="4F1B5AD7"/>
    <w:rsid w:val="4F376DF7"/>
    <w:rsid w:val="4F4063A9"/>
    <w:rsid w:val="4FEE2A09"/>
    <w:rsid w:val="50282467"/>
    <w:rsid w:val="50487254"/>
    <w:rsid w:val="505E433A"/>
    <w:rsid w:val="5087262A"/>
    <w:rsid w:val="50DB7D4A"/>
    <w:rsid w:val="51637AEE"/>
    <w:rsid w:val="528A1716"/>
    <w:rsid w:val="53363F16"/>
    <w:rsid w:val="53EB01E1"/>
    <w:rsid w:val="543540B8"/>
    <w:rsid w:val="54390DA4"/>
    <w:rsid w:val="546D54C6"/>
    <w:rsid w:val="54C4172B"/>
    <w:rsid w:val="56AE7BCC"/>
    <w:rsid w:val="56BE0925"/>
    <w:rsid w:val="57374B83"/>
    <w:rsid w:val="573B119C"/>
    <w:rsid w:val="575240A1"/>
    <w:rsid w:val="5821259E"/>
    <w:rsid w:val="585D74CE"/>
    <w:rsid w:val="591B4588"/>
    <w:rsid w:val="594375A2"/>
    <w:rsid w:val="597134D9"/>
    <w:rsid w:val="59950FAA"/>
    <w:rsid w:val="5A3B2110"/>
    <w:rsid w:val="5AB203EB"/>
    <w:rsid w:val="5ACD037B"/>
    <w:rsid w:val="5B0116A5"/>
    <w:rsid w:val="5BBD072B"/>
    <w:rsid w:val="5BE53900"/>
    <w:rsid w:val="5C55381B"/>
    <w:rsid w:val="5C6854A6"/>
    <w:rsid w:val="5CC02D5E"/>
    <w:rsid w:val="5CEA675F"/>
    <w:rsid w:val="5D166438"/>
    <w:rsid w:val="5D413BFF"/>
    <w:rsid w:val="5D8272FC"/>
    <w:rsid w:val="5DE41F6F"/>
    <w:rsid w:val="5DE553BB"/>
    <w:rsid w:val="5E1B72EA"/>
    <w:rsid w:val="5F411F54"/>
    <w:rsid w:val="5F6D3791"/>
    <w:rsid w:val="5F707280"/>
    <w:rsid w:val="5FC04881"/>
    <w:rsid w:val="5FF607D3"/>
    <w:rsid w:val="602020F6"/>
    <w:rsid w:val="607C5168"/>
    <w:rsid w:val="609A3012"/>
    <w:rsid w:val="60A32513"/>
    <w:rsid w:val="62246AB5"/>
    <w:rsid w:val="62696D99"/>
    <w:rsid w:val="6283698A"/>
    <w:rsid w:val="62D25375"/>
    <w:rsid w:val="63A23B00"/>
    <w:rsid w:val="640072CD"/>
    <w:rsid w:val="64556E75"/>
    <w:rsid w:val="64640DCD"/>
    <w:rsid w:val="647D6A9E"/>
    <w:rsid w:val="64D26B63"/>
    <w:rsid w:val="64E50B1A"/>
    <w:rsid w:val="651B0E90"/>
    <w:rsid w:val="65B637C1"/>
    <w:rsid w:val="666C5E09"/>
    <w:rsid w:val="667D3CF7"/>
    <w:rsid w:val="671B69AD"/>
    <w:rsid w:val="675E3569"/>
    <w:rsid w:val="67C257C0"/>
    <w:rsid w:val="67E66480"/>
    <w:rsid w:val="67E964AE"/>
    <w:rsid w:val="69D037B4"/>
    <w:rsid w:val="6A5C7F9D"/>
    <w:rsid w:val="6AAD3C2F"/>
    <w:rsid w:val="6ABC0E11"/>
    <w:rsid w:val="6AD04A13"/>
    <w:rsid w:val="6B2749CC"/>
    <w:rsid w:val="6B885F19"/>
    <w:rsid w:val="6BA9770F"/>
    <w:rsid w:val="6C4934B3"/>
    <w:rsid w:val="6C517164"/>
    <w:rsid w:val="6C6D7E37"/>
    <w:rsid w:val="6CAA1045"/>
    <w:rsid w:val="6CF43606"/>
    <w:rsid w:val="6D407525"/>
    <w:rsid w:val="6D794136"/>
    <w:rsid w:val="6D8C0CC9"/>
    <w:rsid w:val="6DFB610C"/>
    <w:rsid w:val="6EC75B2C"/>
    <w:rsid w:val="6F676C88"/>
    <w:rsid w:val="6FBA281E"/>
    <w:rsid w:val="6FF24D30"/>
    <w:rsid w:val="73156681"/>
    <w:rsid w:val="73681818"/>
    <w:rsid w:val="74521289"/>
    <w:rsid w:val="745F545C"/>
    <w:rsid w:val="74905EDB"/>
    <w:rsid w:val="74E85927"/>
    <w:rsid w:val="74F52008"/>
    <w:rsid w:val="757D4818"/>
    <w:rsid w:val="759860B3"/>
    <w:rsid w:val="759B7D3F"/>
    <w:rsid w:val="75E90A36"/>
    <w:rsid w:val="761C7873"/>
    <w:rsid w:val="76467A01"/>
    <w:rsid w:val="76686255"/>
    <w:rsid w:val="771B003E"/>
    <w:rsid w:val="776D2DBC"/>
    <w:rsid w:val="782526EF"/>
    <w:rsid w:val="78344508"/>
    <w:rsid w:val="78B444F7"/>
    <w:rsid w:val="78CC6388"/>
    <w:rsid w:val="79B65382"/>
    <w:rsid w:val="79FF019B"/>
    <w:rsid w:val="7ACC7318"/>
    <w:rsid w:val="7AF82EB9"/>
    <w:rsid w:val="7B3979EE"/>
    <w:rsid w:val="7B566563"/>
    <w:rsid w:val="7C5E569B"/>
    <w:rsid w:val="7C882B44"/>
    <w:rsid w:val="7D7C5A2F"/>
    <w:rsid w:val="7EFB6169"/>
    <w:rsid w:val="7F10746A"/>
    <w:rsid w:val="7FE864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015147752669481"/>
                  <c:y val="0.0337748344370861"/>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53960764837348"/>
                      <c:h val="0.061589403973509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2018年一般公共预算拨款</c:v>
                </c:pt>
                <c:pt idx="1">
                  <c:v>2019年一般公共预算拨款</c:v>
                </c:pt>
              </c:strCache>
            </c:strRef>
          </c:cat>
          <c:val>
            <c:numRef>
              <c:f>Sheet1!$B$2:$B$3</c:f>
              <c:numCache>
                <c:formatCode>General</c:formatCode>
                <c:ptCount val="2"/>
                <c:pt idx="0">
                  <c:v>338.42</c:v>
                </c:pt>
                <c:pt idx="1">
                  <c:v>373.35</c:v>
                </c:pt>
              </c:numCache>
            </c:numRef>
          </c:val>
        </c:ser>
        <c:dLbls>
          <c:showLegendKey val="0"/>
          <c:showVal val="1"/>
          <c:showCatName val="0"/>
          <c:showSerName val="0"/>
          <c:showPercent val="0"/>
          <c:showBubbleSize val="0"/>
        </c:dLbls>
        <c:gapWidth val="219"/>
        <c:overlap val="-27"/>
        <c:axId val="540895104"/>
        <c:axId val="608572374"/>
      </c:barChart>
      <c:catAx>
        <c:axId val="5408951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8572374"/>
        <c:crosses val="autoZero"/>
        <c:auto val="1"/>
        <c:lblAlgn val="ctr"/>
        <c:lblOffset val="100"/>
        <c:noMultiLvlLbl val="0"/>
      </c:catAx>
      <c:valAx>
        <c:axId val="6085723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08951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22</TotalTime>
  <ScaleCrop>false</ScaleCrop>
  <LinksUpToDate>false</LinksUpToDate>
  <CharactersWithSpaces>9641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lenovo</cp:lastModifiedBy>
  <cp:lastPrinted>2019-08-01T00:48:00Z</cp:lastPrinted>
  <dcterms:modified xsi:type="dcterms:W3CDTF">2020-11-12T05:37:54Z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