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Hlk18330791"/>
      <w:bookmarkEnd w:id="0"/>
      <w:bookmarkStart w:id="1" w:name="_Toc15306267"/>
      <w:bookmarkStart w:id="55" w:name="_GoBack"/>
      <w:bookmarkEnd w:id="55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60" w:lineRule="exact"/>
        <w:jc w:val="center"/>
        <w:textAlignment w:val="auto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2" w:name="_Toc15377425"/>
      <w:bookmarkStart w:id="3" w:name="_Toc15378441"/>
      <w:bookmarkStart w:id="4" w:name="_Toc15396475"/>
      <w:bookmarkStart w:id="5" w:name="_Toc15396597"/>
      <w:bookmarkStart w:id="6" w:name="_Toc15377193"/>
      <w:r>
        <w:rPr>
          <w:rFonts w:ascii="黑体" w:hAnsi="黑体" w:eastAsia="黑体"/>
          <w:color w:val="000000"/>
          <w:sz w:val="72"/>
          <w:szCs w:val="72"/>
        </w:rPr>
        <w:t>201</w:t>
      </w:r>
      <w:r>
        <w:rPr>
          <w:rFonts w:hint="eastAsia" w:ascii="黑体" w:hAnsi="黑体" w:eastAsia="黑体"/>
          <w:color w:val="000000"/>
          <w:sz w:val="72"/>
          <w:szCs w:val="72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年度</w:t>
      </w:r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60" w:lineRule="exact"/>
        <w:jc w:val="center"/>
        <w:textAlignment w:val="auto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7" w:name="_Toc15396598"/>
      <w:bookmarkStart w:id="8" w:name="_Toc15377194"/>
      <w:bookmarkStart w:id="9" w:name="_Toc15377426"/>
      <w:bookmarkStart w:id="10" w:name="_Toc15378442"/>
      <w:bookmarkStart w:id="11" w:name="_Toc15396476"/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四川省</w:t>
      </w:r>
      <w:bookmarkEnd w:id="1"/>
      <w:bookmarkStart w:id="12" w:name="_Toc15306268"/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宣汉县东乡镇第一完全小学部门决算</w:t>
      </w:r>
      <w:bookmarkEnd w:id="7"/>
      <w:bookmarkEnd w:id="8"/>
      <w:bookmarkEnd w:id="9"/>
      <w:bookmarkEnd w:id="10"/>
      <w:bookmarkEnd w:id="11"/>
      <w:bookmarkEnd w:id="12"/>
    </w:p>
    <w:p>
      <w:pPr>
        <w:adjustRightInd w:val="0"/>
        <w:snapToGrid w:val="0"/>
        <w:spacing w:line="360" w:lineRule="auto"/>
        <w:outlineLvl w:val="0"/>
        <w:rPr>
          <w:rFonts w:ascii="方正小标宋简体" w:hAnsi="宋体" w:eastAsia="方正小标宋简体"/>
          <w:color w:val="000000"/>
          <w:sz w:val="52"/>
          <w:szCs w:val="52"/>
        </w:rPr>
      </w:pPr>
    </w:p>
    <w:p>
      <w:pPr>
        <w:widowControl/>
        <w:jc w:val="center"/>
        <w:rPr>
          <w:rFonts w:ascii="黑体" w:hAnsi="黑体" w:eastAsia="黑体"/>
          <w:color w:val="000000"/>
          <w:sz w:val="48"/>
          <w:szCs w:val="48"/>
        </w:rPr>
      </w:pPr>
      <w:r>
        <w:rPr>
          <w:rFonts w:ascii="方正小标宋简体" w:hAnsi="宋体" w:eastAsia="方正小标宋简体"/>
          <w:color w:val="000000"/>
          <w:sz w:val="36"/>
          <w:szCs w:val="36"/>
        </w:rPr>
        <w:br w:type="page"/>
      </w:r>
      <w:r>
        <w:rPr>
          <w:rFonts w:hint="eastAsia" w:ascii="黑体" w:hAnsi="黑体" w:eastAsia="黑体"/>
          <w:color w:val="000000"/>
          <w:sz w:val="48"/>
          <w:szCs w:val="48"/>
        </w:rPr>
        <w:t>目录</w:t>
      </w:r>
    </w:p>
    <w:p>
      <w:pPr>
        <w:widowControl/>
        <w:jc w:val="center"/>
        <w:rPr>
          <w:rFonts w:ascii="黑体" w:hAnsi="黑体" w:eastAsia="黑体" w:cstheme="minorBidi"/>
          <w:sz w:val="28"/>
          <w:szCs w:val="28"/>
        </w:rPr>
      </w:pPr>
      <w:r>
        <w:rPr>
          <w:rFonts w:ascii="黑体" w:hAnsi="黑体" w:eastAsia="黑体"/>
          <w:color w:val="000000"/>
          <w:sz w:val="48"/>
          <w:szCs w:val="48"/>
        </w:rPr>
        <w:fldChar w:fldCharType="begin"/>
      </w:r>
      <w:r>
        <w:rPr>
          <w:rFonts w:ascii="黑体" w:hAnsi="黑体" w:eastAsia="黑体"/>
          <w:color w:val="000000"/>
          <w:sz w:val="48"/>
          <w:szCs w:val="48"/>
        </w:rPr>
        <w:instrText xml:space="preserve"> TOC \o "1-2" \h \z \u </w:instrText>
      </w:r>
      <w:r>
        <w:rPr>
          <w:rFonts w:ascii="黑体" w:hAnsi="黑体" w:eastAsia="黑体"/>
          <w:color w:val="000000"/>
          <w:sz w:val="48"/>
          <w:szCs w:val="48"/>
        </w:rPr>
        <w:fldChar w:fldCharType="separate"/>
      </w:r>
    </w:p>
    <w:p>
      <w:pPr>
        <w:pStyle w:val="1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公开时间：20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pStyle w:val="1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"_Toc15396599"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Style w:val="15"/>
          <w:rFonts w:hint="eastAsia" w:ascii="宋体" w:hAnsi="宋体" w:eastAsia="宋体" w:cs="宋体"/>
          <w:sz w:val="32"/>
          <w:szCs w:val="32"/>
        </w:rPr>
        <w:t>第一部分部门概况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"_Toc15396600"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Style w:val="15"/>
          <w:rFonts w:hint="eastAsia" w:ascii="宋体" w:hAnsi="宋体" w:eastAsia="宋体" w:cs="宋体"/>
          <w:sz w:val="32"/>
          <w:szCs w:val="32"/>
        </w:rPr>
        <w:t>一、基本职能及主要工作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"_Toc15396601"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二、机构设置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_Toc15396601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0"/>
      </w:pPr>
      <w:r>
        <w:fldChar w:fldCharType="begin"/>
      </w:r>
      <w:r>
        <w:instrText xml:space="preserve"> HYPERLINK \l "_Toc15396602" </w:instrText>
      </w:r>
      <w:r>
        <w:fldChar w:fldCharType="separate"/>
      </w:r>
      <w:r>
        <w:rPr>
          <w:rStyle w:val="15"/>
          <w:rFonts w:hint="eastAsia"/>
        </w:rPr>
        <w:t>第二部分</w:t>
      </w:r>
      <w:r>
        <w:rPr>
          <w:rStyle w:val="15"/>
        </w:rPr>
        <w:t xml:space="preserve"> 2018</w:t>
      </w:r>
      <w:r>
        <w:rPr>
          <w:rStyle w:val="15"/>
          <w:rFonts w:hint="eastAsia"/>
        </w:rPr>
        <w:t>年度部门决算情况说明</w:t>
      </w:r>
      <w:r>
        <w:tab/>
      </w:r>
      <w:r>
        <w:fldChar w:fldCharType="begin"/>
      </w:r>
      <w:r>
        <w:instrText xml:space="preserve"> PAGEREF _Toc15396602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"_Toc15396603" </w:instrText>
      </w:r>
      <w:r>
        <w:fldChar w:fldCharType="separate"/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一、</w:t>
      </w:r>
      <w:r>
        <w:rPr>
          <w:rStyle w:val="15"/>
          <w:rFonts w:hint="eastAsia" w:ascii="仿宋" w:hAnsi="仿宋" w:eastAsia="仿宋"/>
          <w:sz w:val="28"/>
          <w:szCs w:val="28"/>
        </w:rPr>
        <w:t>收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入支出决算总体情况说明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_Toc15396603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"_Toc15396604" </w:instrText>
      </w:r>
      <w:r>
        <w:fldChar w:fldCharType="separate"/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二、</w:t>
      </w:r>
      <w:r>
        <w:rPr>
          <w:rStyle w:val="15"/>
          <w:rFonts w:hint="eastAsia" w:ascii="仿宋" w:hAnsi="仿宋" w:eastAsia="仿宋"/>
          <w:sz w:val="28"/>
          <w:szCs w:val="28"/>
        </w:rPr>
        <w:t>收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入决算情况说明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_Toc15396604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"_Toc15396605" </w:instrText>
      </w:r>
      <w:r>
        <w:fldChar w:fldCharType="separate"/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三、</w:t>
      </w:r>
      <w:r>
        <w:rPr>
          <w:rStyle w:val="15"/>
          <w:rFonts w:hint="eastAsia" w:ascii="仿宋" w:hAnsi="仿宋" w:eastAsia="仿宋"/>
          <w:sz w:val="28"/>
          <w:szCs w:val="28"/>
        </w:rPr>
        <w:t>支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_Toc15396605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"_Toc15396606"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四、财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政拨款收入支出决算总体情况说明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_Toc15396606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"_Toc15396607"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五、一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般公共预算财政拨款支出决算情况说明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_Toc15396607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"_Toc15396608"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六、一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般公共预算财政拨款基本支出决算情况说明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_Toc15396608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"_Toc15396609"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七、</w:t>
      </w:r>
      <w:r>
        <w:rPr>
          <w:rStyle w:val="15"/>
          <w:rFonts w:ascii="仿宋" w:hAnsi="仿宋" w:eastAsia="仿宋"/>
          <w:sz w:val="28"/>
          <w:szCs w:val="28"/>
        </w:rPr>
        <w:t>“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三公”经费财政拨款支出决算情况说明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_Toc15396609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"_Toc15396610"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八、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政府性基金预算支出决算情况说明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_Toc15396610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13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"_Toc15396611" </w:instrText>
      </w:r>
      <w:r>
        <w:fldChar w:fldCharType="separate"/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九、</w:t>
      </w:r>
      <w:r>
        <w:rPr>
          <w:rStyle w:val="15"/>
          <w:rFonts w:hint="eastAsia" w:ascii="仿宋" w:hAnsi="仿宋" w:eastAsia="仿宋"/>
          <w:sz w:val="28"/>
          <w:szCs w:val="28"/>
        </w:rPr>
        <w:t xml:space="preserve"> 国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有资本经营预算支出决算情况说明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_Toc15396611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13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"_Toc15396612"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十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一、其他重要事项的情况说明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13</w:t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widowControl/>
        <w:jc w:val="lef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fldChar w:fldCharType="end"/>
      </w:r>
    </w:p>
    <w:p>
      <w:pPr>
        <w:widowControl/>
        <w:jc w:val="left"/>
        <w:rPr>
          <w:rFonts w:ascii="黑体" w:hAnsi="黑体" w:eastAsia="黑体"/>
          <w:bCs/>
          <w:kern w:val="44"/>
          <w:sz w:val="44"/>
          <w:szCs w:val="44"/>
        </w:rPr>
      </w:pPr>
      <w:bookmarkStart w:id="13" w:name="_Toc15396599"/>
      <w:bookmarkStart w:id="14" w:name="_Toc15377196"/>
      <w:r>
        <w:rPr>
          <w:rFonts w:ascii="黑体" w:hAnsi="黑体" w:eastAsia="黑体"/>
          <w:b/>
        </w:rPr>
        <w:br w:type="page"/>
      </w:r>
    </w:p>
    <w:p>
      <w:pPr>
        <w:pStyle w:val="2"/>
        <w:jc w:val="center"/>
        <w:rPr>
          <w:rStyle w:val="24"/>
          <w:rFonts w:ascii="黑体" w:hAnsi="黑体" w:eastAsia="黑体"/>
          <w:b/>
          <w:bCs w:val="0"/>
        </w:rPr>
      </w:pPr>
      <w:r>
        <w:rPr>
          <w:rFonts w:hint="eastAsia" w:ascii="黑体" w:hAnsi="黑体" w:eastAsia="黑体"/>
          <w:b w:val="0"/>
        </w:rPr>
        <w:t xml:space="preserve">第一部分 </w:t>
      </w:r>
      <w:r>
        <w:rPr>
          <w:rStyle w:val="24"/>
          <w:rFonts w:hint="eastAsia" w:ascii="黑体" w:hAnsi="黑体" w:eastAsia="黑体"/>
          <w:b w:val="0"/>
          <w:bCs w:val="0"/>
        </w:rPr>
        <w:t>部门概况</w:t>
      </w:r>
      <w:bookmarkEnd w:id="13"/>
      <w:bookmarkEnd w:id="14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textAlignment w:val="auto"/>
        <w:rPr>
          <w:rStyle w:val="25"/>
          <w:rFonts w:ascii="仿宋" w:hAnsi="仿宋" w:eastAsia="仿宋"/>
          <w:b w:val="0"/>
          <w:bCs w:val="0"/>
        </w:rPr>
      </w:pPr>
      <w:bookmarkStart w:id="15" w:name="_Toc15377197"/>
      <w:bookmarkStart w:id="16" w:name="_Toc15396600"/>
      <w:r>
        <w:rPr>
          <w:rFonts w:hint="eastAsia" w:ascii="黑体" w:hAnsi="黑体" w:eastAsia="黑体"/>
          <w:b w:val="0"/>
          <w:color w:val="000000"/>
        </w:rPr>
        <w:t>一、基</w:t>
      </w:r>
      <w:r>
        <w:rPr>
          <w:rStyle w:val="25"/>
          <w:rFonts w:hint="eastAsia" w:ascii="黑体" w:hAnsi="黑体" w:eastAsia="黑体"/>
          <w:b w:val="0"/>
          <w:bCs w:val="0"/>
        </w:rPr>
        <w:t>本职能及主要工作</w:t>
      </w:r>
      <w:bookmarkEnd w:id="15"/>
      <w:bookmarkEnd w:id="16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textAlignment w:val="auto"/>
        <w:outlineLvl w:val="2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bookmarkStart w:id="17" w:name="_Toc15378445"/>
      <w:bookmarkStart w:id="18" w:name="_Toc15377198"/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）主要职能。（职能参照省政府批准的三定方案）</w:t>
      </w:r>
      <w:bookmarkEnd w:id="17"/>
      <w:bookmarkEnd w:id="18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72" w:firstLineChars="210"/>
        <w:textAlignment w:val="auto"/>
        <w:outlineLvl w:val="2"/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宣汉县东乡镇第一完全小学属县城的完全小学，编制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114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人，实有在职教师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114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人，退休教师4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人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在校学生2236人。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textAlignment w:val="auto"/>
        <w:outlineLvl w:val="2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bookmarkStart w:id="19" w:name="_Toc15378446"/>
      <w:bookmarkStart w:id="20" w:name="_Toc15377199"/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（二）201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年重点工作完成情况。</w:t>
      </w:r>
      <w:bookmarkEnd w:id="19"/>
      <w:bookmarkEnd w:id="20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Lines="0"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A3A3A"/>
          <w:sz w:val="32"/>
          <w:szCs w:val="32"/>
        </w:rPr>
        <w:t>2019年重点工作任务：</w:t>
      </w:r>
      <w:r>
        <w:rPr>
          <w:rFonts w:hint="eastAsia" w:ascii="宋体" w:hAnsi="宋体" w:eastAsia="宋体" w:cs="宋体"/>
          <w:color w:val="3A3A3A"/>
          <w:sz w:val="32"/>
          <w:szCs w:val="32"/>
          <w:lang w:eastAsia="zh-CN"/>
        </w:rPr>
        <w:t>认真落实“三向三要”目标任务，</w:t>
      </w:r>
      <w:r>
        <w:rPr>
          <w:rFonts w:hint="eastAsia" w:ascii="宋体" w:hAnsi="宋体" w:eastAsia="宋体" w:cs="宋体"/>
          <w:sz w:val="32"/>
          <w:szCs w:val="32"/>
        </w:rPr>
        <w:t>重教学常规，完成课堂教学展评活动。为促进校本教研，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加快构建高效课堂，全面落实本学年学校制定的各项管理措施，展示全体教师课堂风采，</w:t>
      </w:r>
      <w:r>
        <w:rPr>
          <w:rFonts w:hint="eastAsia" w:ascii="宋体" w:hAnsi="宋体" w:eastAsia="宋体" w:cs="宋体"/>
          <w:sz w:val="32"/>
          <w:szCs w:val="32"/>
        </w:rPr>
        <w:t>学校制定了课堂教学展评活动计划，进行了具体实施。强化各种培训，引领高效课堂。学校根据上级有关安排，学校派出中小学教师外出提高培训，同时参加校本培训；有86多名教师参加了县级赛课活动，114名教师参加了规范性培训、10名教师参加了市县级骨干教师培训。同时，要求参加省、市研讨培训的教师，回校后必须进行一次汇报讲课或培训活动，以引领高效课堂，不断提高教师的业务水平，促进了一大批中青年教师的成长，推动了学校教育教学工作向纵深发展；充分发挥远程教育设备的作用，机构健全、项目设备运行正常，做到了资源的合理使用。目前，省级骨干教师1人，学校有市级骨干教9人，市级学科带头人3人，县级学科带头人5人，县骨干教师18人，校级骨干教师32余人。强化领导进课堂活动，促课堂教学新发展。我校在过去高效活动基础上，根据教科局文件要求，强化了学校领导进课堂活动，促进了课堂教学新发展。一是做好听课、评课活动，保证听课数量和质量。正、副校长每月听课在八节以上，中层领导和部门负责人在六节以上，并做好与任课教师的交流。二是引进通川八小教学经验，提升教师素质。三是学校开展了丰富多彩的活动。上、下期都举行了开学典礼，开展了入学教育，上好了开学第一课。</w:t>
      </w:r>
      <w:r>
        <w:rPr>
          <w:rFonts w:hint="eastAsia" w:ascii="宋体" w:hAnsi="宋体" w:eastAsia="宋体" w:cs="宋体"/>
          <w:color w:val="3A3A3A"/>
          <w:sz w:val="32"/>
          <w:szCs w:val="32"/>
        </w:rPr>
        <w:t>规范学校管理，创新机制，大力推进学校各项管理制度改革，充分调动广大教师教育教学积极性，充分调动广大教职工参与和监督学校管理的积极性、主动性；加强教师师德修养，在教师中明确为学生成长服务的意识，在中层以上干部中明确为教师发展服务的意识，以学生的成长为本、以教师的发展为本；聚焦课堂教学，积极构建有效课堂模式，在全面学习“主体参与”课堂模式的基础上，形成我校特色的课堂教学模式；抓好班主任队伍建设，要求每学年完成一篇读书心得加一篇班主任工作经验交流论文，完善班主任论坛、班主任考核制度，建成一支有特色的班主任队伍；开展“平安校园”创建工作。加强校园安全的预防工作，建立总务部门每日巡查校园制度，对巡查过程中发现的卫生死角与安全隐患问题，在一到两周内整改落实到位。进一步做好学校卫生防病工作，加强预防传染病的宣传教育，尤其要继续做好甲流的防治工作。加强消防安全管理，杜绝火灾、食物中毒、楼梯踩踏等恶性事故的发生，确保师生的安全；加强财务管理，开展开源节流活动，做好学生的营养餐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年度安排刘春兰、宋晓帆、符旭辉等36人次到市内外参加培训及观摩学习。李朝晖代表宣汉县参加达州市美术教师讲课赛获得一等奖；周忠杰代表宣汉县参加达州市数学教师讲课赛获得二等奖；何友权代表宣汉县参加市体育教师全能比赛，获得二等奖。学校艺术体操队代表宣汉县参加达州市幼儿体操比赛获得一等奖；学校乒乓球队参加县乒乓球赛女子组获得一等奖，男子组获得二等奖；学校足球队参加县小学生校园足球竞赛取得良好成绩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30" w:firstLineChars="210"/>
        <w:textAlignment w:val="auto"/>
        <w:outlineLvl w:val="2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校先后被评为宣汉县“五进校园活动先进学校”、“先进基层党组织”、“民办教育托管工作先进单位”、“青少年儿童书信文化活动组织先进单位”、“普通高考工作先进集体”、“校本培训先进集体”、“宣汉县五四红旗团支部”、宣汉县“巴人舞比赛活动一等奖”、“快乐大课间活动一等奖”、“《我和我的祖国》歌咏比赛活动一等奖”、“小学教育教学工作先进单位”、“综合目标考核一等奖”，</w:t>
      </w:r>
      <w:r>
        <w:rPr>
          <w:rFonts w:hint="eastAsia" w:ascii="宋体" w:hAnsi="宋体" w:eastAsia="宋体" w:cs="宋体"/>
          <w:sz w:val="30"/>
          <w:szCs w:val="30"/>
        </w:rPr>
        <w:t>连续7年保持了“星级平安学校”的称号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；学校承研课题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《城镇小学“网络型”家长学校的建设与管理研究》荣获2019年度达州市教育科研成果一等奖，《课堂生成性问题的教学策略研究》荣获二等奖；有30余</w:t>
      </w:r>
      <w:r>
        <w:rPr>
          <w:rFonts w:hint="eastAsia" w:ascii="宋体" w:hAnsi="宋体" w:eastAsia="宋体" w:cs="宋体"/>
          <w:sz w:val="30"/>
          <w:szCs w:val="30"/>
        </w:rPr>
        <w:t>名教师撰写的论文获得市县级一二等奖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；科技创新工作再创佳绩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赵镜然同学创作的作品《教练车中央后视镜》获省一等奖。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textAlignment w:val="auto"/>
        <w:rPr>
          <w:rStyle w:val="25"/>
          <w:rFonts w:hint="eastAsia" w:ascii="宋体" w:hAnsi="宋体" w:eastAsia="宋体" w:cs="宋体"/>
          <w:b w:val="0"/>
          <w:bCs w:val="0"/>
        </w:rPr>
      </w:pPr>
      <w:bookmarkStart w:id="21" w:name="_Toc15377200"/>
      <w:bookmarkStart w:id="22" w:name="_Toc15396601"/>
      <w:r>
        <w:rPr>
          <w:rFonts w:hint="eastAsia" w:ascii="宋体" w:hAnsi="宋体" w:eastAsia="宋体" w:cs="宋体"/>
          <w:b w:val="0"/>
          <w:color w:val="000000"/>
        </w:rPr>
        <w:t>二、机</w:t>
      </w:r>
      <w:r>
        <w:rPr>
          <w:rStyle w:val="25"/>
          <w:rFonts w:hint="eastAsia" w:ascii="宋体" w:hAnsi="宋体" w:eastAsia="宋体" w:cs="宋体"/>
          <w:b w:val="0"/>
          <w:bCs w:val="0"/>
        </w:rPr>
        <w:t>构设置</w:t>
      </w:r>
      <w:bookmarkEnd w:id="21"/>
      <w:bookmarkEnd w:id="22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宣汉县东乡镇第一完全小学属全额拨款事业单位，无下属二级单位。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440"/>
        <w:jc w:val="right"/>
        <w:textAlignment w:val="auto"/>
        <w:rPr>
          <w:rStyle w:val="24"/>
          <w:rFonts w:ascii="黑体" w:hAnsi="黑体" w:eastAsia="黑体"/>
          <w:b w:val="0"/>
          <w:bCs w:val="0"/>
        </w:rPr>
      </w:pPr>
      <w:bookmarkStart w:id="23" w:name="_Toc15396602"/>
      <w:bookmarkStart w:id="24" w:name="_Toc15377204"/>
      <w:r>
        <w:rPr>
          <w:rFonts w:hint="eastAsia" w:ascii="黑体" w:hAnsi="黑体" w:eastAsia="黑体"/>
          <w:b w:val="0"/>
          <w:color w:val="000000"/>
        </w:rPr>
        <w:t>第二部分</w:t>
      </w:r>
      <w:r>
        <w:rPr>
          <w:rStyle w:val="24"/>
          <w:rFonts w:hint="eastAsia" w:ascii="黑体" w:hAnsi="黑体" w:eastAsia="黑体"/>
          <w:b w:val="0"/>
          <w:bCs w:val="0"/>
        </w:rPr>
        <w:t>201</w:t>
      </w:r>
      <w:r>
        <w:rPr>
          <w:rStyle w:val="24"/>
          <w:rFonts w:hint="eastAsia" w:ascii="黑体" w:hAnsi="黑体" w:eastAsia="黑体"/>
          <w:b w:val="0"/>
          <w:bCs w:val="0"/>
          <w:lang w:val="en-US" w:eastAsia="zh-CN"/>
        </w:rPr>
        <w:t>9</w:t>
      </w:r>
      <w:r>
        <w:rPr>
          <w:rStyle w:val="24"/>
          <w:rFonts w:hint="eastAsia" w:ascii="黑体" w:hAnsi="黑体" w:eastAsia="黑体"/>
          <w:b w:val="0"/>
          <w:bCs w:val="0"/>
        </w:rPr>
        <w:t>年度部门决算情况说明</w:t>
      </w:r>
      <w:bookmarkEnd w:id="23"/>
      <w:bookmarkEnd w:id="24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outlineLvl w:val="1"/>
        <w:rPr>
          <w:rStyle w:val="25"/>
          <w:rFonts w:ascii="黑体" w:hAnsi="黑体" w:eastAsia="黑体"/>
          <w:b w:val="0"/>
        </w:rPr>
      </w:pPr>
      <w:bookmarkStart w:id="25" w:name="_Toc15377205"/>
      <w:bookmarkStart w:id="26" w:name="_Toc15396603"/>
      <w:r>
        <w:rPr>
          <w:rFonts w:hint="eastAsia" w:ascii="黑体" w:hAnsi="黑体" w:eastAsia="黑体"/>
          <w:color w:val="000000"/>
          <w:sz w:val="32"/>
          <w:szCs w:val="32"/>
        </w:rPr>
        <w:t>收</w:t>
      </w:r>
      <w:r>
        <w:rPr>
          <w:rStyle w:val="25"/>
          <w:rFonts w:hint="eastAsia" w:ascii="黑体" w:hAnsi="黑体" w:eastAsia="黑体"/>
          <w:b w:val="0"/>
        </w:rPr>
        <w:t>入支出决算总体情况说明</w:t>
      </w:r>
      <w:bookmarkEnd w:id="25"/>
      <w:bookmarkEnd w:id="26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年度</w:t>
      </w:r>
      <w:bookmarkStart w:id="27" w:name="_Hlk18310436"/>
      <w:r>
        <w:rPr>
          <w:rFonts w:hint="eastAsia" w:ascii="宋体" w:hAnsi="宋体" w:eastAsia="宋体" w:cs="宋体"/>
          <w:color w:val="000000"/>
          <w:sz w:val="32"/>
          <w:szCs w:val="32"/>
        </w:rPr>
        <w:t>收入1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543.16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万元，支出1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543.16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万元。与201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1925.16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相比，收入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减少382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减少19.84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%，支出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减少382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减少19.84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%。主要变动原因是</w:t>
      </w:r>
      <w:bookmarkStart w:id="28" w:name="_Hlk18053656"/>
      <w:r>
        <w:rPr>
          <w:rFonts w:hint="eastAsia" w:ascii="宋体" w:hAnsi="宋体" w:eastAsia="宋体" w:cs="宋体"/>
          <w:color w:val="000000"/>
          <w:sz w:val="32"/>
          <w:szCs w:val="32"/>
        </w:rPr>
        <w:t>一是201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年学校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与百节溪小学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分校，人员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经费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，商品服务支出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  <w:bookmarkEnd w:id="28"/>
    </w:p>
    <w:bookmarkEnd w:id="27"/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（图1：收、支决算总计变动情况图）（柱状图）</w:t>
      </w:r>
    </w:p>
    <w:p>
      <w:pPr>
        <w:tabs>
          <w:tab w:val="left" w:pos="420"/>
          <w:tab w:val="left" w:pos="840"/>
          <w:tab w:val="left" w:pos="7155"/>
          <w:tab w:val="right" w:pos="8306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76200</wp:posOffset>
            </wp:positionV>
            <wp:extent cx="5276850" cy="2838450"/>
            <wp:effectExtent l="0" t="0" r="0" b="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/>
          <w:color w:val="000000"/>
          <w:sz w:val="32"/>
          <w:szCs w:val="32"/>
        </w:rPr>
        <w:tab/>
      </w:r>
    </w:p>
    <w:p>
      <w:pPr>
        <w:tabs>
          <w:tab w:val="left" w:pos="6585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ab/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6810"/>
          <w:tab w:val="right" w:pos="8306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/>
          <w:color w:val="000000"/>
          <w:sz w:val="32"/>
          <w:szCs w:val="32"/>
        </w:rPr>
        <w:tab/>
      </w:r>
    </w:p>
    <w:p>
      <w:pPr>
        <w:tabs>
          <w:tab w:val="left" w:pos="6810"/>
          <w:tab w:val="right" w:pos="8306"/>
        </w:tabs>
        <w:spacing w:line="600" w:lineRule="exact"/>
        <w:ind w:firstLine="640" w:firstLineChars="200"/>
        <w:jc w:val="left"/>
        <w:rPr>
          <w:rFonts w:ascii="仿宋_GB2312" w:eastAsia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outlineLvl w:val="1"/>
        <w:rPr>
          <w:rStyle w:val="25"/>
          <w:rFonts w:ascii="黑体" w:hAnsi="黑体" w:eastAsia="黑体"/>
          <w:b w:val="0"/>
        </w:rPr>
      </w:pPr>
      <w:bookmarkStart w:id="29" w:name="_Toc15377206"/>
      <w:bookmarkStart w:id="30" w:name="_Toc15396604"/>
      <w:r>
        <w:rPr>
          <w:rFonts w:hint="eastAsia" w:ascii="黑体" w:hAnsi="黑体" w:eastAsia="黑体"/>
          <w:color w:val="000000"/>
          <w:sz w:val="32"/>
          <w:szCs w:val="32"/>
        </w:rPr>
        <w:t>收</w:t>
      </w:r>
      <w:r>
        <w:rPr>
          <w:rStyle w:val="25"/>
          <w:rFonts w:hint="eastAsia" w:ascii="黑体" w:hAnsi="黑体" w:eastAsia="黑体"/>
          <w:b w:val="0"/>
        </w:rPr>
        <w:t>入决算情况说明</w:t>
      </w:r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年本年收入合计1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543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.16万元，其中：一般公共预算财政拨款收入1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543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.16万元，占100%。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（图2：收入决算结构图）（饼状图）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38100</wp:posOffset>
            </wp:positionV>
            <wp:extent cx="4705350" cy="3009900"/>
            <wp:effectExtent l="0" t="0" r="0" b="0"/>
            <wp:wrapNone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23"/>
        <w:numPr>
          <w:ilvl w:val="0"/>
          <w:numId w:val="1"/>
        </w:numPr>
        <w:spacing w:line="600" w:lineRule="exact"/>
        <w:ind w:firstLineChars="0"/>
        <w:outlineLvl w:val="1"/>
        <w:rPr>
          <w:rStyle w:val="25"/>
          <w:rFonts w:ascii="黑体" w:hAnsi="黑体" w:eastAsia="黑体"/>
          <w:b w:val="0"/>
        </w:rPr>
      </w:pPr>
      <w:bookmarkStart w:id="31" w:name="_Toc15396605"/>
      <w:bookmarkStart w:id="32" w:name="_Toc15377207"/>
      <w:r>
        <w:rPr>
          <w:rFonts w:hint="eastAsia" w:ascii="黑体" w:hAnsi="黑体" w:eastAsia="黑体"/>
          <w:color w:val="000000"/>
          <w:sz w:val="32"/>
          <w:szCs w:val="32"/>
        </w:rPr>
        <w:t>支</w:t>
      </w:r>
      <w:r>
        <w:rPr>
          <w:rStyle w:val="25"/>
          <w:rFonts w:hint="eastAsia" w:ascii="黑体" w:hAnsi="黑体" w:eastAsia="黑体"/>
          <w:b w:val="0"/>
        </w:rPr>
        <w:t>出决算情况说明</w:t>
      </w:r>
      <w:bookmarkEnd w:id="31"/>
      <w:bookmarkEnd w:id="32"/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  <w:shd w:val="pct10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年本年支出合计1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543.16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万元，其中：基本支出1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242.24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80.50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%；项目支出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300.92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万元，占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19.50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（图3：支出决算结构图）（饼状图）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161925</wp:posOffset>
            </wp:positionV>
            <wp:extent cx="4895850" cy="3076575"/>
            <wp:effectExtent l="5080" t="4445" r="13970" b="5080"/>
            <wp:wrapNone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Style w:val="25"/>
          <w:rFonts w:hint="eastAsia" w:ascii="宋体" w:hAnsi="宋体" w:eastAsia="宋体" w:cs="宋体"/>
          <w:b w:val="0"/>
        </w:rPr>
      </w:pPr>
      <w:bookmarkStart w:id="33" w:name="_Toc15396606"/>
      <w:bookmarkStart w:id="34" w:name="_Toc15377208"/>
      <w:r>
        <w:rPr>
          <w:rFonts w:hint="eastAsia" w:ascii="宋体" w:hAnsi="宋体" w:eastAsia="宋体" w:cs="宋体"/>
          <w:color w:val="000000"/>
          <w:sz w:val="32"/>
          <w:szCs w:val="32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财</w:t>
      </w:r>
      <w:r>
        <w:rPr>
          <w:rStyle w:val="25"/>
          <w:rFonts w:hint="eastAsia" w:ascii="宋体" w:hAnsi="宋体" w:eastAsia="宋体" w:cs="宋体"/>
          <w:b/>
          <w:bCs/>
        </w:rPr>
        <w:t>政拨款收入支出决算总体情况说明</w:t>
      </w:r>
      <w:bookmarkEnd w:id="33"/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年财政拨款收入1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543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.16万元，支出1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543.16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万元。与201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年相比，</w:t>
      </w:r>
      <w:bookmarkStart w:id="35" w:name="_Hlk18310500"/>
      <w:r>
        <w:rPr>
          <w:rFonts w:hint="eastAsia" w:ascii="宋体" w:hAnsi="宋体" w:eastAsia="宋体" w:cs="宋体"/>
          <w:color w:val="000000"/>
          <w:sz w:val="32"/>
          <w:szCs w:val="32"/>
        </w:rPr>
        <w:t>财政拨款</w:t>
      </w:r>
      <w:bookmarkEnd w:id="35"/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减少382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19.84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%，财政拨款支出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减少19.84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%。主要变动原因是一是201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百节溪小学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分校，人员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经费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，商品服务支出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  <w:bookmarkStart w:id="36" w:name="_Hlk18053902"/>
    </w:p>
    <w:bookmarkEnd w:id="3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（除国有资本经营预算外，数据来源于财决Z01-1表，口径为“总计”数+国有资本经营预算。）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（图4：财政拨款收、支决算总计变动情况）（柱状图）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B05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5276850" cy="2867025"/>
            <wp:effectExtent l="0" t="0" r="0" b="9525"/>
            <wp:wrapNone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B050"/>
          <w:sz w:val="32"/>
          <w:szCs w:val="32"/>
        </w:rPr>
      </w:pPr>
    </w:p>
    <w:p>
      <w:pPr>
        <w:tabs>
          <w:tab w:val="left" w:pos="5325"/>
        </w:tabs>
        <w:spacing w:line="600" w:lineRule="exact"/>
        <w:ind w:firstLine="640"/>
        <w:rPr>
          <w:rFonts w:hint="eastAsia" w:ascii="宋体" w:hAnsi="宋体" w:eastAsia="宋体" w:cs="宋体"/>
          <w:b/>
          <w:color w:val="00B050"/>
          <w:sz w:val="32"/>
          <w:szCs w:val="32"/>
        </w:rPr>
      </w:pPr>
      <w:r>
        <w:rPr>
          <w:rFonts w:hint="eastAsia" w:ascii="宋体" w:hAnsi="宋体" w:eastAsia="宋体" w:cs="宋体"/>
          <w:b/>
          <w:color w:val="00B050"/>
          <w:sz w:val="32"/>
          <w:szCs w:val="32"/>
        </w:rPr>
        <w:tab/>
      </w:r>
    </w:p>
    <w:p>
      <w:pPr>
        <w:spacing w:line="600" w:lineRule="exact"/>
        <w:ind w:firstLine="640"/>
        <w:jc w:val="right"/>
        <w:rPr>
          <w:rFonts w:hint="eastAsia" w:ascii="宋体" w:hAnsi="宋体" w:eastAsia="宋体" w:cs="宋体"/>
          <w:b/>
          <w:color w:val="00B050"/>
          <w:sz w:val="32"/>
          <w:szCs w:val="32"/>
        </w:rPr>
      </w:pPr>
    </w:p>
    <w:p>
      <w:pPr>
        <w:tabs>
          <w:tab w:val="left" w:pos="6585"/>
        </w:tabs>
        <w:spacing w:line="600" w:lineRule="exact"/>
        <w:ind w:firstLine="640"/>
        <w:rPr>
          <w:rFonts w:hint="eastAsia" w:ascii="宋体" w:hAnsi="宋体" w:eastAsia="宋体" w:cs="宋体"/>
          <w:b/>
          <w:color w:val="00B050"/>
          <w:sz w:val="32"/>
          <w:szCs w:val="32"/>
        </w:rPr>
      </w:pPr>
      <w:r>
        <w:rPr>
          <w:rFonts w:hint="eastAsia" w:ascii="宋体" w:hAnsi="宋体" w:eastAsia="宋体" w:cs="宋体"/>
          <w:b/>
          <w:color w:val="00B050"/>
          <w:sz w:val="32"/>
          <w:szCs w:val="32"/>
        </w:rPr>
        <w:tab/>
      </w:r>
    </w:p>
    <w:p>
      <w:pPr>
        <w:tabs>
          <w:tab w:val="left" w:pos="5340"/>
        </w:tabs>
        <w:spacing w:line="600" w:lineRule="exact"/>
        <w:ind w:firstLine="640"/>
        <w:rPr>
          <w:rFonts w:hint="eastAsia" w:ascii="宋体" w:hAnsi="宋体" w:eastAsia="宋体" w:cs="宋体"/>
          <w:b/>
          <w:color w:val="00B050"/>
          <w:sz w:val="32"/>
          <w:szCs w:val="32"/>
        </w:rPr>
      </w:pPr>
      <w:r>
        <w:rPr>
          <w:rFonts w:hint="eastAsia" w:ascii="宋体" w:hAnsi="宋体" w:eastAsia="宋体" w:cs="宋体"/>
          <w:b/>
          <w:color w:val="00B050"/>
          <w:sz w:val="32"/>
          <w:szCs w:val="32"/>
        </w:rPr>
        <w:tab/>
      </w:r>
    </w:p>
    <w:p>
      <w:pPr>
        <w:tabs>
          <w:tab w:val="left" w:pos="6510"/>
        </w:tabs>
        <w:spacing w:line="600" w:lineRule="exact"/>
        <w:ind w:firstLine="640"/>
        <w:rPr>
          <w:rFonts w:hint="eastAsia" w:ascii="宋体" w:hAnsi="宋体" w:eastAsia="宋体" w:cs="宋体"/>
          <w:b/>
          <w:color w:val="00B050"/>
          <w:sz w:val="32"/>
          <w:szCs w:val="32"/>
        </w:rPr>
      </w:pPr>
      <w:r>
        <w:rPr>
          <w:rFonts w:hint="eastAsia" w:ascii="宋体" w:hAnsi="宋体" w:eastAsia="宋体" w:cs="宋体"/>
          <w:b/>
          <w:color w:val="00B050"/>
          <w:sz w:val="32"/>
          <w:szCs w:val="32"/>
        </w:rPr>
        <w:tab/>
      </w:r>
    </w:p>
    <w:p>
      <w:pPr>
        <w:spacing w:line="600" w:lineRule="exact"/>
        <w:rPr>
          <w:rFonts w:hint="eastAsia" w:ascii="宋体" w:hAnsi="宋体" w:eastAsia="宋体" w:cs="宋体"/>
          <w:b/>
          <w:color w:val="00B05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b/>
          <w:color w:val="00B05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Style w:val="25"/>
          <w:rFonts w:hint="eastAsia" w:ascii="宋体" w:hAnsi="宋体" w:eastAsia="宋体" w:cs="宋体"/>
          <w:b w:val="0"/>
        </w:rPr>
      </w:pPr>
      <w:bookmarkStart w:id="37" w:name="_Toc15396607"/>
      <w:bookmarkStart w:id="38" w:name="_Toc15377209"/>
      <w:r>
        <w:rPr>
          <w:rFonts w:hint="eastAsia" w:ascii="宋体" w:hAnsi="宋体" w:eastAsia="宋体" w:cs="宋体"/>
          <w:color w:val="000000"/>
          <w:sz w:val="32"/>
          <w:szCs w:val="32"/>
        </w:rPr>
        <w:t>五、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一</w:t>
      </w:r>
      <w:r>
        <w:rPr>
          <w:rStyle w:val="25"/>
          <w:rFonts w:hint="eastAsia" w:ascii="宋体" w:hAnsi="宋体" w:eastAsia="宋体" w:cs="宋体"/>
          <w:b/>
          <w:bCs w:val="0"/>
        </w:rPr>
        <w:t>般公共预算财政拨款支出决算情况说明</w:t>
      </w:r>
      <w:bookmarkEnd w:id="37"/>
      <w:bookmarkEnd w:id="38"/>
    </w:p>
    <w:p>
      <w:pPr>
        <w:spacing w:line="600" w:lineRule="exact"/>
        <w:ind w:firstLine="643" w:firstLineChars="200"/>
        <w:outlineLvl w:val="2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bookmarkStart w:id="39" w:name="_Toc15377210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（一）一般公共预算财政拨款支出决算总体情况</w:t>
      </w:r>
      <w:bookmarkEnd w:id="39"/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年一般公共预算财政拨款支出1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543.16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万元，占本年支出合计的100%。与201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年相比，一般公共预算财政拨款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减少382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减少19.84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%。主要变动原因是一是201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百节溪小学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分校，人员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，商品服务支出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>
      <w:pPr>
        <w:spacing w:line="600" w:lineRule="exact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（图5：一般公共预算财政拨款支出决算变动情况）（柱状图）</w:t>
      </w: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5210175" cy="2933700"/>
            <wp:effectExtent l="0" t="0" r="9525" b="0"/>
            <wp:wrapNone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outlineLvl w:val="2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bookmarkStart w:id="40" w:name="_Toc15377211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（二）一般公共预算财政拨款支出决算结构情况</w:t>
      </w:r>
      <w:bookmarkEnd w:id="40"/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年一般公共预算财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政拨款支出1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543.16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万元，主要用于以下方面: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教育支出（类）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328.63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86.09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社会保障和就业（类）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110.05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.13%；医疗卫生支出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36.71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2.39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%；住房保障支出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67.77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4.39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（罗列全部功能分类科目，至类级。）</w:t>
      </w: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（图6：一般公共预算财政拨款支出决算结构）（饼状图）</w:t>
      </w: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143510</wp:posOffset>
            </wp:positionV>
            <wp:extent cx="5312410" cy="4247515"/>
            <wp:effectExtent l="4445" t="4445" r="17145" b="15240"/>
            <wp:wrapNone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outlineLvl w:val="2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bookmarkStart w:id="41" w:name="_Toc15377212"/>
    </w:p>
    <w:p>
      <w:pPr>
        <w:spacing w:line="600" w:lineRule="exact"/>
        <w:ind w:firstLine="643" w:firstLineChars="200"/>
        <w:outlineLvl w:val="2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outlineLvl w:val="2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（三）一般公共预算财政拨款支出决算具体情况</w:t>
      </w:r>
      <w:bookmarkEnd w:id="41"/>
    </w:p>
    <w:p>
      <w:pPr>
        <w:spacing w:line="600" w:lineRule="exact"/>
        <w:ind w:firstLine="643" w:firstLineChars="200"/>
        <w:outlineLvl w:val="2"/>
        <w:rPr>
          <w:rFonts w:hint="eastAsia" w:ascii="宋体" w:hAnsi="宋体" w:eastAsia="宋体" w:cs="宋体"/>
          <w:color w:val="FF0000"/>
          <w:sz w:val="32"/>
          <w:szCs w:val="32"/>
        </w:rPr>
      </w:pPr>
      <w:bookmarkStart w:id="42" w:name="_Toc15377444"/>
      <w:bookmarkStart w:id="43" w:name="_Toc15378460"/>
      <w:bookmarkStart w:id="44" w:name="_Toc15377213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年一般公共预算支出决算数为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1543.16万元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14"/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预算100%。其中：</w:t>
      </w:r>
      <w:bookmarkEnd w:id="42"/>
      <w:bookmarkEnd w:id="43"/>
      <w:bookmarkEnd w:id="44"/>
    </w:p>
    <w:p>
      <w:pPr>
        <w:spacing w:line="600" w:lineRule="exact"/>
        <w:ind w:firstLine="643" w:firstLineChars="200"/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1.教育（类）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普通教育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（款）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小学教育、学前教育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（项）: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1328.63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万元，完成预算100%。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2.社会保障和就业（类）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行政事业单位退休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（款）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机关事业单位基本养老保险缴费支出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（项）: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110.05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万元，完成预算100%。</w:t>
      </w:r>
    </w:p>
    <w:p>
      <w:pPr>
        <w:spacing w:line="600" w:lineRule="exact"/>
        <w:ind w:firstLine="643" w:firstLineChars="200"/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3.医疗卫生与计划生育（类）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行政事业单位医疗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（款）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事业单位医疗</w:t>
      </w:r>
      <w:r>
        <w:rPr>
          <w:rStyle w:val="14"/>
          <w:rFonts w:hint="eastAsia" w:ascii="宋体" w:hAnsi="宋体" w:eastAsia="宋体" w:cs="宋体"/>
          <w:bCs/>
          <w:color w:val="000000"/>
          <w:sz w:val="32"/>
          <w:szCs w:val="32"/>
        </w:rPr>
        <w:t>（项）: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36.71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万元，完成预算100%。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4.住房保障支出（类）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住房改革支出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（款）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住房公积金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（项）: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支出决算为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67.77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万元，完成预算100%。</w:t>
      </w:r>
    </w:p>
    <w:p>
      <w:pPr>
        <w:tabs>
          <w:tab w:val="right" w:pos="8306"/>
        </w:tabs>
        <w:spacing w:line="600" w:lineRule="exact"/>
        <w:ind w:firstLine="640" w:firstLineChars="200"/>
        <w:outlineLvl w:val="1"/>
        <w:rPr>
          <w:rStyle w:val="25"/>
          <w:rFonts w:hint="eastAsia" w:ascii="宋体" w:hAnsi="宋体" w:eastAsia="宋体" w:cs="宋体"/>
        </w:rPr>
      </w:pPr>
      <w:bookmarkStart w:id="45" w:name="_Toc15396608"/>
      <w:bookmarkStart w:id="46" w:name="_Toc15377214"/>
      <w:r>
        <w:rPr>
          <w:rFonts w:hint="eastAsia" w:ascii="宋体" w:hAnsi="宋体" w:eastAsia="宋体" w:cs="宋体"/>
          <w:color w:val="000000"/>
          <w:sz w:val="32"/>
          <w:szCs w:val="32"/>
        </w:rPr>
        <w:t>六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一</w:t>
      </w:r>
      <w:r>
        <w:rPr>
          <w:rStyle w:val="25"/>
          <w:rFonts w:hint="eastAsia" w:ascii="宋体" w:hAnsi="宋体" w:eastAsia="宋体" w:cs="宋体"/>
          <w:b/>
          <w:bCs w:val="0"/>
        </w:rPr>
        <w:t>般公共预算财政拨款基本支出决算情况说明</w:t>
      </w:r>
      <w:bookmarkEnd w:id="45"/>
      <w:bookmarkEnd w:id="46"/>
      <w:r>
        <w:rPr>
          <w:rStyle w:val="25"/>
          <w:rFonts w:hint="eastAsia" w:ascii="宋体" w:hAnsi="宋体" w:eastAsia="宋体" w:cs="宋体"/>
          <w:b w:val="0"/>
        </w:rPr>
        <w:tab/>
      </w:r>
    </w:p>
    <w:p>
      <w:pPr>
        <w:spacing w:line="600" w:lineRule="exact"/>
        <w:ind w:firstLine="645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年一般公共预算财政拨款基本支出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1543.16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万元，其中：</w:t>
      </w:r>
    </w:p>
    <w:p>
      <w:pPr>
        <w:spacing w:line="600" w:lineRule="exact"/>
        <w:ind w:firstLine="645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人员经费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1080.45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主要包括：基本工资、津贴补贴、绩效工资、机关事业单位基本养老保险缴费、职业年金缴费、其他社会保障缴费、其他工资福利支出、退休费、抚恤金、生活补助、医疗费、奖励金、住房公积金、其他对个人和家庭的补助支出等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公用经费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152.2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主要包括：办公费、印刷费、水费、电费、邮电费、物业管理费、差旅费、因公出国（境）费用、维修（护）费、会议费、培训费、公务接待费、劳务费、工会经费、福利费、其他商品和服务支出、办公设备购置、专用设备购置、信息网络及软件购置更新、其他资本性支出等。</w:t>
      </w:r>
    </w:p>
    <w:p>
      <w:pPr>
        <w:spacing w:line="600" w:lineRule="exact"/>
        <w:ind w:firstLine="645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对个人和家庭的补助支出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310.50万元，主要包括：生活补助费、助学金等支出。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（数据来源财决07表，根据本部门实际支出情况罗列全部经济分类科目。）</w:t>
      </w:r>
    </w:p>
    <w:p>
      <w:pPr>
        <w:spacing w:line="600" w:lineRule="exact"/>
        <w:ind w:firstLine="640" w:firstLineChars="200"/>
        <w:outlineLvl w:val="1"/>
        <w:rPr>
          <w:rStyle w:val="25"/>
          <w:rFonts w:hint="eastAsia" w:ascii="宋体" w:hAnsi="宋体" w:eastAsia="宋体" w:cs="宋体"/>
          <w:b w:val="0"/>
        </w:rPr>
      </w:pPr>
      <w:bookmarkStart w:id="47" w:name="_Toc15377215"/>
      <w:bookmarkStart w:id="48" w:name="_Toc15396609"/>
      <w:r>
        <w:rPr>
          <w:rFonts w:hint="eastAsia" w:ascii="宋体" w:hAnsi="宋体" w:eastAsia="宋体" w:cs="宋体"/>
          <w:color w:val="000000"/>
          <w:sz w:val="32"/>
          <w:szCs w:val="32"/>
        </w:rPr>
        <w:t>七、</w:t>
      </w:r>
      <w:r>
        <w:rPr>
          <w:rStyle w:val="25"/>
          <w:rFonts w:hint="eastAsia" w:ascii="宋体" w:hAnsi="宋体" w:eastAsia="宋体" w:cs="宋体"/>
        </w:rPr>
        <w:t>“</w:t>
      </w:r>
      <w:r>
        <w:rPr>
          <w:rStyle w:val="25"/>
          <w:rFonts w:hint="eastAsia" w:ascii="宋体" w:hAnsi="宋体" w:eastAsia="宋体" w:cs="宋体"/>
          <w:b/>
          <w:bCs w:val="0"/>
        </w:rPr>
        <w:t>三公”经费财政拨款支出决算情况说明</w:t>
      </w:r>
      <w:bookmarkEnd w:id="47"/>
      <w:bookmarkEnd w:id="48"/>
    </w:p>
    <w:p>
      <w:pPr>
        <w:spacing w:line="600" w:lineRule="exact"/>
        <w:ind w:firstLine="640"/>
        <w:outlineLvl w:val="2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bookmarkStart w:id="49" w:name="_Toc15377216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（一）“三公”经费财政拨款支出决算总体情况说明</w:t>
      </w:r>
      <w:bookmarkEnd w:id="49"/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年“三公”经费财政拨款支出决算为0.6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万元，完成预算100%。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（上述“预算”口径为调整预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算数，包括政府性基金支出决算情况。）</w:t>
      </w:r>
    </w:p>
    <w:p>
      <w:pPr>
        <w:spacing w:line="600" w:lineRule="exact"/>
        <w:ind w:firstLine="640"/>
        <w:outlineLvl w:val="2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bookmarkStart w:id="50" w:name="_Toc15377217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（二）“三公”经费财政拨款支出决算具体情况说明</w:t>
      </w:r>
      <w:bookmarkEnd w:id="50"/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年“三公”经费财政拨款支出决算中，因公出国（境）费支出决算0万元，公务用车购置及运行维护费支出决算0万元，公务接待费支出决算0.68万元，占100%。具体情况如下：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（图8：“三公”经费财政拨款支出结构）（饼状图）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5210175" cy="2971800"/>
            <wp:effectExtent l="0" t="0" r="9525" b="0"/>
            <wp:wrapNone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1.因公出国（境）经费支出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0万元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2.公务用车购置及运行维护费支出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0万元。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3.公务接待费支出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0.68万元，</w:t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完成预算100%。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公务接待费支出决算比201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年减少0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.0012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万元，下降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0.18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%。主要原因是单位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继续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厉行勤俭节约。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批次，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136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人次（不包括陪同人员），共计支出0.6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788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万元。主要用于公务接待等支出。</w:t>
      </w:r>
    </w:p>
    <w:p>
      <w:pPr>
        <w:spacing w:line="600" w:lineRule="exact"/>
        <w:ind w:firstLine="640" w:firstLineChars="200"/>
        <w:outlineLvl w:val="1"/>
        <w:rPr>
          <w:rStyle w:val="25"/>
          <w:rFonts w:hint="eastAsia" w:ascii="宋体" w:hAnsi="宋体" w:eastAsia="宋体" w:cs="宋体"/>
        </w:rPr>
      </w:pPr>
      <w:bookmarkStart w:id="51" w:name="_Toc15377218"/>
      <w:bookmarkStart w:id="52" w:name="_Toc15396610"/>
      <w:r>
        <w:rPr>
          <w:rFonts w:hint="eastAsia" w:ascii="宋体" w:hAnsi="宋体" w:eastAsia="宋体" w:cs="宋体"/>
          <w:color w:val="000000"/>
          <w:sz w:val="32"/>
          <w:szCs w:val="32"/>
        </w:rPr>
        <w:t>八、</w:t>
      </w:r>
      <w:r>
        <w:rPr>
          <w:rStyle w:val="25"/>
          <w:rFonts w:hint="eastAsia" w:ascii="宋体" w:hAnsi="宋体" w:eastAsia="宋体" w:cs="宋体"/>
          <w:b/>
          <w:bCs w:val="0"/>
        </w:rPr>
        <w:t>政府性基金预算支出决算情况说明</w:t>
      </w:r>
      <w:bookmarkEnd w:id="51"/>
      <w:bookmarkEnd w:id="52"/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2018年政府性基金预算拨款支出0万元。</w:t>
      </w:r>
    </w:p>
    <w:p>
      <w:pPr>
        <w:numPr>
          <w:ilvl w:val="0"/>
          <w:numId w:val="0"/>
        </w:numPr>
        <w:spacing w:line="600" w:lineRule="exact"/>
        <w:ind w:firstLine="643" w:firstLineChars="200"/>
        <w:outlineLvl w:val="1"/>
        <w:rPr>
          <w:rStyle w:val="25"/>
          <w:rFonts w:hint="eastAsia" w:ascii="宋体" w:hAnsi="宋体" w:eastAsia="宋体" w:cs="宋体"/>
          <w:b/>
          <w:bCs w:val="0"/>
        </w:rPr>
      </w:pPr>
      <w:bookmarkStart w:id="53" w:name="_Toc15377219"/>
      <w:bookmarkStart w:id="54" w:name="_Toc15396611"/>
      <w:r>
        <w:rPr>
          <w:rStyle w:val="25"/>
          <w:rFonts w:hint="eastAsia" w:ascii="宋体" w:hAnsi="宋体" w:cs="宋体"/>
          <w:b/>
          <w:bCs w:val="0"/>
          <w:lang w:eastAsia="zh-CN"/>
        </w:rPr>
        <w:t>九、</w:t>
      </w:r>
      <w:r>
        <w:rPr>
          <w:rStyle w:val="25"/>
          <w:rFonts w:hint="eastAsia" w:ascii="宋体" w:hAnsi="宋体" w:eastAsia="宋体" w:cs="宋体"/>
          <w:b/>
          <w:bCs w:val="0"/>
        </w:rPr>
        <w:t>国有资本经营预算支出决算情况说明</w:t>
      </w:r>
      <w:bookmarkEnd w:id="53"/>
      <w:bookmarkEnd w:id="54"/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2018年国有资本经营预算拨款支出0万元。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                  宣汉县东乡镇第一完全小学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                      2020年11月12日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4781956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50B"/>
    <w:multiLevelType w:val="multilevel"/>
    <w:tmpl w:val="1272550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16438"/>
    <w:rsid w:val="000222C6"/>
    <w:rsid w:val="0002549F"/>
    <w:rsid w:val="000363CA"/>
    <w:rsid w:val="000443C3"/>
    <w:rsid w:val="0006487A"/>
    <w:rsid w:val="00065F8F"/>
    <w:rsid w:val="000768F2"/>
    <w:rsid w:val="0009184B"/>
    <w:rsid w:val="0009593C"/>
    <w:rsid w:val="000B047F"/>
    <w:rsid w:val="000B21D4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0F335B"/>
    <w:rsid w:val="00114E9B"/>
    <w:rsid w:val="00133512"/>
    <w:rsid w:val="0014729F"/>
    <w:rsid w:val="00157BAB"/>
    <w:rsid w:val="001654D1"/>
    <w:rsid w:val="0018106D"/>
    <w:rsid w:val="001877A7"/>
    <w:rsid w:val="00191536"/>
    <w:rsid w:val="00195EDD"/>
    <w:rsid w:val="00196687"/>
    <w:rsid w:val="001C0962"/>
    <w:rsid w:val="001D7531"/>
    <w:rsid w:val="001E737D"/>
    <w:rsid w:val="001F0592"/>
    <w:rsid w:val="001F1F7E"/>
    <w:rsid w:val="001F7506"/>
    <w:rsid w:val="002006CD"/>
    <w:rsid w:val="00202B36"/>
    <w:rsid w:val="00204B7A"/>
    <w:rsid w:val="0020594A"/>
    <w:rsid w:val="0021101A"/>
    <w:rsid w:val="00220536"/>
    <w:rsid w:val="00235629"/>
    <w:rsid w:val="00260C38"/>
    <w:rsid w:val="002616C0"/>
    <w:rsid w:val="002662AA"/>
    <w:rsid w:val="00280496"/>
    <w:rsid w:val="00281452"/>
    <w:rsid w:val="00295495"/>
    <w:rsid w:val="002B2613"/>
    <w:rsid w:val="002E72DB"/>
    <w:rsid w:val="002F1818"/>
    <w:rsid w:val="002F567B"/>
    <w:rsid w:val="003216A9"/>
    <w:rsid w:val="003531A4"/>
    <w:rsid w:val="003556DF"/>
    <w:rsid w:val="00361646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116B1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93384"/>
    <w:rsid w:val="004A711F"/>
    <w:rsid w:val="004B199D"/>
    <w:rsid w:val="004B4690"/>
    <w:rsid w:val="004C208D"/>
    <w:rsid w:val="004E0A2D"/>
    <w:rsid w:val="004E206B"/>
    <w:rsid w:val="004E6DF7"/>
    <w:rsid w:val="004F0FBD"/>
    <w:rsid w:val="004F1283"/>
    <w:rsid w:val="00505A47"/>
    <w:rsid w:val="00512FDA"/>
    <w:rsid w:val="00520DA0"/>
    <w:rsid w:val="005368C8"/>
    <w:rsid w:val="00560672"/>
    <w:rsid w:val="005664BB"/>
    <w:rsid w:val="0057481D"/>
    <w:rsid w:val="0058305D"/>
    <w:rsid w:val="0058486E"/>
    <w:rsid w:val="005A333D"/>
    <w:rsid w:val="005D1C8B"/>
    <w:rsid w:val="005D5CED"/>
    <w:rsid w:val="005F1A4C"/>
    <w:rsid w:val="006029DE"/>
    <w:rsid w:val="00605688"/>
    <w:rsid w:val="006070AF"/>
    <w:rsid w:val="00607E6C"/>
    <w:rsid w:val="006101B1"/>
    <w:rsid w:val="00614E44"/>
    <w:rsid w:val="00622830"/>
    <w:rsid w:val="00630AEF"/>
    <w:rsid w:val="006325F8"/>
    <w:rsid w:val="00634C9A"/>
    <w:rsid w:val="006440E4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702B2F"/>
    <w:rsid w:val="007127B7"/>
    <w:rsid w:val="007416B6"/>
    <w:rsid w:val="0074677A"/>
    <w:rsid w:val="00746F48"/>
    <w:rsid w:val="0075404D"/>
    <w:rsid w:val="0076182A"/>
    <w:rsid w:val="00767B7E"/>
    <w:rsid w:val="00775E7D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01F1"/>
    <w:rsid w:val="008908BE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12290"/>
    <w:rsid w:val="00922325"/>
    <w:rsid w:val="00923564"/>
    <w:rsid w:val="0092392E"/>
    <w:rsid w:val="00925534"/>
    <w:rsid w:val="009315F9"/>
    <w:rsid w:val="00946945"/>
    <w:rsid w:val="00951248"/>
    <w:rsid w:val="0095152F"/>
    <w:rsid w:val="00954C49"/>
    <w:rsid w:val="0097099F"/>
    <w:rsid w:val="009718AF"/>
    <w:rsid w:val="00971997"/>
    <w:rsid w:val="00971FFC"/>
    <w:rsid w:val="0098660A"/>
    <w:rsid w:val="009931C3"/>
    <w:rsid w:val="009B2C43"/>
    <w:rsid w:val="009B4EAE"/>
    <w:rsid w:val="009B7573"/>
    <w:rsid w:val="009C22F4"/>
    <w:rsid w:val="009C2E98"/>
    <w:rsid w:val="009D3447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707"/>
    <w:rsid w:val="00A56DF2"/>
    <w:rsid w:val="00A67AB5"/>
    <w:rsid w:val="00A91760"/>
    <w:rsid w:val="00A93B00"/>
    <w:rsid w:val="00A93C21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71D83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BF74AA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91CBB"/>
    <w:rsid w:val="00CA78D7"/>
    <w:rsid w:val="00CC09B6"/>
    <w:rsid w:val="00CC666F"/>
    <w:rsid w:val="00CD1E3F"/>
    <w:rsid w:val="00CD2B49"/>
    <w:rsid w:val="00CE44F6"/>
    <w:rsid w:val="00CE49DA"/>
    <w:rsid w:val="00CE7B61"/>
    <w:rsid w:val="00D00095"/>
    <w:rsid w:val="00D20620"/>
    <w:rsid w:val="00D26091"/>
    <w:rsid w:val="00D34E7C"/>
    <w:rsid w:val="00D35489"/>
    <w:rsid w:val="00D51276"/>
    <w:rsid w:val="00D63D4C"/>
    <w:rsid w:val="00D7035F"/>
    <w:rsid w:val="00D85447"/>
    <w:rsid w:val="00DA65AC"/>
    <w:rsid w:val="00DB1913"/>
    <w:rsid w:val="00DC410D"/>
    <w:rsid w:val="00DC68CA"/>
    <w:rsid w:val="00DC7CBA"/>
    <w:rsid w:val="00DD73B7"/>
    <w:rsid w:val="00DF28BC"/>
    <w:rsid w:val="00DF34B9"/>
    <w:rsid w:val="00E01053"/>
    <w:rsid w:val="00E07ACF"/>
    <w:rsid w:val="00E13730"/>
    <w:rsid w:val="00E331A1"/>
    <w:rsid w:val="00E33202"/>
    <w:rsid w:val="00E336A9"/>
    <w:rsid w:val="00E423FA"/>
    <w:rsid w:val="00E4677F"/>
    <w:rsid w:val="00E50624"/>
    <w:rsid w:val="00E568DF"/>
    <w:rsid w:val="00E64269"/>
    <w:rsid w:val="00E82267"/>
    <w:rsid w:val="00E87648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17B1"/>
    <w:rsid w:val="00F602DF"/>
    <w:rsid w:val="00F81FD9"/>
    <w:rsid w:val="00F841AA"/>
    <w:rsid w:val="00FA0912"/>
    <w:rsid w:val="00FA23E8"/>
    <w:rsid w:val="00FD08BC"/>
    <w:rsid w:val="00FD3CC1"/>
    <w:rsid w:val="00FF1E02"/>
    <w:rsid w:val="00FF30B4"/>
    <w:rsid w:val="02263E24"/>
    <w:rsid w:val="0409112B"/>
    <w:rsid w:val="054B386F"/>
    <w:rsid w:val="109A0F60"/>
    <w:rsid w:val="10C055FF"/>
    <w:rsid w:val="135C020C"/>
    <w:rsid w:val="151707BD"/>
    <w:rsid w:val="16BB723D"/>
    <w:rsid w:val="17E245B0"/>
    <w:rsid w:val="240371BF"/>
    <w:rsid w:val="253B0AF9"/>
    <w:rsid w:val="25993333"/>
    <w:rsid w:val="29FD04D3"/>
    <w:rsid w:val="31650E11"/>
    <w:rsid w:val="319F7F4E"/>
    <w:rsid w:val="47C6326A"/>
    <w:rsid w:val="47D92966"/>
    <w:rsid w:val="4A1049CB"/>
    <w:rsid w:val="5223688A"/>
    <w:rsid w:val="53231E75"/>
    <w:rsid w:val="5A867404"/>
    <w:rsid w:val="6CCA5A38"/>
    <w:rsid w:val="728779DE"/>
    <w:rsid w:val="72AB21C1"/>
    <w:rsid w:val="73363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7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收、支决算变动图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收入（万元）</c:v>
                </c:pt>
                <c:pt idx="1">
                  <c:v>支出（万元）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1925.16</c:v>
                </c:pt>
                <c:pt idx="1">
                  <c:v>1925.16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收入（万元）</c:v>
                </c:pt>
                <c:pt idx="1">
                  <c:v>支出（万元）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1543.16</c:v>
                </c:pt>
                <c:pt idx="1">
                  <c:v>1543.16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2851328"/>
        <c:axId val="82852864"/>
      </c:barChart>
      <c:catAx>
        <c:axId val="8285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852864"/>
        <c:crosses val="autoZero"/>
        <c:auto val="1"/>
        <c:lblAlgn val="ctr"/>
        <c:lblOffset val="100"/>
        <c:noMultiLvlLbl val="0"/>
      </c:catAx>
      <c:valAx>
        <c:axId val="8285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85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2019</a:t>
            </a:r>
            <a:r>
              <a:rPr lang="zh-CN" altLang="en-US"/>
              <a:t>年收入决算结构图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一般公共预算财政拨款收入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201</a:t>
            </a:r>
            <a:r>
              <a:rPr lang="en-US" altLang="zh-CN"/>
              <a:t>9</a:t>
            </a:r>
            <a:r>
              <a:t>年支出决算结构图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0.805</c:v>
                </c:pt>
                <c:pt idx="1">
                  <c:v>0.195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财政拨款收支决算变动图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财政拨款收入（万元）</c:v>
                </c:pt>
                <c:pt idx="1">
                  <c:v>财政拨款支出（万元）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1925.16</c:v>
                </c:pt>
                <c:pt idx="1">
                  <c:v>1925.16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财政拨款收入（万元）</c:v>
                </c:pt>
                <c:pt idx="1">
                  <c:v>财政拨款支出（万元）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1543.16</c:v>
                </c:pt>
                <c:pt idx="1">
                  <c:v>1543.16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6628608"/>
        <c:axId val="106471424"/>
      </c:barChart>
      <c:catAx>
        <c:axId val="8662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6471424"/>
        <c:crosses val="autoZero"/>
        <c:auto val="1"/>
        <c:lblAlgn val="ctr"/>
        <c:lblOffset val="100"/>
        <c:noMultiLvlLbl val="0"/>
      </c:catAx>
      <c:valAx>
        <c:axId val="10647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62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/>
              <a:t>一般公共预算财政拨款支出变动图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一般公共预算财政拨款支出（万元）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1925.16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1925.16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一般公共预算财政拨款支出（万元）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1543.16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6574208"/>
        <c:axId val="86575744"/>
      </c:barChart>
      <c:catAx>
        <c:axId val="8657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5744"/>
        <c:crosses val="autoZero"/>
        <c:auto val="1"/>
        <c:lblAlgn val="ctr"/>
        <c:lblOffset val="100"/>
        <c:noMultiLvlLbl val="0"/>
      </c:catAx>
      <c:valAx>
        <c:axId val="8657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2019</a:t>
            </a:r>
            <a:r>
              <a:rPr altLang="en-US"/>
              <a:t>年</a:t>
            </a:r>
            <a:r>
              <a:t>一般公共预算财政拨款支出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27989481233564"/>
          <c:y val="0.167791897144566"/>
          <c:w val="0.547606980635907"/>
          <c:h val="0.68489759306323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一般公共预算财政拨款支出</c:v>
                </c:pt>
              </c:strCache>
            </c:strRef>
          </c:tx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教育支出</c:v>
                </c:pt>
                <c:pt idx="1">
                  <c:v>社会保障和就业</c:v>
                </c:pt>
                <c:pt idx="2">
                  <c:v>医疗卫生支出</c:v>
                </c:pt>
                <c:pt idx="3">
                  <c:v>住房保障支出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0.8609</c:v>
                </c:pt>
                <c:pt idx="1">
                  <c:v>0.0713</c:v>
                </c:pt>
                <c:pt idx="2">
                  <c:v>0.0239</c:v>
                </c:pt>
                <c:pt idx="3">
                  <c:v>0.0439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三公经费财政拨款支出结构图</c:v>
                </c:pt>
              </c:strCache>
            </c:strRef>
          </c:tx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公务接待费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12AF7-EB4F-4B83-9A18-40D367E23C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1</Pages>
  <Words>696</Words>
  <Characters>3973</Characters>
  <Lines>33</Lines>
  <Paragraphs>9</Paragraphs>
  <TotalTime>4</TotalTime>
  <ScaleCrop>false</ScaleCrop>
  <LinksUpToDate>false</LinksUpToDate>
  <CharactersWithSpaces>4660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2019-09-02T01:32:00Z</dcterms:created>
  <dc:creator>张彬茜</dc:creator>
  <cp:lastModifiedBy>Administrator</cp:lastModifiedBy>
  <cp:lastPrinted>2019-09-07T07:04:00Z</cp:lastPrinted>
  <dcterms:modified xsi:type="dcterms:W3CDTF">2020-11-12T04:18:25Z</dcterms:modified>
  <dc:title>四川省***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