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475"/>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7194"/>
      <w:bookmarkStart w:id="7" w:name="_Toc15396598"/>
      <w:bookmarkStart w:id="8" w:name="_Toc15378442"/>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宣汉县江口学校</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stheme="minorBidi"/>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0"/>
      </w:pPr>
      <w:r>
        <w:rPr>
          <w:rFonts w:hint="eastAsia"/>
        </w:rPr>
        <w:t>公开时间：2020年</w:t>
      </w:r>
      <w:r>
        <w:rPr>
          <w:rFonts w:hint="eastAsia"/>
          <w:lang w:val="en-US" w:eastAsia="zh-CN"/>
        </w:rPr>
        <w:t>11</w:t>
      </w:r>
      <w:r>
        <w:rPr>
          <w:rFonts w:hint="eastAsia"/>
        </w:rPr>
        <w:t>月</w:t>
      </w:r>
      <w:r>
        <w:rPr>
          <w:rFonts w:hint="eastAsia"/>
          <w:lang w:val="en-US" w:eastAsia="zh-CN"/>
        </w:rPr>
        <w:t>12</w:t>
      </w:r>
      <w:r>
        <w:rPr>
          <w:rFonts w:hint="eastAsia"/>
        </w:rPr>
        <w:t>日</w:t>
      </w:r>
    </w:p>
    <w:p>
      <w:pPr>
        <w:pStyle w:val="10"/>
        <w:adjustRightInd w:val="0"/>
        <w:snapToGrid w:val="0"/>
        <w:spacing w:before="0" w:line="440" w:lineRule="exact"/>
        <w:jc w:val="left"/>
        <w:rPr>
          <w:rFonts w:cstheme="minorBidi"/>
          <w:sz w:val="24"/>
          <w:szCs w:val="24"/>
          <w:lang w:val="en-US"/>
        </w:rPr>
      </w:pPr>
      <w:r>
        <w:rPr>
          <w:rFonts w:hint="eastAsia"/>
          <w:sz w:val="24"/>
        </w:rPr>
        <w:t>第一部分</w:t>
      </w:r>
      <w:r>
        <w:rPr>
          <w:sz w:val="24"/>
        </w:rPr>
        <w:t xml:space="preserve"> </w:t>
      </w:r>
      <w:r>
        <w:rPr>
          <w:rFonts w:hint="eastAsia"/>
          <w:sz w:val="24"/>
        </w:rPr>
        <w:t>部门概况</w:t>
      </w:r>
      <w:r>
        <w:rPr>
          <w:rFonts w:hint="eastAsia"/>
          <w:sz w:val="24"/>
          <w:lang w:eastAsia="zh-CN"/>
        </w:rPr>
        <w:t>……</w:t>
      </w:r>
      <w:r>
        <w:rPr>
          <w:rFonts w:hint="eastAsia"/>
          <w:sz w:val="24"/>
          <w:lang w:val="en-US" w:eastAsia="zh-CN"/>
        </w:rPr>
        <w:t>4</w:t>
      </w:r>
    </w:p>
    <w:p>
      <w:pPr>
        <w:pStyle w:val="11"/>
        <w:adjustRightInd w:val="0"/>
        <w:snapToGrid w:val="0"/>
        <w:spacing w:line="440" w:lineRule="exact"/>
        <w:jc w:val="left"/>
        <w:rPr>
          <w:rFonts w:hint="eastAsia" w:eastAsia="宋体"/>
          <w:sz w:val="24"/>
          <w:lang w:val="en-US" w:eastAsia="zh-CN"/>
        </w:rPr>
      </w:pPr>
      <w:r>
        <w:rPr>
          <w:rFonts w:hint="eastAsia"/>
          <w:sz w:val="24"/>
        </w:rPr>
        <w:t>一、基本职能及主要工作</w:t>
      </w:r>
      <w:r>
        <w:rPr>
          <w:rFonts w:hint="eastAsia"/>
          <w:sz w:val="24"/>
          <w:lang w:eastAsia="zh-CN"/>
        </w:rPr>
        <w:t>……</w:t>
      </w:r>
      <w:r>
        <w:rPr>
          <w:rFonts w:hint="eastAsia"/>
          <w:sz w:val="24"/>
          <w:lang w:val="en-US" w:eastAsia="zh-CN"/>
        </w:rPr>
        <w:t>4</w:t>
      </w:r>
    </w:p>
    <w:p>
      <w:pPr>
        <w:pStyle w:val="11"/>
        <w:numPr>
          <w:ilvl w:val="0"/>
          <w:numId w:val="1"/>
        </w:numPr>
        <w:adjustRightInd w:val="0"/>
        <w:snapToGrid w:val="0"/>
        <w:spacing w:line="440" w:lineRule="exact"/>
        <w:jc w:val="left"/>
        <w:rPr>
          <w:rFonts w:hint="eastAsia"/>
          <w:sz w:val="24"/>
        </w:rPr>
      </w:pPr>
      <w:r>
        <w:rPr>
          <w:rFonts w:hint="eastAsia"/>
          <w:sz w:val="24"/>
        </w:rPr>
        <w:t>机构设置</w:t>
      </w:r>
      <w:r>
        <w:rPr>
          <w:rFonts w:hint="eastAsia"/>
          <w:sz w:val="24"/>
          <w:lang w:eastAsia="zh-CN"/>
        </w:rPr>
        <w:t>……</w:t>
      </w:r>
      <w:r>
        <w:rPr>
          <w:rFonts w:hint="eastAsia"/>
          <w:sz w:val="24"/>
          <w:lang w:val="en-US" w:eastAsia="zh-CN"/>
        </w:rPr>
        <w:t>6</w:t>
      </w:r>
    </w:p>
    <w:p>
      <w:pPr>
        <w:pStyle w:val="10"/>
        <w:adjustRightInd w:val="0"/>
        <w:snapToGrid w:val="0"/>
        <w:spacing w:before="0" w:line="440" w:lineRule="exact"/>
        <w:jc w:val="left"/>
        <w:rPr>
          <w:sz w:val="24"/>
          <w:szCs w:val="24"/>
        </w:rPr>
      </w:pPr>
      <w:r>
        <w:rPr>
          <w:rFonts w:hint="eastAsia"/>
          <w:sz w:val="24"/>
        </w:rPr>
        <w:t>第二部分度部门决算情况说明</w:t>
      </w:r>
      <w:r>
        <w:rPr>
          <w:rFonts w:hint="eastAsia"/>
          <w:sz w:val="24"/>
          <w:lang w:eastAsia="zh-CN"/>
        </w:rPr>
        <w:t>……</w:t>
      </w:r>
      <w:r>
        <w:rPr>
          <w:rFonts w:hint="eastAsia"/>
          <w:sz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w:t>
      </w:r>
      <w:r>
        <w:rPr>
          <w:rFonts w:hint="eastAsia"/>
          <w:sz w:val="24"/>
          <w:lang w:eastAsia="zh-CN"/>
        </w:rPr>
        <w:t>……</w:t>
      </w:r>
      <w:r>
        <w:rPr>
          <w:rFonts w:hint="eastAsia"/>
          <w:sz w:val="24"/>
          <w:lang w:val="en-US" w:eastAsia="zh-CN"/>
        </w:rPr>
        <w:t>6</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sz w:val="24"/>
          <w:lang w:eastAsia="zh-CN"/>
        </w:rPr>
        <w:t>……</w:t>
      </w:r>
      <w:r>
        <w:rPr>
          <w:rFonts w:hint="eastAsia"/>
          <w:sz w:val="24"/>
          <w:lang w:val="en-US" w:eastAsia="zh-CN"/>
        </w:rPr>
        <w:t>6</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sz w:val="24"/>
          <w:lang w:eastAsia="zh-CN"/>
        </w:rPr>
        <w:t>……</w:t>
      </w:r>
      <w:r>
        <w:rPr>
          <w:rFonts w:hint="eastAsia"/>
          <w:sz w:val="24"/>
          <w:lang w:val="en-US" w:eastAsia="zh-CN"/>
        </w:rPr>
        <w:t>7</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hint="eastAsia"/>
          <w:sz w:val="24"/>
          <w:lang w:eastAsia="zh-CN"/>
        </w:rPr>
        <w:t>……</w:t>
      </w:r>
      <w:r>
        <w:rPr>
          <w:rFonts w:hint="eastAsia"/>
          <w:sz w:val="24"/>
          <w:lang w:val="en-US" w:eastAsia="zh-CN"/>
        </w:rPr>
        <w:t>7</w:t>
      </w:r>
    </w:p>
    <w:p>
      <w:pPr>
        <w:pStyle w:val="11"/>
        <w:adjustRightInd w:val="0"/>
        <w:snapToGrid w:val="0"/>
        <w:spacing w:line="440" w:lineRule="exact"/>
        <w:jc w:val="left"/>
        <w:rPr>
          <w:rFonts w:hint="eastAsia"/>
          <w:sz w:val="24"/>
          <w:lang w:val="en-US" w:eastAsia="zh-CN"/>
        </w:rPr>
      </w:pPr>
      <w:r>
        <w:rPr>
          <w:rFonts w:hint="eastAsia"/>
          <w:sz w:val="24"/>
        </w:rPr>
        <w:t>五、一般公共预算财政拨款支出决算情况说明</w:t>
      </w:r>
      <w:r>
        <w:rPr>
          <w:rFonts w:hint="eastAsia"/>
          <w:sz w:val="24"/>
          <w:lang w:eastAsia="zh-CN"/>
        </w:rPr>
        <w:t>……</w:t>
      </w:r>
      <w:r>
        <w:rPr>
          <w:rFonts w:hint="eastAsia"/>
          <w:sz w:val="24"/>
          <w:lang w:val="en-US" w:eastAsia="zh-CN"/>
        </w:rPr>
        <w:t>8</w:t>
      </w:r>
    </w:p>
    <w:p>
      <w:pPr>
        <w:pStyle w:val="11"/>
        <w:adjustRightInd w:val="0"/>
        <w:snapToGrid w:val="0"/>
        <w:spacing w:line="440" w:lineRule="exact"/>
        <w:jc w:val="left"/>
        <w:rPr>
          <w:rFonts w:ascii="仿宋" w:hAnsi="仿宋" w:eastAsia="仿宋" w:cstheme="minorBidi"/>
          <w:sz w:val="24"/>
          <w:lang w:val="en-US"/>
        </w:rPr>
      </w:pPr>
      <w:r>
        <w:rPr>
          <w:rFonts w:hint="eastAsia"/>
          <w:sz w:val="24"/>
        </w:rPr>
        <w:t>六、一般公共预算财政拨款基本支出决算情况说明</w:t>
      </w:r>
      <w:r>
        <w:rPr>
          <w:rFonts w:hint="eastAsia"/>
          <w:sz w:val="24"/>
          <w:lang w:eastAsia="zh-CN"/>
        </w:rPr>
        <w:t>……</w:t>
      </w:r>
      <w:r>
        <w:rPr>
          <w:rFonts w:hint="eastAsia"/>
          <w:sz w:val="24"/>
          <w:lang w:val="en-US" w:eastAsia="zh-CN"/>
        </w:rPr>
        <w:t>10</w:t>
      </w:r>
    </w:p>
    <w:p>
      <w:pPr>
        <w:pStyle w:val="11"/>
        <w:adjustRightInd w:val="0"/>
        <w:snapToGrid w:val="0"/>
        <w:spacing w:line="440" w:lineRule="exact"/>
        <w:jc w:val="left"/>
        <w:rPr>
          <w:rFonts w:ascii="仿宋" w:hAnsi="仿宋" w:eastAsia="仿宋" w:cstheme="minorBidi"/>
          <w:sz w:val="24"/>
          <w:lang w:val="en-US"/>
        </w:rPr>
      </w:pPr>
      <w:r>
        <w:rPr>
          <w:rFonts w:hint="eastAsia"/>
          <w:sz w:val="24"/>
        </w:rPr>
        <w:t>七、</w:t>
      </w:r>
      <w:r>
        <w:rPr>
          <w:sz w:val="24"/>
        </w:rPr>
        <w:t>“</w:t>
      </w:r>
      <w:r>
        <w:rPr>
          <w:rFonts w:hint="eastAsia"/>
          <w:sz w:val="24"/>
        </w:rPr>
        <w:t>三公”经费财政拨款支出决算情况说明</w:t>
      </w:r>
      <w:r>
        <w:rPr>
          <w:rFonts w:hint="eastAsia"/>
          <w:sz w:val="24"/>
          <w:lang w:eastAsia="zh-CN"/>
        </w:rPr>
        <w:t>……</w:t>
      </w:r>
      <w:r>
        <w:rPr>
          <w:rFonts w:hint="eastAsia"/>
          <w:sz w:val="24"/>
          <w:lang w:val="en-US" w:eastAsia="zh-CN"/>
        </w:rPr>
        <w:t>10</w:t>
      </w:r>
    </w:p>
    <w:p>
      <w:pPr>
        <w:pStyle w:val="11"/>
        <w:adjustRightInd w:val="0"/>
        <w:snapToGrid w:val="0"/>
        <w:spacing w:line="440" w:lineRule="exact"/>
        <w:jc w:val="left"/>
        <w:rPr>
          <w:rFonts w:ascii="仿宋" w:hAnsi="仿宋" w:eastAsia="仿宋" w:cstheme="minorBidi"/>
          <w:sz w:val="24"/>
          <w:lang w:val="en-US"/>
        </w:rPr>
      </w:pPr>
      <w:r>
        <w:rPr>
          <w:rFonts w:hint="eastAsia"/>
          <w:sz w:val="24"/>
        </w:rPr>
        <w:t>八、政府性基金预算支出决算情况说明</w:t>
      </w:r>
      <w:r>
        <w:rPr>
          <w:rFonts w:hint="eastAsia"/>
          <w:sz w:val="24"/>
          <w:lang w:eastAsia="zh-CN"/>
        </w:rPr>
        <w:t>……</w:t>
      </w:r>
      <w:r>
        <w:rPr>
          <w:rFonts w:hint="eastAsia"/>
          <w:sz w:val="24"/>
          <w:lang w:val="en-US" w:eastAsia="zh-CN"/>
        </w:rPr>
        <w:t>12</w:t>
      </w:r>
    </w:p>
    <w:p>
      <w:pPr>
        <w:pStyle w:val="11"/>
        <w:adjustRightInd w:val="0"/>
        <w:snapToGrid w:val="0"/>
        <w:spacing w:line="440" w:lineRule="exact"/>
        <w:ind w:leftChars="0"/>
        <w:jc w:val="left"/>
        <w:rPr>
          <w:rFonts w:ascii="仿宋" w:hAnsi="仿宋" w:eastAsia="仿宋"/>
          <w:sz w:val="24"/>
          <w:lang w:val="en-US"/>
        </w:rPr>
      </w:pPr>
      <w:r>
        <w:rPr>
          <w:rFonts w:hint="eastAsia" w:ascii="仿宋" w:hAnsi="仿宋" w:eastAsia="仿宋"/>
          <w:sz w:val="24"/>
        </w:rPr>
        <w:t>九、</w:t>
      </w:r>
      <w:r>
        <w:rPr>
          <w:sz w:val="24"/>
        </w:rPr>
        <w:t xml:space="preserve"> 国</w:t>
      </w:r>
      <w:r>
        <w:rPr>
          <w:rFonts w:hint="eastAsia"/>
          <w:sz w:val="24"/>
        </w:rPr>
        <w:t>有资本经营预算支出决算情况说明</w:t>
      </w:r>
      <w:r>
        <w:rPr>
          <w:rFonts w:hint="eastAsia"/>
          <w:sz w:val="24"/>
          <w:lang w:eastAsia="zh-CN"/>
        </w:rPr>
        <w:t>……</w:t>
      </w:r>
      <w:r>
        <w:rPr>
          <w:rFonts w:hint="eastAsia"/>
          <w:sz w:val="24"/>
          <w:lang w:val="en-US" w:eastAsia="zh-CN"/>
        </w:rPr>
        <w:t>12</w:t>
      </w:r>
    </w:p>
    <w:p>
      <w:pPr>
        <w:adjustRightInd w:val="0"/>
        <w:snapToGrid w:val="0"/>
        <w:spacing w:line="440" w:lineRule="exact"/>
        <w:ind w:firstLine="480" w:firstLineChars="200"/>
        <w:jc w:val="left"/>
        <w:rPr>
          <w:rFonts w:ascii="仿宋" w:hAnsi="仿宋" w:eastAsia="仿宋" w:cstheme="minorBidi"/>
          <w:sz w:val="24"/>
        </w:rPr>
      </w:pPr>
      <w:r>
        <w:rPr>
          <w:rStyle w:val="14"/>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hint="eastAsia"/>
          <w:sz w:val="24"/>
          <w:lang w:eastAsia="zh-CN"/>
        </w:rPr>
        <w:t>……</w:t>
      </w:r>
      <w:r>
        <w:rPr>
          <w:rFonts w:hint="eastAsia"/>
          <w:sz w:val="24"/>
          <w:lang w:val="en-US" w:eastAsia="zh-CN"/>
        </w:rPr>
        <w:t>12</w:t>
      </w:r>
      <w:r>
        <w:rPr>
          <w:rFonts w:ascii="仿宋" w:hAnsi="仿宋" w:eastAsia="仿宋"/>
          <w:sz w:val="24"/>
        </w:rPr>
        <w:tab/>
      </w:r>
    </w:p>
    <w:p>
      <w:pPr>
        <w:pStyle w:val="10"/>
        <w:adjustRightInd w:val="0"/>
        <w:snapToGrid w:val="0"/>
        <w:spacing w:before="0" w:line="440" w:lineRule="exact"/>
        <w:jc w:val="left"/>
        <w:rPr>
          <w:rFonts w:cstheme="minorBidi"/>
          <w:sz w:val="24"/>
          <w:szCs w:val="24"/>
          <w:lang w:val="en-US"/>
        </w:rPr>
      </w:pPr>
      <w:r>
        <w:rPr>
          <w:rFonts w:hint="eastAsia"/>
          <w:sz w:val="24"/>
        </w:rPr>
        <w:t>第三部分</w:t>
      </w:r>
      <w:r>
        <w:rPr>
          <w:sz w:val="24"/>
        </w:rPr>
        <w:t xml:space="preserve"> </w:t>
      </w:r>
      <w:r>
        <w:rPr>
          <w:rFonts w:hint="eastAsia"/>
          <w:sz w:val="24"/>
        </w:rPr>
        <w:t>名词解释</w:t>
      </w:r>
      <w:r>
        <w:rPr>
          <w:rFonts w:hint="eastAsia"/>
          <w:sz w:val="24"/>
          <w:lang w:eastAsia="zh-CN"/>
        </w:rPr>
        <w:t>……</w:t>
      </w:r>
      <w:r>
        <w:rPr>
          <w:rFonts w:hint="eastAsia"/>
          <w:sz w:val="24"/>
          <w:lang w:val="en-US" w:eastAsia="zh-CN"/>
        </w:rPr>
        <w:t>15</w:t>
      </w:r>
    </w:p>
    <w:p>
      <w:pPr>
        <w:pStyle w:val="10"/>
        <w:adjustRightInd w:val="0"/>
        <w:snapToGrid w:val="0"/>
        <w:spacing w:before="0" w:line="440" w:lineRule="exact"/>
        <w:jc w:val="left"/>
        <w:rPr>
          <w:rFonts w:cstheme="minorBidi"/>
          <w:sz w:val="24"/>
          <w:szCs w:val="24"/>
          <w:lang w:val="en-US"/>
        </w:rPr>
      </w:pPr>
      <w:r>
        <w:rPr>
          <w:rFonts w:hint="eastAsia"/>
          <w:sz w:val="24"/>
        </w:rPr>
        <w:t>第四部分</w:t>
      </w:r>
      <w:r>
        <w:rPr>
          <w:sz w:val="24"/>
        </w:rPr>
        <w:t xml:space="preserve"> </w:t>
      </w:r>
      <w:r>
        <w:rPr>
          <w:rFonts w:hint="eastAsia"/>
          <w:sz w:val="24"/>
        </w:rPr>
        <w:t>附件</w:t>
      </w:r>
      <w:r>
        <w:rPr>
          <w:rFonts w:hint="eastAsia"/>
          <w:sz w:val="24"/>
          <w:lang w:eastAsia="zh-CN"/>
        </w:rPr>
        <w:t>……</w:t>
      </w:r>
      <w:r>
        <w:rPr>
          <w:rFonts w:hint="eastAsia"/>
          <w:sz w:val="24"/>
          <w:lang w:val="en-US" w:eastAsia="zh-CN"/>
        </w:rPr>
        <w:t>18</w:t>
      </w:r>
    </w:p>
    <w:p>
      <w:pPr>
        <w:pStyle w:val="11"/>
        <w:adjustRightInd w:val="0"/>
        <w:snapToGrid w:val="0"/>
        <w:spacing w:line="440" w:lineRule="exact"/>
        <w:jc w:val="left"/>
        <w:rPr>
          <w:rFonts w:ascii="仿宋" w:hAnsi="仿宋" w:eastAsia="仿宋" w:cstheme="minorBidi"/>
          <w:sz w:val="24"/>
          <w:lang w:val="en-US"/>
        </w:rPr>
      </w:pPr>
      <w:r>
        <w:rPr>
          <w:rFonts w:hint="eastAsia"/>
          <w:sz w:val="24"/>
        </w:rPr>
        <w:t>附件</w:t>
      </w:r>
      <w:r>
        <w:rPr>
          <w:sz w:val="24"/>
        </w:rPr>
        <w:t>1</w:t>
      </w:r>
      <w:r>
        <w:rPr>
          <w:rFonts w:hint="eastAsia"/>
          <w:sz w:val="24"/>
          <w:lang w:eastAsia="zh-CN"/>
        </w:rPr>
        <w:t>……</w:t>
      </w:r>
      <w:r>
        <w:rPr>
          <w:rFonts w:hint="eastAsia"/>
          <w:sz w:val="24"/>
          <w:lang w:val="en-US" w:eastAsia="zh-CN"/>
        </w:rPr>
        <w:t>18</w:t>
      </w:r>
    </w:p>
    <w:p>
      <w:pPr>
        <w:pStyle w:val="11"/>
        <w:adjustRightInd w:val="0"/>
        <w:snapToGrid w:val="0"/>
        <w:spacing w:line="440" w:lineRule="exact"/>
        <w:jc w:val="left"/>
        <w:rPr>
          <w:rFonts w:ascii="仿宋" w:hAnsi="仿宋" w:eastAsia="仿宋" w:cstheme="minorBidi"/>
          <w:sz w:val="24"/>
          <w:lang w:val="en-US"/>
        </w:rPr>
      </w:pPr>
      <w:r>
        <w:rPr>
          <w:rFonts w:hint="eastAsia"/>
          <w:sz w:val="24"/>
        </w:rPr>
        <w:t>附件</w:t>
      </w:r>
      <w:r>
        <w:rPr>
          <w:sz w:val="24"/>
        </w:rPr>
        <w:t>2</w:t>
      </w:r>
      <w:r>
        <w:rPr>
          <w:rFonts w:hint="eastAsia"/>
          <w:sz w:val="24"/>
          <w:lang w:eastAsia="zh-CN"/>
        </w:rPr>
        <w:t>……</w:t>
      </w:r>
      <w:r>
        <w:rPr>
          <w:rFonts w:hint="eastAsia"/>
          <w:sz w:val="24"/>
          <w:lang w:val="en-US" w:eastAsia="zh-CN"/>
        </w:rPr>
        <w:t>19</w:t>
      </w:r>
    </w:p>
    <w:p>
      <w:pPr>
        <w:pStyle w:val="10"/>
        <w:adjustRightInd w:val="0"/>
        <w:snapToGrid w:val="0"/>
        <w:spacing w:before="0" w:line="440" w:lineRule="exact"/>
        <w:jc w:val="left"/>
        <w:rPr>
          <w:rFonts w:cstheme="minorBidi"/>
          <w:sz w:val="24"/>
          <w:szCs w:val="24"/>
          <w:lang w:val="en-US"/>
        </w:rPr>
      </w:pPr>
      <w:r>
        <w:rPr>
          <w:rFonts w:hint="eastAsia"/>
          <w:sz w:val="24"/>
        </w:rPr>
        <w:t>第五部分</w:t>
      </w:r>
      <w:r>
        <w:rPr>
          <w:sz w:val="24"/>
        </w:rPr>
        <w:t xml:space="preserve"> </w:t>
      </w:r>
      <w:r>
        <w:rPr>
          <w:rFonts w:hint="eastAsia"/>
          <w:sz w:val="24"/>
        </w:rPr>
        <w:t>附表</w:t>
      </w:r>
      <w:r>
        <w:rPr>
          <w:rFonts w:hint="eastAsia"/>
          <w:sz w:val="24"/>
          <w:lang w:eastAsia="zh-CN"/>
        </w:rPr>
        <w:t>……</w:t>
      </w:r>
      <w:r>
        <w:rPr>
          <w:rFonts w:hint="eastAsia"/>
          <w:sz w:val="24"/>
          <w:lang w:val="en-US" w:eastAsia="zh-CN"/>
        </w:rPr>
        <w:t>23</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hint="eastAsia"/>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bCs/>
          <w:kern w:val="44"/>
          <w:sz w:val="24"/>
        </w:rPr>
      </w:pPr>
      <w:r>
        <w:rPr>
          <w:rFonts w:hint="eastAsia" w:ascii="仿宋" w:hAnsi="仿宋" w:eastAsia="仿宋"/>
          <w:sz w:val="24"/>
        </w:rPr>
        <w:t>十三、</w:t>
      </w:r>
      <w:r>
        <w:rPr>
          <w:rFonts w:hint="eastAsia"/>
          <w:sz w:val="24"/>
        </w:rPr>
        <w:t>国有资本经营预算支出决算表</w:t>
      </w:r>
      <w:bookmarkStart w:id="12" w:name="_Toc15377196"/>
      <w:bookmarkStart w:id="13" w:name="_Toc15396599"/>
      <w:r>
        <w:rPr>
          <w:rFonts w:hint="eastAsia"/>
          <w:sz w:val="24"/>
          <w:lang w:val="en-US" w:eastAsia="zh-CN"/>
        </w:rPr>
        <w:t xml:space="preserve"> </w:t>
      </w:r>
      <w:bookmarkStart w:id="48" w:name="_GoBack"/>
      <w:bookmarkEnd w:id="48"/>
      <w:r>
        <w:rPr>
          <w:rFonts w:ascii="仿宋" w:hAnsi="仿宋" w:eastAsia="仿宋"/>
          <w:b/>
          <w:sz w:val="24"/>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11"/>
        <w:adjustRightInd w:val="0"/>
        <w:snapToGrid w:val="0"/>
        <w:spacing w:line="440" w:lineRule="exact"/>
        <w:ind w:left="0" w:leftChars="0" w:firstLine="640" w:firstLineChars="200"/>
        <w:jc w:val="left"/>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pPr>
        <w:pStyle w:val="11"/>
        <w:adjustRightInd w:val="0"/>
        <w:snapToGrid w:val="0"/>
        <w:spacing w:line="440" w:lineRule="exact"/>
        <w:ind w:left="0" w:leftChars="0" w:firstLine="560" w:firstLineChars="200"/>
        <w:jc w:val="left"/>
        <w:rPr>
          <w:rFonts w:hint="eastAsia"/>
          <w:sz w:val="24"/>
        </w:rPr>
      </w:pPr>
      <w:r>
        <w:rPr>
          <w:rFonts w:hint="eastAsia" w:ascii="Times New Roman" w:hAnsi="Times New Roman" w:eastAsia="宋体" w:cs="Times New Roman"/>
          <w:kern w:val="0"/>
          <w:sz w:val="28"/>
          <w:szCs w:val="24"/>
          <w:lang w:val="en-US" w:eastAsia="zh-CN" w:bidi="ar"/>
        </w:rPr>
        <w:t>全面贯彻执行国家的教育方针、政策及国家相关的法律法规；实施素质教育，按照规定标准完成教育教学任务，保证教育教学质量</w:t>
      </w:r>
      <w:r>
        <w:rPr>
          <w:rFonts w:hint="eastAsia" w:cs="Times New Roman"/>
          <w:kern w:val="0"/>
          <w:sz w:val="28"/>
          <w:szCs w:val="24"/>
          <w:lang w:val="en-US" w:eastAsia="zh-CN" w:bidi="ar"/>
        </w:rPr>
        <w:t>；</w:t>
      </w:r>
      <w:r>
        <w:rPr>
          <w:rFonts w:hint="eastAsia" w:ascii="Times New Roman" w:hAnsi="Times New Roman" w:eastAsia="宋体" w:cs="Times New Roman"/>
          <w:kern w:val="0"/>
          <w:sz w:val="28"/>
          <w:szCs w:val="24"/>
          <w:lang w:val="en-US" w:eastAsia="zh-CN" w:bidi="ar"/>
        </w:rPr>
        <w:t>加强安全和后勤服务工作</w:t>
      </w:r>
      <w:r>
        <w:rPr>
          <w:rFonts w:hint="eastAsia" w:cs="Times New Roman"/>
          <w:kern w:val="0"/>
          <w:sz w:val="28"/>
          <w:szCs w:val="24"/>
          <w:lang w:val="en-US" w:eastAsia="zh-CN" w:bidi="ar"/>
        </w:rPr>
        <w:t>，</w:t>
      </w:r>
      <w:r>
        <w:rPr>
          <w:rFonts w:hint="eastAsia" w:ascii="Times New Roman" w:hAnsi="Times New Roman" w:eastAsia="宋体" w:cs="Times New Roman"/>
          <w:kern w:val="0"/>
          <w:sz w:val="28"/>
          <w:szCs w:val="24"/>
          <w:lang w:val="en-US" w:eastAsia="zh-CN" w:bidi="ar"/>
        </w:rPr>
        <w:t>为教育教学提供保障。</w:t>
      </w:r>
    </w:p>
    <w:bookmarkEnd w:id="16"/>
    <w:bookmarkEnd w:id="17"/>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楷体简体" w:hAnsi="方正楷体简体" w:eastAsia="方正楷体简体" w:cs="方正楷体简体"/>
          <w:b/>
          <w:bCs w:val="0"/>
          <w:sz w:val="32"/>
          <w:szCs w:val="32"/>
        </w:rPr>
      </w:pPr>
      <w:r>
        <w:rPr>
          <w:rFonts w:hint="eastAsia" w:ascii="方正楷体简体" w:hAnsi="方正楷体简体" w:eastAsia="方正楷体简体" w:cs="方正楷体简体"/>
          <w:b/>
          <w:bCs w:val="0"/>
          <w:sz w:val="32"/>
          <w:szCs w:val="32"/>
          <w:lang w:val="en-US" w:eastAsia="zh-CN"/>
        </w:rPr>
        <w:t>1.</w:t>
      </w:r>
      <w:r>
        <w:rPr>
          <w:rFonts w:hint="eastAsia" w:ascii="方正楷体简体" w:hAnsi="方正楷体简体" w:eastAsia="方正楷体简体" w:cs="方正楷体简体"/>
          <w:b/>
          <w:bCs w:val="0"/>
          <w:sz w:val="32"/>
          <w:szCs w:val="32"/>
        </w:rPr>
        <w:t>切实抓好党建工作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坚持“三会一课”制度，做到间周召开一次党员组织生活；扎实开展“两学一做”学习教育，创新方式讲党课</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精心制编制了“党员活动日”菜单，做到活动有计划、有总结；集中排查了党员组织关系，足额、按时收缴党费；支部凝聚力进一步加强，党员示范作用得到充分发挥。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楷体简体" w:hAnsi="方正楷体简体" w:eastAsia="方正楷体简体" w:cs="方正楷体简体"/>
          <w:b/>
          <w:bCs w:val="0"/>
          <w:sz w:val="32"/>
          <w:szCs w:val="32"/>
        </w:rPr>
      </w:pPr>
      <w:r>
        <w:rPr>
          <w:rFonts w:hint="eastAsia" w:ascii="方正楷体简体" w:hAnsi="方正楷体简体" w:eastAsia="方正楷体简体" w:cs="方正楷体简体"/>
          <w:b/>
          <w:bCs w:val="0"/>
          <w:sz w:val="32"/>
          <w:szCs w:val="32"/>
          <w:lang w:val="en-US" w:eastAsia="zh-CN"/>
        </w:rPr>
        <w:t>2.</w:t>
      </w:r>
      <w:r>
        <w:rPr>
          <w:rFonts w:hint="eastAsia" w:ascii="方正楷体简体" w:hAnsi="方正楷体简体" w:eastAsia="方正楷体简体" w:cs="方正楷体简体"/>
          <w:b/>
          <w:bCs w:val="0"/>
          <w:sz w:val="32"/>
          <w:szCs w:val="32"/>
        </w:rPr>
        <w:t>坚持德育主阵地，强化育人功能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rPr>
        <w:t>以</w:t>
      </w:r>
      <w:r>
        <w:rPr>
          <w:rFonts w:hint="eastAsia" w:ascii="仿宋" w:hAnsi="仿宋" w:eastAsia="仿宋" w:cs="仿宋"/>
          <w:b w:val="0"/>
          <w:bCs/>
          <w:kern w:val="0"/>
          <w:sz w:val="32"/>
          <w:szCs w:val="32"/>
          <w:lang w:eastAsia="zh-CN"/>
        </w:rPr>
        <w:t>“弘扬红军精神，做最好的自我”的理念为引领线，以</w:t>
      </w:r>
      <w:r>
        <w:rPr>
          <w:rFonts w:hint="eastAsia" w:ascii="仿宋" w:hAnsi="仿宋" w:eastAsia="仿宋" w:cs="仿宋"/>
          <w:b w:val="0"/>
          <w:bCs/>
          <w:kern w:val="0"/>
          <w:sz w:val="32"/>
          <w:szCs w:val="32"/>
        </w:rPr>
        <w:t>“</w:t>
      </w:r>
      <w:r>
        <w:rPr>
          <w:rFonts w:hint="eastAsia" w:ascii="仿宋" w:hAnsi="仿宋" w:eastAsia="仿宋" w:cs="仿宋"/>
          <w:b w:val="0"/>
          <w:bCs/>
          <w:kern w:val="0"/>
          <w:sz w:val="32"/>
          <w:szCs w:val="32"/>
          <w:lang w:eastAsia="zh-CN"/>
        </w:rPr>
        <w:t>讲</w:t>
      </w:r>
      <w:r>
        <w:rPr>
          <w:rFonts w:hint="eastAsia" w:ascii="仿宋" w:hAnsi="仿宋" w:eastAsia="仿宋" w:cs="仿宋"/>
          <w:b w:val="0"/>
          <w:bCs/>
          <w:kern w:val="0"/>
          <w:sz w:val="32"/>
          <w:szCs w:val="32"/>
        </w:rPr>
        <w:t>学习、</w:t>
      </w:r>
      <w:r>
        <w:rPr>
          <w:rFonts w:hint="eastAsia" w:ascii="仿宋" w:hAnsi="仿宋" w:eastAsia="仿宋" w:cs="仿宋"/>
          <w:b w:val="0"/>
          <w:bCs/>
          <w:kern w:val="0"/>
          <w:sz w:val="32"/>
          <w:szCs w:val="32"/>
          <w:lang w:eastAsia="zh-CN"/>
        </w:rPr>
        <w:t>讲</w:t>
      </w:r>
      <w:r>
        <w:rPr>
          <w:rFonts w:hint="eastAsia" w:ascii="仿宋" w:hAnsi="仿宋" w:eastAsia="仿宋" w:cs="仿宋"/>
          <w:b w:val="0"/>
          <w:bCs/>
          <w:kern w:val="0"/>
          <w:sz w:val="32"/>
          <w:szCs w:val="32"/>
        </w:rPr>
        <w:t>卫生、</w:t>
      </w:r>
      <w:r>
        <w:rPr>
          <w:rFonts w:hint="eastAsia" w:ascii="仿宋" w:hAnsi="仿宋" w:eastAsia="仿宋" w:cs="仿宋"/>
          <w:b w:val="0"/>
          <w:bCs/>
          <w:kern w:val="0"/>
          <w:sz w:val="32"/>
          <w:szCs w:val="32"/>
          <w:lang w:eastAsia="zh-CN"/>
        </w:rPr>
        <w:t>讲</w:t>
      </w:r>
      <w:r>
        <w:rPr>
          <w:rFonts w:hint="eastAsia" w:ascii="仿宋" w:hAnsi="仿宋" w:eastAsia="仿宋" w:cs="仿宋"/>
          <w:b w:val="0"/>
          <w:bCs/>
          <w:kern w:val="0"/>
          <w:sz w:val="32"/>
          <w:szCs w:val="32"/>
        </w:rPr>
        <w:t>安全、</w:t>
      </w:r>
      <w:r>
        <w:rPr>
          <w:rFonts w:hint="eastAsia" w:ascii="仿宋" w:hAnsi="仿宋" w:eastAsia="仿宋" w:cs="仿宋"/>
          <w:b w:val="0"/>
          <w:bCs/>
          <w:kern w:val="0"/>
          <w:sz w:val="32"/>
          <w:szCs w:val="32"/>
          <w:lang w:eastAsia="zh-CN"/>
        </w:rPr>
        <w:t>讲</w:t>
      </w:r>
      <w:r>
        <w:rPr>
          <w:rFonts w:hint="eastAsia" w:ascii="仿宋" w:hAnsi="仿宋" w:eastAsia="仿宋" w:cs="仿宋"/>
          <w:b w:val="0"/>
          <w:bCs/>
          <w:kern w:val="0"/>
          <w:sz w:val="32"/>
          <w:szCs w:val="32"/>
        </w:rPr>
        <w:t>纪律</w:t>
      </w:r>
      <w:r>
        <w:rPr>
          <w:rFonts w:hint="eastAsia" w:ascii="仿宋" w:hAnsi="仿宋" w:eastAsia="仿宋" w:cs="仿宋"/>
          <w:b w:val="0"/>
          <w:bCs/>
          <w:kern w:val="0"/>
          <w:sz w:val="32"/>
          <w:szCs w:val="32"/>
          <w:lang w:eastAsia="zh-CN"/>
        </w:rPr>
        <w:t>”的四讲教育为主线，以</w:t>
      </w:r>
      <w:r>
        <w:rPr>
          <w:rFonts w:hint="eastAsia" w:ascii="仿宋" w:hAnsi="仿宋" w:eastAsia="仿宋" w:cs="仿宋"/>
          <w:b w:val="0"/>
          <w:bCs/>
          <w:kern w:val="0"/>
          <w:sz w:val="32"/>
          <w:szCs w:val="32"/>
        </w:rPr>
        <w:t>三管十不、环境综合治理</w:t>
      </w:r>
      <w:r>
        <w:rPr>
          <w:rFonts w:hint="eastAsia" w:ascii="仿宋" w:hAnsi="仿宋" w:eastAsia="仿宋" w:cs="仿宋"/>
          <w:b w:val="0"/>
          <w:bCs/>
          <w:kern w:val="0"/>
          <w:sz w:val="32"/>
          <w:szCs w:val="32"/>
          <w:lang w:eastAsia="zh-CN"/>
        </w:rPr>
        <w:t>等活动</w:t>
      </w:r>
      <w:r>
        <w:rPr>
          <w:rFonts w:hint="eastAsia" w:ascii="仿宋" w:hAnsi="仿宋" w:eastAsia="仿宋" w:cs="仿宋"/>
          <w:b w:val="0"/>
          <w:bCs/>
          <w:kern w:val="0"/>
          <w:sz w:val="32"/>
          <w:szCs w:val="32"/>
        </w:rPr>
        <w:t>为载体，以及校园广播、红领巾监督岗为导向，深化学生品德教育</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强力矫正学生不良行为习惯</w:t>
      </w:r>
      <w:r>
        <w:rPr>
          <w:rFonts w:hint="eastAsia" w:ascii="仿宋" w:hAnsi="仿宋" w:eastAsia="仿宋" w:cs="仿宋"/>
          <w:b w:val="0"/>
          <w:bCs/>
          <w:kern w:val="0"/>
          <w:sz w:val="32"/>
          <w:szCs w:val="32"/>
          <w:lang w:eastAsia="zh-CN"/>
        </w:rPr>
        <w:t>，引</w:t>
      </w:r>
      <w:r>
        <w:rPr>
          <w:rFonts w:hint="eastAsia" w:ascii="仿宋" w:hAnsi="仿宋" w:eastAsia="仿宋" w:cs="仿宋"/>
          <w:b w:val="0"/>
          <w:bCs/>
          <w:kern w:val="0"/>
          <w:sz w:val="32"/>
          <w:szCs w:val="32"/>
        </w:rPr>
        <w:t>导学生良好品行的形成。</w:t>
      </w:r>
      <w:r>
        <w:rPr>
          <w:rFonts w:hint="eastAsia" w:ascii="仿宋" w:hAnsi="仿宋" w:eastAsia="仿宋" w:cs="仿宋"/>
          <w:b w:val="0"/>
          <w:bCs/>
          <w:kern w:val="0"/>
          <w:sz w:val="32"/>
          <w:szCs w:val="32"/>
          <w:lang w:eastAsia="zh-CN"/>
        </w:rPr>
        <w:t>组织师生积极参与县艺术节、省艺术人才大赛、运动会等赛事，提升学生艺体素养。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楷体简体" w:hAnsi="方正楷体简体" w:eastAsia="方正楷体简体" w:cs="方正楷体简体"/>
          <w:b/>
          <w:bCs w:val="0"/>
          <w:sz w:val="32"/>
          <w:szCs w:val="32"/>
          <w:lang w:eastAsia="zh-CN"/>
        </w:rPr>
      </w:pPr>
      <w:r>
        <w:rPr>
          <w:rFonts w:hint="eastAsia" w:ascii="方正楷体简体" w:hAnsi="方正楷体简体" w:eastAsia="方正楷体简体" w:cs="方正楷体简体"/>
          <w:b/>
          <w:bCs w:val="0"/>
          <w:sz w:val="32"/>
          <w:szCs w:val="32"/>
          <w:lang w:val="en-US" w:eastAsia="zh-CN"/>
        </w:rPr>
        <w:t>3.</w:t>
      </w:r>
      <w:r>
        <w:rPr>
          <w:rFonts w:hint="eastAsia" w:ascii="方正楷体简体" w:hAnsi="方正楷体简体" w:eastAsia="方正楷体简体" w:cs="方正楷体简体"/>
          <w:b/>
          <w:bCs w:val="0"/>
          <w:sz w:val="32"/>
          <w:szCs w:val="32"/>
          <w:lang w:eastAsia="zh-CN"/>
        </w:rPr>
        <w:t>狠抓教学常规。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按要求开齐课程，落实国家课程标准，教学有计划，有教案，有总结；进一步完善了教学管理制度、教学质量奖惩制度</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认真开展听课、评课活动，举行了“一师一优课”、</w:t>
      </w:r>
      <w:r>
        <w:rPr>
          <w:rFonts w:hint="eastAsia" w:ascii="仿宋" w:hAnsi="仿宋" w:eastAsia="仿宋" w:cs="仿宋"/>
          <w:b w:val="0"/>
          <w:bCs/>
          <w:sz w:val="32"/>
          <w:szCs w:val="32"/>
          <w:lang w:eastAsia="zh-CN"/>
        </w:rPr>
        <w:t>“数学教师同课异构”赛课活动，</w:t>
      </w:r>
      <w:r>
        <w:rPr>
          <w:rFonts w:hint="eastAsia" w:ascii="仿宋" w:hAnsi="仿宋" w:eastAsia="仿宋" w:cs="仿宋"/>
          <w:b w:val="0"/>
          <w:bCs/>
          <w:sz w:val="32"/>
          <w:szCs w:val="32"/>
        </w:rPr>
        <w:t>人人参与听课，人人撰写评课记录</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大力实施教师培养，促进教师专业成长，</w:t>
      </w:r>
      <w:r>
        <w:rPr>
          <w:rFonts w:hint="eastAsia" w:ascii="仿宋" w:hAnsi="仿宋" w:eastAsia="仿宋" w:cs="仿宋"/>
          <w:b w:val="0"/>
          <w:bCs/>
          <w:sz w:val="32"/>
          <w:szCs w:val="32"/>
          <w:lang w:eastAsia="zh-CN"/>
        </w:rPr>
        <w:t>不断提升</w:t>
      </w:r>
      <w:r>
        <w:rPr>
          <w:rFonts w:hint="eastAsia" w:ascii="仿宋" w:hAnsi="仿宋" w:eastAsia="仿宋" w:cs="仿宋"/>
          <w:b w:val="0"/>
          <w:bCs/>
          <w:sz w:val="32"/>
          <w:szCs w:val="32"/>
        </w:rPr>
        <w:t>教学质量。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楷体简体" w:hAnsi="方正楷体简体" w:eastAsia="方正楷体简体" w:cs="方正楷体简体"/>
          <w:b/>
          <w:bCs w:val="0"/>
          <w:sz w:val="32"/>
          <w:szCs w:val="32"/>
          <w:lang w:eastAsia="zh-CN"/>
        </w:rPr>
      </w:pPr>
      <w:r>
        <w:rPr>
          <w:rFonts w:hint="eastAsia" w:ascii="方正楷体简体" w:hAnsi="方正楷体简体" w:eastAsia="方正楷体简体" w:cs="方正楷体简体"/>
          <w:b/>
          <w:bCs w:val="0"/>
          <w:sz w:val="32"/>
          <w:szCs w:val="32"/>
          <w:lang w:val="en-US" w:eastAsia="zh-CN"/>
        </w:rPr>
        <w:t>4.</w:t>
      </w:r>
      <w:r>
        <w:rPr>
          <w:rFonts w:hint="eastAsia" w:ascii="方正楷体简体" w:hAnsi="方正楷体简体" w:eastAsia="方正楷体简体" w:cs="方正楷体简体"/>
          <w:b/>
          <w:bCs w:val="0"/>
          <w:sz w:val="32"/>
          <w:szCs w:val="32"/>
          <w:lang w:eastAsia="zh-CN"/>
        </w:rPr>
        <w:t>竭力抓好党风廉政建设工作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组织党员认真学习了《廉政准则》、《党员问责条例》、《党内监督条例》；分别与党员和教师签订了“个人廉政风险承诺书”、“师德建设责任书”；扎实开展</w:t>
      </w:r>
      <w:r>
        <w:rPr>
          <w:rFonts w:hint="eastAsia" w:ascii="仿宋" w:hAnsi="仿宋" w:eastAsia="仿宋" w:cs="仿宋"/>
          <w:b w:val="0"/>
          <w:bCs/>
          <w:sz w:val="32"/>
          <w:szCs w:val="32"/>
          <w:lang w:eastAsia="zh-CN"/>
        </w:rPr>
        <w:t>突出问题专项治理</w:t>
      </w:r>
      <w:r>
        <w:rPr>
          <w:rFonts w:hint="eastAsia" w:ascii="仿宋" w:hAnsi="仿宋" w:eastAsia="仿宋" w:cs="仿宋"/>
          <w:b w:val="0"/>
          <w:bCs/>
          <w:sz w:val="32"/>
          <w:szCs w:val="32"/>
        </w:rPr>
        <w:t>行动，加大了“四乱”查处力度；</w:t>
      </w:r>
      <w:r>
        <w:rPr>
          <w:rFonts w:hint="eastAsia" w:ascii="仿宋" w:hAnsi="仿宋" w:eastAsia="仿宋" w:cs="仿宋"/>
          <w:b w:val="0"/>
          <w:bCs/>
          <w:sz w:val="32"/>
          <w:szCs w:val="32"/>
          <w:lang w:eastAsia="zh-CN"/>
        </w:rPr>
        <w:t>本期</w:t>
      </w:r>
      <w:r>
        <w:rPr>
          <w:rFonts w:hint="eastAsia" w:ascii="仿宋" w:hAnsi="仿宋" w:eastAsia="仿宋" w:cs="仿宋"/>
          <w:b w:val="0"/>
          <w:bCs/>
          <w:sz w:val="32"/>
          <w:szCs w:val="32"/>
        </w:rPr>
        <w:t>学校无违法乱纪行为发生。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楷体简体" w:hAnsi="方正楷体简体" w:eastAsia="方正楷体简体" w:cs="方正楷体简体"/>
          <w:b/>
          <w:bCs w:val="0"/>
          <w:sz w:val="32"/>
          <w:szCs w:val="32"/>
          <w:lang w:eastAsia="zh-CN"/>
        </w:rPr>
      </w:pPr>
      <w:r>
        <w:rPr>
          <w:rFonts w:hint="eastAsia" w:ascii="方正楷体简体" w:hAnsi="方正楷体简体" w:eastAsia="方正楷体简体" w:cs="方正楷体简体"/>
          <w:b/>
          <w:bCs w:val="0"/>
          <w:sz w:val="32"/>
          <w:szCs w:val="32"/>
          <w:lang w:val="en-US" w:eastAsia="zh-CN"/>
        </w:rPr>
        <w:t>5.</w:t>
      </w:r>
      <w:r>
        <w:rPr>
          <w:rFonts w:hint="eastAsia" w:ascii="方正楷体简体" w:hAnsi="方正楷体简体" w:eastAsia="方正楷体简体" w:cs="方正楷体简体"/>
          <w:b/>
          <w:bCs w:val="0"/>
          <w:sz w:val="32"/>
          <w:szCs w:val="32"/>
          <w:lang w:eastAsia="zh-CN"/>
        </w:rPr>
        <w:t>多项措施构筑安全防线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健全安全管理网络体系及制度，紧紧依托应急教育体验馆，加强学生安全教育。一是坚持定期排查、楼道值班制、路队放学制，扎实抓好安全常规管理；</w:t>
      </w:r>
      <w:r>
        <w:rPr>
          <w:rFonts w:hint="eastAsia" w:ascii="仿宋" w:hAnsi="仿宋" w:eastAsia="仿宋" w:cs="仿宋"/>
          <w:b w:val="0"/>
          <w:bCs/>
          <w:sz w:val="32"/>
          <w:szCs w:val="32"/>
          <w:lang w:eastAsia="zh-CN"/>
        </w:rPr>
        <w:t>二是</w:t>
      </w:r>
      <w:r>
        <w:rPr>
          <w:rFonts w:hint="eastAsia" w:ascii="仿宋" w:hAnsi="仿宋" w:eastAsia="仿宋" w:cs="仿宋"/>
          <w:b w:val="0"/>
          <w:bCs/>
          <w:sz w:val="32"/>
          <w:szCs w:val="32"/>
        </w:rPr>
        <w:t>组织师生</w:t>
      </w:r>
      <w:r>
        <w:rPr>
          <w:rFonts w:hint="eastAsia" w:ascii="仿宋" w:hAnsi="仿宋" w:eastAsia="仿宋" w:cs="仿宋"/>
          <w:b w:val="0"/>
          <w:bCs/>
          <w:sz w:val="32"/>
          <w:szCs w:val="32"/>
          <w:lang w:eastAsia="zh-CN"/>
        </w:rPr>
        <w:t>积极</w:t>
      </w:r>
      <w:r>
        <w:rPr>
          <w:rFonts w:hint="eastAsia" w:ascii="仿宋" w:hAnsi="仿宋" w:eastAsia="仿宋" w:cs="仿宋"/>
          <w:b w:val="0"/>
          <w:bCs/>
          <w:sz w:val="32"/>
          <w:szCs w:val="32"/>
        </w:rPr>
        <w:t>参加安全知识竞赛</w:t>
      </w:r>
      <w:r>
        <w:rPr>
          <w:rFonts w:hint="eastAsia" w:ascii="仿宋" w:hAnsi="仿宋" w:eastAsia="仿宋" w:cs="仿宋"/>
          <w:b w:val="0"/>
          <w:bCs/>
          <w:sz w:val="32"/>
          <w:szCs w:val="32"/>
          <w:lang w:eastAsia="zh-CN"/>
        </w:rPr>
        <w:t>，定期到体验馆进行安全体验</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是加强了班级、教师安全量化考核，确保安全管理落到了实处。</w:t>
      </w:r>
      <w:r>
        <w:rPr>
          <w:rFonts w:hint="eastAsia" w:ascii="仿宋" w:hAnsi="仿宋" w:eastAsia="仿宋" w:cs="仿宋"/>
          <w:b w:val="0"/>
          <w:bCs/>
          <w:sz w:val="32"/>
          <w:szCs w:val="32"/>
          <w:lang w:eastAsia="zh-CN"/>
        </w:rPr>
        <w:t>学校</w:t>
      </w:r>
      <w:r>
        <w:rPr>
          <w:rFonts w:hint="eastAsia" w:ascii="仿宋" w:hAnsi="仿宋" w:eastAsia="仿宋" w:cs="仿宋"/>
          <w:b w:val="0"/>
          <w:bCs/>
          <w:sz w:val="32"/>
          <w:szCs w:val="32"/>
        </w:rPr>
        <w:t>连续四年保持了“三星级平安学校”荣誉称号。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sz w:val="32"/>
          <w:szCs w:val="32"/>
          <w:lang w:val="en-US" w:eastAsia="zh-CN"/>
        </w:rPr>
      </w:pPr>
      <w:r>
        <w:rPr>
          <w:rFonts w:hint="eastAsia" w:ascii="方正楷体简体" w:hAnsi="方正楷体简体" w:eastAsia="方正楷体简体" w:cs="方正楷体简体"/>
          <w:b/>
          <w:bCs w:val="0"/>
          <w:sz w:val="32"/>
          <w:szCs w:val="32"/>
          <w:lang w:val="en-US" w:eastAsia="zh-CN"/>
        </w:rPr>
        <w:t>6.</w:t>
      </w:r>
      <w:r>
        <w:rPr>
          <w:rFonts w:hint="eastAsia" w:ascii="方正楷体简体" w:hAnsi="方正楷体简体" w:eastAsia="方正楷体简体" w:cs="方正楷体简体"/>
          <w:b/>
          <w:bCs w:val="0"/>
          <w:sz w:val="32"/>
          <w:szCs w:val="32"/>
          <w:lang w:eastAsia="zh-CN"/>
        </w:rPr>
        <w:t>扎实推进义务教育均衡发展工作。</w:t>
      </w:r>
      <w:r>
        <w:rPr>
          <w:rFonts w:hint="eastAsia" w:ascii="仿宋" w:hAnsi="仿宋" w:eastAsia="仿宋" w:cs="仿宋"/>
          <w:b w:val="0"/>
          <w:bCs/>
          <w:sz w:val="32"/>
          <w:szCs w:val="32"/>
          <w:lang w:val="en-US" w:eastAsia="zh-CN"/>
        </w:rPr>
        <w:t>积极完善档案资料，并做好各个功能室的使用管理，为今秋迎国检打下扎实基础。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sz w:val="32"/>
          <w:szCs w:val="32"/>
          <w:lang w:val="en-US" w:eastAsia="zh-CN"/>
        </w:rPr>
      </w:pPr>
      <w:r>
        <w:rPr>
          <w:rFonts w:hint="eastAsia" w:ascii="方正楷体简体" w:hAnsi="方正楷体简体" w:eastAsia="方正楷体简体" w:cs="方正楷体简体"/>
          <w:b/>
          <w:bCs w:val="0"/>
          <w:sz w:val="32"/>
          <w:szCs w:val="32"/>
          <w:lang w:val="en-US" w:eastAsia="zh-CN"/>
        </w:rPr>
        <w:t>7.</w:t>
      </w:r>
      <w:r>
        <w:rPr>
          <w:rFonts w:hint="eastAsia" w:ascii="方正楷体简体" w:hAnsi="方正楷体简体" w:eastAsia="方正楷体简体" w:cs="方正楷体简体"/>
          <w:b/>
          <w:bCs w:val="0"/>
          <w:sz w:val="32"/>
          <w:szCs w:val="32"/>
          <w:lang w:eastAsia="zh-CN"/>
        </w:rPr>
        <w:t>争取项目资金，积极改善办学环境。</w:t>
      </w:r>
      <w:r>
        <w:rPr>
          <w:rFonts w:hint="eastAsia" w:ascii="仿宋" w:hAnsi="仿宋" w:eastAsia="仿宋" w:cs="仿宋"/>
          <w:b w:val="0"/>
          <w:bCs/>
          <w:sz w:val="32"/>
          <w:szCs w:val="32"/>
          <w:lang w:eastAsia="zh-CN"/>
        </w:rPr>
        <w:t>学校已经争取项目资金</w:t>
      </w:r>
      <w:r>
        <w:rPr>
          <w:rFonts w:hint="eastAsia" w:ascii="仿宋" w:hAnsi="仿宋" w:eastAsia="仿宋" w:cs="仿宋"/>
          <w:b w:val="0"/>
          <w:bCs/>
          <w:sz w:val="32"/>
          <w:szCs w:val="32"/>
          <w:lang w:val="en-US" w:eastAsia="zh-CN"/>
        </w:rPr>
        <w:t>1000万，对学校综合楼进行改建，目前工程主体已基本竣工，预计2020年9月投入使用。</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rPr>
          <w:rStyle w:val="25"/>
          <w:rFonts w:hint="eastAsia"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11"/>
        <w:numPr>
          <w:ilvl w:val="0"/>
          <w:numId w:val="0"/>
        </w:numPr>
        <w:adjustRightInd w:val="0"/>
        <w:snapToGrid w:val="0"/>
        <w:spacing w:line="440" w:lineRule="exact"/>
        <w:ind w:firstLine="560" w:firstLineChars="200"/>
        <w:jc w:val="left"/>
        <w:rPr>
          <w:rFonts w:ascii="仿宋" w:hAnsi="仿宋" w:eastAsia="仿宋"/>
          <w:color w:val="000000"/>
          <w:kern w:val="0"/>
          <w:sz w:val="32"/>
          <w:szCs w:val="32"/>
        </w:rPr>
      </w:pPr>
      <w:r>
        <w:rPr>
          <w:rFonts w:hint="eastAsia" w:ascii="Times New Roman" w:hAnsi="Times New Roman" w:eastAsia="宋体" w:cs="Times New Roman"/>
          <w:kern w:val="2"/>
          <w:sz w:val="28"/>
          <w:szCs w:val="24"/>
          <w:lang w:val="en-US" w:eastAsia="zh-CN" w:bidi="ar-SA"/>
        </w:rPr>
        <w:t>我校是县教科局直属事业单位，无下属单位。</w:t>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662.83</w:t>
      </w:r>
      <w:r>
        <w:rPr>
          <w:rFonts w:hint="eastAsia" w:ascii="仿宋" w:hAnsi="仿宋" w:eastAsia="仿宋"/>
          <w:color w:val="000000"/>
          <w:sz w:val="32"/>
          <w:szCs w:val="32"/>
        </w:rPr>
        <w:t>万元。与2018年相比，收、支总计各增加</w:t>
      </w:r>
      <w:r>
        <w:rPr>
          <w:rFonts w:hint="eastAsia" w:ascii="仿宋" w:hAnsi="仿宋" w:eastAsia="仿宋"/>
          <w:color w:val="000000"/>
          <w:sz w:val="32"/>
          <w:szCs w:val="32"/>
          <w:lang w:val="en-US" w:eastAsia="zh-CN"/>
        </w:rPr>
        <w:t>25.9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4.33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工资福利增加。</w:t>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58240" behindDoc="1" locked="0" layoutInCell="1" allowOverlap="1">
            <wp:simplePos x="0" y="0"/>
            <wp:positionH relativeFrom="column">
              <wp:posOffset>-99695</wp:posOffset>
            </wp:positionH>
            <wp:positionV relativeFrom="paragraph">
              <wp:posOffset>328295</wp:posOffset>
            </wp:positionV>
            <wp:extent cx="2896235" cy="2229485"/>
            <wp:effectExtent l="5080" t="4445" r="13335" b="13970"/>
            <wp:wrapTight wrapText="bothSides">
              <wp:wrapPolygon>
                <wp:start x="-38" y="-43"/>
                <wp:lineTo x="-38" y="21551"/>
                <wp:lineTo x="21557" y="21551"/>
                <wp:lineTo x="21557" y="-43"/>
                <wp:lineTo x="-38" y="-43"/>
              </wp:wrapPolygon>
            </wp:wrapTight>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640" w:firstLineChars="200"/>
        <w:rPr>
          <w:rFonts w:ascii="仿宋_GB2312" w:eastAsia="仿宋_GB2312"/>
          <w:color w:val="000000"/>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662.83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662.83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0万</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rPr>
          <w:rFonts w:ascii="仿宋_GB2312" w:eastAsia="仿宋_GB2312"/>
          <w:color w:val="FF0000"/>
          <w:sz w:val="32"/>
          <w:szCs w:val="32"/>
        </w:rPr>
      </w:pPr>
      <w:r>
        <w:drawing>
          <wp:anchor distT="0" distB="0" distL="114300" distR="114300" simplePos="0" relativeHeight="251659264" behindDoc="0" locked="0" layoutInCell="1" allowOverlap="1">
            <wp:simplePos x="0" y="0"/>
            <wp:positionH relativeFrom="column">
              <wp:posOffset>118110</wp:posOffset>
            </wp:positionH>
            <wp:positionV relativeFrom="paragraph">
              <wp:posOffset>165735</wp:posOffset>
            </wp:positionV>
            <wp:extent cx="3144520" cy="2190750"/>
            <wp:effectExtent l="4445" t="4445" r="13335" b="14605"/>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3"/>
        <w:numPr>
          <w:ilvl w:val="0"/>
          <w:numId w:val="2"/>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420" w:firstLineChars="200"/>
        <w:outlineLvl w:val="1"/>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52070</wp:posOffset>
            </wp:positionH>
            <wp:positionV relativeFrom="paragraph">
              <wp:posOffset>2004695</wp:posOffset>
            </wp:positionV>
            <wp:extent cx="2573020" cy="1972310"/>
            <wp:effectExtent l="5080" t="4445" r="12700" b="23495"/>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662.83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563.14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84.96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99.69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15.04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662.83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 w:hAnsi="仿宋" w:eastAsia="仿宋"/>
          <w:color w:val="000000"/>
          <w:sz w:val="32"/>
          <w:szCs w:val="32"/>
          <w:lang w:val="en-US" w:eastAsia="zh-CN"/>
        </w:rPr>
        <w:t>25.9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4.33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工资福利增加。</w:t>
      </w: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r>
        <w:drawing>
          <wp:anchor distT="0" distB="0" distL="114300" distR="114300" simplePos="0" relativeHeight="251661312" behindDoc="0" locked="0" layoutInCell="1" allowOverlap="1">
            <wp:simplePos x="0" y="0"/>
            <wp:positionH relativeFrom="column">
              <wp:posOffset>182245</wp:posOffset>
            </wp:positionH>
            <wp:positionV relativeFrom="paragraph">
              <wp:posOffset>175895</wp:posOffset>
            </wp:positionV>
            <wp:extent cx="3181350" cy="2286000"/>
            <wp:effectExtent l="4445" t="5080" r="14605" b="13970"/>
            <wp:wrapTopAndBottom/>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662.83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25.9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4.33</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是工资福利增加。</w:t>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2336" behindDoc="0" locked="0" layoutInCell="1" allowOverlap="1">
            <wp:simplePos x="0" y="0"/>
            <wp:positionH relativeFrom="column">
              <wp:posOffset>204470</wp:posOffset>
            </wp:positionH>
            <wp:positionV relativeFrom="paragraph">
              <wp:posOffset>446405</wp:posOffset>
            </wp:positionV>
            <wp:extent cx="3657600" cy="2114550"/>
            <wp:effectExtent l="4445" t="4445" r="14605" b="14605"/>
            <wp:wrapTopAndBottom/>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hint="eastAsia" w:ascii="仿宋" w:hAnsi="仿宋" w:eastAsia="仿宋"/>
          <w:b/>
          <w:color w:val="000000"/>
          <w:sz w:val="32"/>
          <w:szCs w:val="32"/>
        </w:rPr>
      </w:pPr>
      <w:bookmarkStart w:id="35" w:name="_Toc15377211"/>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662.83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548.53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82.76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62.1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9.37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b/>
          <w:bCs/>
          <w:color w:val="000000" w:themeColor="text1"/>
          <w:sz w:val="32"/>
          <w:szCs w:val="32"/>
          <w:lang w:val="en-US" w:eastAsia="zh-CN"/>
          <w14:textFill>
            <w14:solidFill>
              <w14:schemeClr w14:val="tx1"/>
            </w14:solidFill>
          </w14:textFill>
        </w:rPr>
        <w:t>20.73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31.47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4.75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3360" behindDoc="0" locked="0" layoutInCell="1" allowOverlap="1">
            <wp:simplePos x="0" y="0"/>
            <wp:positionH relativeFrom="column">
              <wp:posOffset>156845</wp:posOffset>
            </wp:positionH>
            <wp:positionV relativeFrom="paragraph">
              <wp:posOffset>445770</wp:posOffset>
            </wp:positionV>
            <wp:extent cx="3247390" cy="2277745"/>
            <wp:effectExtent l="4445" t="4445" r="5715" b="22860"/>
            <wp:wrapTopAndBottom/>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662.83</w:t>
      </w:r>
      <w:r>
        <w:rPr>
          <w:rFonts w:hint="eastAsia" w:ascii="仿宋" w:hAnsi="仿宋" w:eastAsia="仿宋"/>
          <w:color w:val="000000" w:themeColor="text1"/>
          <w:sz w:val="32"/>
          <w:szCs w:val="32"/>
          <w14:textFill>
            <w14:solidFill>
              <w14:schemeClr w14:val="tx1"/>
            </w14:solidFill>
          </w14:textFill>
        </w:rPr>
        <w:t>，</w:t>
      </w:r>
      <w:r>
        <w:rPr>
          <w:rStyle w:val="13"/>
          <w:rFonts w:hint="eastAsia" w:ascii="仿宋" w:hAnsi="仿宋" w:eastAsia="仿宋"/>
          <w:bCs/>
          <w:color w:val="000000" w:themeColor="text1"/>
          <w:sz w:val="32"/>
          <w:szCs w:val="32"/>
          <w14:textFill>
            <w14:solidFill>
              <w14:schemeClr w14:val="tx1"/>
            </w14:solidFill>
          </w14:textFill>
        </w:rPr>
        <w:t>完成</w:t>
      </w:r>
      <w:r>
        <w:rPr>
          <w:rStyle w:val="13"/>
          <w:rFonts w:hint="eastAsia" w:ascii="仿宋" w:hAnsi="仿宋" w:eastAsia="仿宋"/>
          <w:bCs/>
          <w:color w:val="000000"/>
          <w:sz w:val="32"/>
          <w:szCs w:val="32"/>
        </w:rPr>
        <w:t>预算</w:t>
      </w:r>
      <w:r>
        <w:rPr>
          <w:rStyle w:val="13"/>
          <w:rFonts w:hint="eastAsia" w:ascii="仿宋" w:hAnsi="仿宋" w:eastAsia="仿宋"/>
          <w:bCs/>
          <w:color w:val="000000"/>
          <w:sz w:val="32"/>
          <w:szCs w:val="32"/>
          <w:lang w:val="en-US" w:eastAsia="zh-CN"/>
        </w:rPr>
        <w:t>100</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hint="eastAsia" w:ascii="仿宋" w:hAnsi="仿宋" w:eastAsia="仿宋"/>
          <w:b/>
          <w:color w:val="000000"/>
          <w:sz w:val="32"/>
          <w:szCs w:val="32"/>
          <w:lang w:val="en-US" w:eastAsia="zh-CN"/>
        </w:rPr>
      </w:pPr>
      <w:r>
        <w:rPr>
          <w:rStyle w:val="13"/>
          <w:rFonts w:hint="eastAsia" w:ascii="仿宋" w:hAnsi="仿宋" w:eastAsia="仿宋"/>
          <w:bCs/>
          <w:color w:val="000000"/>
          <w:sz w:val="32"/>
          <w:szCs w:val="32"/>
          <w:lang w:val="en-US" w:eastAsia="zh-CN"/>
        </w:rPr>
        <w:t>1</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教育</w:t>
      </w:r>
      <w:r>
        <w:rPr>
          <w:rStyle w:val="13"/>
          <w:rFonts w:hint="eastAsia" w:ascii="仿宋" w:hAnsi="仿宋" w:eastAsia="仿宋"/>
          <w:bCs/>
          <w:color w:val="000000"/>
          <w:sz w:val="32"/>
          <w:szCs w:val="32"/>
          <w:lang w:eastAsia="zh-CN"/>
        </w:rPr>
        <w:t>支出（</w:t>
      </w:r>
      <w:r>
        <w:rPr>
          <w:rStyle w:val="13"/>
          <w:rFonts w:hint="eastAsia" w:ascii="仿宋" w:hAnsi="仿宋" w:eastAsia="仿宋"/>
          <w:bCs/>
          <w:color w:val="000000"/>
          <w:sz w:val="32"/>
          <w:szCs w:val="32"/>
          <w:lang w:val="en-US" w:eastAsia="zh-CN"/>
        </w:rPr>
        <w:t>2050201</w:t>
      </w:r>
      <w:r>
        <w:rPr>
          <w:rStyle w:val="13"/>
          <w:rFonts w:hint="eastAsia" w:ascii="仿宋" w:hAnsi="仿宋" w:eastAsia="仿宋"/>
          <w:bCs/>
          <w:color w:val="000000"/>
          <w:sz w:val="32"/>
          <w:szCs w:val="32"/>
          <w:lang w:eastAsia="zh-CN"/>
        </w:rPr>
        <w:t>）</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w:t>
      </w:r>
      <w:r>
        <w:rPr>
          <w:rStyle w:val="13"/>
          <w:rFonts w:hint="eastAsia" w:ascii="仿宋" w:hAnsi="仿宋" w:eastAsia="仿宋"/>
          <w:b w:val="0"/>
          <w:bCs/>
          <w:color w:val="000000"/>
          <w:sz w:val="32"/>
          <w:szCs w:val="32"/>
          <w:lang w:val="en-US" w:eastAsia="zh-CN"/>
        </w:rPr>
        <w:t>4.56</w:t>
      </w:r>
      <w:r>
        <w:rPr>
          <w:rStyle w:val="13"/>
          <w:rFonts w:hint="eastAsia" w:ascii="仿宋" w:hAnsi="仿宋" w:eastAsia="仿宋"/>
          <w:b w:val="0"/>
          <w:bCs/>
          <w:color w:val="000000"/>
          <w:sz w:val="32"/>
          <w:szCs w:val="32"/>
        </w:rPr>
        <w:t>为万元，完成预算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Style w:val="13"/>
          <w:rFonts w:hint="eastAsia" w:ascii="仿宋" w:hAnsi="仿宋" w:eastAsia="仿宋"/>
          <w:b w:val="0"/>
          <w:bCs/>
          <w:color w:val="000000"/>
          <w:sz w:val="32"/>
          <w:szCs w:val="32"/>
          <w:lang w:eastAsia="zh-CN"/>
        </w:rPr>
        <w:t>（</w:t>
      </w:r>
      <w:r>
        <w:rPr>
          <w:rStyle w:val="13"/>
          <w:rFonts w:hint="eastAsia" w:ascii="仿宋" w:hAnsi="仿宋" w:eastAsia="仿宋"/>
          <w:b w:val="0"/>
          <w:bCs/>
          <w:color w:val="000000"/>
          <w:sz w:val="32"/>
          <w:szCs w:val="32"/>
          <w:lang w:val="en-US" w:eastAsia="zh-CN"/>
        </w:rPr>
        <w:t>2050202</w:t>
      </w:r>
      <w:r>
        <w:rPr>
          <w:rStyle w:val="13"/>
          <w:rFonts w:hint="eastAsia" w:ascii="仿宋" w:hAnsi="仿宋" w:eastAsia="仿宋"/>
          <w:b w:val="0"/>
          <w:bCs/>
          <w:color w:val="000000"/>
          <w:sz w:val="32"/>
          <w:szCs w:val="32"/>
          <w:lang w:eastAsia="zh-CN"/>
        </w:rPr>
        <w:t>）：支出决算数</w:t>
      </w:r>
      <w:r>
        <w:rPr>
          <w:rStyle w:val="13"/>
          <w:rFonts w:hint="eastAsia" w:ascii="仿宋" w:hAnsi="仿宋" w:eastAsia="仿宋"/>
          <w:b w:val="0"/>
          <w:bCs/>
          <w:color w:val="000000"/>
          <w:sz w:val="32"/>
          <w:szCs w:val="32"/>
          <w:lang w:val="en-US" w:eastAsia="zh-CN"/>
        </w:rPr>
        <w:t>533.97万元，完成预算100%。（2050999：）支出决算数为10万元，完成预算数100%。</w:t>
      </w:r>
    </w:p>
    <w:p>
      <w:pPr>
        <w:spacing w:line="600" w:lineRule="exact"/>
        <w:ind w:firstLine="643" w:firstLineChars="200"/>
        <w:rPr>
          <w:rStyle w:val="13"/>
          <w:rFonts w:hint="eastAsia" w:ascii="仿宋" w:hAnsi="仿宋" w:eastAsia="仿宋"/>
          <w:b w:val="0"/>
          <w:bCs/>
          <w:color w:val="000000"/>
          <w:sz w:val="32"/>
          <w:szCs w:val="32"/>
          <w:lang w:val="en-US" w:eastAsia="zh-CN"/>
        </w:rPr>
      </w:pPr>
      <w:r>
        <w:rPr>
          <w:rStyle w:val="13"/>
          <w:rFonts w:hint="eastAsia" w:ascii="仿宋" w:hAnsi="仿宋" w:eastAsia="仿宋"/>
          <w:bCs/>
          <w:color w:val="000000"/>
          <w:sz w:val="32"/>
          <w:szCs w:val="32"/>
          <w:lang w:val="en-US" w:eastAsia="zh-CN"/>
        </w:rPr>
        <w:t>2</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w:t>
      </w:r>
      <w:r>
        <w:rPr>
          <w:rStyle w:val="13"/>
          <w:rFonts w:hint="eastAsia" w:ascii="仿宋" w:hAnsi="仿宋" w:eastAsia="仿宋"/>
          <w:bCs/>
          <w:color w:val="000000"/>
          <w:sz w:val="32"/>
          <w:szCs w:val="32"/>
          <w:lang w:eastAsia="zh-CN"/>
        </w:rPr>
        <w:t>支出（</w:t>
      </w:r>
      <w:r>
        <w:rPr>
          <w:rStyle w:val="13"/>
          <w:rFonts w:hint="eastAsia" w:ascii="仿宋" w:hAnsi="仿宋" w:eastAsia="仿宋"/>
          <w:bCs/>
          <w:color w:val="000000"/>
          <w:sz w:val="32"/>
          <w:szCs w:val="32"/>
          <w:lang w:val="en-US" w:eastAsia="zh-CN"/>
        </w:rPr>
        <w:t>2080505</w:t>
      </w:r>
      <w:r>
        <w:rPr>
          <w:rStyle w:val="13"/>
          <w:rFonts w:hint="eastAsia" w:ascii="仿宋" w:hAnsi="仿宋" w:eastAsia="仿宋"/>
          <w:bCs/>
          <w:color w:val="000000"/>
          <w:sz w:val="32"/>
          <w:szCs w:val="32"/>
          <w:lang w:eastAsia="zh-CN"/>
        </w:rPr>
        <w:t>）</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62.1</w:t>
      </w:r>
      <w:r>
        <w:rPr>
          <w:rStyle w:val="13"/>
          <w:rFonts w:hint="eastAsia" w:ascii="仿宋" w:hAnsi="仿宋" w:eastAsia="仿宋"/>
          <w:b w:val="0"/>
          <w:bCs/>
          <w:color w:val="000000"/>
          <w:sz w:val="32"/>
          <w:szCs w:val="32"/>
        </w:rPr>
        <w:t>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lang w:val="en-US" w:eastAsia="zh-CN"/>
        </w:rPr>
        <w:t>.</w:t>
      </w:r>
    </w:p>
    <w:p>
      <w:pPr>
        <w:spacing w:line="600" w:lineRule="exact"/>
        <w:ind w:firstLine="643" w:firstLineChars="200"/>
        <w:rPr>
          <w:rFonts w:hint="eastAsia" w:ascii="仿宋" w:hAnsi="仿宋" w:eastAsia="仿宋"/>
          <w:color w:val="000000"/>
          <w:sz w:val="32"/>
          <w:szCs w:val="32"/>
          <w:lang w:val="en-US" w:eastAsia="zh-CN"/>
        </w:rPr>
      </w:pPr>
      <w:r>
        <w:rPr>
          <w:rStyle w:val="13"/>
          <w:rFonts w:hint="eastAsia" w:ascii="仿宋" w:hAnsi="仿宋" w:eastAsia="仿宋"/>
          <w:bCs/>
          <w:color w:val="000000"/>
          <w:sz w:val="32"/>
          <w:szCs w:val="32"/>
          <w:lang w:val="en-US" w:eastAsia="zh-CN"/>
        </w:rPr>
        <w:t>3</w:t>
      </w:r>
      <w:r>
        <w:rPr>
          <w:rStyle w:val="13"/>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支出（</w:t>
      </w:r>
      <w:r>
        <w:rPr>
          <w:rFonts w:hint="eastAsia" w:ascii="仿宋" w:hAnsi="仿宋" w:eastAsia="仿宋"/>
          <w:b/>
          <w:bCs/>
          <w:color w:val="000000" w:themeColor="text1"/>
          <w:sz w:val="32"/>
          <w:szCs w:val="32"/>
          <w:lang w:val="en-US" w:eastAsia="zh-CN"/>
          <w14:textFill>
            <w14:solidFill>
              <w14:schemeClr w14:val="tx1"/>
            </w14:solidFill>
          </w14:textFill>
        </w:rPr>
        <w:t>2101102</w:t>
      </w:r>
      <w:r>
        <w:rPr>
          <w:rFonts w:hint="eastAsia" w:ascii="仿宋" w:hAnsi="仿宋" w:eastAsia="仿宋"/>
          <w:b/>
          <w:bCs/>
          <w:color w:val="000000" w:themeColor="text1"/>
          <w:sz w:val="32"/>
          <w:szCs w:val="32"/>
          <w:lang w:eastAsia="zh-CN"/>
          <w14:textFill>
            <w14:solidFill>
              <w14:schemeClr w14:val="tx1"/>
            </w14:solidFill>
          </w14:textFill>
        </w:rPr>
        <w:t>）</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20.73</w:t>
      </w:r>
      <w:r>
        <w:rPr>
          <w:rStyle w:val="13"/>
          <w:rFonts w:hint="eastAsia" w:ascii="仿宋" w:hAnsi="仿宋" w:eastAsia="仿宋"/>
          <w:b w:val="0"/>
          <w:bCs/>
          <w:color w:val="000000"/>
          <w:sz w:val="32"/>
          <w:szCs w:val="32"/>
        </w:rPr>
        <w:t>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lang w:eastAsia="zh-CN"/>
        </w:rPr>
        <w:t>。</w:t>
      </w:r>
    </w:p>
    <w:p>
      <w:pPr>
        <w:spacing w:line="600" w:lineRule="exact"/>
        <w:ind w:firstLine="640"/>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4.住房保障支出（2210201）：支出决算数31.47万元，完成预算数100%。</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662.83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484.55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38.79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0.8</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w:t>
      </w:r>
      <w:r>
        <w:rPr>
          <w:rFonts w:hint="eastAsia" w:ascii="仿宋" w:hAnsi="仿宋" w:eastAsia="仿宋"/>
          <w:color w:val="000000"/>
          <w:sz w:val="32"/>
          <w:szCs w:val="32"/>
          <w:lang w:eastAsia="zh-CN"/>
        </w:rPr>
        <w:t>严格控制开支。</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b/>
          <w:color w:val="000000"/>
          <w:sz w:val="32"/>
          <w:szCs w:val="32"/>
        </w:rPr>
      </w:pPr>
      <w:r>
        <w:drawing>
          <wp:anchor distT="0" distB="0" distL="114300" distR="114300" simplePos="0" relativeHeight="251664384" behindDoc="0" locked="0" layoutInCell="1" allowOverlap="1">
            <wp:simplePos x="0" y="0"/>
            <wp:positionH relativeFrom="column">
              <wp:posOffset>229870</wp:posOffset>
            </wp:positionH>
            <wp:positionV relativeFrom="paragraph">
              <wp:posOffset>252095</wp:posOffset>
            </wp:positionV>
            <wp:extent cx="3600450" cy="2133600"/>
            <wp:effectExtent l="4445" t="4445" r="1460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_GB2312" w:eastAsia="仿宋_GB2312"/>
          <w:color w:val="000000"/>
          <w:sz w:val="32"/>
          <w:szCs w:val="32"/>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lang w:val="en-US"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33.33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严格控制开支。</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0.8</w:t>
      </w:r>
      <w:r>
        <w:rPr>
          <w:rFonts w:hint="eastAsia" w:ascii="仿宋_GB2312" w:eastAsia="仿宋_GB2312"/>
          <w:color w:val="000000"/>
          <w:sz w:val="32"/>
          <w:szCs w:val="32"/>
        </w:rPr>
        <w:t>万元，主要用于开展业务活动开支的交通费、住宿费、用餐费等</w:t>
      </w:r>
      <w:r>
        <w:rPr>
          <w:rFonts w:hint="eastAsia" w:ascii="仿宋_GB2312" w:eastAsia="仿宋_GB2312"/>
          <w:color w:val="000000"/>
          <w:sz w:val="32"/>
          <w:szCs w:val="32"/>
          <w:lang w:eastAsia="zh-CN"/>
        </w:rPr>
        <w:t>。</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123</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体验馆接待</w:t>
      </w:r>
      <w:r>
        <w:rPr>
          <w:rFonts w:hint="eastAsia" w:ascii="仿宋_GB2312" w:eastAsia="仿宋_GB2312"/>
          <w:color w:val="000000"/>
          <w:sz w:val="32"/>
          <w:szCs w:val="32"/>
          <w:lang w:val="en-US" w:eastAsia="zh-CN"/>
        </w:rPr>
        <w:t>0.4万元，教学交流活动0.2万元，教研活动0.2万元</w:t>
      </w:r>
      <w:r>
        <w:rPr>
          <w:rFonts w:hint="eastAsia" w:ascii="仿宋_GB2312" w:eastAsia="仿宋_GB2312"/>
          <w:color w:val="000000"/>
          <w:sz w:val="32"/>
          <w:szCs w:val="32"/>
        </w:rPr>
        <w:t>。</w:t>
      </w:r>
    </w:p>
    <w:p>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Fonts w:ascii="黑体" w:eastAsia="黑体"/>
          <w:color w:val="000000"/>
          <w:sz w:val="32"/>
          <w:szCs w:val="32"/>
        </w:rPr>
      </w:pP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5"/>
          <w:rFonts w:ascii="黑体" w:hAnsi="黑体" w:eastAsia="黑体"/>
          <w:b w:val="0"/>
        </w:rPr>
      </w:pPr>
      <w:r>
        <w:rPr>
          <w:rStyle w:val="25"/>
          <w:rFonts w:hint="eastAsia" w:ascii="黑体" w:hAnsi="黑体" w:eastAsia="黑体"/>
          <w:b w:val="0"/>
        </w:rPr>
        <w:t>国有资本经营预算支出决算情况说明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p>
    <w:p>
      <w:pPr>
        <w:spacing w:line="600" w:lineRule="exact"/>
        <w:ind w:firstLine="643" w:firstLineChars="200"/>
        <w:outlineLvl w:val="2"/>
        <w:rPr>
          <w:rFonts w:ascii="仿宋" w:hAnsi="仿宋" w:eastAsia="仿宋"/>
          <w:color w:val="000000"/>
          <w:sz w:val="32"/>
          <w:szCs w:val="32"/>
        </w:rPr>
      </w:pPr>
      <w:bookmarkStart w:id="46" w:name="_Toc15377222"/>
      <w:r>
        <w:rPr>
          <w:rFonts w:hint="eastAsia" w:ascii="仿宋" w:hAnsi="仿宋" w:eastAsia="仿宋"/>
          <w:b/>
          <w:color w:val="000000"/>
          <w:sz w:val="32"/>
          <w:szCs w:val="32"/>
        </w:rPr>
        <w:t>（一）机关运行经费支出情况</w:t>
      </w:r>
      <w:bookmarkEnd w:id="46"/>
    </w:p>
    <w:p>
      <w:pPr>
        <w:spacing w:line="60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7" w:name="_Toc15377223"/>
      <w:r>
        <w:rPr>
          <w:rFonts w:hint="eastAsia" w:ascii="仿宋" w:hAnsi="仿宋" w:eastAsia="仿宋"/>
          <w:b/>
          <w:color w:val="000000"/>
          <w:sz w:val="32"/>
          <w:szCs w:val="32"/>
        </w:rPr>
        <w:t>（二）政府采购支出情况</w:t>
      </w:r>
      <w:bookmarkEnd w:id="47"/>
    </w:p>
    <w:p>
      <w:pPr>
        <w:spacing w:line="600" w:lineRule="exact"/>
        <w:ind w:firstLine="640" w:firstLineChars="200"/>
        <w:rPr>
          <w:rFonts w:hint="eastAsia" w:ascii="仿宋" w:hAnsi="仿宋" w:eastAsia="仿宋_GB2312"/>
          <w:b/>
          <w:color w:val="FF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w:t>
      </w:r>
      <w:r>
        <w:rPr>
          <w:rFonts w:hint="eastAsia" w:ascii="仿宋" w:hAnsi="仿宋" w:eastAsia="仿宋"/>
          <w:b/>
          <w:color w:val="000000"/>
          <w:sz w:val="32"/>
          <w:szCs w:val="32"/>
          <w:lang w:eastAsia="zh-CN"/>
        </w:rPr>
        <w:t>三</w:t>
      </w:r>
      <w:r>
        <w:rPr>
          <w:rFonts w:hint="eastAsia" w:ascii="仿宋" w:hAnsi="仿宋" w:eastAsia="仿宋"/>
          <w:b/>
          <w:color w:val="000000"/>
          <w:sz w:val="32"/>
          <w:szCs w:val="32"/>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幼儿园</w:t>
      </w:r>
      <w:r>
        <w:rPr>
          <w:rFonts w:hint="eastAsia" w:ascii="仿宋_GB2312" w:hAnsi="仿宋_GB2312" w:eastAsia="仿宋_GB2312" w:cs="仿宋_GB2312"/>
          <w:sz w:val="32"/>
          <w:szCs w:val="32"/>
        </w:rPr>
        <w:t>项目（项目名称）开展了预算事前绩效评估，对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效果较好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效果较好。</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幼儿保教费减免经费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个项目绩效目标实际完成情况。项目全年预算数</w:t>
      </w:r>
      <w:r>
        <w:rPr>
          <w:rFonts w:hint="eastAsia" w:ascii="仿宋_GB2312" w:hAnsi="仿宋_GB2312" w:eastAsia="仿宋_GB2312" w:cs="仿宋_GB2312"/>
          <w:sz w:val="32"/>
          <w:szCs w:val="32"/>
          <w:lang w:val="en-US" w:eastAsia="zh-CN"/>
        </w:rPr>
        <w:t>4.29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4.29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tbl>
      <w:tblPr>
        <w:tblStyle w:val="15"/>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宣汉县江口学校</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宣汉县江口学校</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4.29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4.29</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4.29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4.29</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4.29</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4.29</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宣汉县江口学校</w:t>
      </w:r>
      <w:r>
        <w:rPr>
          <w:rFonts w:hint="eastAsia" w:ascii="仿宋_GB2312" w:hAnsi="仿宋_GB2312" w:eastAsia="仿宋_GB2312" w:cs="仿宋_GB2312"/>
          <w:sz w:val="32"/>
          <w:szCs w:val="32"/>
        </w:rPr>
        <w:t>部门2019年部门整体支出绩效评价报告》见附件。</w:t>
      </w:r>
    </w:p>
    <w:p>
      <w:pPr>
        <w:spacing w:line="580" w:lineRule="exact"/>
        <w:ind w:firstLine="640" w:firstLineChars="200"/>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numPr>
          <w:ilvl w:val="0"/>
          <w:numId w:val="4"/>
        </w:numPr>
        <w:spacing w:line="600" w:lineRule="exact"/>
        <w:ind w:firstLine="660" w:firstLineChars="150"/>
        <w:jc w:val="center"/>
        <w:outlineLvl w:val="0"/>
        <w:rPr>
          <w:rStyle w:val="24"/>
          <w:rFonts w:ascii="黑体" w:hAnsi="黑体" w:eastAsia="黑体"/>
          <w:b w:val="0"/>
        </w:rPr>
      </w:pPr>
      <w:r>
        <w:rPr>
          <w:rFonts w:hint="eastAsia" w:ascii="黑体" w:hAnsi="黑体" w:eastAsia="黑体"/>
          <w:color w:val="000000"/>
          <w:sz w:val="44"/>
          <w:szCs w:val="44"/>
        </w:rPr>
        <w:t>名</w:t>
      </w:r>
      <w:r>
        <w:rPr>
          <w:rStyle w:val="24"/>
          <w:rFonts w:hint="eastAsia" w:ascii="黑体" w:hAnsi="黑体" w:eastAsia="黑体"/>
          <w:b w:val="0"/>
        </w:rPr>
        <w:t>词解释</w:t>
      </w:r>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r>
        <w:rPr>
          <w:rFonts w:ascii="宋体"/>
          <w:b/>
          <w:color w:val="000000"/>
          <w:sz w:val="44"/>
          <w:szCs w:val="44"/>
        </w:rPr>
        <w:br w:type="page"/>
      </w:r>
      <w:r>
        <w:rPr>
          <w:rFonts w:hint="eastAsia" w:ascii="黑体" w:hAnsi="黑体" w:eastAsia="黑体"/>
          <w:color w:val="000000"/>
          <w:sz w:val="44"/>
          <w:szCs w:val="44"/>
        </w:rPr>
        <w:t>第</w:t>
      </w:r>
      <w:r>
        <w:rPr>
          <w:rStyle w:val="24"/>
          <w:rFonts w:hint="eastAsia" w:ascii="黑体" w:hAnsi="黑体" w:eastAsia="黑体"/>
          <w:b w:val="0"/>
        </w:rPr>
        <w:t>四部分 附件</w:t>
      </w:r>
    </w:p>
    <w:p>
      <w:pPr>
        <w:spacing w:line="600"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附件1</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宣汉县江口学校</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（一）机构组成。我校是一所完全小学，无下辖机构。</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（二）机构职能。完成义务教育阶段</w:t>
      </w:r>
      <w:r>
        <w:rPr>
          <w:rFonts w:hint="eastAsia" w:ascii="仿宋_GB2312" w:hAnsi="宋体" w:eastAsia="仿宋_GB2312" w:cs="宋体"/>
          <w:color w:val="000000"/>
          <w:kern w:val="0"/>
          <w:sz w:val="32"/>
          <w:szCs w:val="32"/>
          <w:shd w:val="clear" w:color="auto" w:fill="FFFFFF"/>
          <w:lang w:val="en-US" w:eastAsia="zh-CN"/>
        </w:rPr>
        <w:t>1-6年级教育教学任务。</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（三）人员概况。教师</w:t>
      </w:r>
      <w:r>
        <w:rPr>
          <w:rFonts w:hint="eastAsia" w:ascii="仿宋_GB2312" w:hAnsi="宋体" w:eastAsia="仿宋_GB2312" w:cs="宋体"/>
          <w:color w:val="000000"/>
          <w:kern w:val="0"/>
          <w:sz w:val="32"/>
          <w:szCs w:val="32"/>
          <w:shd w:val="clear" w:color="auto" w:fill="FFFFFF"/>
          <w:lang w:val="en-US" w:eastAsia="zh-CN"/>
        </w:rPr>
        <w:t>23人，学生430人。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（一）部门财政资金收入情况：</w:t>
      </w:r>
      <w:r>
        <w:rPr>
          <w:rFonts w:hint="eastAsia" w:ascii="仿宋_GB2312" w:hAnsi="宋体" w:eastAsia="仿宋_GB2312" w:cs="宋体"/>
          <w:color w:val="000000"/>
          <w:kern w:val="0"/>
          <w:sz w:val="32"/>
          <w:szCs w:val="32"/>
          <w:shd w:val="clear" w:color="auto" w:fill="FFFFFF"/>
          <w:lang w:val="en-US" w:eastAsia="zh-CN"/>
        </w:rPr>
        <w:t>662.83万元。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r>
        <w:rPr>
          <w:rFonts w:hint="eastAsia" w:ascii="仿宋_GB2312" w:hAnsi="宋体" w:eastAsia="仿宋_GB2312" w:cs="宋体"/>
          <w:color w:val="000000"/>
          <w:kern w:val="0"/>
          <w:sz w:val="32"/>
          <w:szCs w:val="32"/>
          <w:shd w:val="clear" w:color="auto" w:fill="FFFFFF"/>
          <w:lang w:val="en-US" w:eastAsia="zh-CN"/>
        </w:rPr>
        <w:t>662.83万元</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部门绩效目标制定、目标实现、预算编制准确、支出控制、预算动态调整、执行进度、预算完成情况和违规记录等情况规范详实。</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绩效自评公开、评价结果整改和应用结果情况较好。</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（一）评价结论：较好。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（二）存在问题：无。</w:t>
      </w:r>
    </w:p>
    <w:p>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t>（三）改进建议：无。</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hint="eastAsia" w:ascii="黑体" w:hAnsi="黑体" w:eastAsia="黑体"/>
          <w:b w:val="0"/>
          <w:lang w:val="en-US" w:eastAsia="zh-CN"/>
        </w:rPr>
      </w:pPr>
      <w:r>
        <w:rPr>
          <w:rStyle w:val="24"/>
          <w:rFonts w:ascii="黑体" w:hAnsi="黑体" w:eastAsia="黑体"/>
          <w:b w:val="0"/>
        </w:rPr>
        <w:br w:type="page"/>
      </w:r>
      <w:r>
        <w:rPr>
          <w:rStyle w:val="24"/>
          <w:rFonts w:hint="eastAsia" w:ascii="黑体" w:hAnsi="黑体" w:eastAsia="黑体"/>
          <w:b w:val="0"/>
          <w:lang w:val="en-US" w:eastAsia="zh-CN"/>
        </w:rPr>
        <w:t xml:space="preserve"> </w:t>
      </w: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p>
    <w:p>
      <w:pPr>
        <w:pStyle w:val="3"/>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p>
    <w:p>
      <w:pPr>
        <w:pStyle w:val="3"/>
        <w:rPr>
          <w:rFonts w:ascii="仿宋" w:hAnsi="仿宋" w:eastAsia="仿宋"/>
          <w:color w:val="000000"/>
        </w:rPr>
      </w:pPr>
      <w:r>
        <w:rPr>
          <w:rFonts w:hint="eastAsia" w:ascii="仿宋" w:hAnsi="仿宋" w:eastAsia="仿宋"/>
          <w:b w:val="0"/>
          <w:color w:val="000000"/>
        </w:rPr>
        <w:t>二、收</w:t>
      </w:r>
      <w:r>
        <w:rPr>
          <w:rStyle w:val="25"/>
          <w:rFonts w:hint="eastAsia" w:ascii="仿宋" w:hAnsi="仿宋" w:eastAsia="仿宋"/>
          <w:b w:val="0"/>
          <w:bCs w:val="0"/>
        </w:rPr>
        <w:t>入决算表</w:t>
      </w:r>
    </w:p>
    <w:p>
      <w:pPr>
        <w:pStyle w:val="3"/>
        <w:rPr>
          <w:rFonts w:ascii="仿宋" w:hAnsi="仿宋" w:eastAsia="仿宋"/>
          <w:color w:val="000000"/>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p>
    <w:p>
      <w:pPr>
        <w:pStyle w:val="3"/>
        <w:rPr>
          <w:rFonts w:ascii="仿宋" w:hAnsi="仿宋" w:eastAsia="仿宋"/>
          <w:b w:val="0"/>
          <w:color w:val="000000"/>
        </w:rPr>
      </w:pPr>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p>
    <w:p>
      <w:pPr>
        <w:pStyle w:val="3"/>
        <w:rPr>
          <w:rStyle w:val="25"/>
          <w:rFonts w:ascii="仿宋" w:hAnsi="仿宋" w:eastAsia="仿宋"/>
          <w:b w:val="0"/>
          <w:bCs w:val="0"/>
        </w:rPr>
      </w:pPr>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p>
    <w:p>
      <w:pPr>
        <w:pStyle w:val="3"/>
        <w:rPr>
          <w:rFonts w:ascii="仿宋" w:hAnsi="仿宋" w:eastAsia="仿宋"/>
          <w:color w:val="000000"/>
        </w:rPr>
      </w:pPr>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p>
    <w:p>
      <w:pPr>
        <w:pStyle w:val="3"/>
        <w:rPr>
          <w:rFonts w:ascii="仿宋" w:hAnsi="仿宋" w:eastAsia="仿宋"/>
          <w:color w:val="000000"/>
        </w:rPr>
      </w:pPr>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p>
    <w:p>
      <w:pPr>
        <w:pStyle w:val="3"/>
        <w:rPr>
          <w:rFonts w:ascii="仿宋" w:hAnsi="仿宋" w:eastAsia="仿宋"/>
          <w:color w:val="000000"/>
        </w:rPr>
      </w:pPr>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p>
    <w:p>
      <w:pPr>
        <w:pStyle w:val="3"/>
        <w:rPr>
          <w:rFonts w:ascii="仿宋" w:hAnsi="仿宋" w:eastAsia="仿宋"/>
          <w:color w:val="000000"/>
        </w:rPr>
      </w:pPr>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p>
    <w:p>
      <w:pPr>
        <w:pStyle w:val="3"/>
        <w:rPr>
          <w:rFonts w:ascii="仿宋" w:hAnsi="仿宋" w:eastAsia="仿宋"/>
          <w:color w:val="000000"/>
        </w:rPr>
      </w:pPr>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p>
    <w:p>
      <w:pPr>
        <w:pStyle w:val="3"/>
        <w:rPr>
          <w:rFonts w:ascii="仿宋" w:hAnsi="仿宋" w:eastAsia="仿宋"/>
          <w:color w:val="000000"/>
        </w:rPr>
      </w:pPr>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p>
    <w:p>
      <w:pPr>
        <w:pStyle w:val="3"/>
        <w:rPr>
          <w:rFonts w:ascii="仿宋" w:hAnsi="仿宋" w:eastAsia="仿宋"/>
          <w:color w:val="000000" w:themeColor="text1"/>
          <w14:textFill>
            <w14:solidFill>
              <w14:schemeClr w14:val="tx1"/>
            </w14:solidFill>
          </w14:textFill>
        </w:rPr>
      </w:pPr>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p>
    <w:bookmarkEnd w:id="42"/>
    <w:bookmarkEnd w:id="43"/>
    <w:p>
      <w:pPr>
        <w:pStyle w:val="3"/>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4A86CBE"/>
    <w:multiLevelType w:val="singleLevel"/>
    <w:tmpl w:val="D4A86CBE"/>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25244"/>
    <w:rsid w:val="04D90FB0"/>
    <w:rsid w:val="08FC1A0E"/>
    <w:rsid w:val="0941359B"/>
    <w:rsid w:val="0D9E2921"/>
    <w:rsid w:val="10C055FF"/>
    <w:rsid w:val="11C6071A"/>
    <w:rsid w:val="153D0322"/>
    <w:rsid w:val="16BB723D"/>
    <w:rsid w:val="19B61CE3"/>
    <w:rsid w:val="21BD58B8"/>
    <w:rsid w:val="23187B2A"/>
    <w:rsid w:val="235E08F2"/>
    <w:rsid w:val="240371BF"/>
    <w:rsid w:val="29FD04D3"/>
    <w:rsid w:val="2EE440EA"/>
    <w:rsid w:val="2EE651FC"/>
    <w:rsid w:val="306A2F63"/>
    <w:rsid w:val="319F7F4E"/>
    <w:rsid w:val="38503070"/>
    <w:rsid w:val="3CF745B3"/>
    <w:rsid w:val="3D876E85"/>
    <w:rsid w:val="421F6D6A"/>
    <w:rsid w:val="477C3D93"/>
    <w:rsid w:val="49583306"/>
    <w:rsid w:val="4ECE2238"/>
    <w:rsid w:val="5513641D"/>
    <w:rsid w:val="5AF34BE2"/>
    <w:rsid w:val="5C232115"/>
    <w:rsid w:val="5F5D732C"/>
    <w:rsid w:val="611E4E47"/>
    <w:rsid w:val="62FD4596"/>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6">
    <w:name w:val="Header Char"/>
    <w:basedOn w:val="12"/>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2"/>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2"/>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2"/>
    <w:link w:val="2"/>
    <w:qFormat/>
    <w:uiPriority w:val="9"/>
    <w:rPr>
      <w:rFonts w:ascii="Times New Roman" w:hAnsi="Times New Roman"/>
      <w:b/>
      <w:bCs/>
      <w:kern w:val="44"/>
      <w:sz w:val="44"/>
      <w:szCs w:val="44"/>
    </w:rPr>
  </w:style>
  <w:style w:type="character" w:customStyle="1" w:styleId="25">
    <w:name w:val="标题 2 Char"/>
    <w:basedOn w:val="12"/>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2"/>
    <w:link w:val="7"/>
    <w:semiHidden/>
    <w:qFormat/>
    <w:uiPriority w:val="99"/>
    <w:rPr>
      <w:rFonts w:ascii="Times New Roman" w:hAnsi="Times New Roman"/>
      <w:kern w:val="2"/>
      <w:sz w:val="18"/>
      <w:szCs w:val="18"/>
    </w:rPr>
  </w:style>
  <w:style w:type="character" w:customStyle="1" w:styleId="28">
    <w:name w:val="标题 3 Char"/>
    <w:basedOn w:val="12"/>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00"/>
              <a:t>图一：收、支决算总计变动情况图</a:t>
            </a:r>
            <a:endParaRPr sz="10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[工作簿1]Sheet1!$A$1:$A$2</c:f>
              <c:strCache>
                <c:ptCount val="2"/>
                <c:pt idx="0">
                  <c:v>2018年一般公共预算</c:v>
                </c:pt>
                <c:pt idx="1">
                  <c:v>2019年一般公共预算</c:v>
                </c:pt>
              </c:strCache>
            </c:strRef>
          </c:cat>
          <c:val>
            <c:numRef>
              <c:f>[工作簿1]Sheet1!$B$1:$B$2</c:f>
              <c:numCache>
                <c:formatCode>General</c:formatCode>
                <c:ptCount val="2"/>
                <c:pt idx="0">
                  <c:v>636.93</c:v>
                </c:pt>
                <c:pt idx="1">
                  <c:v>662.83</c:v>
                </c:pt>
              </c:numCache>
            </c:numRef>
          </c:val>
        </c:ser>
        <c:dLbls>
          <c:showLegendKey val="0"/>
          <c:showVal val="0"/>
          <c:showCatName val="0"/>
          <c:showSerName val="0"/>
          <c:showPercent val="0"/>
          <c:showBubbleSize val="0"/>
        </c:dLbls>
        <c:gapWidth val="219"/>
        <c:overlap val="-27"/>
        <c:axId val="524594135"/>
        <c:axId val="170655744"/>
      </c:barChart>
      <c:catAx>
        <c:axId val="5245941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0655744"/>
        <c:crosses val="autoZero"/>
        <c:auto val="1"/>
        <c:lblAlgn val="ctr"/>
        <c:lblOffset val="100"/>
        <c:noMultiLvlLbl val="0"/>
      </c:catAx>
      <c:valAx>
        <c:axId val="170655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45941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0" i="0" u="none" strike="noStrike" kern="1200" spc="0" baseline="0">
                <a:solidFill>
                  <a:schemeClr val="tx1">
                    <a:lumMod val="65000"/>
                    <a:lumOff val="35000"/>
                  </a:schemeClr>
                </a:solidFill>
                <a:latin typeface="+mn-lt"/>
                <a:ea typeface="+mn-ea"/>
                <a:cs typeface="+mn-cs"/>
              </a:defRPr>
            </a:pPr>
            <a:r>
              <a:rPr sz="900"/>
              <a:t>图二：收入决算结构图</a:t>
            </a:r>
            <a:endParaRPr sz="9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[工作簿1]Sheet1!$A$1:$A$3</c:f>
              <c:strCache>
                <c:ptCount val="3"/>
                <c:pt idx="0">
                  <c:v>财政拨款收入</c:v>
                </c:pt>
                <c:pt idx="1">
                  <c:v>事业收入</c:v>
                </c:pt>
                <c:pt idx="2">
                  <c:v>经营收入</c:v>
                </c:pt>
              </c:strCache>
            </c:strRef>
          </c:cat>
          <c:val>
            <c:numRef>
              <c:f>[工作簿1]Sheet1!$B$1:$B$3</c:f>
              <c:numCache>
                <c:formatCode>General</c:formatCode>
                <c:ptCount val="3"/>
                <c:pt idx="0">
                  <c:v>662.83</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70056226921786"/>
          <c:y val="0.87407407407407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0" i="0" u="none" strike="noStrike" kern="1200" spc="0" baseline="0">
                <a:solidFill>
                  <a:schemeClr val="tx1">
                    <a:lumMod val="65000"/>
                    <a:lumOff val="35000"/>
                  </a:schemeClr>
                </a:solidFill>
                <a:latin typeface="+mn-lt"/>
                <a:ea typeface="+mn-ea"/>
                <a:cs typeface="+mn-cs"/>
              </a:defRPr>
            </a:pPr>
            <a:r>
              <a:rPr sz="900"/>
              <a:t>图三：支出决算结构图</a:t>
            </a:r>
            <a:endParaRPr sz="900"/>
          </a:p>
        </c:rich>
      </c:tx>
      <c:layout>
        <c:manualLayout>
          <c:xMode val="edge"/>
          <c:yMode val="edge"/>
          <c:x val="0.237787167761549"/>
          <c:y val="0.0840212124034957"/>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[工作簿1]Sheet1!$A$1:$A$2</c:f>
              <c:strCache>
                <c:ptCount val="2"/>
                <c:pt idx="0">
                  <c:v>基本支出</c:v>
                </c:pt>
                <c:pt idx="1">
                  <c:v>项目支出</c:v>
                </c:pt>
              </c:strCache>
            </c:strRef>
          </c:cat>
          <c:val>
            <c:numRef>
              <c:f>[工作簿1]Sheet1!$B$1:$B$2</c:f>
              <c:numCache>
                <c:formatCode>General</c:formatCode>
                <c:ptCount val="2"/>
                <c:pt idx="0">
                  <c:v>563.14</c:v>
                </c:pt>
                <c:pt idx="1">
                  <c:v>99.69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0" i="0" u="none" strike="noStrike" kern="1200" spc="0" baseline="0">
                <a:solidFill>
                  <a:schemeClr val="tx1">
                    <a:lumMod val="65000"/>
                    <a:lumOff val="35000"/>
                  </a:schemeClr>
                </a:solidFill>
                <a:latin typeface="+mn-lt"/>
                <a:ea typeface="+mn-ea"/>
                <a:cs typeface="+mn-cs"/>
              </a:defRPr>
            </a:pPr>
            <a:r>
              <a:rPr sz="900"/>
              <a:t>图四：财政 拨款收支决算总计变动图</a:t>
            </a:r>
            <a:endParaRPr sz="9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[工作簿1]Sheet1!$A$1:$A$2</c:f>
              <c:strCache>
                <c:ptCount val="2"/>
                <c:pt idx="0">
                  <c:v>2018年</c:v>
                </c:pt>
                <c:pt idx="1">
                  <c:v>2019年</c:v>
                </c:pt>
              </c:strCache>
            </c:strRef>
          </c:cat>
          <c:val>
            <c:numRef>
              <c:f>[工作簿1]Sheet1!$B$1:$B$2</c:f>
              <c:numCache>
                <c:formatCode>General</c:formatCode>
                <c:ptCount val="2"/>
                <c:pt idx="0">
                  <c:v>636.93</c:v>
                </c:pt>
                <c:pt idx="1">
                  <c:v>662.83</c:v>
                </c:pt>
              </c:numCache>
            </c:numRef>
          </c:val>
        </c:ser>
        <c:dLbls>
          <c:showLegendKey val="0"/>
          <c:showVal val="0"/>
          <c:showCatName val="0"/>
          <c:showSerName val="0"/>
          <c:showPercent val="0"/>
          <c:showBubbleSize val="0"/>
        </c:dLbls>
        <c:gapWidth val="219"/>
        <c:overlap val="-27"/>
        <c:axId val="873050475"/>
        <c:axId val="142537661"/>
      </c:barChart>
      <c:catAx>
        <c:axId val="8730504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2537661"/>
        <c:crosses val="autoZero"/>
        <c:auto val="1"/>
        <c:lblAlgn val="ctr"/>
        <c:lblOffset val="100"/>
        <c:noMultiLvlLbl val="0"/>
      </c:catAx>
      <c:valAx>
        <c:axId val="1425376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0504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900"/>
              <a:t>图五：一般公共预算财政拨款支出决算变动情况</a:t>
            </a:r>
            <a:endParaRPr sz="900"/>
          </a:p>
        </c:rich>
      </c:tx>
      <c:layout>
        <c:manualLayout>
          <c:xMode val="edge"/>
          <c:yMode val="edge"/>
          <c:x val="0.094652777777778"/>
          <c:y val="0.00900900900900901"/>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[工作簿1]Sheet1!$A$1:$A$2</c:f>
              <c:strCache>
                <c:ptCount val="2"/>
                <c:pt idx="0">
                  <c:v>2018年</c:v>
                </c:pt>
                <c:pt idx="1">
                  <c:v>2019年</c:v>
                </c:pt>
              </c:strCache>
            </c:strRef>
          </c:cat>
          <c:val>
            <c:numRef>
              <c:f>[工作簿1]Sheet1!$B$1:$B$2</c:f>
              <c:numCache>
                <c:formatCode>General</c:formatCode>
                <c:ptCount val="2"/>
                <c:pt idx="0">
                  <c:v>636.93</c:v>
                </c:pt>
                <c:pt idx="1">
                  <c:v>662.83</c:v>
                </c:pt>
              </c:numCache>
            </c:numRef>
          </c:val>
        </c:ser>
        <c:dLbls>
          <c:showLegendKey val="0"/>
          <c:showVal val="0"/>
          <c:showCatName val="0"/>
          <c:showSerName val="0"/>
          <c:showPercent val="0"/>
          <c:showBubbleSize val="0"/>
        </c:dLbls>
        <c:gapWidth val="219"/>
        <c:overlap val="-27"/>
        <c:axId val="762605244"/>
        <c:axId val="774176163"/>
      </c:barChart>
      <c:catAx>
        <c:axId val="7626052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4176163"/>
        <c:crosses val="autoZero"/>
        <c:auto val="1"/>
        <c:lblAlgn val="ctr"/>
        <c:lblOffset val="100"/>
        <c:noMultiLvlLbl val="0"/>
      </c:catAx>
      <c:valAx>
        <c:axId val="7741761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6052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900"/>
              <a:t>图六：一般公共预算财政拨款支出决算结构图</a:t>
            </a:r>
            <a:endParaRPr sz="900"/>
          </a:p>
        </c:rich>
      </c:tx>
      <c:layout>
        <c:manualLayout>
          <c:xMode val="edge"/>
          <c:yMode val="edge"/>
          <c:x val="0.187238095238095"/>
          <c:y val="0.059203980099502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[工作簿1]Sheet1!$A$1:$A$4</c:f>
              <c:strCache>
                <c:ptCount val="4"/>
                <c:pt idx="0">
                  <c:v>教育支出</c:v>
                </c:pt>
                <c:pt idx="1">
                  <c:v>社会保障和就业支出</c:v>
                </c:pt>
                <c:pt idx="2">
                  <c:v>卫生健康支出</c:v>
                </c:pt>
                <c:pt idx="3">
                  <c:v>住房保障支出</c:v>
                </c:pt>
              </c:strCache>
            </c:strRef>
          </c:cat>
          <c:val>
            <c:numRef>
              <c:f>[工作簿1]Sheet1!$B$1:$B$4</c:f>
              <c:numCache>
                <c:formatCode>General</c:formatCode>
                <c:ptCount val="4"/>
                <c:pt idx="0">
                  <c:v>548.53</c:v>
                </c:pt>
                <c:pt idx="1">
                  <c:v>62.1</c:v>
                </c:pt>
                <c:pt idx="2">
                  <c:v>20.73</c:v>
                </c:pt>
                <c:pt idx="3">
                  <c:v>31.47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900"/>
              <a:t>图七：三公经费财政拨款支出结构</a:t>
            </a:r>
            <a:endParaRPr sz="900"/>
          </a:p>
        </c:rich>
      </c:tx>
      <c:layout/>
      <c:overlay val="0"/>
      <c:spPr>
        <a:noFill/>
        <a:ln>
          <a:noFill/>
        </a:ln>
        <a:effectLst/>
      </c:spPr>
    </c:title>
    <c:autoTitleDeleted val="0"/>
    <c:plotArea>
      <c:layout/>
      <c:pieChart>
        <c:varyColors val="1"/>
        <c:ser>
          <c:idx val="0"/>
          <c:order val="0"/>
          <c:spPr>
            <a:solidFill>
              <a:schemeClr val="accent1"/>
            </a:solidFill>
          </c:spPr>
          <c:explosion val="0"/>
          <c:dPt>
            <c:idx val="0"/>
            <c:bubble3D val="0"/>
            <c:spPr>
              <a:solidFill>
                <a:schemeClr val="accent1"/>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solidFill>
              <a:ln w="19050">
                <a:solidFill>
                  <a:schemeClr val="lt1"/>
                </a:solidFill>
              </a:ln>
              <a:effectLst/>
            </c:spPr>
          </c:dPt>
          <c:dLbls>
            <c:delete val="1"/>
          </c:dLbls>
          <c:cat>
            <c:strRef>
              <c:f>[工作簿1]Sheet1!$A$2:$A$4</c:f>
              <c:strCache>
                <c:ptCount val="3"/>
                <c:pt idx="0">
                  <c:v>因公出国（境）支出</c:v>
                </c:pt>
                <c:pt idx="1">
                  <c:v>公务用车支出</c:v>
                </c:pt>
                <c:pt idx="2">
                  <c:v>公务接待支出</c:v>
                </c:pt>
              </c:strCache>
            </c:strRef>
          </c:cat>
          <c:val>
            <c:numRef>
              <c:f>[工作簿1]Sheet1!$B$2:$B$4</c:f>
              <c:numCache>
                <c:formatCode>General</c:formatCode>
                <c:ptCount val="3"/>
                <c:pt idx="0">
                  <c:v>0</c:v>
                </c:pt>
                <c:pt idx="1">
                  <c:v>0</c:v>
                </c:pt>
                <c:pt idx="2">
                  <c:v>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4</TotalTime>
  <ScaleCrop>false</ScaleCrop>
  <LinksUpToDate>false</LinksUpToDate>
  <CharactersWithSpaces>8536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长江</cp:lastModifiedBy>
  <cp:lastPrinted>2020-11-13T01:25:10Z</cp:lastPrinted>
  <dcterms:modified xsi:type="dcterms:W3CDTF">2020-11-13T01:26:10Z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