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ascii="黑体" w:hAnsi="黑体" w:eastAsia="黑体"/>
          <w:color w:val="000000"/>
          <w:sz w:val="72"/>
          <w:szCs w:val="72"/>
        </w:rPr>
      </w:pPr>
      <w:bookmarkStart w:id="0" w:name="_Toc15377193"/>
      <w:bookmarkStart w:id="1" w:name="_Toc15396475"/>
      <w:bookmarkStart w:id="2" w:name="_Toc15378441"/>
      <w:bookmarkStart w:id="3" w:name="_Toc15377425"/>
      <w:bookmarkStart w:id="4" w:name="_Toc15396597"/>
      <w:bookmarkStart w:id="5" w:name="_Toc15306267"/>
    </w:p>
    <w:p>
      <w:pPr>
        <w:adjustRightInd w:val="0"/>
        <w:snapToGrid w:val="0"/>
        <w:spacing w:line="360" w:lineRule="auto"/>
        <w:jc w:val="both"/>
        <w:outlineLvl w:val="0"/>
        <w:rPr>
          <w:rFonts w:ascii="黑体" w:hAnsi="黑体" w:eastAsia="黑体"/>
          <w:color w:val="000000"/>
          <w:sz w:val="72"/>
          <w:szCs w:val="72"/>
        </w:rPr>
      </w:pPr>
    </w:p>
    <w:p>
      <w:pPr>
        <w:adjustRightInd w:val="0"/>
        <w:snapToGrid w:val="0"/>
        <w:spacing w:line="360" w:lineRule="auto"/>
        <w:ind w:firstLine="2880" w:firstLineChars="400"/>
        <w:jc w:val="both"/>
        <w:outlineLvl w:val="0"/>
        <w:rPr>
          <w:rFonts w:ascii="方正小标宋简体" w:hAnsi="宋体" w:eastAsia="方正小标宋简体"/>
          <w:color w:val="000000"/>
          <w:sz w:val="72"/>
          <w:szCs w:val="72"/>
        </w:rPr>
      </w:pPr>
      <w:r>
        <w:rPr>
          <w:rFonts w:ascii="黑体" w:hAnsi="黑体" w:eastAsia="黑体"/>
          <w:color w:val="000000"/>
          <w:sz w:val="72"/>
          <w:szCs w:val="72"/>
        </w:rPr>
        <w:t>201</w:t>
      </w:r>
      <w:r>
        <w:rPr>
          <w:rFonts w:hint="eastAsia" w:ascii="黑体" w:hAnsi="黑体" w:eastAsia="黑体"/>
          <w:color w:val="000000"/>
          <w:sz w:val="72"/>
          <w:szCs w:val="72"/>
          <w:lang w:val="en-US" w:eastAsia="zh-CN"/>
        </w:rPr>
        <w:t>9</w:t>
      </w:r>
      <w:r>
        <w:rPr>
          <w:rFonts w:hint="eastAsia" w:ascii="方正小标宋简体" w:hAnsi="宋体" w:eastAsia="方正小标宋简体"/>
          <w:color w:val="000000"/>
          <w:sz w:val="72"/>
          <w:szCs w:val="72"/>
        </w:rPr>
        <w:t>年度</w:t>
      </w:r>
      <w:bookmarkEnd w:id="0"/>
      <w:bookmarkEnd w:id="1"/>
      <w:bookmarkEnd w:id="2"/>
      <w:bookmarkEnd w:id="3"/>
      <w:bookmarkEnd w:id="4"/>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77194"/>
      <w:bookmarkStart w:id="8" w:name="_Toc15396598"/>
      <w:bookmarkStart w:id="9" w:name="_Toc15377426"/>
      <w:bookmarkStart w:id="10" w:name="_Toc15396476"/>
      <w:r>
        <w:rPr>
          <w:rFonts w:hint="eastAsia" w:ascii="方正小标宋简体" w:hAnsi="宋体" w:eastAsia="方正小标宋简体"/>
          <w:color w:val="000000"/>
          <w:sz w:val="72"/>
          <w:szCs w:val="72"/>
        </w:rPr>
        <w:t>四川省</w:t>
      </w:r>
      <w:bookmarkEnd w:id="5"/>
      <w:bookmarkStart w:id="11" w:name="_Toc15306268"/>
      <w:r>
        <w:rPr>
          <w:rFonts w:hint="eastAsia" w:ascii="方正小标宋简体" w:hAnsi="宋体" w:eastAsia="方正小标宋简体"/>
          <w:color w:val="000000"/>
          <w:sz w:val="72"/>
          <w:szCs w:val="72"/>
        </w:rPr>
        <w:t>宣汉县七里学校部门决算</w:t>
      </w:r>
      <w:bookmarkEnd w:id="6"/>
      <w:bookmarkEnd w:id="7"/>
      <w:bookmarkEnd w:id="8"/>
      <w:bookmarkEnd w:id="9"/>
      <w:bookmarkEnd w:id="10"/>
      <w:bookmarkEnd w:id="11"/>
      <w:r>
        <w:rPr>
          <w:rFonts w:hint="eastAsia" w:ascii="方正小标宋简体" w:hAnsi="宋体" w:eastAsia="方正小标宋简体"/>
          <w:color w:val="000000"/>
          <w:sz w:val="72"/>
          <w:szCs w:val="72"/>
        </w:rPr>
        <w:t>公开编制说明</w:t>
      </w:r>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w:t>
      </w:r>
      <w:r>
        <w:rPr>
          <w:rFonts w:hint="eastAsia"/>
          <w:lang w:val="en-US" w:eastAsia="zh-CN"/>
        </w:rPr>
        <w:t>20</w:t>
      </w:r>
      <w:r>
        <w:rPr>
          <w:rFonts w:hint="eastAsia"/>
        </w:rPr>
        <w:t>年</w:t>
      </w:r>
      <w:r>
        <w:rPr>
          <w:rFonts w:hint="eastAsia"/>
          <w:lang w:val="en-US" w:eastAsia="zh-CN"/>
        </w:rPr>
        <w:t>11</w:t>
      </w:r>
      <w:r>
        <w:rPr>
          <w:rFonts w:hint="eastAsia"/>
        </w:rPr>
        <w:t>月</w:t>
      </w:r>
      <w:r>
        <w:rPr>
          <w:rFonts w:hint="eastAsia"/>
          <w:lang w:val="en-US" w:eastAsia="zh-CN"/>
        </w:rPr>
        <w:t>12</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w:t>
      </w:r>
      <w:r>
        <w:rPr>
          <w:rStyle w:val="15"/>
          <w:rFonts w:hint="eastAsia"/>
          <w:lang w:val="en-US" w:eastAsia="zh-CN"/>
        </w:rPr>
        <w:t>9</w:t>
      </w:r>
      <w:r>
        <w:rPr>
          <w:rStyle w:val="15"/>
          <w:rFonts w:hint="eastAsia"/>
        </w:rPr>
        <w:t>年度部门决算情况说明</w:t>
      </w:r>
      <w:r>
        <w:tab/>
      </w:r>
      <w:r>
        <w:fldChar w:fldCharType="begin"/>
      </w:r>
      <w:r>
        <w:instrText xml:space="preserve"> PAGEREF _Toc15396602 \h </w:instrText>
      </w:r>
      <w:r>
        <w:fldChar w:fldCharType="separate"/>
      </w:r>
      <w:r>
        <w:t>6</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五部分附表</w:t>
      </w:r>
      <w:r>
        <w:tab/>
      </w:r>
      <w:r>
        <w:fldChar w:fldCharType="begin"/>
      </w:r>
      <w:r>
        <w:instrText xml:space="preserve"> PAGEREF _Toc15396618 \h </w:instrText>
      </w:r>
      <w:r>
        <w:fldChar w:fldCharType="separate"/>
      </w:r>
      <w:r>
        <w:t>23</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Fonts w:ascii="黑体" w:eastAsia="黑体"/>
          <w:color w:val="000000"/>
          <w:sz w:val="32"/>
          <w:szCs w:val="32"/>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Style w:val="3"/>
        <w:rPr>
          <w:rStyle w:val="25"/>
          <w:rFonts w:ascii="黑体" w:hAnsi="黑体" w:eastAsia="黑体"/>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bookmarkStart w:id="16" w:name="_Toc15377198"/>
      <w:bookmarkStart w:id="17" w:name="_Toc15378445"/>
    </w:p>
    <w:p>
      <w:pPr>
        <w:pStyle w:val="3"/>
        <w:spacing w:line="460" w:lineRule="exact"/>
        <w:rPr>
          <w:rFonts w:ascii="仿宋" w:hAnsi="仿宋" w:eastAsia="仿宋"/>
          <w:color w:val="000000"/>
        </w:rPr>
      </w:pPr>
      <w:r>
        <w:rPr>
          <w:rFonts w:hint="eastAsia" w:ascii="仿宋" w:hAnsi="仿宋" w:eastAsia="仿宋"/>
          <w:color w:val="000000"/>
        </w:rPr>
        <w:t>（一）主要职能。</w:t>
      </w:r>
      <w:bookmarkEnd w:id="16"/>
      <w:bookmarkEnd w:id="17"/>
    </w:p>
    <w:p>
      <w:pPr>
        <w:pStyle w:val="5"/>
        <w:adjustRightInd w:val="0"/>
        <w:snapToGrid w:val="0"/>
        <w:spacing w:before="93" w:line="460" w:lineRule="exact"/>
        <w:outlineLvl w:val="2"/>
        <w:rPr>
          <w:rFonts w:ascii="仿宋" w:hAnsi="仿宋" w:eastAsia="仿宋"/>
          <w:bCs/>
          <w:color w:val="000000"/>
          <w:sz w:val="28"/>
          <w:szCs w:val="32"/>
        </w:rPr>
      </w:pPr>
      <w:r>
        <w:rPr>
          <w:rFonts w:hint="eastAsia" w:ascii="仿宋" w:hAnsi="仿宋" w:eastAsia="仿宋"/>
          <w:bCs/>
          <w:color w:val="000000"/>
          <w:sz w:val="28"/>
          <w:szCs w:val="32"/>
        </w:rPr>
        <w:t>1. 研究制定学校教育发展战略，贯彻执行党和国家的教育方针、政策、法规。</w:t>
      </w:r>
    </w:p>
    <w:p>
      <w:pPr>
        <w:pStyle w:val="5"/>
        <w:adjustRightInd w:val="0"/>
        <w:snapToGrid w:val="0"/>
        <w:spacing w:before="93" w:line="460" w:lineRule="exact"/>
        <w:outlineLvl w:val="2"/>
        <w:rPr>
          <w:rFonts w:ascii="仿宋" w:hAnsi="仿宋" w:eastAsia="仿宋"/>
          <w:bCs/>
          <w:color w:val="000000"/>
          <w:sz w:val="28"/>
          <w:szCs w:val="32"/>
        </w:rPr>
      </w:pPr>
      <w:r>
        <w:rPr>
          <w:rFonts w:hint="eastAsia" w:ascii="仿宋" w:hAnsi="仿宋" w:eastAsia="仿宋"/>
          <w:bCs/>
          <w:color w:val="000000"/>
          <w:sz w:val="28"/>
          <w:szCs w:val="32"/>
        </w:rPr>
        <w:t xml:space="preserve"> 2、研究制定学校发展规划和年度计划，组织实施教育教学工作。</w:t>
      </w:r>
    </w:p>
    <w:p>
      <w:pPr>
        <w:pStyle w:val="5"/>
        <w:adjustRightInd w:val="0"/>
        <w:snapToGrid w:val="0"/>
        <w:spacing w:before="93" w:line="460" w:lineRule="exact"/>
        <w:outlineLvl w:val="2"/>
        <w:rPr>
          <w:rFonts w:ascii="仿宋" w:hAnsi="仿宋" w:eastAsia="仿宋"/>
          <w:bCs/>
          <w:color w:val="000000"/>
          <w:sz w:val="28"/>
          <w:szCs w:val="32"/>
        </w:rPr>
      </w:pPr>
      <w:r>
        <w:rPr>
          <w:rFonts w:hint="eastAsia" w:ascii="仿宋" w:hAnsi="仿宋" w:eastAsia="仿宋"/>
          <w:bCs/>
          <w:color w:val="000000"/>
          <w:sz w:val="28"/>
          <w:szCs w:val="32"/>
        </w:rPr>
        <w:t xml:space="preserve"> 3、管理和指导学校教育工作；确保义务教育工作成果。</w:t>
      </w:r>
    </w:p>
    <w:p>
      <w:pPr>
        <w:pStyle w:val="5"/>
        <w:adjustRightInd w:val="0"/>
        <w:snapToGrid w:val="0"/>
        <w:spacing w:before="93" w:line="460" w:lineRule="exact"/>
        <w:outlineLvl w:val="2"/>
        <w:rPr>
          <w:rFonts w:ascii="仿宋" w:hAnsi="仿宋" w:eastAsia="仿宋"/>
          <w:bCs/>
          <w:color w:val="000000"/>
          <w:sz w:val="28"/>
          <w:szCs w:val="32"/>
        </w:rPr>
      </w:pPr>
      <w:r>
        <w:rPr>
          <w:rFonts w:hint="eastAsia" w:ascii="仿宋" w:hAnsi="仿宋" w:eastAsia="仿宋"/>
          <w:bCs/>
          <w:color w:val="000000"/>
          <w:sz w:val="28"/>
          <w:szCs w:val="32"/>
        </w:rPr>
        <w:t>4、管理学校教育经费；执行财务管理制度。</w:t>
      </w:r>
    </w:p>
    <w:p>
      <w:pPr>
        <w:pStyle w:val="5"/>
        <w:adjustRightInd w:val="0"/>
        <w:snapToGrid w:val="0"/>
        <w:spacing w:before="93" w:line="460" w:lineRule="exact"/>
        <w:outlineLvl w:val="2"/>
        <w:rPr>
          <w:rFonts w:ascii="仿宋" w:hAnsi="仿宋" w:eastAsia="仿宋"/>
          <w:bCs/>
          <w:color w:val="000000"/>
          <w:sz w:val="28"/>
          <w:szCs w:val="32"/>
        </w:rPr>
      </w:pPr>
      <w:r>
        <w:rPr>
          <w:rFonts w:hint="eastAsia" w:ascii="仿宋" w:hAnsi="仿宋" w:eastAsia="仿宋"/>
          <w:bCs/>
          <w:color w:val="000000"/>
          <w:sz w:val="28"/>
          <w:szCs w:val="32"/>
        </w:rPr>
        <w:t xml:space="preserve"> 5、负责和指导学校教职工的思想政治工作，规划学校品德教育、体育卫生教育、艺术教育和国防教育工作；负责做好社会治安综合治理及安全保卫工作。</w:t>
      </w:r>
    </w:p>
    <w:p>
      <w:pPr>
        <w:pStyle w:val="5"/>
        <w:adjustRightInd w:val="0"/>
        <w:snapToGrid w:val="0"/>
        <w:spacing w:before="93" w:line="460" w:lineRule="exact"/>
        <w:outlineLvl w:val="2"/>
        <w:rPr>
          <w:rFonts w:ascii="仿宋" w:hAnsi="仿宋" w:eastAsia="仿宋"/>
          <w:bCs/>
          <w:color w:val="000000"/>
          <w:sz w:val="28"/>
          <w:szCs w:val="32"/>
        </w:rPr>
      </w:pPr>
      <w:bookmarkStart w:id="18" w:name="_Toc15378446"/>
      <w:bookmarkStart w:id="19" w:name="_Toc15377199"/>
      <w:r>
        <w:rPr>
          <w:rFonts w:hint="eastAsia" w:ascii="仿宋" w:hAnsi="仿宋" w:eastAsia="仿宋"/>
          <w:bCs/>
          <w:color w:val="000000"/>
          <w:sz w:val="28"/>
          <w:szCs w:val="32"/>
        </w:rPr>
        <w:t>（二）</w:t>
      </w:r>
      <w:r>
        <w:rPr>
          <w:rFonts w:ascii="仿宋" w:hAnsi="仿宋" w:eastAsia="仿宋"/>
          <w:bCs/>
          <w:color w:val="000000"/>
          <w:sz w:val="28"/>
          <w:szCs w:val="32"/>
        </w:rPr>
        <w:t>201</w:t>
      </w:r>
      <w:r>
        <w:rPr>
          <w:rFonts w:hint="eastAsia" w:ascii="仿宋" w:hAnsi="仿宋" w:eastAsia="仿宋"/>
          <w:bCs/>
          <w:color w:val="000000"/>
          <w:sz w:val="28"/>
          <w:szCs w:val="32"/>
          <w:lang w:val="en-US" w:eastAsia="zh-CN"/>
        </w:rPr>
        <w:t>9</w:t>
      </w:r>
      <w:r>
        <w:rPr>
          <w:rFonts w:hint="eastAsia" w:ascii="仿宋" w:hAnsi="仿宋" w:eastAsia="仿宋"/>
          <w:bCs/>
          <w:color w:val="000000"/>
          <w:sz w:val="28"/>
          <w:szCs w:val="32"/>
        </w:rPr>
        <w:t>年重点工作完成情况。</w:t>
      </w:r>
      <w:bookmarkEnd w:id="18"/>
      <w:bookmarkEnd w:id="19"/>
    </w:p>
    <w:p>
      <w:pPr>
        <w:pStyle w:val="5"/>
        <w:adjustRightInd w:val="0"/>
        <w:snapToGrid w:val="0"/>
        <w:spacing w:before="93" w:line="460" w:lineRule="exact"/>
        <w:outlineLvl w:val="2"/>
        <w:rPr>
          <w:rFonts w:ascii="仿宋" w:hAnsi="仿宋" w:eastAsia="仿宋"/>
          <w:bCs/>
          <w:color w:val="000000"/>
          <w:sz w:val="28"/>
          <w:szCs w:val="32"/>
        </w:rPr>
      </w:pPr>
      <w:r>
        <w:rPr>
          <w:rFonts w:hint="eastAsia" w:ascii="仿宋" w:hAnsi="仿宋" w:eastAsia="仿宋"/>
          <w:bCs/>
          <w:color w:val="000000"/>
          <w:sz w:val="28"/>
          <w:szCs w:val="32"/>
        </w:rPr>
        <w:t>1、完善制度，强化管理。</w:t>
      </w:r>
    </w:p>
    <w:p>
      <w:pPr>
        <w:pStyle w:val="5"/>
        <w:adjustRightInd w:val="0"/>
        <w:snapToGrid w:val="0"/>
        <w:spacing w:before="93" w:line="460" w:lineRule="exact"/>
        <w:ind w:firstLine="560" w:firstLineChars="200"/>
        <w:outlineLvl w:val="2"/>
        <w:rPr>
          <w:rFonts w:ascii="仿宋" w:hAnsi="仿宋" w:eastAsia="仿宋"/>
          <w:bCs/>
          <w:color w:val="000000"/>
          <w:sz w:val="28"/>
          <w:szCs w:val="32"/>
        </w:rPr>
      </w:pPr>
      <w:r>
        <w:rPr>
          <w:rFonts w:hint="eastAsia" w:ascii="仿宋" w:hAnsi="仿宋" w:eastAsia="仿宋"/>
          <w:bCs/>
          <w:color w:val="000000"/>
          <w:sz w:val="28"/>
          <w:szCs w:val="32"/>
        </w:rPr>
        <w:t>我校先后完善了《宣汉县七里学校后勤管理制度》、细化了《宣汉县七里学校值周领导和值周教师职责》、修改完善了《宣汉县七里学校教师职务晋升方案》和《宣汉县七里学校年度考核办法》等规章制度，做到以制度求规范、以规范促管理；在领导层内部制定了《行政领导挂包年级制度》和《行政领导绩效考核制度》等。</w:t>
      </w:r>
    </w:p>
    <w:p>
      <w:pPr>
        <w:pStyle w:val="5"/>
        <w:adjustRightInd w:val="0"/>
        <w:snapToGrid w:val="0"/>
        <w:spacing w:before="93" w:line="460" w:lineRule="exact"/>
        <w:outlineLvl w:val="2"/>
        <w:rPr>
          <w:rFonts w:ascii="仿宋" w:hAnsi="仿宋" w:eastAsia="仿宋"/>
          <w:bCs/>
          <w:color w:val="000000"/>
          <w:sz w:val="28"/>
          <w:szCs w:val="32"/>
        </w:rPr>
      </w:pPr>
      <w:r>
        <w:rPr>
          <w:rFonts w:hint="eastAsia" w:ascii="仿宋" w:hAnsi="仿宋" w:eastAsia="仿宋"/>
          <w:bCs/>
          <w:color w:val="000000"/>
          <w:sz w:val="28"/>
          <w:szCs w:val="32"/>
        </w:rPr>
        <w:t>2、狠抓质量，提升办学效益。</w:t>
      </w:r>
    </w:p>
    <w:p>
      <w:pPr>
        <w:pStyle w:val="5"/>
        <w:adjustRightInd w:val="0"/>
        <w:snapToGrid w:val="0"/>
        <w:spacing w:before="93" w:line="460" w:lineRule="exact"/>
        <w:outlineLvl w:val="2"/>
        <w:rPr>
          <w:rFonts w:ascii="仿宋" w:hAnsi="仿宋" w:eastAsia="仿宋"/>
          <w:bCs/>
          <w:color w:val="000000"/>
          <w:sz w:val="28"/>
          <w:szCs w:val="32"/>
        </w:rPr>
      </w:pPr>
      <w:r>
        <w:rPr>
          <w:rFonts w:hint="eastAsia" w:ascii="仿宋" w:hAnsi="仿宋" w:eastAsia="仿宋"/>
          <w:bCs/>
          <w:color w:val="000000"/>
          <w:sz w:val="28"/>
          <w:szCs w:val="32"/>
        </w:rPr>
        <w:t>（1）教学：一是向课堂40分钟要质量。二是想方设法抓好师资培训。三是加大马力进行教学课改。四是全力保障教学质量中心地位。</w:t>
      </w:r>
    </w:p>
    <w:p>
      <w:pPr>
        <w:pStyle w:val="5"/>
        <w:adjustRightInd w:val="0"/>
        <w:snapToGrid w:val="0"/>
        <w:spacing w:before="93" w:line="460" w:lineRule="exact"/>
        <w:outlineLvl w:val="2"/>
        <w:rPr>
          <w:rFonts w:ascii="仿宋" w:hAnsi="仿宋" w:eastAsia="仿宋"/>
          <w:bCs/>
          <w:color w:val="000000"/>
          <w:sz w:val="28"/>
          <w:szCs w:val="32"/>
        </w:rPr>
      </w:pPr>
      <w:r>
        <w:rPr>
          <w:rFonts w:hint="eastAsia" w:ascii="仿宋" w:hAnsi="仿宋" w:eastAsia="仿宋"/>
          <w:bCs/>
          <w:color w:val="000000"/>
          <w:sz w:val="28"/>
          <w:szCs w:val="32"/>
        </w:rPr>
        <w:t>（2）德育：一是班务工作主观能动性增强。二是行为礼仪习惯养成。三是体艺活动蓬勃发展。</w:t>
      </w:r>
    </w:p>
    <w:p>
      <w:pPr>
        <w:pStyle w:val="5"/>
        <w:adjustRightInd w:val="0"/>
        <w:snapToGrid w:val="0"/>
        <w:spacing w:before="93" w:line="460" w:lineRule="exact"/>
        <w:outlineLvl w:val="2"/>
        <w:rPr>
          <w:rFonts w:ascii="仿宋" w:hAnsi="仿宋" w:eastAsia="仿宋"/>
          <w:bCs/>
          <w:color w:val="000000"/>
          <w:sz w:val="28"/>
          <w:szCs w:val="32"/>
        </w:rPr>
      </w:pPr>
      <w:r>
        <w:rPr>
          <w:rFonts w:hint="eastAsia" w:ascii="仿宋" w:hAnsi="仿宋" w:eastAsia="仿宋"/>
          <w:bCs/>
          <w:color w:val="000000"/>
          <w:sz w:val="28"/>
          <w:szCs w:val="32"/>
        </w:rPr>
        <w:t>（3）安全：一是签定安全责任书，明晰层层职责。二是强化安全常规督查，建立隐患台账。三是开展安全教育活动，拓宽安全知识。</w:t>
      </w:r>
    </w:p>
    <w:p>
      <w:pPr>
        <w:pStyle w:val="5"/>
        <w:adjustRightInd w:val="0"/>
        <w:snapToGrid w:val="0"/>
        <w:spacing w:before="93" w:line="460" w:lineRule="exact"/>
        <w:outlineLvl w:val="2"/>
        <w:rPr>
          <w:rFonts w:ascii="仿宋" w:hAnsi="仿宋" w:eastAsia="仿宋"/>
          <w:bCs/>
          <w:color w:val="000000"/>
          <w:sz w:val="28"/>
          <w:szCs w:val="32"/>
        </w:rPr>
      </w:pPr>
      <w:r>
        <w:rPr>
          <w:rFonts w:hint="eastAsia" w:ascii="仿宋" w:hAnsi="仿宋" w:eastAsia="仿宋"/>
          <w:bCs/>
          <w:color w:val="000000"/>
          <w:sz w:val="28"/>
          <w:szCs w:val="32"/>
        </w:rPr>
        <w:t>（4）环境：一是严格财务收支管理。二是规范使用项目资金。三是强力推进项目建设。</w:t>
      </w:r>
    </w:p>
    <w:p>
      <w:pPr>
        <w:pStyle w:val="5"/>
        <w:adjustRightInd w:val="0"/>
        <w:snapToGrid w:val="0"/>
        <w:spacing w:before="93" w:line="460" w:lineRule="exact"/>
        <w:outlineLvl w:val="2"/>
        <w:rPr>
          <w:rFonts w:ascii="仿宋" w:hAnsi="仿宋" w:eastAsia="仿宋"/>
          <w:bCs/>
          <w:color w:val="000000"/>
          <w:sz w:val="28"/>
          <w:szCs w:val="32"/>
        </w:rPr>
      </w:pPr>
      <w:r>
        <w:rPr>
          <w:rFonts w:hint="eastAsia" w:ascii="仿宋" w:hAnsi="仿宋" w:eastAsia="仿宋"/>
          <w:bCs/>
          <w:color w:val="000000"/>
          <w:sz w:val="28"/>
          <w:szCs w:val="32"/>
        </w:rPr>
        <w:t>（5）群团：一是工会工作有序开展。二是营养餐工作扎实有序。三是坚决兑现惠民政策。</w:t>
      </w:r>
      <w:bookmarkStart w:id="20" w:name="_Toc15377200"/>
      <w:bookmarkStart w:id="21" w:name="_Toc15396601"/>
    </w:p>
    <w:p>
      <w:pPr>
        <w:pStyle w:val="5"/>
        <w:adjustRightInd w:val="0"/>
        <w:snapToGrid w:val="0"/>
        <w:spacing w:before="93" w:line="460" w:lineRule="exact"/>
        <w:outlineLvl w:val="2"/>
        <w:rPr>
          <w:rStyle w:val="25"/>
          <w:rFonts w:ascii="仿宋" w:hAnsi="仿宋" w:eastAsia="仿宋" w:cs="Times New Roman"/>
          <w:b w:val="0"/>
          <w:color w:val="000000"/>
          <w:kern w:val="0"/>
          <w:sz w:val="28"/>
        </w:rPr>
      </w:pPr>
      <w:r>
        <w:rPr>
          <w:rFonts w:hint="eastAsia" w:ascii="黑体" w:eastAsia="黑体"/>
          <w:b/>
          <w:color w:val="000000"/>
        </w:rPr>
        <w:t>二、</w:t>
      </w:r>
      <w:r>
        <w:rPr>
          <w:rFonts w:hint="eastAsia" w:ascii="黑体" w:hAnsi="黑体" w:eastAsia="黑体"/>
          <w:b/>
          <w:color w:val="000000"/>
        </w:rPr>
        <w:t>机</w:t>
      </w:r>
      <w:r>
        <w:rPr>
          <w:rStyle w:val="25"/>
          <w:rFonts w:hint="eastAsia" w:ascii="黑体" w:hAnsi="黑体" w:eastAsia="黑体"/>
        </w:rPr>
        <w:t>构设置</w:t>
      </w:r>
      <w:bookmarkEnd w:id="20"/>
      <w:bookmarkEnd w:id="21"/>
    </w:p>
    <w:p>
      <w:pPr>
        <w:pStyle w:val="5"/>
        <w:adjustRightInd w:val="0"/>
        <w:snapToGrid w:val="0"/>
        <w:spacing w:before="93" w:line="460" w:lineRule="exact"/>
        <w:ind w:firstLine="560" w:firstLineChars="200"/>
        <w:outlineLvl w:val="2"/>
        <w:rPr>
          <w:rFonts w:hint="eastAsia" w:ascii="仿宋" w:hAnsi="仿宋" w:eastAsia="仿宋"/>
          <w:bCs/>
          <w:color w:val="000000"/>
          <w:sz w:val="28"/>
          <w:szCs w:val="32"/>
        </w:rPr>
      </w:pPr>
      <w:r>
        <w:rPr>
          <w:rFonts w:hint="eastAsia" w:ascii="仿宋" w:hAnsi="仿宋" w:eastAsia="仿宋"/>
          <w:bCs/>
          <w:color w:val="000000"/>
          <w:sz w:val="28"/>
          <w:szCs w:val="32"/>
        </w:rPr>
        <w:t>宣汉县七里学校是全额财政拨款的事业单位，学校201</w:t>
      </w:r>
      <w:r>
        <w:rPr>
          <w:rFonts w:hint="eastAsia" w:ascii="仿宋" w:hAnsi="仿宋" w:eastAsia="仿宋"/>
          <w:bCs/>
          <w:color w:val="000000"/>
          <w:sz w:val="28"/>
          <w:szCs w:val="32"/>
          <w:lang w:val="en-US" w:eastAsia="zh-CN"/>
        </w:rPr>
        <w:t>9</w:t>
      </w:r>
      <w:r>
        <w:rPr>
          <w:rFonts w:hint="eastAsia" w:ascii="仿宋" w:hAnsi="仿宋" w:eastAsia="仿宋"/>
          <w:bCs/>
          <w:color w:val="000000"/>
          <w:sz w:val="28"/>
          <w:szCs w:val="32"/>
        </w:rPr>
        <w:t>年末有在编教师6</w:t>
      </w:r>
      <w:r>
        <w:rPr>
          <w:rFonts w:hint="eastAsia" w:ascii="仿宋" w:hAnsi="仿宋" w:eastAsia="仿宋"/>
          <w:bCs/>
          <w:color w:val="000000"/>
          <w:sz w:val="28"/>
          <w:szCs w:val="32"/>
          <w:lang w:val="en-US" w:eastAsia="zh-CN"/>
        </w:rPr>
        <w:t>1</w:t>
      </w:r>
      <w:r>
        <w:rPr>
          <w:rFonts w:hint="eastAsia" w:ascii="仿宋" w:hAnsi="仿宋" w:eastAsia="仿宋"/>
          <w:bCs/>
          <w:color w:val="000000"/>
          <w:sz w:val="28"/>
          <w:szCs w:val="32"/>
        </w:rPr>
        <w:t>人，退休教师</w:t>
      </w:r>
      <w:r>
        <w:rPr>
          <w:rFonts w:hint="eastAsia" w:ascii="仿宋" w:hAnsi="仿宋" w:eastAsia="仿宋"/>
          <w:bCs/>
          <w:color w:val="000000"/>
          <w:sz w:val="28"/>
          <w:szCs w:val="32"/>
          <w:lang w:val="en-US" w:eastAsia="zh-CN"/>
        </w:rPr>
        <w:t>51</w:t>
      </w:r>
      <w:r>
        <w:rPr>
          <w:rFonts w:hint="eastAsia" w:ascii="仿宋" w:hAnsi="仿宋" w:eastAsia="仿宋"/>
          <w:bCs/>
          <w:color w:val="000000"/>
          <w:sz w:val="28"/>
          <w:szCs w:val="32"/>
        </w:rPr>
        <w:t>人，在校学生5</w:t>
      </w:r>
      <w:r>
        <w:rPr>
          <w:rFonts w:hint="eastAsia" w:ascii="仿宋" w:hAnsi="仿宋" w:eastAsia="仿宋"/>
          <w:bCs/>
          <w:color w:val="000000"/>
          <w:sz w:val="28"/>
          <w:szCs w:val="32"/>
          <w:lang w:val="en-US" w:eastAsia="zh-CN"/>
        </w:rPr>
        <w:t>36</w:t>
      </w:r>
      <w:r>
        <w:rPr>
          <w:rFonts w:hint="eastAsia" w:ascii="仿宋" w:hAnsi="仿宋" w:eastAsia="仿宋"/>
          <w:bCs/>
          <w:color w:val="000000"/>
          <w:sz w:val="28"/>
          <w:szCs w:val="32"/>
        </w:rPr>
        <w:t>人，有2</w:t>
      </w:r>
      <w:r>
        <w:rPr>
          <w:rFonts w:hint="eastAsia" w:ascii="仿宋" w:hAnsi="仿宋" w:eastAsia="仿宋"/>
          <w:bCs/>
          <w:color w:val="000000"/>
          <w:sz w:val="28"/>
          <w:szCs w:val="32"/>
          <w:lang w:val="en-US" w:eastAsia="zh-CN"/>
        </w:rPr>
        <w:t>4</w:t>
      </w:r>
      <w:r>
        <w:rPr>
          <w:rFonts w:hint="eastAsia" w:ascii="仿宋" w:hAnsi="仿宋" w:eastAsia="仿宋"/>
          <w:bCs/>
          <w:color w:val="000000"/>
          <w:sz w:val="28"/>
          <w:szCs w:val="32"/>
        </w:rPr>
        <w:t>个教学班。学校设有校长办、行政办、党务办、后勤处、教务处、团队室、广播室。</w:t>
      </w:r>
    </w:p>
    <w:p>
      <w:pPr>
        <w:pStyle w:val="5"/>
        <w:adjustRightInd w:val="0"/>
        <w:snapToGrid w:val="0"/>
        <w:spacing w:before="93" w:line="460" w:lineRule="exact"/>
        <w:rPr>
          <w:rFonts w:ascii="仿宋" w:hAnsi="仿宋" w:eastAsia="仿宋"/>
          <w:color w:val="000000"/>
          <w:sz w:val="28"/>
          <w:szCs w:val="32"/>
        </w:rPr>
      </w:pPr>
    </w:p>
    <w:p>
      <w:pPr>
        <w:widowControl/>
        <w:spacing w:line="460" w:lineRule="exact"/>
        <w:jc w:val="left"/>
        <w:rPr>
          <w:rFonts w:ascii="仿宋" w:hAnsi="仿宋" w:eastAsia="仿宋"/>
          <w:color w:val="000000"/>
          <w:kern w:val="0"/>
          <w:sz w:val="28"/>
          <w:szCs w:val="32"/>
        </w:rPr>
      </w:pPr>
      <w:r>
        <w:rPr>
          <w:rFonts w:ascii="仿宋" w:hAnsi="仿宋" w:eastAsia="仿宋"/>
          <w:color w:val="000000"/>
          <w:sz w:val="28"/>
          <w:szCs w:val="32"/>
        </w:rPr>
        <w:br w:type="page"/>
      </w:r>
    </w:p>
    <w:p>
      <w:pPr>
        <w:pStyle w:val="2"/>
        <w:ind w:right="440"/>
        <w:jc w:val="right"/>
      </w:pPr>
      <w:bookmarkStart w:id="22" w:name="_Toc15377204"/>
      <w:bookmarkStart w:id="23" w:name="_Toc15396602"/>
      <w:r>
        <w:rPr>
          <w:rFonts w:hint="eastAsia" w:ascii="黑体" w:hAnsi="黑体" w:eastAsia="黑体"/>
          <w:b w:val="0"/>
          <w:color w:val="000000"/>
        </w:rPr>
        <w:t>第二部分</w:t>
      </w:r>
      <w:r>
        <w:rPr>
          <w:rStyle w:val="24"/>
          <w:rFonts w:hint="eastAsia" w:ascii="黑体" w:hAnsi="黑体" w:eastAsia="黑体"/>
          <w:b w:val="0"/>
          <w:bCs w:val="0"/>
        </w:rPr>
        <w:t>201</w:t>
      </w:r>
      <w:r>
        <w:rPr>
          <w:rStyle w:val="24"/>
          <w:rFonts w:hint="eastAsia" w:ascii="黑体" w:hAnsi="黑体" w:eastAsia="黑体"/>
          <w:b w:val="0"/>
          <w:bCs w:val="0"/>
          <w:lang w:val="en-US" w:eastAsia="zh-CN"/>
        </w:rPr>
        <w:t>9</w:t>
      </w:r>
      <w:r>
        <w:rPr>
          <w:rStyle w:val="24"/>
          <w:rFonts w:hint="eastAsia" w:ascii="黑体" w:hAnsi="黑体" w:eastAsia="黑体"/>
          <w:b w:val="0"/>
          <w:bCs w:val="0"/>
        </w:rPr>
        <w:t>年度部门决算情况说明</w:t>
      </w:r>
      <w:bookmarkEnd w:id="22"/>
      <w:bookmarkEnd w:id="23"/>
    </w:p>
    <w:p>
      <w:pPr>
        <w:pStyle w:val="23"/>
        <w:numPr>
          <w:ilvl w:val="0"/>
          <w:numId w:val="1"/>
        </w:numPr>
        <w:spacing w:line="600" w:lineRule="exact"/>
        <w:ind w:firstLineChars="0"/>
        <w:outlineLvl w:val="1"/>
        <w:rPr>
          <w:rStyle w:val="25"/>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年度学校收入总计</w:t>
      </w:r>
      <w:r>
        <w:rPr>
          <w:rFonts w:hint="eastAsia" w:ascii="仿宋" w:hAnsi="仿宋" w:eastAsia="仿宋"/>
          <w:color w:val="000000"/>
          <w:sz w:val="32"/>
          <w:szCs w:val="32"/>
          <w:lang w:val="en-US" w:eastAsia="zh-CN"/>
        </w:rPr>
        <w:t>1133.94</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年收入</w:t>
      </w:r>
      <w:r>
        <w:rPr>
          <w:rFonts w:hint="eastAsia" w:ascii="仿宋" w:hAnsi="仿宋" w:eastAsia="仿宋"/>
          <w:color w:val="000000"/>
          <w:sz w:val="32"/>
          <w:szCs w:val="32"/>
          <w:lang w:val="en-US" w:eastAsia="zh-CN"/>
        </w:rPr>
        <w:t>1072.45</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61.49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5.73</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年度学校收入总计</w:t>
      </w:r>
      <w:r>
        <w:rPr>
          <w:rFonts w:hint="eastAsia" w:ascii="仿宋" w:hAnsi="仿宋" w:eastAsia="仿宋"/>
          <w:color w:val="000000"/>
          <w:sz w:val="32"/>
          <w:szCs w:val="32"/>
          <w:lang w:val="en-US" w:eastAsia="zh-CN"/>
        </w:rPr>
        <w:t>1133.94</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年收入</w:t>
      </w:r>
      <w:r>
        <w:rPr>
          <w:rFonts w:hint="eastAsia" w:ascii="仿宋" w:hAnsi="仿宋" w:eastAsia="仿宋"/>
          <w:color w:val="000000"/>
          <w:sz w:val="32"/>
          <w:szCs w:val="32"/>
          <w:lang w:val="en-US" w:eastAsia="zh-CN"/>
        </w:rPr>
        <w:t>1072.45</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61.49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5.73</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人员经费增加及维修项目资金</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widowControl/>
        <w:jc w:val="left"/>
        <w:rPr>
          <w:rFonts w:ascii="宋体" w:hAnsi="宋体" w:cs="宋体"/>
          <w:kern w:val="0"/>
          <w:sz w:val="24"/>
        </w:rPr>
      </w:pPr>
      <w:r>
        <w:rPr>
          <w:rFonts w:ascii="宋体" w:hAnsi="宋体" w:eastAsia="宋体" w:cs="宋体"/>
          <w:kern w:val="0"/>
          <w:sz w:val="24"/>
          <w:szCs w:val="24"/>
          <w:lang w:val="en-US" w:eastAsia="zh-CN" w:bidi="ar"/>
        </w:rPr>
        <w:drawing>
          <wp:anchor distT="0" distB="0" distL="114300" distR="114300" simplePos="0" relativeHeight="251663360" behindDoc="0" locked="0" layoutInCell="1" allowOverlap="1">
            <wp:simplePos x="0" y="0"/>
            <wp:positionH relativeFrom="column">
              <wp:posOffset>3845560</wp:posOffset>
            </wp:positionH>
            <wp:positionV relativeFrom="paragraph">
              <wp:posOffset>781050</wp:posOffset>
            </wp:positionV>
            <wp:extent cx="421005" cy="441325"/>
            <wp:effectExtent l="0" t="0" r="17145" b="15875"/>
            <wp:wrapNone/>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6"/>
                    <a:stretch>
                      <a:fillRect/>
                    </a:stretch>
                  </pic:blipFill>
                  <pic:spPr>
                    <a:xfrm>
                      <a:off x="0" y="0"/>
                      <a:ext cx="421005" cy="441325"/>
                    </a:xfrm>
                    <a:prstGeom prst="rect">
                      <a:avLst/>
                    </a:prstGeom>
                    <a:noFill/>
                    <a:ln w="9525">
                      <a:noFill/>
                    </a:ln>
                  </pic:spPr>
                </pic:pic>
              </a:graphicData>
            </a:graphic>
          </wp:anchor>
        </w:drawing>
      </w:r>
      <w:r>
        <w:rPr>
          <w:rFonts w:ascii="宋体" w:hAnsi="宋体" w:eastAsia="宋体" w:cs="宋体"/>
          <w:kern w:val="0"/>
          <w:sz w:val="24"/>
          <w:szCs w:val="24"/>
          <w:lang w:val="en-US" w:eastAsia="zh-CN" w:bidi="ar"/>
        </w:rPr>
        <w:drawing>
          <wp:anchor distT="0" distB="0" distL="114300" distR="114300" simplePos="0" relativeHeight="251660288" behindDoc="0" locked="0" layoutInCell="1" allowOverlap="1">
            <wp:simplePos x="0" y="0"/>
            <wp:positionH relativeFrom="column">
              <wp:posOffset>1905000</wp:posOffset>
            </wp:positionH>
            <wp:positionV relativeFrom="paragraph">
              <wp:posOffset>777240</wp:posOffset>
            </wp:positionV>
            <wp:extent cx="421005" cy="441325"/>
            <wp:effectExtent l="0" t="0" r="17145" b="15875"/>
            <wp:wrapNone/>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421005" cy="441325"/>
                    </a:xfrm>
                    <a:prstGeom prst="rect">
                      <a:avLst/>
                    </a:prstGeom>
                    <a:noFill/>
                    <a:ln w="9525">
                      <a:noFill/>
                    </a:ln>
                  </pic:spPr>
                </pic:pic>
              </a:graphicData>
            </a:graphic>
          </wp:anchor>
        </w:drawing>
      </w:r>
    </w:p>
    <w:p>
      <w:pPr>
        <w:spacing w:line="600" w:lineRule="exact"/>
        <w:ind w:firstLine="420" w:firstLineChars="200"/>
      </w:pPr>
    </w:p>
    <w:p>
      <w:pPr>
        <w:keepNext w:val="0"/>
        <w:keepLines w:val="0"/>
        <w:widowControl/>
        <w:suppressLineNumbers w:val="0"/>
        <w:jc w:val="left"/>
      </w:pPr>
      <w:r>
        <w:rPr>
          <w:rFonts w:ascii="宋体" w:hAnsi="宋体" w:eastAsia="宋体" w:cs="宋体"/>
          <w:sz w:val="24"/>
          <w:szCs w:val="24"/>
        </w:rPr>
        <w:drawing>
          <wp:inline distT="0" distB="0" distL="114300" distR="114300">
            <wp:extent cx="5000625" cy="3048000"/>
            <wp:effectExtent l="0" t="0" r="9525" b="0"/>
            <wp:docPr id="9"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IMG_256"/>
                    <pic:cNvPicPr>
                      <a:picLocks noChangeAspect="1"/>
                    </pic:cNvPicPr>
                  </pic:nvPicPr>
                  <pic:blipFill>
                    <a:blip r:embed="rId7"/>
                    <a:stretch>
                      <a:fillRect/>
                    </a:stretch>
                  </pic:blipFill>
                  <pic:spPr>
                    <a:xfrm>
                      <a:off x="0" y="0"/>
                      <a:ext cx="5000625" cy="3048000"/>
                    </a:xfrm>
                    <a:prstGeom prst="rect">
                      <a:avLst/>
                    </a:prstGeom>
                    <a:noFill/>
                    <a:ln w="9525">
                      <a:noFill/>
                    </a:ln>
                  </pic:spPr>
                </pic:pic>
              </a:graphicData>
            </a:graphic>
          </wp:inline>
        </w:drawing>
      </w:r>
    </w:p>
    <w:p>
      <w:pPr>
        <w:tabs>
          <w:tab w:val="left" w:pos="3545"/>
        </w:tabs>
        <w:spacing w:line="600" w:lineRule="exact"/>
        <w:ind w:firstLine="360" w:firstLineChars="200"/>
        <w:rPr>
          <w:rFonts w:hint="default" w:ascii="仿宋" w:hAnsi="仿宋" w:eastAsia="仿宋"/>
          <w:color w:val="000000" w:themeColor="text1"/>
          <w:sz w:val="18"/>
          <w:szCs w:val="18"/>
          <w:lang w:val="en-US" w:eastAsia="zh-CN"/>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ab/>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jc w:val="left"/>
        <w:rPr>
          <w:rFonts w:ascii="仿宋_GB2312" w:eastAsia="仿宋_GB2312"/>
          <w:color w:val="000000"/>
          <w:sz w:val="32"/>
          <w:szCs w:val="32"/>
        </w:rPr>
      </w:pPr>
    </w:p>
    <w:p>
      <w:pPr>
        <w:pStyle w:val="23"/>
        <w:numPr>
          <w:ilvl w:val="0"/>
          <w:numId w:val="1"/>
        </w:numPr>
        <w:tabs>
          <w:tab w:val="left" w:pos="539"/>
        </w:tabs>
        <w:spacing w:line="600" w:lineRule="exact"/>
        <w:ind w:firstLineChars="0"/>
        <w:outlineLvl w:val="1"/>
        <w:rPr>
          <w:rStyle w:val="25"/>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1133.94</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1133.94</w:t>
      </w:r>
      <w:r>
        <w:rPr>
          <w:rFonts w:hint="eastAsia" w:ascii="仿宋" w:hAnsi="仿宋" w:eastAsia="仿宋"/>
          <w:color w:val="000000"/>
          <w:sz w:val="32"/>
          <w:szCs w:val="32"/>
        </w:rPr>
        <w:t>万元，占100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420" w:firstLineChars="200"/>
        <w:rPr>
          <w:rFonts w:ascii="仿宋" w:hAnsi="仿宋" w:eastAsia="仿宋"/>
          <w:color w:val="000000" w:themeColor="text1"/>
          <w:sz w:val="32"/>
          <w:szCs w:val="32"/>
          <w14:textFill>
            <w14:solidFill>
              <w14:schemeClr w14:val="tx1"/>
            </w14:solidFill>
          </w14:textFill>
        </w:rPr>
      </w:pPr>
      <w:r>
        <w:pict>
          <v:shape id="_x0000_s1026" o:spid="_x0000_s1026" o:spt="75" type="#_x0000_t75" style="position:absolute;left:0pt;margin-left:21pt;margin-top:-59pt;height:147.5pt;width:260.3pt;z-index:-251657216;mso-width-relative:page;mso-height-relative:page;" o:ole="t" filled="f" o:preferrelative="t" stroked="f" coordsize="21600,21600">
            <v:path/>
            <v:fill on="f" focussize="0,0"/>
            <v:stroke on="f" joinstyle="miter"/>
            <v:imagedata r:id="rId9" o:title=""/>
            <o:lock v:ext="edit" aspectratio="f"/>
          </v:shape>
          <o:OLEObject Type="Embed" ProgID="Excel.Sheet.8" ShapeID="_x0000_s1026" DrawAspect="Content" ObjectID="_1468075725" r:id="rId8">
            <o:LockedField>false</o:LockedField>
          </o:OLEObject>
        </w:pict>
      </w:r>
    </w:p>
    <w:p>
      <w:pPr>
        <w:pStyle w:val="23"/>
        <w:spacing w:line="600" w:lineRule="exact"/>
        <w:ind w:left="1360" w:firstLine="0" w:firstLineChars="0"/>
        <w:outlineLvl w:val="1"/>
        <w:rPr>
          <w:rFonts w:ascii="黑体" w:hAnsi="黑体" w:eastAsia="黑体" w:cstheme="majorBidi"/>
          <w:bCs/>
          <w:sz w:val="32"/>
          <w:szCs w:val="32"/>
        </w:rPr>
      </w:pPr>
      <w:bookmarkStart w:id="28" w:name="_Toc15396605"/>
      <w:bookmarkStart w:id="29" w:name="_Toc15377207"/>
    </w:p>
    <w:p>
      <w:pPr>
        <w:spacing w:line="600" w:lineRule="exact"/>
        <w:ind w:left="640"/>
        <w:outlineLvl w:val="1"/>
        <w:rPr>
          <w:rFonts w:ascii="黑体" w:hAnsi="黑体" w:eastAsia="黑体"/>
          <w:color w:val="000000"/>
          <w:sz w:val="32"/>
          <w:szCs w:val="32"/>
        </w:rPr>
      </w:pPr>
    </w:p>
    <w:p>
      <w:pPr>
        <w:pStyle w:val="23"/>
        <w:numPr>
          <w:ilvl w:val="0"/>
          <w:numId w:val="1"/>
        </w:numPr>
        <w:spacing w:line="600" w:lineRule="exact"/>
        <w:ind w:firstLineChars="0"/>
        <w:outlineLvl w:val="1"/>
        <w:rPr>
          <w:rFonts w:ascii="黑体" w:hAnsi="黑体" w:eastAsia="黑体" w:cstheme="majorBidi"/>
          <w:bCs/>
          <w:sz w:val="32"/>
          <w:szCs w:val="32"/>
        </w:rPr>
      </w:pPr>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1133.94</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947.77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83.58</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186.17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16.42</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420" w:firstLineChars="200"/>
        <w:rPr>
          <w:rFonts w:ascii="仿宋" w:hAnsi="仿宋" w:eastAsia="仿宋"/>
          <w:color w:val="000000" w:themeColor="text1"/>
          <w:sz w:val="32"/>
          <w:szCs w:val="32"/>
          <w14:textFill>
            <w14:solidFill>
              <w14:schemeClr w14:val="tx1"/>
            </w14:solidFill>
          </w14:textFill>
        </w:rPr>
      </w:pPr>
      <w:r>
        <w:drawing>
          <wp:anchor distT="0" distB="0" distL="114300" distR="114300" simplePos="0" relativeHeight="251656192" behindDoc="1" locked="0" layoutInCell="1" allowOverlap="1">
            <wp:simplePos x="0" y="0"/>
            <wp:positionH relativeFrom="column">
              <wp:posOffset>257175</wp:posOffset>
            </wp:positionH>
            <wp:positionV relativeFrom="paragraph">
              <wp:posOffset>5715</wp:posOffset>
            </wp:positionV>
            <wp:extent cx="3410585" cy="2419350"/>
            <wp:effectExtent l="19050" t="0" r="18415"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tabs>
          <w:tab w:val="left" w:pos="2946"/>
        </w:tabs>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ab/>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年度学校收入总计</w:t>
      </w:r>
      <w:r>
        <w:rPr>
          <w:rFonts w:hint="eastAsia" w:ascii="仿宋" w:hAnsi="仿宋" w:eastAsia="仿宋"/>
          <w:color w:val="000000"/>
          <w:sz w:val="32"/>
          <w:szCs w:val="32"/>
          <w:lang w:val="en-US" w:eastAsia="zh-CN"/>
        </w:rPr>
        <w:t>1133.94</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年收入</w:t>
      </w:r>
      <w:r>
        <w:rPr>
          <w:rFonts w:hint="eastAsia" w:ascii="仿宋" w:hAnsi="仿宋" w:eastAsia="仿宋"/>
          <w:color w:val="000000"/>
          <w:sz w:val="32"/>
          <w:szCs w:val="32"/>
          <w:lang w:val="en-US" w:eastAsia="zh-CN"/>
        </w:rPr>
        <w:t>1072.45</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61.49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5.73</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年度学校收入总计</w:t>
      </w:r>
      <w:r>
        <w:rPr>
          <w:rFonts w:hint="eastAsia" w:ascii="仿宋" w:hAnsi="仿宋" w:eastAsia="仿宋"/>
          <w:color w:val="000000"/>
          <w:sz w:val="32"/>
          <w:szCs w:val="32"/>
          <w:lang w:val="en-US" w:eastAsia="zh-CN"/>
        </w:rPr>
        <w:t>1133.94</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年收入</w:t>
      </w:r>
      <w:r>
        <w:rPr>
          <w:rFonts w:hint="eastAsia" w:ascii="仿宋" w:hAnsi="仿宋" w:eastAsia="仿宋"/>
          <w:color w:val="000000"/>
          <w:sz w:val="32"/>
          <w:szCs w:val="32"/>
          <w:lang w:val="en-US" w:eastAsia="zh-CN"/>
        </w:rPr>
        <w:t>1072.45</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61.49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5.73</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人员经费增加及维修项目资金</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widowControl/>
        <w:jc w:val="left"/>
        <w:rPr>
          <w:rFonts w:ascii="宋体" w:hAnsi="宋体" w:cs="宋体"/>
          <w:kern w:val="0"/>
          <w:sz w:val="24"/>
        </w:rPr>
      </w:pPr>
      <w:bookmarkStart w:id="32" w:name="_Toc15377209"/>
      <w:bookmarkStart w:id="33" w:name="_Toc15396607"/>
      <w:r>
        <w:rPr>
          <w:rFonts w:ascii="宋体" w:hAnsi="宋体" w:eastAsia="宋体" w:cs="宋体"/>
          <w:sz w:val="24"/>
          <w:szCs w:val="24"/>
        </w:rPr>
        <w:drawing>
          <wp:inline distT="0" distB="0" distL="114300" distR="114300">
            <wp:extent cx="5000625" cy="3048000"/>
            <wp:effectExtent l="0" t="0" r="9525" b="0"/>
            <wp:docPr id="10"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IMG_256"/>
                    <pic:cNvPicPr>
                      <a:picLocks noChangeAspect="1"/>
                    </pic:cNvPicPr>
                  </pic:nvPicPr>
                  <pic:blipFill>
                    <a:blip r:embed="rId7"/>
                    <a:stretch>
                      <a:fillRect/>
                    </a:stretch>
                  </pic:blipFill>
                  <pic:spPr>
                    <a:xfrm>
                      <a:off x="0" y="0"/>
                      <a:ext cx="5000625" cy="3048000"/>
                    </a:xfrm>
                    <a:prstGeom prst="rect">
                      <a:avLst/>
                    </a:prstGeom>
                    <a:noFill/>
                    <a:ln w="9525">
                      <a:noFill/>
                    </a:ln>
                  </pic:spPr>
                </pic:pic>
              </a:graphicData>
            </a:graphic>
          </wp:inline>
        </w:drawing>
      </w:r>
    </w:p>
    <w:p>
      <w:pPr>
        <w:spacing w:line="600" w:lineRule="exact"/>
        <w:outlineLvl w:val="1"/>
        <w:rPr>
          <w:rStyle w:val="25"/>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年度学校收入总计</w:t>
      </w:r>
      <w:r>
        <w:rPr>
          <w:rFonts w:hint="eastAsia" w:ascii="仿宋" w:hAnsi="仿宋" w:eastAsia="仿宋"/>
          <w:color w:val="000000"/>
          <w:sz w:val="32"/>
          <w:szCs w:val="32"/>
          <w:lang w:val="en-US" w:eastAsia="zh-CN"/>
        </w:rPr>
        <w:t>1133.94</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年收入</w:t>
      </w:r>
      <w:r>
        <w:rPr>
          <w:rFonts w:hint="eastAsia" w:ascii="仿宋" w:hAnsi="仿宋" w:eastAsia="仿宋"/>
          <w:color w:val="000000"/>
          <w:sz w:val="32"/>
          <w:szCs w:val="32"/>
          <w:lang w:val="en-US" w:eastAsia="zh-CN"/>
        </w:rPr>
        <w:t>1072.45</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61.49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5.73</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人员经费增加及维修项目资金</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widowControl/>
        <w:jc w:val="left"/>
        <w:rPr>
          <w:rFonts w:ascii="宋体" w:hAnsi="宋体" w:cs="宋体"/>
          <w:kern w:val="0"/>
          <w:sz w:val="24"/>
        </w:rPr>
      </w:pPr>
      <w:r>
        <w:rPr>
          <w:rFonts w:ascii="宋体" w:hAnsi="宋体" w:eastAsia="宋体" w:cs="宋体"/>
          <w:sz w:val="24"/>
          <w:szCs w:val="24"/>
        </w:rPr>
        <w:drawing>
          <wp:inline distT="0" distB="0" distL="114300" distR="114300">
            <wp:extent cx="4924425" cy="1857375"/>
            <wp:effectExtent l="0" t="0" r="9525" b="9525"/>
            <wp:docPr id="11"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IMG_256"/>
                    <pic:cNvPicPr>
                      <a:picLocks noChangeAspect="1"/>
                    </pic:cNvPicPr>
                  </pic:nvPicPr>
                  <pic:blipFill>
                    <a:blip r:embed="rId11"/>
                    <a:stretch>
                      <a:fillRect/>
                    </a:stretch>
                  </pic:blipFill>
                  <pic:spPr>
                    <a:xfrm>
                      <a:off x="0" y="0"/>
                      <a:ext cx="4924425" cy="1857375"/>
                    </a:xfrm>
                    <a:prstGeom prst="rect">
                      <a:avLst/>
                    </a:prstGeom>
                    <a:noFill/>
                    <a:ln w="9525">
                      <a:noFill/>
                    </a:ln>
                  </pic:spPr>
                </pic:pic>
              </a:graphicData>
            </a:graphic>
          </wp:inline>
        </w:drawing>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1133.94</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支出0万元，占0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b/>
          <w:color w:val="000000" w:themeColor="text1"/>
          <w:sz w:val="32"/>
          <w:szCs w:val="32"/>
          <w:lang w:val="en-US" w:eastAsia="zh-CN"/>
          <w14:textFill>
            <w14:solidFill>
              <w14:schemeClr w14:val="tx1"/>
            </w14:solidFill>
          </w14:textFill>
        </w:rPr>
        <w:t>949.46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83.73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科学技术（类）</w:t>
      </w:r>
      <w:r>
        <w:rPr>
          <w:rFonts w:hint="eastAsia" w:ascii="仿宋" w:hAnsi="仿宋" w:eastAsia="仿宋"/>
          <w:color w:val="000000" w:themeColor="text1"/>
          <w:sz w:val="32"/>
          <w:szCs w:val="32"/>
          <w14:textFill>
            <w14:solidFill>
              <w14:schemeClr w14:val="tx1"/>
            </w14:solidFill>
          </w14:textFill>
        </w:rPr>
        <w:t>支出0万元，占0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90.93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8.02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w:t>
      </w:r>
      <w:r>
        <w:rPr>
          <w:rFonts w:hint="eastAsia" w:ascii="仿宋" w:hAnsi="仿宋" w:eastAsia="仿宋"/>
          <w:color w:val="000000" w:themeColor="text1"/>
          <w:sz w:val="32"/>
          <w:szCs w:val="32"/>
          <w:lang w:val="en-US" w:eastAsia="zh-CN"/>
          <w14:textFill>
            <w14:solidFill>
              <w14:schemeClr w14:val="tx1"/>
            </w14:solidFill>
          </w14:textFill>
        </w:rPr>
        <w:t>32.87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60.68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5.35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420" w:firstLineChars="200"/>
        <w:rPr>
          <w:rFonts w:ascii="仿宋" w:hAnsi="仿宋" w:eastAsia="仿宋"/>
          <w:color w:val="000000"/>
          <w:sz w:val="32"/>
          <w:szCs w:val="32"/>
        </w:rPr>
      </w:pPr>
      <w:r>
        <w:drawing>
          <wp:anchor distT="0" distB="0" distL="114300" distR="114300" simplePos="0" relativeHeight="251657216" behindDoc="1" locked="0" layoutInCell="1" allowOverlap="1">
            <wp:simplePos x="0" y="0"/>
            <wp:positionH relativeFrom="column">
              <wp:posOffset>261620</wp:posOffset>
            </wp:positionH>
            <wp:positionV relativeFrom="paragraph">
              <wp:posOffset>156845</wp:posOffset>
            </wp:positionV>
            <wp:extent cx="4000500" cy="2628900"/>
            <wp:effectExtent l="19050" t="0" r="19050" b="0"/>
            <wp:wrapNone/>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tabs>
          <w:tab w:val="left" w:pos="3636"/>
        </w:tabs>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ab/>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8460"/>
      <w:bookmarkStart w:id="38" w:name="_Toc15377444"/>
      <w:bookmarkStart w:id="39" w:name="_Toc15377213"/>
      <w:r>
        <w:rPr>
          <w:rFonts w:hint="eastAsia" w:ascii="仿宋" w:hAnsi="仿宋" w:eastAsia="仿宋"/>
          <w:b/>
          <w:color w:val="000000" w:themeColor="text1"/>
          <w:sz w:val="32"/>
          <w:szCs w:val="32"/>
          <w14:textFill>
            <w14:solidFill>
              <w14:schemeClr w14:val="tx1"/>
            </w14:solidFill>
          </w14:textFill>
        </w:rPr>
        <w:t>201</w:t>
      </w:r>
      <w:r>
        <w:rPr>
          <w:rFonts w:hint="eastAsia" w:ascii="仿宋" w:hAnsi="仿宋" w:eastAsia="仿宋"/>
          <w:b/>
          <w:color w:val="000000" w:themeColor="text1"/>
          <w:sz w:val="32"/>
          <w:szCs w:val="32"/>
          <w:lang w:val="en-US" w:eastAsia="zh-CN"/>
          <w14:textFill>
            <w14:solidFill>
              <w14:schemeClr w14:val="tx1"/>
            </w14:solidFill>
          </w14:textFill>
        </w:rPr>
        <w:t>9</w:t>
      </w:r>
      <w:r>
        <w:rPr>
          <w:rFonts w:hint="eastAsia" w:ascii="仿宋" w:hAnsi="仿宋" w:eastAsia="仿宋"/>
          <w:b/>
          <w:color w:val="000000" w:themeColor="text1"/>
          <w:sz w:val="32"/>
          <w:szCs w:val="32"/>
          <w14:textFill>
            <w14:solidFill>
              <w14:schemeClr w14:val="tx1"/>
            </w14:solidFill>
          </w14:textFill>
        </w:rPr>
        <w:t>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1133.94</w:t>
      </w:r>
      <w:r>
        <w:rPr>
          <w:rFonts w:hint="eastAsia" w:ascii="仿宋" w:hAnsi="仿宋" w:eastAsia="仿宋"/>
          <w:b/>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14:textFill>
            <w14:solidFill>
              <w14:schemeClr w14:val="tx1"/>
            </w14:solidFill>
          </w14:textFill>
        </w:rPr>
        <w:t>，</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numPr>
          <w:ilvl w:val="0"/>
          <w:numId w:val="2"/>
        </w:numPr>
        <w:spacing w:line="600" w:lineRule="exact"/>
        <w:ind w:firstLine="643" w:firstLineChars="200"/>
        <w:rPr>
          <w:rStyle w:val="14"/>
          <w:rFonts w:ascii="仿宋" w:hAnsi="仿宋" w:eastAsia="仿宋"/>
          <w:bCs/>
          <w:color w:val="000000"/>
          <w:sz w:val="32"/>
          <w:szCs w:val="32"/>
        </w:rPr>
      </w:pPr>
      <w:r>
        <w:rPr>
          <w:rStyle w:val="14"/>
          <w:rFonts w:hint="eastAsia" w:ascii="仿宋" w:hAnsi="仿宋" w:eastAsia="仿宋"/>
          <w:bCs/>
          <w:color w:val="000000"/>
          <w:sz w:val="32"/>
          <w:szCs w:val="32"/>
        </w:rPr>
        <w:t>一般公共服务支出决算为0万元</w:t>
      </w:r>
    </w:p>
    <w:p>
      <w:pPr>
        <w:spacing w:line="600" w:lineRule="exact"/>
        <w:ind w:firstLine="643" w:firstLineChars="200"/>
        <w:rPr>
          <w:rFonts w:hint="eastAsia" w:ascii="仿宋" w:hAnsi="仿宋" w:eastAsia="仿宋"/>
          <w:b/>
          <w:color w:val="FF0000"/>
          <w:sz w:val="32"/>
          <w:szCs w:val="32"/>
          <w:lang w:eastAsia="zh-CN"/>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教育支出</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201</w:t>
      </w:r>
      <w:r>
        <w:rPr>
          <w:rStyle w:val="14"/>
          <w:rFonts w:hint="eastAsia" w:ascii="仿宋" w:hAnsi="仿宋" w:eastAsia="仿宋"/>
          <w:b w:val="0"/>
          <w:bCs/>
          <w:color w:val="000000"/>
          <w:sz w:val="32"/>
          <w:szCs w:val="32"/>
          <w:lang w:val="en-US" w:eastAsia="zh-CN"/>
        </w:rPr>
        <w:t>9</w:t>
      </w:r>
      <w:r>
        <w:rPr>
          <w:rStyle w:val="14"/>
          <w:rFonts w:hint="eastAsia" w:ascii="仿宋" w:hAnsi="仿宋" w:eastAsia="仿宋"/>
          <w:b w:val="0"/>
          <w:bCs/>
          <w:color w:val="000000"/>
          <w:sz w:val="32"/>
          <w:szCs w:val="32"/>
        </w:rPr>
        <w:t>年教育支出决算总计为</w:t>
      </w:r>
      <w:r>
        <w:rPr>
          <w:rStyle w:val="14"/>
          <w:rFonts w:hint="eastAsia" w:ascii="仿宋" w:hAnsi="仿宋" w:eastAsia="仿宋"/>
          <w:b w:val="0"/>
          <w:bCs/>
          <w:color w:val="000000"/>
          <w:sz w:val="32"/>
          <w:szCs w:val="32"/>
          <w:lang w:val="en-US" w:eastAsia="zh-CN"/>
        </w:rPr>
        <w:t>949.46</w:t>
      </w:r>
      <w:r>
        <w:rPr>
          <w:rStyle w:val="14"/>
          <w:rFonts w:hint="eastAsia" w:ascii="仿宋" w:hAnsi="仿宋" w:eastAsia="仿宋"/>
          <w:b w:val="0"/>
          <w:bCs/>
          <w:color w:val="000000"/>
          <w:sz w:val="32"/>
          <w:szCs w:val="32"/>
        </w:rPr>
        <w:t>万元，其中学前教育支出决算为</w:t>
      </w:r>
      <w:r>
        <w:rPr>
          <w:rStyle w:val="14"/>
          <w:rFonts w:hint="eastAsia" w:ascii="仿宋" w:hAnsi="仿宋" w:eastAsia="仿宋"/>
          <w:b w:val="0"/>
          <w:bCs/>
          <w:color w:val="000000"/>
          <w:sz w:val="32"/>
          <w:szCs w:val="32"/>
          <w:lang w:val="en-US" w:eastAsia="zh-CN"/>
        </w:rPr>
        <w:t>14.15</w:t>
      </w:r>
      <w:r>
        <w:rPr>
          <w:rStyle w:val="14"/>
          <w:rFonts w:hint="eastAsia" w:ascii="仿宋" w:hAnsi="仿宋" w:eastAsia="仿宋"/>
          <w:b w:val="0"/>
          <w:bCs/>
          <w:color w:val="000000"/>
          <w:sz w:val="32"/>
          <w:szCs w:val="32"/>
        </w:rPr>
        <w:t>万元，小学教育</w:t>
      </w:r>
      <w:r>
        <w:rPr>
          <w:rStyle w:val="14"/>
          <w:rFonts w:hint="eastAsia" w:ascii="仿宋" w:hAnsi="仿宋" w:eastAsia="仿宋"/>
          <w:b w:val="0"/>
          <w:bCs/>
          <w:color w:val="000000"/>
          <w:sz w:val="32"/>
          <w:szCs w:val="32"/>
          <w:lang w:val="en-US" w:eastAsia="zh-CN"/>
        </w:rPr>
        <w:t>935.31</w:t>
      </w:r>
      <w:r>
        <w:rPr>
          <w:rStyle w:val="14"/>
          <w:rFonts w:hint="eastAsia" w:ascii="仿宋" w:hAnsi="仿宋" w:eastAsia="仿宋"/>
          <w:b w:val="0"/>
          <w:bCs/>
          <w:color w:val="000000"/>
          <w:sz w:val="32"/>
          <w:szCs w:val="32"/>
        </w:rPr>
        <w:t>万元</w:t>
      </w:r>
      <w:r>
        <w:rPr>
          <w:rStyle w:val="14"/>
          <w:rFonts w:hint="eastAsia" w:ascii="仿宋" w:hAnsi="仿宋" w:eastAsia="仿宋"/>
          <w:b w:val="0"/>
          <w:bCs/>
          <w:color w:val="000000"/>
          <w:sz w:val="32"/>
          <w:szCs w:val="32"/>
          <w:lang w:eastAsia="zh-CN"/>
        </w:rPr>
        <w:t>。</w:t>
      </w:r>
    </w:p>
    <w:p>
      <w:pPr>
        <w:spacing w:line="600" w:lineRule="exact"/>
        <w:ind w:firstLine="643" w:firstLineChars="200"/>
        <w:rPr>
          <w:rStyle w:val="14"/>
          <w:rFonts w:ascii="仿宋" w:hAnsi="仿宋" w:eastAsia="仿宋"/>
          <w:bCs/>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科学技术支出决算为0万元</w:t>
      </w:r>
    </w:p>
    <w:p>
      <w:pPr>
        <w:spacing w:line="600" w:lineRule="exact"/>
        <w:ind w:firstLine="643" w:firstLineChars="200"/>
        <w:rPr>
          <w:rStyle w:val="14"/>
          <w:rFonts w:ascii="仿宋" w:hAnsi="仿宋" w:eastAsia="仿宋"/>
          <w:bCs/>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文化体育与传媒支出决算为0万元</w:t>
      </w:r>
    </w:p>
    <w:p>
      <w:pPr>
        <w:spacing w:line="600" w:lineRule="exact"/>
        <w:ind w:firstLine="643" w:firstLineChars="200"/>
        <w:rPr>
          <w:rStyle w:val="14"/>
          <w:rFonts w:ascii="仿宋" w:hAnsi="仿宋" w:eastAsia="仿宋"/>
          <w:b w:val="0"/>
          <w:bCs/>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社会保障和就业支出决算总计为</w:t>
      </w:r>
      <w:r>
        <w:rPr>
          <w:rStyle w:val="14"/>
          <w:rFonts w:hint="eastAsia" w:ascii="仿宋" w:hAnsi="仿宋" w:eastAsia="仿宋"/>
          <w:bCs/>
          <w:color w:val="000000"/>
          <w:sz w:val="32"/>
          <w:szCs w:val="32"/>
          <w:lang w:val="en-US" w:eastAsia="zh-CN"/>
        </w:rPr>
        <w:t>90.93</w:t>
      </w:r>
      <w:r>
        <w:rPr>
          <w:rStyle w:val="14"/>
          <w:rFonts w:hint="eastAsia" w:ascii="仿宋" w:hAnsi="仿宋" w:eastAsia="仿宋"/>
          <w:bCs/>
          <w:color w:val="000000"/>
          <w:sz w:val="32"/>
          <w:szCs w:val="32"/>
        </w:rPr>
        <w:t>万元，</w:t>
      </w:r>
      <w:r>
        <w:rPr>
          <w:rStyle w:val="14"/>
          <w:rFonts w:hint="eastAsia" w:ascii="仿宋" w:hAnsi="仿宋" w:eastAsia="仿宋"/>
          <w:b w:val="0"/>
          <w:color w:val="000000"/>
          <w:sz w:val="32"/>
          <w:szCs w:val="32"/>
        </w:rPr>
        <w:t>其中机关事业单位基本养老保险缴费支出</w:t>
      </w:r>
      <w:r>
        <w:rPr>
          <w:rStyle w:val="14"/>
          <w:rFonts w:hint="eastAsia" w:ascii="仿宋" w:hAnsi="仿宋" w:eastAsia="仿宋"/>
          <w:b w:val="0"/>
          <w:color w:val="000000"/>
          <w:sz w:val="32"/>
          <w:szCs w:val="32"/>
          <w:lang w:val="en-US" w:eastAsia="zh-CN"/>
        </w:rPr>
        <w:t>90.93</w:t>
      </w:r>
      <w:r>
        <w:rPr>
          <w:rStyle w:val="14"/>
          <w:rFonts w:hint="eastAsia" w:ascii="仿宋" w:hAnsi="仿宋" w:eastAsia="仿宋"/>
          <w:b w:val="0"/>
          <w:color w:val="000000"/>
          <w:sz w:val="32"/>
          <w:szCs w:val="32"/>
        </w:rPr>
        <w:t>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ascii="仿宋" w:hAnsi="仿宋" w:eastAsia="仿宋"/>
          <w:bCs/>
          <w:color w:val="000000"/>
          <w:sz w:val="32"/>
          <w:szCs w:val="32"/>
        </w:rPr>
        <w:t>6.</w:t>
      </w:r>
      <w:r>
        <w:rPr>
          <w:rStyle w:val="14"/>
          <w:rFonts w:hint="eastAsia" w:ascii="仿宋" w:hAnsi="仿宋" w:eastAsia="仿宋"/>
          <w:bCs/>
          <w:color w:val="000000"/>
          <w:sz w:val="32"/>
          <w:szCs w:val="32"/>
        </w:rPr>
        <w:t>医疗卫生与计划生育</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32.87</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7、住房保障支出中住房公积金支出</w:t>
      </w:r>
      <w:r>
        <w:rPr>
          <w:rStyle w:val="14"/>
          <w:rFonts w:hint="eastAsia" w:ascii="仿宋" w:hAnsi="仿宋" w:eastAsia="仿宋"/>
          <w:b w:val="0"/>
          <w:bCs/>
          <w:color w:val="000000"/>
          <w:sz w:val="32"/>
          <w:szCs w:val="32"/>
          <w:lang w:val="en-US" w:eastAsia="zh-CN"/>
        </w:rPr>
        <w:t>60.68</w:t>
      </w:r>
      <w:r>
        <w:rPr>
          <w:rStyle w:val="14"/>
          <w:rFonts w:hint="eastAsia" w:ascii="仿宋" w:hAnsi="仿宋" w:eastAsia="仿宋"/>
          <w:b w:val="0"/>
          <w:bCs/>
          <w:color w:val="000000"/>
          <w:sz w:val="32"/>
          <w:szCs w:val="32"/>
        </w:rPr>
        <w:t>万元。</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08</w:t>
      </w:r>
      <w:r>
        <w:rPr>
          <w:rFonts w:hint="eastAsia" w:ascii="仿宋" w:hAnsi="仿宋" w:eastAsia="仿宋"/>
          <w:b/>
          <w:color w:val="000000"/>
          <w:sz w:val="32"/>
          <w:szCs w:val="32"/>
        </w:rPr>
        <w:t>表，罗列全部功能分类科目至项级。上述“预算”口径为调整预算数。增减变动原因为决算数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和调整预算数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比较，与预算数持平可以不写原因。）</w:t>
      </w:r>
    </w:p>
    <w:p>
      <w:pPr>
        <w:tabs>
          <w:tab w:val="right" w:pos="8306"/>
        </w:tabs>
        <w:spacing w:line="600" w:lineRule="exact"/>
        <w:ind w:firstLine="640"/>
        <w:outlineLvl w:val="1"/>
        <w:rPr>
          <w:rStyle w:val="25"/>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年一般公共预算财政拨款基本支出1</w:t>
      </w:r>
      <w:r>
        <w:rPr>
          <w:rFonts w:hint="eastAsia" w:ascii="仿宋" w:hAnsi="仿宋" w:eastAsia="仿宋"/>
          <w:color w:val="000000"/>
          <w:sz w:val="32"/>
          <w:szCs w:val="32"/>
          <w:lang w:val="en-US" w:eastAsia="zh-CN"/>
        </w:rPr>
        <w:t>133.94</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人员经费915.3万元，主要包括：基本工资</w:t>
      </w:r>
      <w:r>
        <w:rPr>
          <w:rFonts w:hint="eastAsia" w:ascii="仿宋" w:hAnsi="仿宋" w:eastAsia="仿宋"/>
          <w:color w:val="000000"/>
          <w:sz w:val="32"/>
          <w:szCs w:val="32"/>
          <w:lang w:val="en-US" w:eastAsia="zh-CN"/>
        </w:rPr>
        <w:t>222.44</w:t>
      </w:r>
      <w:r>
        <w:rPr>
          <w:rFonts w:hint="eastAsia" w:ascii="仿宋" w:hAnsi="仿宋" w:eastAsia="仿宋"/>
          <w:color w:val="000000"/>
          <w:sz w:val="32"/>
          <w:szCs w:val="32"/>
        </w:rPr>
        <w:t>万元、津贴补贴</w:t>
      </w:r>
      <w:r>
        <w:rPr>
          <w:rFonts w:hint="eastAsia" w:ascii="仿宋" w:hAnsi="仿宋" w:eastAsia="仿宋"/>
          <w:color w:val="000000"/>
          <w:sz w:val="32"/>
          <w:szCs w:val="32"/>
          <w:lang w:val="en-US" w:eastAsia="zh-CN"/>
        </w:rPr>
        <w:t>97.26</w:t>
      </w:r>
      <w:r>
        <w:rPr>
          <w:rFonts w:hint="eastAsia" w:ascii="仿宋" w:hAnsi="仿宋" w:eastAsia="仿宋"/>
          <w:color w:val="000000"/>
          <w:sz w:val="32"/>
          <w:szCs w:val="32"/>
        </w:rPr>
        <w:t>万元、绩效工资</w:t>
      </w:r>
      <w:r>
        <w:rPr>
          <w:rFonts w:hint="eastAsia" w:ascii="仿宋" w:hAnsi="仿宋" w:eastAsia="仿宋"/>
          <w:color w:val="000000"/>
          <w:sz w:val="32"/>
          <w:szCs w:val="32"/>
          <w:lang w:val="en-US" w:eastAsia="zh-CN"/>
        </w:rPr>
        <w:t>221.71</w:t>
      </w:r>
      <w:r>
        <w:rPr>
          <w:rFonts w:hint="eastAsia" w:ascii="仿宋" w:hAnsi="仿宋" w:eastAsia="仿宋"/>
          <w:color w:val="000000"/>
          <w:sz w:val="32"/>
          <w:szCs w:val="32"/>
        </w:rPr>
        <w:t>万元、机关事业单位基本养老保险缴费</w:t>
      </w:r>
      <w:r>
        <w:rPr>
          <w:rFonts w:hint="eastAsia" w:ascii="仿宋" w:hAnsi="仿宋" w:eastAsia="仿宋"/>
          <w:color w:val="000000"/>
          <w:sz w:val="32"/>
          <w:szCs w:val="32"/>
          <w:lang w:val="en-US" w:eastAsia="zh-CN"/>
        </w:rPr>
        <w:t>90.93</w:t>
      </w:r>
      <w:r>
        <w:rPr>
          <w:rFonts w:hint="eastAsia" w:ascii="仿宋" w:hAnsi="仿宋" w:eastAsia="仿宋"/>
          <w:color w:val="000000"/>
          <w:sz w:val="32"/>
          <w:szCs w:val="32"/>
        </w:rPr>
        <w:t>万元、其他社会保障缴费</w:t>
      </w:r>
      <w:r>
        <w:rPr>
          <w:rFonts w:hint="eastAsia" w:ascii="仿宋" w:hAnsi="仿宋" w:eastAsia="仿宋"/>
          <w:color w:val="000000"/>
          <w:sz w:val="32"/>
          <w:szCs w:val="32"/>
          <w:lang w:val="en-US" w:eastAsia="zh-CN"/>
        </w:rPr>
        <w:t>12.26</w:t>
      </w:r>
      <w:r>
        <w:rPr>
          <w:rFonts w:hint="eastAsia" w:ascii="仿宋" w:hAnsi="仿宋" w:eastAsia="仿宋"/>
          <w:color w:val="000000"/>
          <w:sz w:val="32"/>
          <w:szCs w:val="32"/>
        </w:rPr>
        <w:t>万元、其他工资福利支出</w:t>
      </w:r>
      <w:r>
        <w:rPr>
          <w:rFonts w:hint="eastAsia" w:ascii="仿宋" w:hAnsi="仿宋" w:eastAsia="仿宋"/>
          <w:color w:val="000000"/>
          <w:sz w:val="32"/>
          <w:szCs w:val="32"/>
          <w:lang w:val="en-US" w:eastAsia="zh-CN"/>
        </w:rPr>
        <w:t>110.83</w:t>
      </w:r>
      <w:r>
        <w:rPr>
          <w:rFonts w:hint="eastAsia" w:ascii="仿宋" w:hAnsi="仿宋" w:eastAsia="仿宋"/>
          <w:color w:val="000000"/>
          <w:sz w:val="32"/>
          <w:szCs w:val="32"/>
        </w:rPr>
        <w:t>万元、生活补助</w:t>
      </w:r>
      <w:r>
        <w:rPr>
          <w:rFonts w:hint="eastAsia" w:ascii="仿宋" w:hAnsi="仿宋" w:eastAsia="仿宋"/>
          <w:color w:val="000000"/>
          <w:sz w:val="32"/>
          <w:szCs w:val="32"/>
          <w:lang w:val="en-US" w:eastAsia="zh-CN"/>
        </w:rPr>
        <w:t>10.63</w:t>
      </w:r>
      <w:r>
        <w:rPr>
          <w:rFonts w:hint="eastAsia" w:ascii="仿宋" w:hAnsi="仿宋" w:eastAsia="仿宋"/>
          <w:color w:val="000000"/>
          <w:sz w:val="32"/>
          <w:szCs w:val="32"/>
        </w:rPr>
        <w:t>万元、住房公积金</w:t>
      </w:r>
      <w:r>
        <w:rPr>
          <w:rFonts w:hint="eastAsia" w:ascii="仿宋" w:hAnsi="仿宋" w:eastAsia="仿宋"/>
          <w:color w:val="000000"/>
          <w:sz w:val="32"/>
          <w:szCs w:val="32"/>
          <w:lang w:val="en-US" w:eastAsia="zh-CN"/>
        </w:rPr>
        <w:t>60.68</w:t>
      </w:r>
      <w:r>
        <w:rPr>
          <w:rFonts w:hint="eastAsia" w:ascii="仿宋" w:hAnsi="仿宋" w:eastAsia="仿宋"/>
          <w:color w:val="000000"/>
          <w:sz w:val="32"/>
          <w:szCs w:val="32"/>
        </w:rPr>
        <w:t>万元。</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公用经费</w:t>
      </w:r>
      <w:r>
        <w:rPr>
          <w:rFonts w:hint="eastAsia" w:ascii="仿宋" w:hAnsi="仿宋" w:eastAsia="仿宋"/>
          <w:color w:val="000000"/>
          <w:sz w:val="32"/>
          <w:szCs w:val="32"/>
          <w:lang w:val="en-US" w:eastAsia="zh-CN"/>
        </w:rPr>
        <w:t>88.15</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23.46</w:t>
      </w:r>
      <w:r>
        <w:rPr>
          <w:rFonts w:hint="eastAsia" w:ascii="仿宋" w:hAnsi="仿宋" w:eastAsia="仿宋"/>
          <w:color w:val="000000"/>
          <w:sz w:val="32"/>
          <w:szCs w:val="32"/>
        </w:rPr>
        <w:t>万元、印刷费5.5万元，水费6万元、电费</w:t>
      </w:r>
      <w:r>
        <w:rPr>
          <w:rFonts w:hint="eastAsia" w:ascii="仿宋" w:hAnsi="仿宋" w:eastAsia="仿宋"/>
          <w:color w:val="000000"/>
          <w:sz w:val="32"/>
          <w:szCs w:val="32"/>
          <w:lang w:val="en-US" w:eastAsia="zh-CN"/>
        </w:rPr>
        <w:t>10.85</w:t>
      </w:r>
      <w:r>
        <w:rPr>
          <w:rFonts w:hint="eastAsia" w:ascii="仿宋" w:hAnsi="仿宋" w:eastAsia="仿宋"/>
          <w:color w:val="000000"/>
          <w:sz w:val="32"/>
          <w:szCs w:val="32"/>
        </w:rPr>
        <w:t>万元、差旅费7.6万元、维修（护）费</w:t>
      </w:r>
      <w:r>
        <w:rPr>
          <w:rFonts w:hint="eastAsia" w:ascii="仿宋" w:hAnsi="仿宋" w:eastAsia="仿宋"/>
          <w:color w:val="000000"/>
          <w:sz w:val="32"/>
          <w:szCs w:val="32"/>
          <w:lang w:val="en-US" w:eastAsia="zh-CN"/>
        </w:rPr>
        <w:t>25</w:t>
      </w:r>
      <w:r>
        <w:rPr>
          <w:rFonts w:hint="eastAsia" w:ascii="仿宋" w:hAnsi="仿宋" w:eastAsia="仿宋"/>
          <w:color w:val="000000"/>
          <w:sz w:val="32"/>
          <w:szCs w:val="32"/>
        </w:rPr>
        <w:t>万元、培训费</w:t>
      </w:r>
      <w:r>
        <w:rPr>
          <w:rFonts w:hint="eastAsia" w:ascii="仿宋" w:hAnsi="仿宋" w:eastAsia="仿宋"/>
          <w:color w:val="000000"/>
          <w:sz w:val="32"/>
          <w:szCs w:val="32"/>
          <w:lang w:val="en-US" w:eastAsia="zh-CN"/>
        </w:rPr>
        <w:t>4.3</w:t>
      </w:r>
      <w:r>
        <w:rPr>
          <w:rFonts w:hint="eastAsia" w:ascii="仿宋" w:hAnsi="仿宋" w:eastAsia="仿宋"/>
          <w:color w:val="000000"/>
          <w:sz w:val="32"/>
          <w:szCs w:val="32"/>
        </w:rPr>
        <w:t>万元、公务接待费2.8万元、工会经费</w:t>
      </w:r>
      <w:r>
        <w:rPr>
          <w:rFonts w:hint="eastAsia" w:ascii="仿宋" w:hAnsi="仿宋" w:eastAsia="仿宋"/>
          <w:color w:val="000000"/>
          <w:sz w:val="32"/>
          <w:szCs w:val="32"/>
          <w:lang w:val="en-US" w:eastAsia="zh-CN"/>
        </w:rPr>
        <w:t>2.64</w:t>
      </w:r>
      <w:r>
        <w:rPr>
          <w:rFonts w:hint="eastAsia" w:ascii="仿宋" w:hAnsi="仿宋" w:eastAsia="仿宋"/>
          <w:color w:val="000000"/>
          <w:sz w:val="32"/>
          <w:szCs w:val="32"/>
        </w:rPr>
        <w:t>万元。</w:t>
      </w:r>
    </w:p>
    <w:p>
      <w:pPr>
        <w:spacing w:line="600" w:lineRule="exact"/>
        <w:ind w:firstLine="640"/>
        <w:outlineLvl w:val="1"/>
        <w:rPr>
          <w:rStyle w:val="25"/>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年“三公”经费财政拨款支出决算为2.</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万元，完成预算100</w:t>
      </w:r>
      <w:r>
        <w:rPr>
          <w:rFonts w:ascii="仿宋" w:hAnsi="仿宋" w:eastAsia="仿宋"/>
          <w:color w:val="000000"/>
          <w:sz w:val="32"/>
          <w:szCs w:val="32"/>
        </w:rPr>
        <w:t>%</w:t>
      </w:r>
      <w:r>
        <w:rPr>
          <w:rFonts w:hint="eastAsia" w:ascii="仿宋" w:hAnsi="仿宋" w:eastAsia="仿宋"/>
          <w:color w:val="000000"/>
          <w:sz w:val="32"/>
          <w:szCs w:val="32"/>
        </w:rPr>
        <w:t>，决算数小于预算数主要原因是节约开支。</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年“三公”经费财政拨款支出决算中，无因公出国（境）费支出、无公务用车购置及运行维护费支出、公务接待费支出决算2.8万元。具体情况如下：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 w:hAnsi="仿宋" w:eastAsia="仿宋"/>
          <w:color w:val="000000"/>
          <w:sz w:val="32"/>
          <w:szCs w:val="32"/>
        </w:rPr>
      </w:pPr>
      <w:r>
        <w:drawing>
          <wp:anchor distT="0" distB="0" distL="114300" distR="114300" simplePos="0" relativeHeight="251658240" behindDoc="1" locked="0" layoutInCell="1" allowOverlap="1">
            <wp:simplePos x="0" y="0"/>
            <wp:positionH relativeFrom="column">
              <wp:posOffset>448945</wp:posOffset>
            </wp:positionH>
            <wp:positionV relativeFrom="paragraph">
              <wp:posOffset>23495</wp:posOffset>
            </wp:positionV>
            <wp:extent cx="4933950" cy="2657475"/>
            <wp:effectExtent l="4445" t="4445" r="14605" b="5080"/>
            <wp:wrapNone/>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numPr>
          <w:ilvl w:val="0"/>
          <w:numId w:val="3"/>
        </w:num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无因公出国（境）经费支出</w:t>
      </w:r>
    </w:p>
    <w:p>
      <w:pPr>
        <w:numPr>
          <w:ilvl w:val="0"/>
          <w:numId w:val="3"/>
        </w:num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无公务用车购置及运行维护费支出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公务接待费支出2.8</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年减少0.0</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万元，下降0.</w:t>
      </w:r>
      <w:r>
        <w:rPr>
          <w:rFonts w:hint="eastAsia" w:ascii="仿宋_GB2312" w:eastAsia="仿宋_GB2312"/>
          <w:color w:val="000000"/>
          <w:sz w:val="32"/>
          <w:szCs w:val="32"/>
          <w:lang w:val="en-US" w:eastAsia="zh-CN"/>
        </w:rPr>
        <w:t>31</w:t>
      </w:r>
      <w:r>
        <w:rPr>
          <w:rFonts w:ascii="仿宋_GB2312" w:eastAsia="仿宋_GB2312"/>
          <w:color w:val="000000"/>
          <w:sz w:val="32"/>
          <w:szCs w:val="32"/>
        </w:rPr>
        <w:t>%</w:t>
      </w:r>
      <w:r>
        <w:rPr>
          <w:rFonts w:hint="eastAsia" w:ascii="仿宋_GB2312" w:eastAsia="仿宋_GB2312"/>
          <w:color w:val="000000"/>
          <w:sz w:val="32"/>
          <w:szCs w:val="32"/>
        </w:rPr>
        <w:t>。主要原因是节约开支。</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主要用于执行公务、开展业务活动开支的交通费、住宿费、用餐费等。共计支出2.8万元。</w:t>
      </w:r>
    </w:p>
    <w:p>
      <w:pPr>
        <w:spacing w:line="600" w:lineRule="exact"/>
        <w:ind w:firstLine="640"/>
        <w:outlineLvl w:val="1"/>
        <w:rPr>
          <w:rStyle w:val="25"/>
          <w:rFonts w:ascii="黑体" w:hAnsi="黑体" w:eastAsia="黑体"/>
        </w:rPr>
      </w:pPr>
      <w:bookmarkStart w:id="46" w:name="_Toc15396610"/>
      <w:bookmarkStart w:id="47" w:name="_Toc15377218"/>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2240" w:firstLineChars="700"/>
        <w:outlineLvl w:val="1"/>
        <w:rPr>
          <w:rStyle w:val="25"/>
          <w:rFonts w:ascii="黑体" w:hAnsi="黑体" w:eastAsia="黑体"/>
          <w:b w:val="0"/>
        </w:rPr>
      </w:pPr>
      <w:bookmarkStart w:id="48" w:name="_Toc15377219"/>
      <w:bookmarkStart w:id="49" w:name="_Toc15396611"/>
      <w:r>
        <w:rPr>
          <w:rFonts w:hint="eastAsia" w:ascii="仿宋_GB2312" w:eastAsia="仿宋_GB2312"/>
          <w:color w:val="000000"/>
          <w:sz w:val="32"/>
          <w:szCs w:val="32"/>
        </w:rPr>
        <w:t>无</w:t>
      </w:r>
    </w:p>
    <w:p>
      <w:pPr>
        <w:numPr>
          <w:ilvl w:val="0"/>
          <w:numId w:val="4"/>
        </w:numPr>
        <w:spacing w:line="600" w:lineRule="exact"/>
        <w:ind w:firstLine="640"/>
        <w:outlineLvl w:val="1"/>
        <w:rPr>
          <w:rStyle w:val="25"/>
          <w:rFonts w:ascii="黑体" w:hAnsi="黑体" w:eastAsia="黑体"/>
          <w:b w:val="0"/>
        </w:rPr>
      </w:pPr>
      <w:r>
        <w:rPr>
          <w:rStyle w:val="25"/>
          <w:rFonts w:hint="eastAsia" w:ascii="黑体" w:hAnsi="黑体" w:eastAsia="黑体"/>
          <w:b w:val="0"/>
        </w:rPr>
        <w:t>国有资本经营预算支出决算情况说明</w:t>
      </w:r>
      <w:bookmarkEnd w:id="48"/>
      <w:bookmarkEnd w:id="49"/>
    </w:p>
    <w:p>
      <w:pPr>
        <w:spacing w:line="600" w:lineRule="exact"/>
        <w:outlineLvl w:val="1"/>
        <w:rPr>
          <w:rStyle w:val="25"/>
          <w:rFonts w:ascii="黑体" w:hAnsi="黑体" w:eastAsia="黑体"/>
          <w:b w:val="0"/>
        </w:rPr>
      </w:pPr>
    </w:p>
    <w:p>
      <w:pPr>
        <w:spacing w:line="600" w:lineRule="exact"/>
        <w:ind w:firstLine="2240" w:firstLineChars="700"/>
        <w:rPr>
          <w:rFonts w:ascii="仿宋_GB2312" w:eastAsia="仿宋_GB2312"/>
          <w:color w:val="000000"/>
          <w:sz w:val="32"/>
          <w:szCs w:val="32"/>
        </w:rPr>
      </w:pPr>
      <w:r>
        <w:rPr>
          <w:rFonts w:hint="eastAsia" w:ascii="仿宋_GB2312" w:eastAsia="仿宋_GB2312"/>
          <w:color w:val="000000"/>
          <w:sz w:val="32"/>
          <w:szCs w:val="32"/>
        </w:rPr>
        <w:t>无</w:t>
      </w:r>
    </w:p>
    <w:p>
      <w:pPr>
        <w:pStyle w:val="23"/>
        <w:numPr>
          <w:ilvl w:val="0"/>
          <w:numId w:val="5"/>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6"/>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1、根据预算绩效管理要求，本部门（单位）在年初预算编制阶段，组织对我校201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年工资福利支出项目开展了预算事前绩效评估，编制了绩效目标，预算执行过程中，选取工资福利支出项目开展绩效监控。</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2、高度重视预算支出绩效评价工作，成立了以</w:t>
      </w:r>
      <w:r>
        <w:rPr>
          <w:rFonts w:hint="eastAsia" w:ascii="仿宋_GB2312" w:hAnsi="仿宋_GB2312" w:eastAsia="仿宋_GB2312" w:cs="仿宋_GB2312"/>
          <w:sz w:val="32"/>
          <w:szCs w:val="32"/>
          <w:lang w:eastAsia="zh-CN"/>
        </w:rPr>
        <w:t>曹先胜</w:t>
      </w:r>
      <w:r>
        <w:rPr>
          <w:rFonts w:hint="eastAsia" w:ascii="仿宋_GB2312" w:hAnsi="仿宋_GB2312" w:eastAsia="仿宋_GB2312" w:cs="仿宋_GB2312"/>
          <w:sz w:val="32"/>
          <w:szCs w:val="32"/>
        </w:rPr>
        <w:t>校长为组长，</w:t>
      </w:r>
      <w:r>
        <w:rPr>
          <w:rFonts w:hint="eastAsia" w:ascii="仿宋_GB2312" w:hAnsi="仿宋_GB2312" w:eastAsia="仿宋_GB2312" w:cs="仿宋_GB2312"/>
          <w:sz w:val="32"/>
          <w:szCs w:val="32"/>
          <w:lang w:eastAsia="zh-CN"/>
        </w:rPr>
        <w:t>王华生</w:t>
      </w:r>
      <w:r>
        <w:rPr>
          <w:rFonts w:hint="eastAsia" w:ascii="仿宋_GB2312" w:hAnsi="仿宋_GB2312" w:eastAsia="仿宋_GB2312" w:cs="仿宋_GB2312"/>
          <w:sz w:val="32"/>
          <w:szCs w:val="32"/>
        </w:rPr>
        <w:t>书记为副组长，学校行政成员为成员的预算支出绩效评价领导小组，明确各单位的评价责任，进一步强化各单位对财政预算支出管理意识。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加强对国家、省级财政预算资金管理方面制度的学习培训，不断提高各单位的业务工作能力。及时组织后勤人员学习了201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年省县出台的培训费、会议费、外宾接待、因公出国、因公出国短期培训、差旅费、国内公务接待等7个管理办法。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建立了单位支出管理方面的内控制度，并不断进行完善和修订。如：制定了《七里学校财务管理规定》及《七里学校食堂安全管理制度》、《七里学校差旅报销规定》等，对招待费、差旅费等支出进行了有效管控。</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 严格制度执行，特别是“三公”经费的预算控制。严格招待费用审核审批程序，“三公”经费较好地控制在预算范围之内。</w:t>
      </w:r>
    </w:p>
    <w:p>
      <w:pPr>
        <w:numPr>
          <w:ilvl w:val="0"/>
          <w:numId w:val="6"/>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年度部门决算中对工资福利支出项目绩效目标实际完成情况如下：</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sz w:val="36"/>
                <w:szCs w:val="36"/>
              </w:rPr>
            </w:pPr>
            <w:r>
              <w:rPr>
                <w:rFonts w:hint="eastAsia" w:ascii="黑体" w:hAnsi="黑体" w:eastAsia="黑体" w:cs="宋体"/>
                <w:bCs/>
                <w:kern w:val="0"/>
                <w:sz w:val="36"/>
                <w:szCs w:val="36"/>
              </w:rPr>
              <w:t>项目支出绩效目标完成情况表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(201</w:t>
            </w:r>
            <w:r>
              <w:rPr>
                <w:rFonts w:hint="eastAsia" w:ascii="宋体" w:hAnsi="宋体" w:cs="宋体"/>
                <w:kern w:val="0"/>
                <w:sz w:val="36"/>
                <w:szCs w:val="36"/>
                <w:lang w:val="en-US" w:eastAsia="zh-CN"/>
              </w:rPr>
              <w:t>9</w:t>
            </w:r>
            <w:r>
              <w:rPr>
                <w:rFonts w:hint="eastAsia" w:ascii="宋体" w:hAnsi="宋体" w:cs="宋体"/>
                <w:kern w:val="0"/>
                <w:sz w:val="36"/>
                <w:szCs w:val="36"/>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工资福利支出</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宣汉县七里学校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sz w:val="24"/>
                <w:lang w:val="en-US" w:eastAsia="zh-CN"/>
              </w:rPr>
            </w:pPr>
            <w:r>
              <w:rPr>
                <w:rFonts w:hint="eastAsia" w:ascii="宋体" w:hAnsi="宋体" w:cs="宋体"/>
                <w:sz w:val="24"/>
                <w:lang w:val="en-US" w:eastAsia="zh-CN"/>
              </w:rPr>
              <w:t>715.7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sz w:val="24"/>
                <w:lang w:val="en-US" w:eastAsia="zh-CN"/>
              </w:rPr>
            </w:pPr>
            <w:r>
              <w:rPr>
                <w:rFonts w:hint="eastAsia" w:ascii="宋体" w:hAnsi="宋体" w:cs="宋体"/>
                <w:sz w:val="24"/>
                <w:lang w:val="en-US" w:eastAsia="zh-CN"/>
              </w:rPr>
              <w:t>715.7</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default" w:ascii="宋体" w:hAnsi="宋体" w:eastAsia="宋体" w:cs="宋体"/>
                <w:sz w:val="24"/>
                <w:lang w:val="en-US" w:eastAsia="zh-CN"/>
              </w:rPr>
            </w:pPr>
            <w:r>
              <w:rPr>
                <w:rFonts w:hint="eastAsia" w:ascii="宋体" w:hAnsi="宋体" w:cs="宋体"/>
                <w:sz w:val="24"/>
                <w:lang w:val="en-US" w:eastAsia="zh-CN"/>
              </w:rPr>
              <w:t>715.7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sz w:val="24"/>
                <w:lang w:val="en-US" w:eastAsia="zh-CN"/>
              </w:rPr>
            </w:pPr>
            <w:r>
              <w:rPr>
                <w:rFonts w:hint="eastAsia" w:ascii="宋体" w:hAnsi="宋体" w:cs="宋体"/>
                <w:sz w:val="24"/>
                <w:lang w:val="en-US" w:eastAsia="zh-CN"/>
              </w:rPr>
              <w:t>715.7</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sz w:val="24"/>
              </w:rPr>
            </w:pPr>
            <w:r>
              <w:rPr>
                <w:rFonts w:hint="eastAsia" w:ascii="宋体" w:hAnsi="宋体" w:cs="宋体"/>
                <w:sz w:val="24"/>
              </w:rPr>
              <w:t>1、实施九年制义务教育，促进基础教育发展 2、本着以人为本的目标，全面贯彻党的教育方针，推行素质教育，体现时代要求。 3、安全工作常抓不懈，认真学习各项法规政策，落实各级安全工作会议精神。 4、全力以赴抓教育教学常规，建立健全常规管理制度，完善常规管理办法，确保教学质量稳步提高。 5、落实环保教育，积极开展校园文化建设。 6、促进义务教育均衡发展，做好控辍保学、教育扶贫工作，不让每一个孩子因贫困而失学。</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按照预期目标已完成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开展教育教学活动，保证辖区内每一个适龄儿童入学，完成教学目标任务。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所有适龄儿童必须接受义务教育，是国家予以保障的公益性事业。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所有适龄儿童接受义务教育。</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按质按量完成教育教学任务，促进教育均衡发展。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实施义务教育，提高全民素质。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实施义务教育，提高全民素质。</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按期完成教学任务和考核指标。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按照确定的教育教学内容和课程设置开展教育教学活动，按时完成教学任务和考核指标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按照确定的教育教学内容和课程设置开展教育教学活动，按时完成教学任务和考核。</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工资福利支出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sz w:val="24"/>
                <w:lang w:val="en-US" w:eastAsia="zh-CN"/>
              </w:rPr>
            </w:pPr>
            <w:r>
              <w:rPr>
                <w:rFonts w:hint="eastAsia" w:ascii="宋体" w:hAnsi="宋体" w:cs="宋体"/>
                <w:sz w:val="24"/>
                <w:lang w:val="en-US" w:eastAsia="zh-CN"/>
              </w:rPr>
              <w:t>848.99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sz w:val="24"/>
                <w:lang w:val="en-US" w:eastAsia="zh-CN"/>
              </w:rPr>
            </w:pPr>
            <w:r>
              <w:rPr>
                <w:rFonts w:hint="eastAsia" w:ascii="宋体" w:hAnsi="宋体" w:cs="宋体"/>
                <w:sz w:val="24"/>
                <w:lang w:val="en-US" w:eastAsia="zh-CN"/>
              </w:rPr>
              <w:t>848.99</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严肃财经纪律，严格内控，加强管理，节能高效。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严格控制开支，保证学校正常运转。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严格控制开支，保证学校正常运转。</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深入开展教育教学、教研活动，促进基础教育发展。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面向全体学生，教书育人，促进学生全面发展，提高全民素质。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面向全体学生，教书育人，促进学生全面发展，提高全民素质。</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坚持以人为本，绿色发展理念。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积极开展校园文化建设，落实环保教育。</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积极开展校园文化建设，落实环保教育。</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sz w:val="24"/>
              </w:rPr>
            </w:pPr>
            <w:r>
              <w:rPr>
                <w:rFonts w:hint="eastAsia" w:ascii="宋体" w:hAnsi="宋体" w:cs="宋体"/>
                <w:sz w:val="24"/>
              </w:rPr>
              <w:t>促进义务教育均衡发展。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面向全体学生，教书育人，促进义务教育的均衡发展。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面向全体学生，教书育人，促进义务教育的均衡发展。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社会、家长、学生满意度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上级部门满意度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p>
        </w:tc>
      </w:tr>
      <w:tr>
        <w:tblPrEx>
          <w:tblCellMar>
            <w:top w:w="0" w:type="dxa"/>
            <w:left w:w="0" w:type="dxa"/>
            <w:bottom w:w="0" w:type="dxa"/>
            <w:right w:w="0" w:type="dxa"/>
          </w:tblCellMar>
        </w:tblPrEx>
        <w:trPr>
          <w:trHeight w:val="1050"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相关部门和单位满意度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p>
        </w:tc>
      </w:tr>
      <w:tr>
        <w:tblPrEx>
          <w:tblCellMar>
            <w:top w:w="0" w:type="dxa"/>
            <w:left w:w="0" w:type="dxa"/>
            <w:bottom w:w="0" w:type="dxa"/>
            <w:right w:w="0" w:type="dxa"/>
          </w:tblCellMar>
        </w:tblPrEx>
        <w:trPr>
          <w:trHeight w:val="1050"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p>
        </w:tc>
      </w:tr>
    </w:tbl>
    <w:p>
      <w:pPr>
        <w:rPr>
          <w:rFonts w:ascii="Calibri" w:hAnsi="Calibri"/>
        </w:rPr>
      </w:pPr>
    </w:p>
    <w:p>
      <w:pPr>
        <w:spacing w:line="580" w:lineRule="exact"/>
        <w:rPr>
          <w:rFonts w:ascii="仿宋_GB2312" w:hAnsi="仿宋_GB2312" w:eastAsia="仿宋_GB2312" w:cs="仿宋_GB2312"/>
          <w:sz w:val="32"/>
          <w:szCs w:val="32"/>
        </w:rPr>
      </w:pPr>
    </w:p>
    <w:p>
      <w:pPr>
        <w:numPr>
          <w:ilvl w:val="0"/>
          <w:numId w:val="6"/>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本部门按要求对2018年部门整体支出绩效评价情况开展自评，本部门自行组织对工资福利支出项目开展了绩效评价，圆满完成各项工作。</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0"/>
      <w:bookmarkEnd w:id="51"/>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 xml:space="preserve">          无</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7"/>
        </w:numPr>
        <w:spacing w:line="600" w:lineRule="exact"/>
        <w:ind w:firstLine="663" w:firstLineChars="150"/>
        <w:jc w:val="center"/>
        <w:outlineLvl w:val="0"/>
        <w:rPr>
          <w:rStyle w:val="24"/>
          <w:rFonts w:ascii="黑体" w:hAnsi="黑体" w:eastAsia="黑体"/>
          <w:b w:val="0"/>
        </w:rPr>
      </w:pPr>
      <w:bookmarkStart w:id="52" w:name="_Toc15377225"/>
      <w:bookmarkStart w:id="53" w:name="_Toc15396613"/>
      <w:r>
        <w:rPr>
          <w:rFonts w:hint="eastAsia" w:ascii="黑体" w:hAnsi="黑体" w:eastAsia="黑体"/>
          <w:b/>
          <w:color w:val="000000"/>
          <w:sz w:val="44"/>
          <w:szCs w:val="44"/>
        </w:rPr>
        <w:t>名</w:t>
      </w:r>
      <w:r>
        <w:rPr>
          <w:rStyle w:val="24"/>
          <w:rFonts w:hint="eastAsia" w:ascii="黑体" w:hAnsi="黑体" w:eastAsia="黑体"/>
          <w:b w:val="0"/>
        </w:rPr>
        <w:t>词解释</w:t>
      </w:r>
      <w:bookmarkEnd w:id="52"/>
      <w:bookmarkEnd w:id="53"/>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lang w:val="en-US" w:eastAsia="zh-CN"/>
        </w:rPr>
        <w:t>9</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54" w:name="_Toc15377226"/>
      <w:r>
        <w:rPr>
          <w:rFonts w:ascii="宋体"/>
          <w:b/>
          <w:color w:val="000000"/>
          <w:sz w:val="44"/>
          <w:szCs w:val="44"/>
        </w:rPr>
        <w:br w:type="page"/>
      </w:r>
      <w:bookmarkStart w:id="55"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5"/>
    </w:p>
    <w:p>
      <w:pPr>
        <w:spacing w:line="600" w:lineRule="exact"/>
        <w:jc w:val="center"/>
        <w:outlineLvl w:val="0"/>
        <w:rPr>
          <w:rStyle w:val="24"/>
        </w:rPr>
      </w:pPr>
    </w:p>
    <w:p>
      <w:pPr>
        <w:pStyle w:val="3"/>
        <w:rPr>
          <w:rStyle w:val="24"/>
          <w:rFonts w:ascii="仿宋" w:hAnsi="仿宋" w:eastAsia="仿宋"/>
          <w:b w:val="0"/>
          <w:bCs w:val="0"/>
          <w:sz w:val="32"/>
          <w:szCs w:val="32"/>
        </w:rPr>
      </w:pPr>
      <w:bookmarkStart w:id="56" w:name="_Toc15396615"/>
      <w:r>
        <w:rPr>
          <w:rStyle w:val="24"/>
          <w:rFonts w:hint="eastAsia" w:ascii="仿宋" w:hAnsi="仿宋" w:eastAsia="仿宋"/>
          <w:b w:val="0"/>
          <w:bCs w:val="0"/>
          <w:sz w:val="32"/>
          <w:szCs w:val="32"/>
        </w:rPr>
        <w:t>附件1</w:t>
      </w:r>
      <w:bookmarkEnd w:id="56"/>
    </w:p>
    <w:p>
      <w:pPr>
        <w:spacing w:line="600" w:lineRule="exact"/>
        <w:jc w:val="center"/>
        <w:outlineLvl w:val="0"/>
        <w:rPr>
          <w:rFonts w:ascii="黑体" w:hAnsi="黑体" w:eastAsia="黑体" w:cs="方正小标宋简体"/>
          <w:sz w:val="36"/>
          <w:szCs w:val="36"/>
        </w:rPr>
      </w:pPr>
      <w:bookmarkStart w:id="57" w:name="_Toc15396616"/>
      <w:r>
        <w:rPr>
          <w:rFonts w:hint="eastAsia" w:ascii="黑体" w:hAnsi="黑体" w:eastAsia="黑体" w:cs="方正小标宋简体"/>
          <w:sz w:val="36"/>
          <w:szCs w:val="36"/>
        </w:rPr>
        <w:t>宣汉县七里学校</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w:t>
      </w:r>
      <w:r>
        <w:rPr>
          <w:rFonts w:hint="eastAsia" w:ascii="黑体" w:hAnsi="黑体" w:eastAsia="黑体" w:cs="方正小标宋简体"/>
          <w:sz w:val="36"/>
          <w:szCs w:val="36"/>
          <w:lang w:val="en-US" w:eastAsia="zh-CN"/>
        </w:rPr>
        <w:t>9</w:t>
      </w:r>
      <w:r>
        <w:rPr>
          <w:rFonts w:hint="eastAsia" w:ascii="黑体" w:hAnsi="黑体" w:eastAsia="黑体" w:cs="方正小标宋简体"/>
          <w:sz w:val="36"/>
          <w:szCs w:val="36"/>
        </w:rPr>
        <w:t>年部门整体支出绩效评价报告</w:t>
      </w:r>
      <w:bookmarkEnd w:id="57"/>
    </w:p>
    <w:p>
      <w:pPr>
        <w:spacing w:line="580" w:lineRule="exact"/>
        <w:ind w:firstLine="640" w:firstLineChars="200"/>
        <w:rPr>
          <w:rFonts w:ascii="黑体" w:hAnsi="黑体" w:eastAsia="黑体" w:cs="黑体"/>
          <w:color w:val="FF0000"/>
          <w:sz w:val="32"/>
          <w:szCs w:val="32"/>
        </w:rPr>
      </w:pPr>
    </w:p>
    <w:p>
      <w:pPr>
        <w:numPr>
          <w:ilvl w:val="0"/>
          <w:numId w:val="8"/>
        </w:num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部门（单位）概况</w:t>
      </w:r>
    </w:p>
    <w:p>
      <w:pPr>
        <w:spacing w:line="580" w:lineRule="exact"/>
        <w:rPr>
          <w:rFonts w:ascii="黑体" w:hAnsi="黑体" w:eastAsia="黑体" w:cs="黑体"/>
          <w:sz w:val="32"/>
          <w:szCs w:val="32"/>
        </w:rPr>
      </w:pPr>
      <w:r>
        <w:rPr>
          <w:rFonts w:hint="eastAsia" w:ascii="黑体" w:hAnsi="黑体" w:eastAsia="黑体" w:cs="黑体"/>
          <w:sz w:val="28"/>
          <w:szCs w:val="28"/>
        </w:rPr>
        <w:t>（一）机构组成、人员概况</w:t>
      </w:r>
      <w:r>
        <w:rPr>
          <w:rFonts w:hint="eastAsia" w:ascii="黑体" w:hAnsi="黑体" w:eastAsia="黑体" w:cs="黑体"/>
          <w:sz w:val="32"/>
          <w:szCs w:val="32"/>
        </w:rPr>
        <w:t>。</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天生镇学校隶属宣汉县教科局的二级单位1个，属于全额财政拨款的事业单位，学校设有中心校，中心幼儿园、村小4所。学校201</w:t>
      </w:r>
      <w:r>
        <w:rPr>
          <w:rFonts w:hint="eastAsia" w:ascii="仿宋" w:hAnsi="仿宋" w:eastAsia="仿宋" w:cs="仿宋_GB2312"/>
          <w:sz w:val="32"/>
          <w:szCs w:val="32"/>
          <w:lang w:val="en-US" w:eastAsia="zh-CN"/>
        </w:rPr>
        <w:t>9</w:t>
      </w:r>
      <w:bookmarkStart w:id="73" w:name="_GoBack"/>
      <w:bookmarkEnd w:id="73"/>
      <w:r>
        <w:rPr>
          <w:rFonts w:hint="eastAsia" w:ascii="仿宋" w:hAnsi="仿宋" w:eastAsia="仿宋" w:cs="仿宋_GB2312"/>
          <w:sz w:val="32"/>
          <w:szCs w:val="32"/>
        </w:rPr>
        <w:t>年末有在编教师6</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人，退休教师</w:t>
      </w:r>
      <w:r>
        <w:rPr>
          <w:rFonts w:hint="eastAsia" w:ascii="仿宋" w:hAnsi="仿宋" w:eastAsia="仿宋" w:cs="仿宋_GB2312"/>
          <w:sz w:val="32"/>
          <w:szCs w:val="32"/>
          <w:lang w:val="en-US" w:eastAsia="zh-CN"/>
        </w:rPr>
        <w:t>51</w:t>
      </w:r>
      <w:r>
        <w:rPr>
          <w:rFonts w:hint="eastAsia" w:ascii="仿宋" w:hAnsi="仿宋" w:eastAsia="仿宋" w:cs="仿宋_GB2312"/>
          <w:sz w:val="32"/>
          <w:szCs w:val="32"/>
        </w:rPr>
        <w:t>人，在校学生5</w:t>
      </w:r>
      <w:r>
        <w:rPr>
          <w:rFonts w:hint="eastAsia" w:ascii="仿宋" w:hAnsi="仿宋" w:eastAsia="仿宋" w:cs="仿宋_GB2312"/>
          <w:sz w:val="32"/>
          <w:szCs w:val="32"/>
          <w:lang w:val="en-US" w:eastAsia="zh-CN"/>
        </w:rPr>
        <w:t>36</w:t>
      </w:r>
      <w:r>
        <w:rPr>
          <w:rFonts w:hint="eastAsia" w:ascii="仿宋" w:hAnsi="仿宋" w:eastAsia="仿宋" w:cs="仿宋_GB2312"/>
          <w:sz w:val="32"/>
          <w:szCs w:val="32"/>
        </w:rPr>
        <w:t>人，有2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个教学班。学校设有校长办、行政办、党务办、后勤处、教务处、团队室、广播室。</w:t>
      </w:r>
    </w:p>
    <w:p>
      <w:pPr>
        <w:spacing w:line="580" w:lineRule="exact"/>
        <w:rPr>
          <w:rFonts w:ascii="仿宋" w:hAnsi="仿宋" w:eastAsia="仿宋" w:cs="仿宋_GB2312"/>
          <w:sz w:val="32"/>
          <w:szCs w:val="32"/>
        </w:rPr>
      </w:pPr>
      <w:r>
        <w:rPr>
          <w:rFonts w:ascii="仿宋" w:hAnsi="仿宋" w:eastAsia="仿宋" w:cs="仿宋_GB2312"/>
          <w:sz w:val="32"/>
          <w:szCs w:val="32"/>
        </w:rPr>
        <w:t>（二）机构职能。</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1．贯彻执行党和国家的教育工作方针、政策。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2．组织和管理学校教学及日常工作。</w:t>
      </w:r>
    </w:p>
    <w:p>
      <w:pPr>
        <w:spacing w:line="580" w:lineRule="exact"/>
        <w:ind w:firstLine="640" w:firstLineChars="200"/>
        <w:rPr>
          <w:rFonts w:ascii="仿宋" w:hAnsi="仿宋" w:eastAsia="仿宋" w:cs="仿宋_GB2312"/>
          <w:color w:val="FF0000"/>
          <w:sz w:val="32"/>
          <w:szCs w:val="32"/>
        </w:rPr>
      </w:pPr>
      <w:r>
        <w:rPr>
          <w:rFonts w:hint="eastAsia" w:ascii="仿宋" w:hAnsi="仿宋" w:eastAsia="仿宋" w:cs="仿宋_GB2312"/>
          <w:sz w:val="32"/>
          <w:szCs w:val="32"/>
        </w:rPr>
        <w:t>3. 承办县教科局交办的其它事项。</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年度</w:t>
      </w:r>
      <w:r>
        <w:rPr>
          <w:rFonts w:hint="eastAsia" w:ascii="仿宋" w:hAnsi="仿宋" w:eastAsia="仿宋" w:cs="仿宋_GB2312"/>
          <w:sz w:val="32"/>
          <w:szCs w:val="32"/>
          <w:lang w:eastAsia="zh-CN"/>
        </w:rPr>
        <w:t>七里</w:t>
      </w:r>
      <w:r>
        <w:rPr>
          <w:rFonts w:hint="eastAsia" w:ascii="仿宋" w:hAnsi="仿宋" w:eastAsia="仿宋" w:cs="仿宋_GB2312"/>
          <w:sz w:val="32"/>
          <w:szCs w:val="32"/>
        </w:rPr>
        <w:t>学校财政拨款收入总计</w:t>
      </w:r>
      <w:r>
        <w:rPr>
          <w:rFonts w:hint="eastAsia" w:ascii="仿宋" w:hAnsi="仿宋" w:eastAsia="仿宋" w:cs="仿宋_GB2312"/>
          <w:sz w:val="32"/>
          <w:szCs w:val="32"/>
          <w:lang w:val="en-US" w:eastAsia="zh-CN"/>
        </w:rPr>
        <w:t>1133.94</w:t>
      </w:r>
      <w:r>
        <w:rPr>
          <w:rFonts w:hint="eastAsia" w:ascii="仿宋" w:hAnsi="仿宋" w:eastAsia="仿宋" w:cs="仿宋_GB2312"/>
          <w:sz w:val="32"/>
          <w:szCs w:val="32"/>
        </w:rPr>
        <w:t>万元。(其中一般公共预算财政拨款</w:t>
      </w:r>
      <w:r>
        <w:rPr>
          <w:rFonts w:hint="eastAsia" w:ascii="仿宋" w:hAnsi="仿宋" w:eastAsia="仿宋" w:cs="仿宋_GB2312"/>
          <w:sz w:val="32"/>
          <w:szCs w:val="32"/>
          <w:lang w:val="en-US" w:eastAsia="zh-CN"/>
        </w:rPr>
        <w:t>1133.94</w:t>
      </w:r>
      <w:r>
        <w:rPr>
          <w:rFonts w:hint="eastAsia" w:ascii="仿宋" w:hAnsi="仿宋" w:eastAsia="仿宋" w:cs="仿宋_GB2312"/>
          <w:sz w:val="32"/>
          <w:szCs w:val="32"/>
        </w:rPr>
        <w:t>万元）</w:t>
      </w:r>
    </w:p>
    <w:p>
      <w:pPr>
        <w:numPr>
          <w:ilvl w:val="0"/>
          <w:numId w:val="9"/>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spacing w:line="580" w:lineRule="exact"/>
        <w:rPr>
          <w:rFonts w:ascii="仿宋" w:hAnsi="仿宋" w:eastAsia="仿宋" w:cs="仿宋_GB2312"/>
          <w:sz w:val="32"/>
          <w:szCs w:val="32"/>
        </w:rPr>
      </w:pPr>
      <w:r>
        <w:rPr>
          <w:rFonts w:hint="eastAsia" w:ascii="仿宋" w:hAnsi="仿宋" w:eastAsia="仿宋" w:cs="仿宋_GB2312"/>
          <w:sz w:val="32"/>
          <w:szCs w:val="32"/>
        </w:rPr>
        <w:t>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年度</w:t>
      </w:r>
      <w:r>
        <w:rPr>
          <w:rFonts w:hint="eastAsia" w:ascii="仿宋" w:hAnsi="仿宋" w:eastAsia="仿宋" w:cs="仿宋_GB2312"/>
          <w:sz w:val="32"/>
          <w:szCs w:val="32"/>
          <w:lang w:eastAsia="zh-CN"/>
        </w:rPr>
        <w:t>七里</w:t>
      </w:r>
      <w:r>
        <w:rPr>
          <w:rFonts w:hint="eastAsia" w:ascii="仿宋" w:hAnsi="仿宋" w:eastAsia="仿宋" w:cs="仿宋_GB2312"/>
          <w:sz w:val="32"/>
          <w:szCs w:val="32"/>
        </w:rPr>
        <w:t>学校财政拨款支出总计</w:t>
      </w:r>
      <w:r>
        <w:rPr>
          <w:rFonts w:hint="eastAsia" w:ascii="仿宋" w:hAnsi="仿宋" w:eastAsia="仿宋" w:cs="仿宋_GB2312"/>
          <w:sz w:val="32"/>
          <w:szCs w:val="32"/>
          <w:lang w:val="en-US" w:eastAsia="zh-CN"/>
        </w:rPr>
        <w:t>1133.94</w:t>
      </w:r>
      <w:r>
        <w:rPr>
          <w:rFonts w:hint="eastAsia" w:ascii="仿宋" w:hAnsi="仿宋" w:eastAsia="仿宋" w:cs="仿宋_GB2312"/>
          <w:sz w:val="32"/>
          <w:szCs w:val="32"/>
        </w:rPr>
        <w:t>万元。（其中教育支出</w:t>
      </w:r>
      <w:r>
        <w:rPr>
          <w:rFonts w:hint="eastAsia" w:ascii="仿宋" w:hAnsi="仿宋" w:eastAsia="仿宋" w:cs="仿宋_GB2312"/>
          <w:sz w:val="32"/>
          <w:szCs w:val="32"/>
          <w:lang w:val="en-US" w:eastAsia="zh-CN"/>
        </w:rPr>
        <w:t>949.46</w:t>
      </w:r>
      <w:r>
        <w:rPr>
          <w:rFonts w:hint="eastAsia" w:ascii="仿宋" w:hAnsi="仿宋" w:eastAsia="仿宋" w:cs="仿宋_GB2312"/>
          <w:sz w:val="32"/>
          <w:szCs w:val="32"/>
        </w:rPr>
        <w:t>万元；社会保障和就业支出</w:t>
      </w:r>
      <w:r>
        <w:rPr>
          <w:rFonts w:hint="eastAsia" w:ascii="仿宋" w:hAnsi="仿宋" w:eastAsia="仿宋" w:cs="仿宋_GB2312"/>
          <w:sz w:val="32"/>
          <w:szCs w:val="32"/>
          <w:lang w:val="en-US" w:eastAsia="zh-CN"/>
        </w:rPr>
        <w:t>90.93</w:t>
      </w:r>
      <w:r>
        <w:rPr>
          <w:rFonts w:hint="eastAsia" w:ascii="仿宋" w:hAnsi="仿宋" w:eastAsia="仿宋" w:cs="仿宋_GB2312"/>
          <w:sz w:val="32"/>
          <w:szCs w:val="32"/>
        </w:rPr>
        <w:t>万元；医疗卫生与计划生育支出</w:t>
      </w:r>
      <w:r>
        <w:rPr>
          <w:rFonts w:hint="eastAsia" w:ascii="仿宋" w:hAnsi="仿宋" w:eastAsia="仿宋" w:cs="仿宋_GB2312"/>
          <w:sz w:val="32"/>
          <w:szCs w:val="32"/>
          <w:lang w:val="en-US" w:eastAsia="zh-CN"/>
        </w:rPr>
        <w:t>32.87</w:t>
      </w:r>
      <w:r>
        <w:rPr>
          <w:rFonts w:hint="eastAsia" w:ascii="仿宋" w:hAnsi="仿宋" w:eastAsia="仿宋" w:cs="仿宋_GB2312"/>
          <w:sz w:val="32"/>
          <w:szCs w:val="32"/>
        </w:rPr>
        <w:t>万元；住房保障支出</w:t>
      </w:r>
      <w:r>
        <w:rPr>
          <w:rFonts w:hint="eastAsia" w:ascii="仿宋" w:hAnsi="仿宋" w:eastAsia="仿宋" w:cs="仿宋_GB2312"/>
          <w:sz w:val="32"/>
          <w:szCs w:val="32"/>
          <w:lang w:val="en-US" w:eastAsia="zh-CN"/>
        </w:rPr>
        <w:t>60.68</w:t>
      </w:r>
      <w:r>
        <w:rPr>
          <w:rFonts w:hint="eastAsia" w:ascii="仿宋" w:hAnsi="仿宋" w:eastAsia="仿宋" w:cs="仿宋_GB2312"/>
          <w:sz w:val="32"/>
          <w:szCs w:val="32"/>
        </w:rPr>
        <w:t>万元）</w:t>
      </w:r>
    </w:p>
    <w:p>
      <w:pPr>
        <w:numPr>
          <w:ilvl w:val="0"/>
          <w:numId w:val="8"/>
        </w:numPr>
        <w:spacing w:line="580" w:lineRule="exact"/>
        <w:ind w:firstLine="640" w:firstLineChars="200"/>
        <w:rPr>
          <w:rFonts w:ascii="黑体" w:hAnsi="黑体" w:eastAsia="黑体" w:cs="黑体"/>
          <w:sz w:val="32"/>
          <w:szCs w:val="32"/>
        </w:rPr>
      </w:pPr>
      <w:r>
        <w:rPr>
          <w:rFonts w:ascii="黑体" w:hAnsi="黑体" w:eastAsia="黑体" w:cs="黑体"/>
          <w:sz w:val="32"/>
          <w:szCs w:val="32"/>
        </w:rPr>
        <w:t>部门整体预算绩效管理情况</w:t>
      </w:r>
    </w:p>
    <w:p>
      <w:pPr>
        <w:spacing w:line="580" w:lineRule="exact"/>
        <w:ind w:left="420" w:left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绩效评价目的</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本次绩效评价的目的是为了全面分析和综合评价我校本级财政预算资金的使用管理情况，为切实提高财政资金使用效益，强化预算支出的责任和效率提供参考依据。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绩效评价工作过程，主要包括前期准备、组织实施和分析评价等内容</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们按照县财政局绩效评价规程要求，第一阶段为前期准备：由我校资金财务处牵头，组织有关业务处室制定了详细的工作方案，明确处室责任，确定评价指标细则；第二阶段为处室自评：根据上一阶段任务布置，各处室按照要求展开自评工作，并将评价结果报资金财务处；第三阶段为定性终评，并出具评价报告：资金财务处在处室自评的基础上，查阅相关文件资料和财务凭证，对收集资料进行定量定性分析，综合评议后形成评价结论，出具绩效评价报告。</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我校预算安排的基本支出保障了我校正常的工作运转，我校在执行上是严格遵守各项财经纪律的，在项目资金的使用上也是放的心的。</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 保障经费的管控与使用。保障经费是保障学校正常运转，开展各项教学任务，中心学校根据上级有关文件精神，严格把握标准，规范支付行为。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 资助学生经费。201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年我校在对学生营养餐补助和扶贫对象资助中投入大量经费，我校学生享受国家营养餐补助的学生共</w:t>
      </w:r>
      <w:r>
        <w:rPr>
          <w:rFonts w:hint="eastAsia" w:ascii="仿宋" w:hAnsi="仿宋" w:eastAsia="仿宋" w:cs="仿宋_GB2312"/>
          <w:color w:val="auto"/>
          <w:sz w:val="32"/>
          <w:szCs w:val="32"/>
        </w:rPr>
        <w:t>430</w:t>
      </w:r>
      <w:r>
        <w:rPr>
          <w:rFonts w:hint="eastAsia" w:ascii="仿宋" w:hAnsi="仿宋" w:eastAsia="仿宋" w:cs="仿宋_GB2312"/>
          <w:sz w:val="32"/>
          <w:szCs w:val="32"/>
        </w:rPr>
        <w:t>人；享受扶贫资助的学生（幼儿）共</w:t>
      </w:r>
      <w:r>
        <w:rPr>
          <w:rFonts w:hint="eastAsia" w:ascii="仿宋" w:hAnsi="仿宋" w:eastAsia="仿宋" w:cs="仿宋_GB2312"/>
          <w:color w:val="auto"/>
          <w:sz w:val="32"/>
          <w:szCs w:val="32"/>
          <w:lang w:val="en-US" w:eastAsia="zh-CN"/>
        </w:rPr>
        <w:t>706</w:t>
      </w:r>
      <w:r>
        <w:rPr>
          <w:rFonts w:hint="eastAsia" w:ascii="仿宋" w:hAnsi="仿宋" w:eastAsia="仿宋" w:cs="仿宋_GB2312"/>
          <w:sz w:val="32"/>
          <w:szCs w:val="32"/>
        </w:rPr>
        <w:t>人次，其中幼儿一年</w:t>
      </w:r>
      <w:r>
        <w:rPr>
          <w:rFonts w:hint="eastAsia" w:ascii="仿宋" w:hAnsi="仿宋" w:eastAsia="仿宋" w:cs="仿宋_GB2312"/>
          <w:color w:val="000000" w:themeColor="text1"/>
          <w:sz w:val="32"/>
          <w:szCs w:val="32"/>
          <w14:textFill>
            <w14:solidFill>
              <w14:schemeClr w14:val="tx1"/>
            </w14:solidFill>
          </w14:textFill>
        </w:rPr>
        <w:t>600</w:t>
      </w:r>
      <w:r>
        <w:rPr>
          <w:rFonts w:hint="eastAsia" w:ascii="仿宋" w:hAnsi="仿宋" w:eastAsia="仿宋" w:cs="仿宋_GB2312"/>
          <w:sz w:val="32"/>
          <w:szCs w:val="32"/>
        </w:rPr>
        <w:t>元，小学贫困住宿生</w:t>
      </w:r>
      <w:r>
        <w:rPr>
          <w:rFonts w:hint="eastAsia" w:ascii="仿宋" w:hAnsi="仿宋" w:eastAsia="仿宋" w:cs="仿宋_GB2312"/>
          <w:color w:val="000000" w:themeColor="text1"/>
          <w:sz w:val="32"/>
          <w:szCs w:val="32"/>
          <w14:textFill>
            <w14:solidFill>
              <w14:schemeClr w14:val="tx1"/>
            </w14:solidFill>
          </w14:textFill>
        </w:rPr>
        <w:t>100</w:t>
      </w:r>
      <w:r>
        <w:rPr>
          <w:rFonts w:hint="eastAsia" w:ascii="仿宋" w:hAnsi="仿宋" w:eastAsia="仿宋" w:cs="仿宋_GB2312"/>
          <w:color w:val="000000" w:themeColor="text1"/>
          <w:sz w:val="32"/>
          <w:szCs w:val="32"/>
          <w:lang w:val="en-US" w:eastAsia="zh-CN"/>
          <w14:textFill>
            <w14:solidFill>
              <w14:schemeClr w14:val="tx1"/>
            </w14:solidFill>
          </w14:textFill>
        </w:rPr>
        <w:t>0</w:t>
      </w:r>
      <w:r>
        <w:rPr>
          <w:rFonts w:hint="eastAsia" w:ascii="仿宋" w:hAnsi="仿宋" w:eastAsia="仿宋" w:cs="仿宋_GB2312"/>
          <w:sz w:val="32"/>
          <w:szCs w:val="32"/>
        </w:rPr>
        <w:t>元，初中贫困住宿生1250元，保障了贫困家庭的基本支出，得到了广大群众的好评。</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 强化管理，增强了培训实效。201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年全年教师培训共</w:t>
      </w:r>
      <w:r>
        <w:rPr>
          <w:rFonts w:hint="eastAsia" w:ascii="仿宋" w:hAnsi="仿宋" w:eastAsia="仿宋" w:cs="仿宋_GB2312"/>
          <w:color w:val="auto"/>
          <w:sz w:val="32"/>
          <w:szCs w:val="32"/>
          <w:lang w:val="en-US" w:eastAsia="zh-CN"/>
        </w:rPr>
        <w:t>214</w:t>
      </w:r>
      <w:r>
        <w:rPr>
          <w:rFonts w:hint="eastAsia" w:ascii="仿宋" w:hAnsi="仿宋" w:eastAsia="仿宋" w:cs="仿宋_GB2312"/>
          <w:sz w:val="32"/>
          <w:szCs w:val="32"/>
        </w:rPr>
        <w:t>人次，其中参加省级培训</w:t>
      </w:r>
      <w:r>
        <w:rPr>
          <w:rFonts w:hint="eastAsia" w:ascii="仿宋" w:hAnsi="仿宋" w:eastAsia="仿宋" w:cs="仿宋_GB2312"/>
          <w:color w:val="auto"/>
          <w:sz w:val="32"/>
          <w:szCs w:val="32"/>
          <w:lang w:val="en-US" w:eastAsia="zh-CN"/>
        </w:rPr>
        <w:t>8</w:t>
      </w:r>
      <w:r>
        <w:rPr>
          <w:rFonts w:hint="eastAsia" w:ascii="仿宋" w:hAnsi="仿宋" w:eastAsia="仿宋" w:cs="仿宋_GB2312"/>
          <w:sz w:val="32"/>
          <w:szCs w:val="32"/>
        </w:rPr>
        <w:t>人次，市县级培训</w:t>
      </w:r>
      <w:r>
        <w:rPr>
          <w:rFonts w:hint="eastAsia" w:ascii="仿宋" w:hAnsi="仿宋" w:eastAsia="仿宋" w:cs="仿宋_GB2312"/>
          <w:b w:val="0"/>
          <w:bCs w:val="0"/>
          <w:color w:val="auto"/>
          <w:sz w:val="32"/>
          <w:szCs w:val="32"/>
          <w:lang w:val="en-US" w:eastAsia="zh-CN"/>
        </w:rPr>
        <w:t>18</w:t>
      </w:r>
      <w:r>
        <w:rPr>
          <w:rFonts w:hint="eastAsia" w:ascii="仿宋" w:hAnsi="仿宋" w:eastAsia="仿宋" w:cs="仿宋_GB2312"/>
          <w:sz w:val="32"/>
          <w:szCs w:val="32"/>
        </w:rPr>
        <w:t>人次，校本研训</w:t>
      </w:r>
      <w:r>
        <w:rPr>
          <w:rFonts w:hint="eastAsia" w:ascii="仿宋" w:hAnsi="仿宋" w:eastAsia="仿宋" w:cs="仿宋_GB2312"/>
          <w:color w:val="auto"/>
          <w:sz w:val="32"/>
          <w:szCs w:val="32"/>
          <w:lang w:val="en-US" w:eastAsia="zh-CN"/>
        </w:rPr>
        <w:t>188</w:t>
      </w:r>
      <w:r>
        <w:rPr>
          <w:rFonts w:hint="eastAsia" w:ascii="仿宋" w:hAnsi="仿宋" w:eastAsia="仿宋" w:cs="仿宋_GB2312"/>
          <w:sz w:val="32"/>
          <w:szCs w:val="32"/>
        </w:rPr>
        <w:t>人次。</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 资金监管常态化。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内部成立经费审计小组，对保障经费及专项经费独立审核，学校每次报账都需审计小组把关签字，方可报账。</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六、存在的主要问题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1.预算编制的合理性有待提高。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z w:val="32"/>
          <w:szCs w:val="32"/>
          <w:lang w:val="en-US" w:eastAsia="zh-CN"/>
        </w:rPr>
        <w:t>需要加大培训，很多计算机操作不会</w:t>
      </w:r>
      <w:r>
        <w:rPr>
          <w:rFonts w:hint="eastAsia"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color w:val="FF0000"/>
          <w:sz w:val="32"/>
          <w:szCs w:val="32"/>
        </w:rPr>
      </w:pPr>
    </w:p>
    <w:p>
      <w:pPr>
        <w:spacing w:line="580" w:lineRule="exact"/>
        <w:ind w:firstLine="640" w:firstLineChars="200"/>
        <w:rPr>
          <w:rFonts w:ascii="仿宋" w:hAnsi="仿宋" w:eastAsia="仿宋" w:cs="仿宋_GB2312"/>
          <w:color w:val="FF0000"/>
          <w:sz w:val="32"/>
          <w:szCs w:val="32"/>
        </w:rPr>
      </w:pPr>
    </w:p>
    <w:p>
      <w:pPr>
        <w:spacing w:line="580" w:lineRule="exact"/>
        <w:ind w:firstLine="640" w:firstLineChars="200"/>
        <w:rPr>
          <w:rFonts w:ascii="仿宋" w:hAnsi="仿宋" w:eastAsia="仿宋" w:cs="仿宋_GB2312"/>
          <w:color w:val="FF0000"/>
          <w:sz w:val="32"/>
          <w:szCs w:val="32"/>
        </w:rPr>
      </w:pPr>
    </w:p>
    <w:p>
      <w:pPr>
        <w:spacing w:line="580" w:lineRule="exact"/>
        <w:ind w:firstLine="640" w:firstLineChars="200"/>
        <w:rPr>
          <w:rFonts w:ascii="仿宋" w:hAnsi="仿宋" w:eastAsia="仿宋" w:cs="仿宋_GB2312"/>
          <w:color w:val="FF0000"/>
          <w:sz w:val="32"/>
          <w:szCs w:val="32"/>
        </w:rPr>
      </w:pPr>
    </w:p>
    <w:p>
      <w:pPr>
        <w:spacing w:line="580" w:lineRule="exact"/>
        <w:ind w:firstLine="640" w:firstLineChars="200"/>
        <w:rPr>
          <w:rFonts w:ascii="仿宋" w:hAnsi="仿宋" w:eastAsia="仿宋" w:cs="仿宋_GB2312"/>
          <w:color w:val="FF0000"/>
          <w:sz w:val="32"/>
          <w:szCs w:val="32"/>
        </w:rPr>
      </w:pPr>
    </w:p>
    <w:p>
      <w:pPr>
        <w:pStyle w:val="3"/>
        <w:rPr>
          <w:rStyle w:val="24"/>
          <w:rFonts w:ascii="仿宋" w:hAnsi="仿宋" w:eastAsia="仿宋"/>
          <w:b w:val="0"/>
          <w:bCs w:val="0"/>
          <w:sz w:val="32"/>
          <w:szCs w:val="32"/>
        </w:rPr>
      </w:pPr>
      <w:bookmarkStart w:id="58" w:name="_Toc15396617"/>
      <w:r>
        <w:rPr>
          <w:rStyle w:val="24"/>
          <w:rFonts w:hint="eastAsia" w:ascii="仿宋" w:hAnsi="仿宋" w:eastAsia="仿宋"/>
          <w:b w:val="0"/>
          <w:bCs w:val="0"/>
          <w:sz w:val="32"/>
          <w:szCs w:val="32"/>
        </w:rPr>
        <w:t>附件2</w:t>
      </w:r>
      <w:bookmarkEnd w:id="58"/>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w:t>
      </w:r>
      <w:r>
        <w:rPr>
          <w:rFonts w:hint="eastAsia" w:ascii="黑体" w:hAnsi="黑体" w:eastAsia="黑体" w:cs="方正小标宋简体"/>
          <w:sz w:val="44"/>
          <w:szCs w:val="44"/>
          <w:lang w:val="en-US" w:eastAsia="zh-CN"/>
        </w:rPr>
        <w:t>9</w:t>
      </w:r>
      <w:r>
        <w:rPr>
          <w:rFonts w:hint="eastAsia" w:ascii="黑体" w:hAnsi="黑体" w:eastAsia="黑体" w:cs="方正小标宋简体"/>
          <w:sz w:val="44"/>
          <w:szCs w:val="44"/>
        </w:rPr>
        <w:t>年XXX项目支出绩效评价报告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项目评价实施方案情况（包括选点、评价指标、评价方法、基础数据表等情况）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项目绩效评价总体结论（包括项目评价得分表）</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必要性和可行性分析（包括政策依据和政策完善，政策和需求的吻合程度分析），绩效目标设置情况（包括绩效目标设置的明确性和合理性）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资金分配情况（资金分配管理的科学合理性）资，金使用情况（项目、资金管理的科学规范性）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项目目标完成情况（数量、质量、时效、成本），项目效益情况（经济效益、项目社会效益、生态效益、可持续效益、公平性、资金使用效率、受益群体满意度等）。</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80" w:lineRule="exact"/>
        <w:ind w:firstLine="640" w:firstLineChars="200"/>
        <w:rPr>
          <w:rStyle w:val="24"/>
          <w:rFonts w:ascii="仿宋" w:hAnsi="仿宋" w:eastAsia="仿宋" w:cs="仿宋_GB2312"/>
          <w:b w:val="0"/>
          <w:bCs w:val="0"/>
          <w:kern w:val="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600" w:lineRule="exact"/>
        <w:jc w:val="center"/>
        <w:outlineLvl w:val="0"/>
        <w:rPr>
          <w:rStyle w:val="24"/>
          <w:rFonts w:ascii="黑体" w:hAnsi="黑体" w:eastAsia="黑体"/>
          <w:b w:val="0"/>
        </w:rPr>
      </w:pPr>
      <w:bookmarkStart w:id="59"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4"/>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1"/>
    </w:p>
    <w:p>
      <w:pPr>
        <w:pStyle w:val="3"/>
        <w:rPr>
          <w:rFonts w:ascii="仿宋" w:hAnsi="仿宋" w:eastAsia="仿宋"/>
          <w:color w:val="000000"/>
        </w:rPr>
      </w:pPr>
      <w:bookmarkStart w:id="62"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2"/>
    </w:p>
    <w:p>
      <w:pPr>
        <w:pStyle w:val="3"/>
        <w:rPr>
          <w:rFonts w:ascii="仿宋" w:hAnsi="仿宋" w:eastAsia="仿宋"/>
          <w:b w:val="0"/>
          <w:color w:val="000000"/>
        </w:rPr>
      </w:pPr>
      <w:bookmarkStart w:id="63"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3"/>
    </w:p>
    <w:p>
      <w:pPr>
        <w:pStyle w:val="3"/>
        <w:rPr>
          <w:rFonts w:ascii="仿宋" w:hAnsi="仿宋" w:eastAsia="仿宋"/>
          <w:color w:val="000000"/>
        </w:rPr>
      </w:pPr>
      <w:bookmarkStart w:id="64"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4"/>
    </w:p>
    <w:p>
      <w:pPr>
        <w:pStyle w:val="3"/>
        <w:rPr>
          <w:rFonts w:ascii="仿宋" w:hAnsi="仿宋" w:eastAsia="仿宋"/>
          <w:color w:val="000000"/>
        </w:rPr>
      </w:pPr>
      <w:bookmarkStart w:id="65"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1"/>
    </w:p>
    <w:p>
      <w:pPr>
        <w:pStyle w:val="3"/>
        <w:rPr>
          <w:rFonts w:ascii="仿宋" w:hAnsi="仿宋" w:eastAsia="仿宋"/>
          <w:color w:val="000000" w:themeColor="text1"/>
          <w14:textFill>
            <w14:solidFill>
              <w14:schemeClr w14:val="tx1"/>
            </w14:solidFill>
          </w14:textFill>
        </w:rPr>
      </w:pPr>
      <w:bookmarkStart w:id="72"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4</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4252DE"/>
    <w:multiLevelType w:val="singleLevel"/>
    <w:tmpl w:val="CA4252DE"/>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52C2934"/>
    <w:multiLevelType w:val="singleLevel"/>
    <w:tmpl w:val="152C2934"/>
    <w:lvl w:ilvl="0" w:tentative="0">
      <w:start w:val="1"/>
      <w:numFmt w:val="decimal"/>
      <w:lvlText w:val="%1."/>
      <w:lvlJc w:val="left"/>
      <w:pPr>
        <w:tabs>
          <w:tab w:val="left" w:pos="312"/>
        </w:tabs>
      </w:pPr>
    </w:lvl>
  </w:abstractNum>
  <w:abstractNum w:abstractNumId="6">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7">
    <w:nsid w:val="405861CB"/>
    <w:multiLevelType w:val="singleLevel"/>
    <w:tmpl w:val="405861CB"/>
    <w:lvl w:ilvl="0" w:tentative="0">
      <w:start w:val="2"/>
      <w:numFmt w:val="chineseCounting"/>
      <w:suff w:val="nothing"/>
      <w:lvlText w:val="（%1）"/>
      <w:lvlJc w:val="left"/>
      <w:rPr>
        <w:rFonts w:hint="eastAsia"/>
      </w:rPr>
    </w:lvl>
  </w:abstractNum>
  <w:abstractNum w:abstractNumId="8">
    <w:nsid w:val="78590554"/>
    <w:multiLevelType w:val="singleLevel"/>
    <w:tmpl w:val="78590554"/>
    <w:lvl w:ilvl="0" w:tentative="0">
      <w:start w:val="1"/>
      <w:numFmt w:val="chineseCounting"/>
      <w:suff w:val="nothing"/>
      <w:lvlText w:val="%1、"/>
      <w:lvlJc w:val="left"/>
      <w:rPr>
        <w:rFonts w:hint="eastAsia"/>
      </w:r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C6C03"/>
    <w:rsid w:val="000D1267"/>
    <w:rsid w:val="000D1D50"/>
    <w:rsid w:val="000D5782"/>
    <w:rsid w:val="000E6613"/>
    <w:rsid w:val="000E7119"/>
    <w:rsid w:val="00114E9B"/>
    <w:rsid w:val="0013703F"/>
    <w:rsid w:val="0014729F"/>
    <w:rsid w:val="00157BAB"/>
    <w:rsid w:val="001654D1"/>
    <w:rsid w:val="0018106D"/>
    <w:rsid w:val="001877A7"/>
    <w:rsid w:val="00191536"/>
    <w:rsid w:val="00196687"/>
    <w:rsid w:val="001B05F7"/>
    <w:rsid w:val="001C0962"/>
    <w:rsid w:val="001D7531"/>
    <w:rsid w:val="001E737D"/>
    <w:rsid w:val="001F0592"/>
    <w:rsid w:val="001F7506"/>
    <w:rsid w:val="002006CD"/>
    <w:rsid w:val="00202B36"/>
    <w:rsid w:val="00204B7A"/>
    <w:rsid w:val="0021101A"/>
    <w:rsid w:val="00220536"/>
    <w:rsid w:val="00233F9D"/>
    <w:rsid w:val="00235629"/>
    <w:rsid w:val="00260C38"/>
    <w:rsid w:val="002616C0"/>
    <w:rsid w:val="002662AA"/>
    <w:rsid w:val="00280496"/>
    <w:rsid w:val="00295495"/>
    <w:rsid w:val="002B2613"/>
    <w:rsid w:val="002F1818"/>
    <w:rsid w:val="002F567B"/>
    <w:rsid w:val="003216A9"/>
    <w:rsid w:val="00367512"/>
    <w:rsid w:val="0037013F"/>
    <w:rsid w:val="00380C92"/>
    <w:rsid w:val="003A484F"/>
    <w:rsid w:val="003B0BE0"/>
    <w:rsid w:val="003B0C1B"/>
    <w:rsid w:val="003B67D5"/>
    <w:rsid w:val="003B688C"/>
    <w:rsid w:val="003C0291"/>
    <w:rsid w:val="003C39AE"/>
    <w:rsid w:val="003C7B60"/>
    <w:rsid w:val="003D1FB2"/>
    <w:rsid w:val="003D66DA"/>
    <w:rsid w:val="003E1310"/>
    <w:rsid w:val="003E5A78"/>
    <w:rsid w:val="003E6F55"/>
    <w:rsid w:val="003F6AAA"/>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52352"/>
    <w:rsid w:val="0066343B"/>
    <w:rsid w:val="00664777"/>
    <w:rsid w:val="006748A4"/>
    <w:rsid w:val="00674AB9"/>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017B7"/>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2405C"/>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34604"/>
    <w:rsid w:val="00A40A00"/>
    <w:rsid w:val="00A4142F"/>
    <w:rsid w:val="00A56DF2"/>
    <w:rsid w:val="00A67AB5"/>
    <w:rsid w:val="00A8734C"/>
    <w:rsid w:val="00A91760"/>
    <w:rsid w:val="00A93B00"/>
    <w:rsid w:val="00A93C21"/>
    <w:rsid w:val="00AC3BA4"/>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6656"/>
    <w:rsid w:val="00B77EA6"/>
    <w:rsid w:val="00B81598"/>
    <w:rsid w:val="00B841F1"/>
    <w:rsid w:val="00B944D6"/>
    <w:rsid w:val="00BB4DF0"/>
    <w:rsid w:val="00BC289F"/>
    <w:rsid w:val="00BC5361"/>
    <w:rsid w:val="00BC5460"/>
    <w:rsid w:val="00BC6B50"/>
    <w:rsid w:val="00BD0E25"/>
    <w:rsid w:val="00BF5BD6"/>
    <w:rsid w:val="00C03E31"/>
    <w:rsid w:val="00C32DDA"/>
    <w:rsid w:val="00C33E72"/>
    <w:rsid w:val="00C354B2"/>
    <w:rsid w:val="00C35554"/>
    <w:rsid w:val="00C42709"/>
    <w:rsid w:val="00C533CC"/>
    <w:rsid w:val="00C5751C"/>
    <w:rsid w:val="00C61BFC"/>
    <w:rsid w:val="00C62B85"/>
    <w:rsid w:val="00C65438"/>
    <w:rsid w:val="00C83D61"/>
    <w:rsid w:val="00C91CBB"/>
    <w:rsid w:val="00CA137D"/>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B4EC6"/>
    <w:rsid w:val="00DC410D"/>
    <w:rsid w:val="00DC68CA"/>
    <w:rsid w:val="00DC7CBA"/>
    <w:rsid w:val="00DD73B7"/>
    <w:rsid w:val="00DF28BC"/>
    <w:rsid w:val="00DF34B9"/>
    <w:rsid w:val="00E01053"/>
    <w:rsid w:val="00E07ACF"/>
    <w:rsid w:val="00E331A1"/>
    <w:rsid w:val="00E33202"/>
    <w:rsid w:val="00E336A9"/>
    <w:rsid w:val="00E461C5"/>
    <w:rsid w:val="00E50624"/>
    <w:rsid w:val="00E568DF"/>
    <w:rsid w:val="00E64269"/>
    <w:rsid w:val="00E82267"/>
    <w:rsid w:val="00EA010F"/>
    <w:rsid w:val="00ED1B63"/>
    <w:rsid w:val="00ED3C1F"/>
    <w:rsid w:val="00ED4085"/>
    <w:rsid w:val="00ED420E"/>
    <w:rsid w:val="00EE2F57"/>
    <w:rsid w:val="00EF1190"/>
    <w:rsid w:val="00EF4C34"/>
    <w:rsid w:val="00EF77C6"/>
    <w:rsid w:val="00F05438"/>
    <w:rsid w:val="00F1361C"/>
    <w:rsid w:val="00F160C7"/>
    <w:rsid w:val="00F36D8F"/>
    <w:rsid w:val="00F417B1"/>
    <w:rsid w:val="00F602DF"/>
    <w:rsid w:val="00F81FD9"/>
    <w:rsid w:val="00F841AA"/>
    <w:rsid w:val="00FA23E8"/>
    <w:rsid w:val="00FB74A6"/>
    <w:rsid w:val="00FD3CC1"/>
    <w:rsid w:val="00FF1E02"/>
    <w:rsid w:val="00FF30B4"/>
    <w:rsid w:val="012618DE"/>
    <w:rsid w:val="01BB32B1"/>
    <w:rsid w:val="027B4C25"/>
    <w:rsid w:val="02803E24"/>
    <w:rsid w:val="0293197B"/>
    <w:rsid w:val="02BF55B7"/>
    <w:rsid w:val="034B0208"/>
    <w:rsid w:val="03633E4F"/>
    <w:rsid w:val="039F3D51"/>
    <w:rsid w:val="03DB7ECD"/>
    <w:rsid w:val="040A0D51"/>
    <w:rsid w:val="040F3C49"/>
    <w:rsid w:val="04E76EC6"/>
    <w:rsid w:val="053C7616"/>
    <w:rsid w:val="055C78FF"/>
    <w:rsid w:val="06143C71"/>
    <w:rsid w:val="0696749E"/>
    <w:rsid w:val="07165351"/>
    <w:rsid w:val="079C4B36"/>
    <w:rsid w:val="085F1A12"/>
    <w:rsid w:val="08705D93"/>
    <w:rsid w:val="08D449AF"/>
    <w:rsid w:val="091B4C19"/>
    <w:rsid w:val="095E6477"/>
    <w:rsid w:val="0AEA15B6"/>
    <w:rsid w:val="0B933B87"/>
    <w:rsid w:val="0BB47D45"/>
    <w:rsid w:val="0CA746FC"/>
    <w:rsid w:val="0D970028"/>
    <w:rsid w:val="0D9D042B"/>
    <w:rsid w:val="0DA72269"/>
    <w:rsid w:val="0DC16801"/>
    <w:rsid w:val="0DD312F5"/>
    <w:rsid w:val="0E235D01"/>
    <w:rsid w:val="0EB82462"/>
    <w:rsid w:val="0F832BDC"/>
    <w:rsid w:val="10277F30"/>
    <w:rsid w:val="10886408"/>
    <w:rsid w:val="108D253F"/>
    <w:rsid w:val="10B71E70"/>
    <w:rsid w:val="10C055FF"/>
    <w:rsid w:val="111968C1"/>
    <w:rsid w:val="1251595E"/>
    <w:rsid w:val="125952CE"/>
    <w:rsid w:val="12B4183C"/>
    <w:rsid w:val="132E76CA"/>
    <w:rsid w:val="13E56830"/>
    <w:rsid w:val="14011135"/>
    <w:rsid w:val="14A30636"/>
    <w:rsid w:val="14CC7890"/>
    <w:rsid w:val="14D41F29"/>
    <w:rsid w:val="158F458A"/>
    <w:rsid w:val="159C197F"/>
    <w:rsid w:val="15D52F7D"/>
    <w:rsid w:val="15DA35B2"/>
    <w:rsid w:val="16603DBC"/>
    <w:rsid w:val="16757DB3"/>
    <w:rsid w:val="169C7F1D"/>
    <w:rsid w:val="16BB723D"/>
    <w:rsid w:val="16EF4898"/>
    <w:rsid w:val="18F90F57"/>
    <w:rsid w:val="19394230"/>
    <w:rsid w:val="19576AC8"/>
    <w:rsid w:val="197E7EC4"/>
    <w:rsid w:val="19854669"/>
    <w:rsid w:val="1A1C654D"/>
    <w:rsid w:val="1A4414B6"/>
    <w:rsid w:val="1A8704E5"/>
    <w:rsid w:val="1B947631"/>
    <w:rsid w:val="1BBD0E1E"/>
    <w:rsid w:val="1BD501CE"/>
    <w:rsid w:val="1C705561"/>
    <w:rsid w:val="1D7A3FBE"/>
    <w:rsid w:val="1E784551"/>
    <w:rsid w:val="1E8E376C"/>
    <w:rsid w:val="1EC517F3"/>
    <w:rsid w:val="1F170346"/>
    <w:rsid w:val="20385CDF"/>
    <w:rsid w:val="2057506C"/>
    <w:rsid w:val="208126FC"/>
    <w:rsid w:val="208974D0"/>
    <w:rsid w:val="20C254CF"/>
    <w:rsid w:val="20EC7AED"/>
    <w:rsid w:val="21224323"/>
    <w:rsid w:val="218E6C1E"/>
    <w:rsid w:val="21BE5422"/>
    <w:rsid w:val="21E032E9"/>
    <w:rsid w:val="21FA25B3"/>
    <w:rsid w:val="22EA76B5"/>
    <w:rsid w:val="23A655E3"/>
    <w:rsid w:val="2400359B"/>
    <w:rsid w:val="240371BF"/>
    <w:rsid w:val="242748B1"/>
    <w:rsid w:val="248160D6"/>
    <w:rsid w:val="249844F1"/>
    <w:rsid w:val="249A5317"/>
    <w:rsid w:val="24FE6256"/>
    <w:rsid w:val="25693FC0"/>
    <w:rsid w:val="25EE6D4A"/>
    <w:rsid w:val="25F34C77"/>
    <w:rsid w:val="26F9301D"/>
    <w:rsid w:val="270F2D7E"/>
    <w:rsid w:val="27485CD4"/>
    <w:rsid w:val="27D17DC7"/>
    <w:rsid w:val="28380977"/>
    <w:rsid w:val="283D1A0A"/>
    <w:rsid w:val="28997A92"/>
    <w:rsid w:val="29852B8C"/>
    <w:rsid w:val="29FD04D3"/>
    <w:rsid w:val="2AE951AC"/>
    <w:rsid w:val="2BC608F4"/>
    <w:rsid w:val="2C592CC9"/>
    <w:rsid w:val="2C870DFB"/>
    <w:rsid w:val="2CD522C5"/>
    <w:rsid w:val="2D042A55"/>
    <w:rsid w:val="2D600038"/>
    <w:rsid w:val="2D8A47B5"/>
    <w:rsid w:val="2D905213"/>
    <w:rsid w:val="2DB1625C"/>
    <w:rsid w:val="2DC03F5F"/>
    <w:rsid w:val="2E79448C"/>
    <w:rsid w:val="2ECD312B"/>
    <w:rsid w:val="2F38274E"/>
    <w:rsid w:val="2F540D00"/>
    <w:rsid w:val="2F77257E"/>
    <w:rsid w:val="2FAC5F69"/>
    <w:rsid w:val="2FC351FC"/>
    <w:rsid w:val="30256CC8"/>
    <w:rsid w:val="302D4109"/>
    <w:rsid w:val="3095723E"/>
    <w:rsid w:val="30C96881"/>
    <w:rsid w:val="313E2333"/>
    <w:rsid w:val="313F0AD7"/>
    <w:rsid w:val="31650E11"/>
    <w:rsid w:val="318D29FD"/>
    <w:rsid w:val="319F7F4E"/>
    <w:rsid w:val="32222D32"/>
    <w:rsid w:val="325D23AA"/>
    <w:rsid w:val="32A93A72"/>
    <w:rsid w:val="342316C3"/>
    <w:rsid w:val="34257CEA"/>
    <w:rsid w:val="34284AA8"/>
    <w:rsid w:val="36BC753A"/>
    <w:rsid w:val="370130D9"/>
    <w:rsid w:val="37135105"/>
    <w:rsid w:val="37595BB2"/>
    <w:rsid w:val="38972EA8"/>
    <w:rsid w:val="3945377D"/>
    <w:rsid w:val="394B43FD"/>
    <w:rsid w:val="39B97A49"/>
    <w:rsid w:val="3A803697"/>
    <w:rsid w:val="3AE72454"/>
    <w:rsid w:val="3B2970A0"/>
    <w:rsid w:val="3BB808CA"/>
    <w:rsid w:val="3C6057DD"/>
    <w:rsid w:val="3C8019C0"/>
    <w:rsid w:val="3C8101B2"/>
    <w:rsid w:val="3CFC24C9"/>
    <w:rsid w:val="3D3F15F9"/>
    <w:rsid w:val="3D6004E8"/>
    <w:rsid w:val="3DB65B3B"/>
    <w:rsid w:val="3F7C31CF"/>
    <w:rsid w:val="406D432D"/>
    <w:rsid w:val="41C149DF"/>
    <w:rsid w:val="42114BE8"/>
    <w:rsid w:val="42262E72"/>
    <w:rsid w:val="422E1714"/>
    <w:rsid w:val="42FD718C"/>
    <w:rsid w:val="430F2099"/>
    <w:rsid w:val="432A7BB7"/>
    <w:rsid w:val="43EE3321"/>
    <w:rsid w:val="43EF79CE"/>
    <w:rsid w:val="44700CF6"/>
    <w:rsid w:val="44824301"/>
    <w:rsid w:val="44966292"/>
    <w:rsid w:val="457B7AA8"/>
    <w:rsid w:val="466351B7"/>
    <w:rsid w:val="46A811AC"/>
    <w:rsid w:val="470839C3"/>
    <w:rsid w:val="47C82C67"/>
    <w:rsid w:val="4897255E"/>
    <w:rsid w:val="48DE6B25"/>
    <w:rsid w:val="48EA049A"/>
    <w:rsid w:val="49674C3D"/>
    <w:rsid w:val="499C1F4A"/>
    <w:rsid w:val="4A32137B"/>
    <w:rsid w:val="4A9B2C94"/>
    <w:rsid w:val="4AB02D45"/>
    <w:rsid w:val="4AC97753"/>
    <w:rsid w:val="4ACD454F"/>
    <w:rsid w:val="4B510FA5"/>
    <w:rsid w:val="4BA63DE2"/>
    <w:rsid w:val="4CC01C31"/>
    <w:rsid w:val="4CE94FF9"/>
    <w:rsid w:val="4D1146BF"/>
    <w:rsid w:val="4D407BCE"/>
    <w:rsid w:val="4DF22379"/>
    <w:rsid w:val="4E862E50"/>
    <w:rsid w:val="4EB83F27"/>
    <w:rsid w:val="4F2D19FE"/>
    <w:rsid w:val="4F7A1DA1"/>
    <w:rsid w:val="4FAA45C4"/>
    <w:rsid w:val="4FB81059"/>
    <w:rsid w:val="5024614C"/>
    <w:rsid w:val="505B1F6B"/>
    <w:rsid w:val="50C94ABE"/>
    <w:rsid w:val="50ED37CB"/>
    <w:rsid w:val="51F20678"/>
    <w:rsid w:val="526522F6"/>
    <w:rsid w:val="52B24B71"/>
    <w:rsid w:val="53112F99"/>
    <w:rsid w:val="538A484B"/>
    <w:rsid w:val="541E55C2"/>
    <w:rsid w:val="546C315D"/>
    <w:rsid w:val="55151BCC"/>
    <w:rsid w:val="55C84484"/>
    <w:rsid w:val="56971040"/>
    <w:rsid w:val="575462A9"/>
    <w:rsid w:val="5971735E"/>
    <w:rsid w:val="598346C1"/>
    <w:rsid w:val="59981C5B"/>
    <w:rsid w:val="59B84CCC"/>
    <w:rsid w:val="59CB02F5"/>
    <w:rsid w:val="5AA50E39"/>
    <w:rsid w:val="5AAB0523"/>
    <w:rsid w:val="5ADB462A"/>
    <w:rsid w:val="5B50152B"/>
    <w:rsid w:val="5BAF006B"/>
    <w:rsid w:val="5BC82CD4"/>
    <w:rsid w:val="5C0C151D"/>
    <w:rsid w:val="5C61116D"/>
    <w:rsid w:val="5C6A7109"/>
    <w:rsid w:val="5D1E7DB9"/>
    <w:rsid w:val="5E23541E"/>
    <w:rsid w:val="5E4B4568"/>
    <w:rsid w:val="5ED41A53"/>
    <w:rsid w:val="5F204253"/>
    <w:rsid w:val="5F814E00"/>
    <w:rsid w:val="5F8B5197"/>
    <w:rsid w:val="5FD86004"/>
    <w:rsid w:val="60011094"/>
    <w:rsid w:val="60902165"/>
    <w:rsid w:val="614972C0"/>
    <w:rsid w:val="62877711"/>
    <w:rsid w:val="63257F50"/>
    <w:rsid w:val="632A6959"/>
    <w:rsid w:val="640C6B3F"/>
    <w:rsid w:val="643E18F0"/>
    <w:rsid w:val="64A679FE"/>
    <w:rsid w:val="64B3535F"/>
    <w:rsid w:val="653179B9"/>
    <w:rsid w:val="665C0A27"/>
    <w:rsid w:val="66B86DFA"/>
    <w:rsid w:val="67043538"/>
    <w:rsid w:val="674A33C1"/>
    <w:rsid w:val="6755320A"/>
    <w:rsid w:val="6782736A"/>
    <w:rsid w:val="67C87A2C"/>
    <w:rsid w:val="67FB5A1D"/>
    <w:rsid w:val="684F4653"/>
    <w:rsid w:val="68C643D9"/>
    <w:rsid w:val="68FD50F0"/>
    <w:rsid w:val="69313F6A"/>
    <w:rsid w:val="69607149"/>
    <w:rsid w:val="69DF1599"/>
    <w:rsid w:val="69E93CF5"/>
    <w:rsid w:val="6AB564E9"/>
    <w:rsid w:val="6AB918A4"/>
    <w:rsid w:val="6BA906CF"/>
    <w:rsid w:val="6CA61637"/>
    <w:rsid w:val="6CD06141"/>
    <w:rsid w:val="6D7C369A"/>
    <w:rsid w:val="6DB62FBE"/>
    <w:rsid w:val="6DDF265F"/>
    <w:rsid w:val="6E4E10FD"/>
    <w:rsid w:val="6E5C0874"/>
    <w:rsid w:val="6EE3748D"/>
    <w:rsid w:val="700F30BC"/>
    <w:rsid w:val="704F3988"/>
    <w:rsid w:val="70F219DE"/>
    <w:rsid w:val="72051283"/>
    <w:rsid w:val="72250DAE"/>
    <w:rsid w:val="72F95656"/>
    <w:rsid w:val="731575F9"/>
    <w:rsid w:val="739A5A13"/>
    <w:rsid w:val="73A235D3"/>
    <w:rsid w:val="73DD2DFC"/>
    <w:rsid w:val="745B60D4"/>
    <w:rsid w:val="747024D4"/>
    <w:rsid w:val="74931FDE"/>
    <w:rsid w:val="74D641DA"/>
    <w:rsid w:val="758C4055"/>
    <w:rsid w:val="7693499A"/>
    <w:rsid w:val="77367570"/>
    <w:rsid w:val="7763417E"/>
    <w:rsid w:val="777643A1"/>
    <w:rsid w:val="77886B97"/>
    <w:rsid w:val="781F49E3"/>
    <w:rsid w:val="789E68A1"/>
    <w:rsid w:val="78B5476C"/>
    <w:rsid w:val="78BD3167"/>
    <w:rsid w:val="78E164BF"/>
    <w:rsid w:val="794D27E5"/>
    <w:rsid w:val="796E621C"/>
    <w:rsid w:val="798450A7"/>
    <w:rsid w:val="79C360ED"/>
    <w:rsid w:val="7A0B523B"/>
    <w:rsid w:val="7AAC05C4"/>
    <w:rsid w:val="7B6F6649"/>
    <w:rsid w:val="7C5B7A73"/>
    <w:rsid w:val="7C5E3F09"/>
    <w:rsid w:val="7CD501F3"/>
    <w:rsid w:val="7CEC7BDB"/>
    <w:rsid w:val="7D1A2928"/>
    <w:rsid w:val="7D436A2E"/>
    <w:rsid w:val="7D9A6F21"/>
    <w:rsid w:val="7F50759B"/>
    <w:rsid w:val="7F664C75"/>
    <w:rsid w:val="7F7F7C3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1.bin"/><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image" Target="media/image4.png"/><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2017&#24180;&#20915;&#31639;&#20844;&#24320;&#36164;&#26009;\2017&#24180;&#20915;&#31639;&#20844;&#24320;&#36164;&#26009;\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17&#24180;&#20915;&#31639;&#20844;&#24320;&#36164;&#26009;\2017&#24180;&#20915;&#31639;&#20844;&#24320;&#36164;&#26009;\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017&#24180;&#20915;&#31639;&#20844;&#24320;&#36164;&#26009;\2017&#24180;&#20915;&#31639;&#20844;&#24320;&#36164;&#26009;\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explosion val="0"/>
          <c:dPt>
            <c:idx val="0"/>
            <c:bubble3D val="0"/>
          </c:dPt>
          <c:dPt>
            <c:idx val="1"/>
            <c:bubble3D val="0"/>
          </c:dPt>
          <c:dPt>
            <c:idx val="2"/>
            <c:bubble3D val="0"/>
          </c:dPt>
          <c:dPt>
            <c:idx val="3"/>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83.58</a:t>
                    </a:r>
                    <a:r>
                      <a:rPr altLang="en-US"/>
                      <a:t>%</a:t>
                    </a:r>
                    <a:endParaRPr altLang="en-US"/>
                  </a:p>
                </c:rich>
              </c:tx>
              <c:dLblPos val="bestFit"/>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16.42%</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[Book1.xlsx]Sheet1!$A$3:$D$3</c:f>
              <c:strCache>
                <c:ptCount val="4"/>
                <c:pt idx="0">
                  <c:v>基本支出</c:v>
                </c:pt>
                <c:pt idx="1">
                  <c:v>项目支出</c:v>
                </c:pt>
                <c:pt idx="2">
                  <c:v>其他支出</c:v>
                </c:pt>
              </c:strCache>
            </c:strRef>
          </c:cat>
          <c:val>
            <c:numRef>
              <c:f>[Book1.xlsx]Sheet1!$A$4:$D$4</c:f>
              <c:numCache>
                <c:formatCode>General</c:formatCode>
                <c:ptCount val="4"/>
                <c:pt idx="0">
                  <c:v>1403.16</c:v>
                </c:pt>
                <c:pt idx="1">
                  <c:v>0</c:v>
                </c:pt>
                <c:pt idx="2">
                  <c:v>0</c:v>
                </c:pt>
              </c:numCache>
            </c:numRef>
          </c:val>
        </c:ser>
        <c:dLbls>
          <c:showLegendKey val="0"/>
          <c:showVal val="0"/>
          <c:showCatName val="0"/>
          <c:showSerName val="0"/>
          <c:showPercent val="1"/>
          <c:showBubbleSize val="0"/>
          <c:showLeaderLines val="1"/>
        </c:dLbls>
        <c:firstSliceAng val="0"/>
      </c:pieChart>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0634920634920629"/>
                  <c:y val="-0.0096618357487922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altLang="en-US"/>
                      <a:t>教育支出
</a:t>
                    </a:r>
                    <a:r>
                      <a:rPr lang="en-US" altLang="en-US"/>
                      <a:t>83.73</a:t>
                    </a:r>
                    <a:r>
                      <a:rPr altLang="en-US"/>
                      <a:t>%</a:t>
                    </a:r>
                    <a:endParaRPr altLang="en-US"/>
                  </a:p>
                </c:rich>
              </c:tx>
              <c:dLblPos val="ctr"/>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701126188519693"/>
                  <c:y val="0.0360866770863258"/>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altLang="en-US"/>
                      <a:t>社会保障支出
</a:t>
                    </a:r>
                    <a:r>
                      <a:rPr lang="en-US" altLang="zh-CN"/>
                      <a:t>8.02</a:t>
                    </a:r>
                    <a:r>
                      <a:rPr altLang="en-US"/>
                      <a:t>%</a:t>
                    </a:r>
                    <a:endParaRPr altLang="en-US"/>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altLang="en-US"/>
                      <a:t>医疗卫生支出
</a:t>
                    </a:r>
                    <a:r>
                      <a:rPr lang="en-US" altLang="zh-CN"/>
                      <a:t>2.9</a:t>
                    </a:r>
                    <a:r>
                      <a:rPr altLang="en-US"/>
                      <a:t>%</a:t>
                    </a:r>
                    <a:endParaRPr altLang="en-US"/>
                  </a:p>
                </c:rich>
              </c:tx>
              <c:dLblPos val="ctr"/>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149108777168728"/>
                  <c:y val="0.011037569598845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altLang="en-US"/>
                      <a:t>住房保障支出
</a:t>
                    </a:r>
                    <a:r>
                      <a:rPr lang="en-US" altLang="en-US"/>
                      <a:t>5.35</a:t>
                    </a:r>
                    <a:r>
                      <a:rPr altLang="en-US"/>
                      <a:t>%</a:t>
                    </a:r>
                    <a:endParaRPr altLang="en-US"/>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[Book1.xlsx]Sheet4!$A$2:$D$2</c:f>
              <c:strCache>
                <c:ptCount val="4"/>
                <c:pt idx="0">
                  <c:v>教育支出</c:v>
                </c:pt>
                <c:pt idx="1">
                  <c:v>社会保障支出</c:v>
                </c:pt>
                <c:pt idx="2">
                  <c:v>医疗卫生支出</c:v>
                </c:pt>
                <c:pt idx="3">
                  <c:v>住房保障支出</c:v>
                </c:pt>
              </c:strCache>
            </c:strRef>
          </c:cat>
          <c:val>
            <c:numRef>
              <c:f>[Book1.xlsx]Sheet4!$A$3:$D$3</c:f>
              <c:numCache>
                <c:formatCode>General</c:formatCode>
                <c:ptCount val="4"/>
                <c:pt idx="0">
                  <c:v>1164.35</c:v>
                </c:pt>
                <c:pt idx="1">
                  <c:v>125.18</c:v>
                </c:pt>
                <c:pt idx="2">
                  <c:v>40.69</c:v>
                </c:pt>
                <c:pt idx="3">
                  <c:v>72.94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layout>
                <c:manualLayout>
                  <c:x val="-0.0701126188519693"/>
                  <c:y val="0.036086677086325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[Book1.xlsx]Sheet4!$A$2:$C$2</c:f>
              <c:strCache>
                <c:ptCount val="3"/>
                <c:pt idx="0">
                  <c:v>因公出国（境）费</c:v>
                </c:pt>
                <c:pt idx="1">
                  <c:v>公车维护及运行费</c:v>
                </c:pt>
                <c:pt idx="2">
                  <c:v>公务接待费</c:v>
                </c:pt>
              </c:strCache>
            </c:strRef>
          </c:cat>
          <c:val>
            <c:numRef>
              <c:f>[Book1.xlsx]Sheet4!$A$3:$C$3</c:f>
              <c:numCache>
                <c:formatCode>General</c:formatCode>
                <c:ptCount val="3"/>
                <c:pt idx="0">
                  <c:v>0</c:v>
                </c:pt>
                <c:pt idx="1">
                  <c:v>0</c:v>
                </c:pt>
                <c:pt idx="2">
                  <c:v>3.51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23</Pages>
  <Words>1572</Words>
  <Characters>8966</Characters>
  <Lines>74</Lines>
  <Paragraphs>21</Paragraphs>
  <TotalTime>6</TotalTime>
  <ScaleCrop>false</ScaleCrop>
  <LinksUpToDate>false</LinksUpToDate>
  <CharactersWithSpaces>10517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2019-09-01T10:25:00Z</dcterms:created>
  <dc:creator>张彬茜</dc:creator>
  <cp:lastModifiedBy>asus</cp:lastModifiedBy>
  <cp:lastPrinted>2020-11-11T04:07:00Z</cp:lastPrinted>
  <dcterms:modified xsi:type="dcterms:W3CDTF">2020-11-12T00:52:25Z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