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8441"/>
      <w:bookmarkStart w:id="2" w:name="_Toc15377193"/>
      <w:bookmarkStart w:id="3" w:name="_Toc15396475"/>
      <w:bookmarkStart w:id="4" w:name="_Toc15396597"/>
      <w:bookmarkStart w:id="5" w:name="_Toc15377425"/>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96476"/>
      <w:bookmarkStart w:id="7" w:name="_Toc15378442"/>
      <w:bookmarkStart w:id="8" w:name="_Toc15377426"/>
      <w:bookmarkStart w:id="9" w:name="_Toc15377194"/>
      <w:bookmarkStart w:id="10" w:name="_Toc15396598"/>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宣汉县庙安乡中心校部门决算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r>
        <w:rPr>
          <w:rFonts w:hint="eastAsia" w:ascii="方正小标宋简体" w:hAnsi="宋体" w:eastAsia="方正小标宋简体"/>
          <w:color w:val="000000"/>
          <w:sz w:val="52"/>
          <w:szCs w:val="52"/>
        </w:rPr>
        <w:t>(范本)</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 xml:space="preserve">公开时间：2020年 </w:t>
      </w:r>
      <w:r>
        <w:rPr>
          <w:rFonts w:hint="eastAsia"/>
          <w:lang w:val="en-US" w:eastAsia="zh-CN"/>
        </w:rPr>
        <w:t>11</w:t>
      </w:r>
      <w:r>
        <w:rPr>
          <w:rFonts w:hint="eastAsia"/>
        </w:rPr>
        <w:t xml:space="preserve"> 月</w:t>
      </w:r>
      <w:r>
        <w:rPr>
          <w:rFonts w:hint="eastAsia"/>
          <w:lang w:val="en-US" w:eastAsia="zh-CN"/>
        </w:rPr>
        <w:t>12</w:t>
      </w:r>
      <w:r>
        <w:rPr>
          <w:rFonts w:hint="eastAsia"/>
        </w:rPr>
        <w:t xml:space="preserve"> 日</w:t>
      </w:r>
    </w:p>
    <w:p/>
    <w:p>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1"/>
        <w:adjustRightInd w:val="0"/>
        <w:snapToGrid w:val="0"/>
        <w:spacing w:line="440" w:lineRule="exact"/>
        <w:jc w:val="left"/>
        <w:rPr>
          <w:rFonts w:ascii="仿宋" w:hAnsi="仿宋" w:eastAsia="仿宋"/>
          <w:sz w:val="24"/>
        </w:rPr>
      </w:pPr>
      <w:r>
        <w:rPr>
          <w:rFonts w:hint="eastAsia"/>
          <w:sz w:val="24"/>
        </w:rPr>
        <w:t>一、基本职能及主要工作</w:t>
      </w:r>
    </w:p>
    <w:p>
      <w:pPr>
        <w:pStyle w:val="11"/>
        <w:adjustRightInd w:val="0"/>
        <w:snapToGrid w:val="0"/>
        <w:spacing w:line="440" w:lineRule="exact"/>
        <w:jc w:val="left"/>
        <w:rPr>
          <w:rFonts w:ascii="仿宋" w:hAnsi="仿宋" w:eastAsia="仿宋" w:cstheme="minorBidi"/>
          <w:sz w:val="24"/>
        </w:rPr>
      </w:pPr>
      <w:r>
        <w:rPr>
          <w:rFonts w:hint="eastAsia"/>
          <w:sz w:val="24"/>
        </w:rPr>
        <w:t>二、机构设置</w:t>
      </w:r>
    </w:p>
    <w:p>
      <w:pPr>
        <w:pStyle w:val="10"/>
        <w:adjustRightInd w:val="0"/>
        <w:snapToGrid w:val="0"/>
        <w:spacing w:before="0" w:line="440" w:lineRule="exact"/>
        <w:jc w:val="left"/>
        <w:rPr>
          <w:sz w:val="24"/>
          <w:szCs w:val="24"/>
        </w:rPr>
      </w:pPr>
      <w:r>
        <w:rPr>
          <w:rFonts w:hint="eastAsia"/>
          <w:sz w:val="24"/>
        </w:rPr>
        <w:t>第二部分度部门决算情况说明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七、</w:t>
      </w:r>
      <w:r>
        <w:rPr>
          <w:sz w:val="24"/>
        </w:rPr>
        <w:t>“</w:t>
      </w:r>
      <w:r>
        <w:rPr>
          <w:rFonts w:hint="eastAsia"/>
          <w:sz w:val="24"/>
        </w:rPr>
        <w:t>三公”经费财政拨款支出决算情况说明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1"/>
        <w:adjustRightInd w:val="0"/>
        <w:snapToGrid w:val="0"/>
        <w:spacing w:line="440" w:lineRule="exact"/>
        <w:ind w:leftChars="0"/>
        <w:jc w:val="left"/>
        <w:rPr>
          <w:rFonts w:ascii="仿宋" w:hAnsi="仿宋" w:eastAsia="仿宋"/>
          <w:sz w:val="24"/>
        </w:rPr>
      </w:pPr>
      <w:r>
        <w:rPr>
          <w:rFonts w:hint="eastAsia" w:ascii="仿宋" w:hAnsi="仿宋" w:eastAsia="仿宋"/>
          <w:sz w:val="24"/>
        </w:rPr>
        <w:t>九、</w:t>
      </w:r>
      <w:r>
        <w:rPr>
          <w:sz w:val="24"/>
        </w:rPr>
        <w:t xml:space="preserve"> 国</w:t>
      </w:r>
      <w:r>
        <w:rPr>
          <w:rFonts w:hint="eastAsia"/>
          <w:sz w:val="24"/>
        </w:rPr>
        <w:t>有资本经营预算支出决算情况说明</w:t>
      </w:r>
    </w:p>
    <w:p>
      <w:pPr>
        <w:adjustRightInd w:val="0"/>
        <w:snapToGrid w:val="0"/>
        <w:spacing w:line="440" w:lineRule="exact"/>
        <w:ind w:firstLine="480" w:firstLineChars="200"/>
        <w:jc w:val="left"/>
        <w:rPr>
          <w:rFonts w:ascii="仿宋" w:hAnsi="仿宋" w:eastAsia="仿宋" w:cstheme="minorBidi"/>
          <w:sz w:val="24"/>
        </w:rPr>
      </w:pPr>
      <w:r>
        <w:rPr>
          <w:rStyle w:val="15"/>
          <w:rFonts w:hint="eastAsia" w:ascii="仿宋" w:hAnsi="仿宋" w:eastAsia="仿宋"/>
          <w:color w:val="000000" w:themeColor="text1"/>
          <w:sz w:val="24"/>
          <w:u w:val="none"/>
        </w:rPr>
        <w:t>十、</w:t>
      </w:r>
      <w:r>
        <w:rPr>
          <w:rFonts w:hint="eastAsia"/>
          <w:sz w:val="24"/>
        </w:rPr>
        <w:t>其他重要事项的情况说明</w:t>
      </w:r>
      <w:r>
        <w:rPr>
          <w:rFonts w:ascii="仿宋" w:hAnsi="仿宋" w:eastAsia="仿宋"/>
          <w:sz w:val="24"/>
        </w:rPr>
        <w:tab/>
      </w:r>
    </w:p>
    <w:p>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1"/>
        <w:adjustRightInd w:val="0"/>
        <w:snapToGrid w:val="0"/>
        <w:spacing w:line="440" w:lineRule="exact"/>
        <w:jc w:val="left"/>
        <w:rPr>
          <w:rFonts w:ascii="仿宋" w:hAnsi="仿宋" w:eastAsia="仿宋" w:cstheme="minorBidi"/>
          <w:sz w:val="24"/>
        </w:rPr>
      </w:pPr>
      <w:r>
        <w:rPr>
          <w:rFonts w:hint="eastAsia"/>
          <w:sz w:val="24"/>
        </w:rPr>
        <w:t>附件</w:t>
      </w:r>
      <w:r>
        <w:rPr>
          <w:sz w:val="24"/>
        </w:rPr>
        <w:t>1</w:t>
      </w:r>
    </w:p>
    <w:p>
      <w:pPr>
        <w:pStyle w:val="11"/>
        <w:adjustRightInd w:val="0"/>
        <w:snapToGrid w:val="0"/>
        <w:spacing w:line="440" w:lineRule="exact"/>
        <w:jc w:val="left"/>
        <w:rPr>
          <w:rFonts w:ascii="仿宋" w:hAnsi="仿宋" w:eastAsia="仿宋" w:cstheme="minorBidi"/>
          <w:sz w:val="24"/>
        </w:rPr>
      </w:pPr>
      <w:r>
        <w:rPr>
          <w:rFonts w:hint="eastAsia"/>
          <w:sz w:val="24"/>
        </w:rPr>
        <w:t>附件</w:t>
      </w:r>
      <w:r>
        <w:rPr>
          <w:sz w:val="24"/>
        </w:rPr>
        <w:t>2</w:t>
      </w:r>
    </w:p>
    <w:p>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一、</w:t>
      </w:r>
      <w:r>
        <w:rPr>
          <w:rFonts w:hint="eastAsia"/>
          <w:sz w:val="24"/>
        </w:rPr>
        <w:t>收入支出决算总表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四、</w:t>
      </w:r>
      <w:r>
        <w:rPr>
          <w:rFonts w:hint="eastAsia"/>
          <w:sz w:val="24"/>
        </w:rPr>
        <w:t>财政拨款收入支出决算总表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六、</w:t>
      </w:r>
      <w:r>
        <w:rPr>
          <w:rFonts w:hint="eastAsia"/>
          <w:sz w:val="24"/>
        </w:rPr>
        <w:t>一般公共预算财政拨款支出决算表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七、</w:t>
      </w:r>
      <w:r>
        <w:rPr>
          <w:rFonts w:hint="eastAsia"/>
          <w:sz w:val="24"/>
        </w:rPr>
        <w:t>一般公共预算财政拨款支出决算明细表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八、</w:t>
      </w:r>
      <w:r>
        <w:rPr>
          <w:rFonts w:hint="eastAsia"/>
          <w:sz w:val="24"/>
        </w:rPr>
        <w:t>一般公共预算财政拨款基本支出决算表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九、</w:t>
      </w:r>
      <w:r>
        <w:rPr>
          <w:rFonts w:hint="eastAsia"/>
          <w:sz w:val="24"/>
        </w:rPr>
        <w:t>一般公共预算财政拨款项目支出决算表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w:t>
      </w:r>
      <w:r>
        <w:rPr>
          <w:rFonts w:hint="eastAsia"/>
          <w:sz w:val="24"/>
        </w:rPr>
        <w:t>一般公共预算财政拨款“三公”经费支出决算表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十一、</w:t>
      </w:r>
      <w:r>
        <w:rPr>
          <w:rFonts w:hint="eastAsia"/>
          <w:sz w:val="24"/>
        </w:rPr>
        <w:t>政府性基金预算财政拨款收入支出决算表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十二、</w:t>
      </w:r>
      <w:r>
        <w:rPr>
          <w:rFonts w:hint="eastAsia"/>
          <w:sz w:val="24"/>
        </w:rPr>
        <w:t>政府性基金预算财政拨款“三公”经费支出决算表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十三、</w:t>
      </w:r>
      <w:r>
        <w:rPr>
          <w:rFonts w:hint="eastAsia"/>
          <w:sz w:val="24"/>
        </w:rPr>
        <w:t>国有资本经营预算支出决算表</w:t>
      </w:r>
    </w:p>
    <w:p>
      <w:pPr>
        <w:widowControl/>
        <w:spacing w:line="440" w:lineRule="exact"/>
        <w:jc w:val="left"/>
        <w:rPr>
          <w:rFonts w:ascii="仿宋" w:hAnsi="仿宋" w:eastAsia="仿宋"/>
          <w:bCs/>
          <w:kern w:val="44"/>
          <w:sz w:val="24"/>
        </w:rPr>
      </w:pPr>
      <w:bookmarkStart w:id="73" w:name="_GoBack"/>
      <w:bookmarkEnd w:id="73"/>
      <w:bookmarkStart w:id="12" w:name="_Toc15377196"/>
      <w:bookmarkStart w:id="13" w:name="_Toc15396599"/>
      <w:r>
        <w:rPr>
          <w:rFonts w:ascii="仿宋" w:hAnsi="仿宋" w:eastAsia="仿宋"/>
          <w:b/>
          <w:sz w:val="24"/>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30"/>
        <w:spacing w:before="0" w:beforeAutospacing="0" w:after="0" w:afterAutospacing="0" w:line="432" w:lineRule="atLeast"/>
        <w:ind w:firstLine="480"/>
        <w:rPr>
          <w:rFonts w:ascii="仿宋_GB2312" w:hAnsi="Times New Roman" w:eastAsia="仿宋_GB2312" w:cs="Times New Roman"/>
          <w:color w:val="000000"/>
          <w:kern w:val="2"/>
          <w:sz w:val="32"/>
          <w:szCs w:val="32"/>
        </w:rPr>
      </w:pPr>
      <w:bookmarkStart w:id="16" w:name="_Toc15378445"/>
      <w:bookmarkStart w:id="17" w:name="_Toc15377198"/>
      <w:r>
        <w:rPr>
          <w:rFonts w:hint="eastAsia" w:ascii="仿宋" w:hAnsi="仿宋" w:eastAsia="仿宋"/>
          <w:bCs/>
          <w:color w:val="000000"/>
          <w:sz w:val="32"/>
          <w:szCs w:val="32"/>
        </w:rPr>
        <w:t>（一）主要职能。</w:t>
      </w:r>
      <w:r>
        <w:rPr>
          <w:rFonts w:hint="eastAsia" w:ascii="仿宋_GB2312" w:eastAsia="仿宋_GB2312"/>
          <w:sz w:val="32"/>
          <w:szCs w:val="32"/>
        </w:rPr>
        <w:t>宣汉县庙安乡中心校是一所全额拨款事业单位，服务宣汉县庙安乡中、</w:t>
      </w:r>
      <w:r>
        <w:rPr>
          <w:rFonts w:hint="eastAsia" w:ascii="仿宋_GB2312" w:hAnsi="Times New Roman" w:eastAsia="仿宋_GB2312" w:cs="Times New Roman"/>
          <w:color w:val="000000"/>
          <w:kern w:val="2"/>
          <w:sz w:val="32"/>
          <w:szCs w:val="32"/>
        </w:rPr>
        <w:t>小学、幼儿园的德育、教学、教研、后勤等管理事务。</w:t>
      </w:r>
    </w:p>
    <w:p>
      <w:pPr>
        <w:pStyle w:val="30"/>
        <w:spacing w:before="0" w:beforeAutospacing="0" w:after="0" w:afterAutospacing="0" w:line="432" w:lineRule="atLeast"/>
        <w:ind w:firstLine="480"/>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1、研究拟定全乡教育发展战略和教育工作的规定、办法,监督和检查所属学校对党和国家的教育方针、政策、法规的贯彻执行。要依法办学,不断提高管理水平和教育质量。不断改善办学水平和提高教育质量,促进全乡中、小学教育均衡发展。</w:t>
      </w:r>
    </w:p>
    <w:p>
      <w:pPr>
        <w:pStyle w:val="30"/>
        <w:spacing w:before="0" w:beforeAutospacing="0" w:after="0" w:afterAutospacing="0" w:line="432" w:lineRule="atLeast"/>
        <w:ind w:firstLine="480"/>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2、管理和指导教育教学研究工作;规划、指导教育现代化和教育信息化工作;发挥教研中心作用。组织开展教育教学研究课、教学观摩、教学竞赛、课题实验、经验交流、教学基本功训练、专题研讨等教研活动。</w:t>
      </w:r>
    </w:p>
    <w:p>
      <w:pPr>
        <w:pStyle w:val="30"/>
        <w:spacing w:before="0" w:beforeAutospacing="0" w:after="0" w:afterAutospacing="0" w:line="432" w:lineRule="atLeast"/>
        <w:ind w:firstLine="480"/>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3、发挥教师进修培训作用。负责制定并实施教师继续计划,并有针对性的组织教师参加培训进修,更新教育观念,提高教师职业道德水平和教育教学能力。</w:t>
      </w:r>
    </w:p>
    <w:p>
      <w:pPr>
        <w:pStyle w:val="30"/>
        <w:spacing w:before="0" w:beforeAutospacing="0" w:after="0" w:afterAutospacing="0" w:line="432" w:lineRule="atLeast"/>
        <w:ind w:firstLine="480"/>
        <w:rPr>
          <w:rFonts w:ascii="仿宋_GB2312" w:hAnsi="Times New Roman" w:eastAsia="仿宋_GB2312" w:cs="Times New Roman"/>
          <w:color w:val="000000"/>
          <w:kern w:val="2"/>
          <w:sz w:val="32"/>
          <w:szCs w:val="32"/>
        </w:rPr>
      </w:pPr>
      <w:r>
        <w:rPr>
          <w:rFonts w:hint="eastAsia" w:ascii="仿宋_GB2312" w:hAnsi="Times New Roman" w:eastAsia="仿宋_GB2312" w:cs="Times New Roman"/>
          <w:color w:val="000000"/>
          <w:kern w:val="2"/>
          <w:sz w:val="32"/>
          <w:szCs w:val="32"/>
        </w:rPr>
        <w:t>4、管理学籍。建立全乡镇适龄儿童、少年档案,掌握全乡每学年适龄儿童、适龄少年人数,严格控制学生辍学。已入学学生建立学籍档案,并报教育行政部门备案。</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5、负责教育教学业务档案的管理、教育统计、教师工资统计、学校报帐。管理本部门教育经费;拟定教育经费筹措和管理的规定及财务管理制度;统计并监测全乡教育经费的筹措和使用情况</w:t>
      </w:r>
    </w:p>
    <w:bookmarkEnd w:id="16"/>
    <w:bookmarkEnd w:id="17"/>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8" w:name="_Toc15378446"/>
      <w:bookmarkStart w:id="19" w:name="_Toc1537719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p>
    <w:p>
      <w:pPr>
        <w:pStyle w:val="5"/>
        <w:adjustRightInd w:val="0"/>
        <w:snapToGrid w:val="0"/>
        <w:spacing w:before="93" w:line="600" w:lineRule="exact"/>
        <w:ind w:firstLine="672" w:firstLineChars="210"/>
        <w:outlineLvl w:val="2"/>
        <w:rPr>
          <w:rFonts w:ascii="仿宋" w:hAnsi="仿宋" w:eastAsia="仿宋"/>
          <w:bCs/>
          <w:color w:val="000000"/>
          <w:sz w:val="32"/>
          <w:szCs w:val="32"/>
        </w:rPr>
      </w:pPr>
    </w:p>
    <w:p>
      <w:pPr>
        <w:pStyle w:val="3"/>
        <w:rPr>
          <w:rStyle w:val="25"/>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snapToGrid w:val="0"/>
        <w:ind w:firstLine="640" w:firstLineChars="200"/>
        <w:rPr>
          <w:rFonts w:ascii="仿宋" w:hAnsi="仿宋" w:eastAsia="仿宋"/>
          <w:color w:val="000000"/>
          <w:kern w:val="0"/>
          <w:sz w:val="32"/>
          <w:szCs w:val="32"/>
        </w:rPr>
      </w:pPr>
      <w:r>
        <w:rPr>
          <w:rFonts w:hint="eastAsia" w:ascii="仿宋_GB2312" w:eastAsia="仿宋_GB2312"/>
          <w:sz w:val="32"/>
          <w:szCs w:val="32"/>
        </w:rPr>
        <w:t>学校现有教职工48人，学生725名。正式在编教师44人，特岗教师4人，退休人员20人。学校共设校长室、行政办、教导处、后勤、安全管理办公室五大机构，无变动情况。</w:t>
      </w:r>
    </w:p>
    <w:p>
      <w:pPr>
        <w:widowControl/>
        <w:jc w:val="left"/>
        <w:rPr>
          <w:rFonts w:ascii="仿宋" w:hAnsi="仿宋" w:eastAsia="仿宋"/>
          <w:color w:val="000000"/>
          <w:kern w:val="0"/>
          <w:sz w:val="32"/>
          <w:szCs w:val="32"/>
        </w:rPr>
      </w:pPr>
    </w:p>
    <w:p>
      <w:pPr>
        <w:pStyle w:val="2"/>
        <w:ind w:right="440"/>
        <w:jc w:val="right"/>
        <w:rPr>
          <w:rStyle w:val="24"/>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2019年度部门决算情况说明</w:t>
      </w:r>
      <w:bookmarkEnd w:id="22"/>
      <w:bookmarkEnd w:id="23"/>
    </w:p>
    <w:p/>
    <w:p>
      <w:pPr>
        <w:pStyle w:val="23"/>
        <w:numPr>
          <w:ilvl w:val="0"/>
          <w:numId w:val="1"/>
        </w:numPr>
        <w:spacing w:line="600" w:lineRule="exact"/>
        <w:ind w:firstLineChars="0"/>
        <w:outlineLvl w:val="1"/>
        <w:rPr>
          <w:rStyle w:val="25"/>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2019年度收、支总计905.05万元。与2018年相比，收、支总计各增加99.65万元，增长12.37</w:t>
      </w:r>
      <w:r>
        <w:rPr>
          <w:rFonts w:ascii="仿宋" w:hAnsi="仿宋" w:eastAsia="仿宋"/>
          <w:color w:val="000000"/>
          <w:sz w:val="32"/>
          <w:szCs w:val="32"/>
        </w:rPr>
        <w:t>%</w:t>
      </w:r>
      <w:r>
        <w:rPr>
          <w:rFonts w:hint="eastAsia" w:ascii="仿宋" w:hAnsi="仿宋" w:eastAsia="仿宋"/>
          <w:color w:val="000000"/>
          <w:sz w:val="32"/>
          <w:szCs w:val="32"/>
        </w:rPr>
        <w:t>。主要变动原因是学校操场维修项目45万元及人员经费增加。</w:t>
      </w:r>
    </w:p>
    <w:p>
      <w:pPr>
        <w:spacing w:line="600"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drawing>
          <wp:anchor distT="0" distB="0" distL="114300" distR="114300" simplePos="0" relativeHeight="251658240" behindDoc="0" locked="0" layoutInCell="1" allowOverlap="1">
            <wp:simplePos x="0" y="0"/>
            <wp:positionH relativeFrom="column">
              <wp:posOffset>209550</wp:posOffset>
            </wp:positionH>
            <wp:positionV relativeFrom="paragraph">
              <wp:posOffset>-123825</wp:posOffset>
            </wp:positionV>
            <wp:extent cx="4391025" cy="2171700"/>
            <wp:effectExtent l="19050" t="0" r="952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srcRect/>
                    <a:stretch>
                      <a:fillRect/>
                    </a:stretch>
                  </pic:blipFill>
                  <pic:spPr>
                    <a:xfrm>
                      <a:off x="0" y="0"/>
                      <a:ext cx="4391025" cy="2171700"/>
                    </a:xfrm>
                    <a:prstGeom prst="rect">
                      <a:avLst/>
                    </a:prstGeom>
                    <a:noFill/>
                    <a:ln w="9525">
                      <a:noFill/>
                      <a:miter lim="800000"/>
                      <a:headEnd/>
                      <a:tailEnd/>
                    </a:ln>
                  </pic:spPr>
                </pic:pic>
              </a:graphicData>
            </a:graphic>
          </wp:anchor>
        </w:drawing>
      </w: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pStyle w:val="23"/>
        <w:numPr>
          <w:ilvl w:val="0"/>
          <w:numId w:val="1"/>
        </w:numPr>
        <w:spacing w:line="600" w:lineRule="exact"/>
        <w:ind w:firstLineChars="0"/>
        <w:outlineLvl w:val="1"/>
        <w:rPr>
          <w:rStyle w:val="25"/>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9年本年收入合计905.05万元，其中：一般公共预算财政拨款收入902.05万元，占99.67</w:t>
      </w:r>
      <w:r>
        <w:rPr>
          <w:rFonts w:ascii="仿宋" w:hAnsi="仿宋" w:eastAsia="仿宋"/>
          <w:color w:val="000000"/>
          <w:sz w:val="32"/>
          <w:szCs w:val="32"/>
        </w:rPr>
        <w:t>%</w:t>
      </w:r>
      <w:r>
        <w:rPr>
          <w:rFonts w:hint="eastAsia" w:ascii="仿宋" w:hAnsi="仿宋" w:eastAsia="仿宋"/>
          <w:color w:val="000000"/>
          <w:sz w:val="32"/>
          <w:szCs w:val="32"/>
        </w:rPr>
        <w:t>；政府性基金预算财政拨款收入3万元，占0.33</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上级补助收入0</w:t>
      </w:r>
      <w:r>
        <w:rPr>
          <w:rFonts w:hint="eastAsia" w:ascii="仿宋" w:hAnsi="仿宋" w:eastAsia="仿宋"/>
          <w:color w:val="000000"/>
          <w:sz w:val="32"/>
          <w:szCs w:val="32"/>
        </w:rPr>
        <w:t>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（图2：收入决算结构图）（饼状图）</w:t>
      </w:r>
    </w:p>
    <w:p>
      <w:pPr>
        <w:spacing w:line="60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drawing>
          <wp:anchor distT="0" distB="0" distL="114300" distR="114300" simplePos="0" relativeHeight="251666432" behindDoc="0" locked="0" layoutInCell="1" allowOverlap="1">
            <wp:simplePos x="0" y="0"/>
            <wp:positionH relativeFrom="column">
              <wp:posOffset>123825</wp:posOffset>
            </wp:positionH>
            <wp:positionV relativeFrom="paragraph">
              <wp:posOffset>9525</wp:posOffset>
            </wp:positionV>
            <wp:extent cx="3876675" cy="2461260"/>
            <wp:effectExtent l="19050" t="0" r="9525" b="0"/>
            <wp:wrapSquare wrapText="bothSides"/>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7"/>
                    <a:srcRect/>
                    <a:stretch>
                      <a:fillRect/>
                    </a:stretch>
                  </pic:blipFill>
                  <pic:spPr>
                    <a:xfrm>
                      <a:off x="0" y="0"/>
                      <a:ext cx="3876675" cy="2461260"/>
                    </a:xfrm>
                    <a:prstGeom prst="rect">
                      <a:avLst/>
                    </a:prstGeom>
                    <a:noFill/>
                    <a:ln w="9525">
                      <a:noFill/>
                      <a:miter lim="800000"/>
                      <a:headEnd/>
                      <a:tailEnd/>
                    </a:ln>
                  </pic:spPr>
                </pic:pic>
              </a:graphicData>
            </a:graphic>
          </wp:anchor>
        </w:drawing>
      </w:r>
    </w:p>
    <w:p>
      <w:pPr>
        <w:spacing w:line="600" w:lineRule="exact"/>
        <w:ind w:firstLine="640" w:firstLineChars="200"/>
        <w:rPr>
          <w:rFonts w:hint="eastAsia" w:ascii="仿宋_GB2312" w:eastAsia="仿宋_GB2312"/>
          <w:color w:val="FF0000"/>
          <w:sz w:val="32"/>
          <w:szCs w:val="32"/>
        </w:rPr>
      </w:pPr>
    </w:p>
    <w:p>
      <w:pPr>
        <w:spacing w:line="600" w:lineRule="exact"/>
        <w:ind w:firstLine="640" w:firstLineChars="200"/>
        <w:rPr>
          <w:rFonts w:hint="eastAsia" w:ascii="仿宋_GB2312" w:eastAsia="仿宋_GB2312"/>
          <w:color w:val="FF0000"/>
          <w:sz w:val="32"/>
          <w:szCs w:val="32"/>
        </w:rPr>
      </w:pPr>
    </w:p>
    <w:p>
      <w:pPr>
        <w:spacing w:line="600" w:lineRule="exact"/>
        <w:ind w:firstLine="640" w:firstLineChars="200"/>
        <w:rPr>
          <w:rFonts w:hint="eastAsia" w:ascii="仿宋_GB2312" w:eastAsia="仿宋_GB2312"/>
          <w:color w:val="FF0000"/>
          <w:sz w:val="32"/>
          <w:szCs w:val="32"/>
        </w:rPr>
      </w:pPr>
    </w:p>
    <w:p>
      <w:pPr>
        <w:spacing w:line="600" w:lineRule="exact"/>
        <w:ind w:firstLine="640" w:firstLineChars="200"/>
        <w:rPr>
          <w:rFonts w:hint="eastAsia" w:ascii="仿宋_GB2312" w:eastAsia="仿宋_GB2312"/>
          <w:color w:val="FF0000"/>
          <w:sz w:val="32"/>
          <w:szCs w:val="32"/>
        </w:rPr>
      </w:pPr>
    </w:p>
    <w:p>
      <w:pPr>
        <w:spacing w:line="600" w:lineRule="exact"/>
        <w:ind w:firstLine="640" w:firstLineChars="200"/>
        <w:rPr>
          <w:rFonts w:hint="eastAsia" w:ascii="仿宋_GB2312" w:eastAsia="仿宋_GB2312"/>
          <w:color w:val="FF0000"/>
          <w:sz w:val="32"/>
          <w:szCs w:val="32"/>
        </w:rPr>
      </w:pPr>
    </w:p>
    <w:p>
      <w:pPr>
        <w:spacing w:line="600" w:lineRule="exact"/>
        <w:ind w:firstLine="640" w:firstLineChars="200"/>
        <w:rPr>
          <w:rFonts w:hint="eastAsia" w:ascii="仿宋_GB2312" w:eastAsia="仿宋_GB2312"/>
          <w:color w:val="FF0000"/>
          <w:sz w:val="32"/>
          <w:szCs w:val="32"/>
        </w:rPr>
      </w:pPr>
    </w:p>
    <w:p>
      <w:pPr>
        <w:pStyle w:val="23"/>
        <w:numPr>
          <w:ilvl w:val="0"/>
          <w:numId w:val="1"/>
        </w:numPr>
        <w:spacing w:line="600" w:lineRule="exact"/>
        <w:ind w:firstLineChars="0"/>
        <w:outlineLvl w:val="1"/>
        <w:rPr>
          <w:rStyle w:val="25"/>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640" w:firstLineChars="200"/>
        <w:outlineLvl w:val="1"/>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9年本年支出合计905.05万元，其中：基本支出</w:t>
      </w:r>
    </w:p>
    <w:p>
      <w:pPr>
        <w:spacing w:line="600" w:lineRule="exact"/>
        <w:outlineLvl w:val="1"/>
        <w:rPr>
          <w:rFonts w:ascii="仿宋" w:hAnsi="仿宋" w:eastAsia="仿宋"/>
          <w:color w:val="000000"/>
          <w:sz w:val="32"/>
          <w:szCs w:val="32"/>
        </w:rPr>
      </w:pPr>
      <w:r>
        <w:rPr>
          <w:rFonts w:hint="eastAsia" w:ascii="仿宋" w:hAnsi="仿宋" w:eastAsia="仿宋"/>
          <w:color w:val="000000"/>
          <w:sz w:val="32"/>
          <w:szCs w:val="32"/>
        </w:rPr>
        <w:t>738.89万元，占81.64</w:t>
      </w:r>
      <w:r>
        <w:rPr>
          <w:rFonts w:ascii="仿宋" w:hAnsi="仿宋" w:eastAsia="仿宋"/>
          <w:color w:val="000000"/>
          <w:sz w:val="32"/>
          <w:szCs w:val="32"/>
        </w:rPr>
        <w:t>%</w:t>
      </w:r>
      <w:r>
        <w:rPr>
          <w:rFonts w:hint="eastAsia" w:ascii="仿宋" w:hAnsi="仿宋" w:eastAsia="仿宋"/>
          <w:color w:val="000000"/>
          <w:sz w:val="32"/>
          <w:szCs w:val="32"/>
        </w:rPr>
        <w:t>；项目支出166.16万元，占18.36</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（图3：支出决算结构图）（饼状图）</w:t>
      </w:r>
    </w:p>
    <w:p>
      <w:pPr>
        <w:spacing w:line="600" w:lineRule="exact"/>
        <w:ind w:firstLine="640" w:firstLineChars="200"/>
        <w:outlineLvl w:val="1"/>
        <w:rPr>
          <w:rFonts w:hint="eastAsia" w:ascii="黑体" w:hAnsi="黑体" w:eastAsia="黑体"/>
          <w:color w:val="000000"/>
          <w:sz w:val="32"/>
          <w:szCs w:val="32"/>
        </w:rPr>
      </w:pPr>
      <w:bookmarkStart w:id="30" w:name="_Toc15396606"/>
      <w:bookmarkStart w:id="31" w:name="_Toc15377208"/>
      <w:r>
        <w:rPr>
          <w:rFonts w:hint="eastAsia" w:ascii="黑体" w:hAnsi="黑体" w:eastAsia="黑体"/>
          <w:color w:val="000000"/>
          <w:sz w:val="32"/>
          <w:szCs w:val="32"/>
        </w:rPr>
        <w:drawing>
          <wp:anchor distT="0" distB="0" distL="114300" distR="114300" simplePos="0" relativeHeight="251667456" behindDoc="0" locked="0" layoutInCell="1" allowOverlap="1">
            <wp:simplePos x="0" y="0"/>
            <wp:positionH relativeFrom="column">
              <wp:posOffset>523875</wp:posOffset>
            </wp:positionH>
            <wp:positionV relativeFrom="paragraph">
              <wp:posOffset>66675</wp:posOffset>
            </wp:positionV>
            <wp:extent cx="3648075" cy="2247900"/>
            <wp:effectExtent l="19050" t="0" r="9525" b="0"/>
            <wp:wrapSquare wrapText="bothSides"/>
            <wp:docPr id="25" name="图片 25" descr="C:\Users\ADMINI~1.SKY\AppData\Local\Temp\16050781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C:\Users\ADMINI~1.SKY\AppData\Local\Temp\1605078197(1).png"/>
                    <pic:cNvPicPr>
                      <a:picLocks noChangeAspect="1" noChangeArrowheads="1"/>
                    </pic:cNvPicPr>
                  </pic:nvPicPr>
                  <pic:blipFill>
                    <a:blip r:embed="rId8"/>
                    <a:srcRect/>
                    <a:stretch>
                      <a:fillRect/>
                    </a:stretch>
                  </pic:blipFill>
                  <pic:spPr>
                    <a:xfrm>
                      <a:off x="0" y="0"/>
                      <a:ext cx="3648075" cy="2247900"/>
                    </a:xfrm>
                    <a:prstGeom prst="rect">
                      <a:avLst/>
                    </a:prstGeom>
                    <a:noFill/>
                    <a:ln w="9525">
                      <a:noFill/>
                      <a:miter lim="800000"/>
                      <a:headEnd/>
                      <a:tailEnd/>
                    </a:ln>
                  </pic:spPr>
                </pic:pic>
              </a:graphicData>
            </a:graphic>
          </wp:anchor>
        </w:drawing>
      </w: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Style w:val="25"/>
          <w:rFonts w:ascii="黑体" w:hAnsi="黑体" w:eastAsia="黑体"/>
          <w:b w:val="0"/>
        </w:rPr>
      </w:pPr>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9年财政拨款收、支总计905.05万元。与</w:t>
      </w:r>
      <w:r>
        <w:rPr>
          <w:rFonts w:ascii="仿宋" w:hAnsi="仿宋" w:eastAsia="仿宋"/>
          <w:color w:val="000000"/>
          <w:sz w:val="32"/>
          <w:szCs w:val="32"/>
        </w:rPr>
        <w:t>201</w:t>
      </w:r>
      <w:r>
        <w:rPr>
          <w:rFonts w:hint="eastAsia" w:ascii="仿宋" w:hAnsi="仿宋" w:eastAsia="仿宋"/>
          <w:color w:val="000000"/>
          <w:sz w:val="32"/>
          <w:szCs w:val="32"/>
        </w:rPr>
        <w:t>8年相比，财政拨款收、支总计各增加99.65万元，增长12.37</w:t>
      </w:r>
      <w:r>
        <w:rPr>
          <w:rFonts w:ascii="仿宋" w:hAnsi="仿宋" w:eastAsia="仿宋"/>
          <w:color w:val="000000"/>
          <w:sz w:val="32"/>
          <w:szCs w:val="32"/>
        </w:rPr>
        <w:t>%</w:t>
      </w:r>
      <w:r>
        <w:rPr>
          <w:rFonts w:hint="eastAsia" w:ascii="仿宋" w:hAnsi="仿宋" w:eastAsia="仿宋"/>
          <w:color w:val="000000"/>
          <w:sz w:val="32"/>
          <w:szCs w:val="32"/>
        </w:rPr>
        <w:t>。主要变动原因是学校操场维修项目45万元及人员经费增加。</w:t>
      </w:r>
    </w:p>
    <w:p>
      <w:pPr>
        <w:spacing w:line="600"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spacing w:line="60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drawing>
          <wp:anchor distT="0" distB="0" distL="114300" distR="114300" simplePos="0" relativeHeight="251661312" behindDoc="0" locked="0" layoutInCell="1" allowOverlap="1">
            <wp:simplePos x="0" y="0"/>
            <wp:positionH relativeFrom="column">
              <wp:posOffset>76200</wp:posOffset>
            </wp:positionH>
            <wp:positionV relativeFrom="paragraph">
              <wp:posOffset>342900</wp:posOffset>
            </wp:positionV>
            <wp:extent cx="4829175" cy="2381250"/>
            <wp:effectExtent l="19050" t="0" r="9525"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9"/>
                    <a:srcRect/>
                    <a:stretch>
                      <a:fillRect/>
                    </a:stretch>
                  </pic:blipFill>
                  <pic:spPr>
                    <a:xfrm>
                      <a:off x="0" y="0"/>
                      <a:ext cx="4829175" cy="2381250"/>
                    </a:xfrm>
                    <a:prstGeom prst="rect">
                      <a:avLst/>
                    </a:prstGeom>
                    <a:noFill/>
                    <a:ln w="9525">
                      <a:noFill/>
                      <a:miter lim="800000"/>
                      <a:headEnd/>
                      <a:tailEnd/>
                    </a:ln>
                  </pic:spPr>
                </pic:pic>
              </a:graphicData>
            </a:graphic>
          </wp:anchor>
        </w:drawing>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Fonts w:hint="eastAsia" w:ascii="黑体" w:hAnsi="黑体" w:eastAsia="黑体"/>
          <w:color w:val="000000"/>
          <w:sz w:val="32"/>
          <w:szCs w:val="32"/>
        </w:rPr>
      </w:pPr>
      <w:bookmarkStart w:id="32" w:name="_Toc15396607"/>
      <w:bookmarkStart w:id="33" w:name="_Toc15377209"/>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Style w:val="25"/>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9年一般公共预算财政拨款支出902.05万元，占本年支出合计的99.67</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8年相比，一般公共预算财政拨款增加100.15万元，增长12.49。主要变动原因是学校操场维修项目45万元及人员经费增加。</w:t>
      </w:r>
    </w:p>
    <w:p>
      <w:pPr>
        <w:spacing w:line="600"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spacing w:line="600" w:lineRule="exact"/>
        <w:ind w:firstLine="640" w:firstLineChars="200"/>
        <w:rPr>
          <w:rFonts w:ascii="仿宋" w:hAnsi="仿宋" w:eastAsia="仿宋"/>
          <w:b/>
          <w:color w:val="000000"/>
          <w:sz w:val="32"/>
          <w:szCs w:val="32"/>
        </w:rPr>
      </w:pPr>
      <w:r>
        <w:rPr>
          <w:rFonts w:hint="eastAsia" w:ascii="仿宋" w:hAnsi="仿宋" w:eastAsia="仿宋"/>
          <w:color w:val="000000" w:themeColor="text1"/>
          <w:sz w:val="32"/>
          <w:szCs w:val="32"/>
        </w:rPr>
        <w:drawing>
          <wp:anchor distT="0" distB="0" distL="114300" distR="114300" simplePos="0" relativeHeight="251662336" behindDoc="0" locked="0" layoutInCell="1" allowOverlap="1">
            <wp:simplePos x="0" y="0"/>
            <wp:positionH relativeFrom="column">
              <wp:posOffset>200025</wp:posOffset>
            </wp:positionH>
            <wp:positionV relativeFrom="paragraph">
              <wp:posOffset>9525</wp:posOffset>
            </wp:positionV>
            <wp:extent cx="4800600" cy="2886075"/>
            <wp:effectExtent l="19050" t="0" r="0" b="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0"/>
                    <a:srcRect/>
                    <a:stretch>
                      <a:fillRect/>
                    </a:stretch>
                  </pic:blipFill>
                  <pic:spPr>
                    <a:xfrm>
                      <a:off x="0" y="0"/>
                      <a:ext cx="4800600" cy="2886075"/>
                    </a:xfrm>
                    <a:prstGeom prst="rect">
                      <a:avLst/>
                    </a:prstGeom>
                    <a:noFill/>
                    <a:ln w="9525">
                      <a:noFill/>
                      <a:miter lim="800000"/>
                      <a:headEnd/>
                      <a:tailEnd/>
                    </a:ln>
                  </pic:spPr>
                </pic:pic>
              </a:graphicData>
            </a:graphic>
          </wp:anchor>
        </w:drawing>
      </w: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政拨款支出902.05万元，主要用于以下方面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支出0万元，占0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教育支出（类）</w:t>
      </w:r>
      <w:r>
        <w:rPr>
          <w:rFonts w:hint="eastAsia" w:ascii="仿宋" w:hAnsi="仿宋" w:eastAsia="仿宋"/>
          <w:color w:val="000000" w:themeColor="text1"/>
          <w:sz w:val="32"/>
          <w:szCs w:val="32"/>
        </w:rPr>
        <w:t>756.12万元，占83.82</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科学技术（类）</w:t>
      </w:r>
      <w:r>
        <w:rPr>
          <w:rFonts w:hint="eastAsia" w:ascii="仿宋" w:hAnsi="仿宋" w:eastAsia="仿宋"/>
          <w:color w:val="000000" w:themeColor="text1"/>
          <w:sz w:val="32"/>
          <w:szCs w:val="32"/>
        </w:rPr>
        <w:t>支出0万元，占0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文化旅游体育与传媒（类）支出0万元，占0</w:t>
      </w:r>
      <w:r>
        <w:rPr>
          <w:rFonts w:ascii="仿宋" w:hAnsi="仿宋" w:eastAsia="仿宋"/>
          <w:b/>
          <w:bCs/>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支出72.28万元，占8.01</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w:t>
      </w:r>
      <w:r>
        <w:rPr>
          <w:rFonts w:hint="eastAsia" w:ascii="仿宋" w:hAnsi="仿宋" w:eastAsia="仿宋"/>
          <w:color w:val="000000" w:themeColor="text1"/>
          <w:sz w:val="32"/>
          <w:szCs w:val="32"/>
        </w:rPr>
        <w:t>25.88万元，占2.87</w:t>
      </w:r>
      <w:r>
        <w:rPr>
          <w:rFonts w:ascii="仿宋" w:hAnsi="仿宋" w:eastAsia="仿宋"/>
          <w:color w:val="000000" w:themeColor="text1"/>
          <w:sz w:val="32"/>
          <w:szCs w:val="32"/>
        </w:rPr>
        <w:t>%</w:t>
      </w:r>
      <w:r>
        <w:rPr>
          <w:rFonts w:hint="eastAsia" w:ascii="仿宋" w:hAnsi="仿宋" w:eastAsia="仿宋"/>
          <w:color w:val="000000" w:themeColor="text1"/>
          <w:sz w:val="32"/>
          <w:szCs w:val="32"/>
        </w:rPr>
        <w:t>；住房保障支出47.77万元，占5.3</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68480" behindDoc="0" locked="0" layoutInCell="1" allowOverlap="1">
            <wp:simplePos x="0" y="0"/>
            <wp:positionH relativeFrom="column">
              <wp:posOffset>485775</wp:posOffset>
            </wp:positionH>
            <wp:positionV relativeFrom="paragraph">
              <wp:posOffset>209550</wp:posOffset>
            </wp:positionV>
            <wp:extent cx="4162425" cy="2679700"/>
            <wp:effectExtent l="19050" t="0" r="9525" b="0"/>
            <wp:wrapSquare wrapText="bothSides"/>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1"/>
                    <a:srcRect/>
                    <a:stretch>
                      <a:fillRect/>
                    </a:stretch>
                  </pic:blipFill>
                  <pic:spPr>
                    <a:xfrm>
                      <a:off x="0" y="0"/>
                      <a:ext cx="4162425" cy="2679700"/>
                    </a:xfrm>
                    <a:prstGeom prst="rect">
                      <a:avLst/>
                    </a:prstGeom>
                    <a:noFill/>
                    <a:ln w="9525">
                      <a:noFill/>
                      <a:miter lim="800000"/>
                      <a:headEnd/>
                      <a:tailEnd/>
                    </a:ln>
                  </pic:spPr>
                </pic:pic>
              </a:graphicData>
            </a:graphic>
          </wp:anchor>
        </w:drawing>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8460"/>
      <w:bookmarkStart w:id="38" w:name="_Toc15377444"/>
      <w:bookmarkStart w:id="39" w:name="_Toc15377213"/>
      <w:r>
        <w:rPr>
          <w:rFonts w:hint="eastAsia" w:ascii="仿宋" w:hAnsi="仿宋" w:eastAsia="仿宋"/>
          <w:b/>
          <w:color w:val="000000" w:themeColor="text1"/>
          <w:sz w:val="32"/>
          <w:szCs w:val="32"/>
        </w:rPr>
        <w:t>2019年般公共预算支出决算数为902.05</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一般公共服务（类）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支出决算为0元，完成预算</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Cs/>
          <w:color w:val="000000"/>
          <w:sz w:val="32"/>
          <w:szCs w:val="32"/>
        </w:rPr>
      </w:pPr>
      <w:r>
        <w:rPr>
          <w:rStyle w:val="14"/>
          <w:rFonts w:ascii="仿宋" w:hAnsi="仿宋" w:eastAsia="仿宋"/>
          <w:bCs/>
          <w:color w:val="000000"/>
          <w:sz w:val="32"/>
          <w:szCs w:val="32"/>
        </w:rPr>
        <w:t>2.</w:t>
      </w:r>
      <w:r>
        <w:rPr>
          <w:rStyle w:val="14"/>
          <w:rFonts w:hint="eastAsia" w:ascii="仿宋" w:hAnsi="仿宋" w:eastAsia="仿宋"/>
          <w:bCs/>
          <w:color w:val="000000"/>
          <w:sz w:val="32"/>
          <w:szCs w:val="32"/>
        </w:rPr>
        <w:t>教育（类）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支出决算为756.12万元，完成预算100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，决算数等于预算数的主要原因是加强经费支出的预算，按照要求支出。</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3.</w:t>
      </w:r>
      <w:r>
        <w:rPr>
          <w:rStyle w:val="14"/>
          <w:rFonts w:hint="eastAsia" w:ascii="仿宋" w:hAnsi="仿宋" w:eastAsia="仿宋"/>
          <w:bCs/>
          <w:color w:val="000000"/>
          <w:sz w:val="32"/>
          <w:szCs w:val="32"/>
        </w:rPr>
        <w:t>科学技术（类）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支出决算为0元，完成预算</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4.</w:t>
      </w:r>
      <w:r>
        <w:rPr>
          <w:rStyle w:val="14"/>
          <w:rFonts w:hint="eastAsia" w:ascii="仿宋" w:hAnsi="仿宋" w:eastAsia="仿宋"/>
          <w:bCs/>
          <w:color w:val="000000"/>
          <w:sz w:val="32"/>
          <w:szCs w:val="32"/>
        </w:rPr>
        <w:t>文化旅游体育与传媒（类）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支出决算为0元，完成预算</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5.</w:t>
      </w:r>
      <w:r>
        <w:rPr>
          <w:rStyle w:val="14"/>
          <w:rFonts w:hint="eastAsia" w:ascii="仿宋" w:hAnsi="仿宋" w:eastAsia="仿宋"/>
          <w:bCs/>
          <w:color w:val="000000"/>
          <w:sz w:val="32"/>
          <w:szCs w:val="32"/>
        </w:rPr>
        <w:t>社会保障和就业（类）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支出决算为72.28万元，完成预算100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4"/>
          <w:rFonts w:ascii="仿宋" w:hAnsi="仿宋" w:eastAsia="仿宋"/>
          <w:bCs/>
          <w:color w:val="000000"/>
          <w:sz w:val="32"/>
          <w:szCs w:val="32"/>
        </w:rPr>
        <w:t>6.</w:t>
      </w:r>
      <w:r>
        <w:rPr>
          <w:rFonts w:hint="eastAsia" w:ascii="仿宋" w:hAnsi="仿宋" w:eastAsia="仿宋"/>
          <w:b/>
          <w:bCs/>
          <w:color w:val="000000" w:themeColor="text1"/>
          <w:sz w:val="32"/>
          <w:szCs w:val="32"/>
        </w:rPr>
        <w:t>卫生健康</w:t>
      </w:r>
      <w:r>
        <w:rPr>
          <w:rStyle w:val="14"/>
          <w:rFonts w:hint="eastAsia" w:ascii="仿宋" w:hAnsi="仿宋" w:eastAsia="仿宋"/>
          <w:bCs/>
          <w:color w:val="000000"/>
          <w:sz w:val="32"/>
          <w:szCs w:val="32"/>
        </w:rPr>
        <w:t>（类）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支出决算为25.88万元，完成预算100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rPr>
        <w:t>7</w:t>
      </w:r>
      <w:r>
        <w:rPr>
          <w:rStyle w:val="14"/>
          <w:rFonts w:ascii="仿宋" w:hAnsi="仿宋" w:eastAsia="仿宋"/>
          <w:bCs/>
          <w:color w:val="000000"/>
          <w:sz w:val="32"/>
          <w:szCs w:val="32"/>
        </w:rPr>
        <w:t>.</w:t>
      </w:r>
      <w:r>
        <w:rPr>
          <w:rFonts w:hint="eastAsia" w:ascii="仿宋" w:hAnsi="仿宋" w:eastAsia="仿宋"/>
          <w:color w:val="000000" w:themeColor="text1"/>
          <w:sz w:val="32"/>
          <w:szCs w:val="32"/>
        </w:rPr>
        <w:t xml:space="preserve"> 住房保障支出</w:t>
      </w:r>
      <w:r>
        <w:rPr>
          <w:rStyle w:val="14"/>
          <w:rFonts w:hint="eastAsia" w:ascii="仿宋" w:hAnsi="仿宋" w:eastAsia="仿宋"/>
          <w:bCs/>
          <w:color w:val="000000"/>
          <w:sz w:val="32"/>
          <w:szCs w:val="32"/>
        </w:rPr>
        <w:t>（类）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支出决算为47.77万元，完成预算100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等于预算数的主要原因是…。</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w:t>
      </w:r>
      <w:r>
        <w:rPr>
          <w:rFonts w:ascii="仿宋" w:hAnsi="仿宋" w:eastAsia="仿宋"/>
          <w:b/>
          <w:color w:val="FF0000"/>
          <w:sz w:val="32"/>
          <w:szCs w:val="32"/>
        </w:rPr>
        <w:t>Z01-1</w:t>
      </w:r>
      <w:r>
        <w:rPr>
          <w:rFonts w:hint="eastAsia" w:ascii="仿宋" w:hAnsi="仿宋" w:eastAsia="仿宋"/>
          <w:b/>
          <w:color w:val="FF0000"/>
          <w:sz w:val="32"/>
          <w:szCs w:val="32"/>
        </w:rPr>
        <w:t>表，罗列全部功能分类科目至项级。上述“预算”口径为</w:t>
      </w:r>
      <w:r>
        <w:rPr>
          <w:rFonts w:hint="eastAsia" w:ascii="仿宋" w:hAnsi="仿宋" w:eastAsia="仿宋"/>
          <w:b/>
          <w:color w:val="FF0000"/>
          <w:sz w:val="32"/>
          <w:szCs w:val="32"/>
          <w:highlight w:val="yellow"/>
        </w:rPr>
        <w:t>调整预算数</w:t>
      </w:r>
      <w:r>
        <w:rPr>
          <w:rFonts w:hint="eastAsia" w:ascii="仿宋" w:hAnsi="仿宋" w:eastAsia="仿宋"/>
          <w:b/>
          <w:color w:val="FF0000"/>
          <w:sz w:val="32"/>
          <w:szCs w:val="32"/>
        </w:rPr>
        <w:t>。增减变动原因为决算数</w:t>
      </w:r>
      <w:r>
        <w:rPr>
          <w:rFonts w:ascii="仿宋" w:hAnsi="仿宋" w:eastAsia="仿宋"/>
          <w:b/>
          <w:color w:val="FF0000"/>
          <w:sz w:val="32"/>
          <w:szCs w:val="32"/>
        </w:rPr>
        <w:t>&lt;</w:t>
      </w:r>
      <w:r>
        <w:rPr>
          <w:rFonts w:hint="eastAsia" w:ascii="仿宋" w:hAnsi="仿宋" w:eastAsia="仿宋"/>
          <w:b/>
          <w:color w:val="FF0000"/>
          <w:sz w:val="32"/>
          <w:szCs w:val="32"/>
        </w:rPr>
        <w:t>项级</w:t>
      </w:r>
      <w:r>
        <w:rPr>
          <w:rFonts w:ascii="仿宋" w:hAnsi="仿宋" w:eastAsia="仿宋"/>
          <w:b/>
          <w:color w:val="FF0000"/>
          <w:sz w:val="32"/>
          <w:szCs w:val="32"/>
        </w:rPr>
        <w:t>&gt;</w:t>
      </w:r>
      <w:r>
        <w:rPr>
          <w:rFonts w:hint="eastAsia" w:ascii="仿宋" w:hAnsi="仿宋" w:eastAsia="仿宋"/>
          <w:b/>
          <w:color w:val="FF0000"/>
          <w:sz w:val="32"/>
          <w:szCs w:val="32"/>
        </w:rPr>
        <w:t>和调整预算数</w:t>
      </w:r>
      <w:r>
        <w:rPr>
          <w:rFonts w:ascii="仿宋" w:hAnsi="仿宋" w:eastAsia="仿宋"/>
          <w:b/>
          <w:color w:val="FF0000"/>
          <w:sz w:val="32"/>
          <w:szCs w:val="32"/>
        </w:rPr>
        <w:t>&lt;</w:t>
      </w:r>
      <w:r>
        <w:rPr>
          <w:rFonts w:hint="eastAsia" w:ascii="仿宋" w:hAnsi="仿宋" w:eastAsia="仿宋"/>
          <w:b/>
          <w:color w:val="FF0000"/>
          <w:sz w:val="32"/>
          <w:szCs w:val="32"/>
        </w:rPr>
        <w:t>项级</w:t>
      </w:r>
      <w:r>
        <w:rPr>
          <w:rFonts w:ascii="仿宋" w:hAnsi="仿宋" w:eastAsia="仿宋"/>
          <w:b/>
          <w:color w:val="FF0000"/>
          <w:sz w:val="32"/>
          <w:szCs w:val="32"/>
        </w:rPr>
        <w:t>&gt;</w:t>
      </w:r>
      <w:r>
        <w:rPr>
          <w:rFonts w:hint="eastAsia" w:ascii="仿宋" w:hAnsi="仿宋" w:eastAsia="仿宋"/>
          <w:b/>
          <w:color w:val="FF0000"/>
          <w:sz w:val="32"/>
          <w:szCs w:val="32"/>
        </w:rPr>
        <w:t>比较，与预算数持平可以不写原因。）</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5"/>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9年一般公共预算财政拨款基本支出902.05万元，其中：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766.11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93.94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9年“三公”经费财政拨款支出决算为1.68万元，完成预算100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b/>
          <w:color w:val="FF0000"/>
          <w:sz w:val="32"/>
          <w:szCs w:val="32"/>
        </w:rPr>
      </w:pPr>
      <w:r>
        <w:rPr>
          <w:rFonts w:hint="eastAsia" w:ascii="仿宋" w:hAnsi="仿宋" w:eastAsia="仿宋"/>
          <w:b/>
          <w:color w:val="FF0000"/>
          <w:sz w:val="32"/>
          <w:szCs w:val="32"/>
        </w:rPr>
        <w:t>（注：上述“预算”口径为调整预算数，包括政府性基金支出决算情况。）</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；公务接待费支出决算1.68万元，占100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drawing>
          <wp:anchor distT="0" distB="0" distL="114935" distR="114935" simplePos="0" relativeHeight="251665408" behindDoc="1" locked="0" layoutInCell="1" allowOverlap="1">
            <wp:simplePos x="0" y="0"/>
            <wp:positionH relativeFrom="column">
              <wp:posOffset>390525</wp:posOffset>
            </wp:positionH>
            <wp:positionV relativeFrom="paragraph">
              <wp:posOffset>180975</wp:posOffset>
            </wp:positionV>
            <wp:extent cx="3200400" cy="1724025"/>
            <wp:effectExtent l="0" t="0" r="0" b="0"/>
            <wp:wrapTight wrapText="bothSides">
              <wp:wrapPolygon>
                <wp:start x="0" y="239"/>
                <wp:lineTo x="0" y="21242"/>
                <wp:lineTo x="21471" y="21242"/>
                <wp:lineTo x="21471" y="239"/>
                <wp:lineTo x="0" y="239"/>
              </wp:wrapPolygon>
            </wp:wrapTight>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12"/>
                    <a:stretch>
                      <a:fillRect/>
                    </a:stretch>
                  </pic:blipFill>
                  <pic:spPr>
                    <a:xfrm>
                      <a:off x="0" y="0"/>
                      <a:ext cx="3200400" cy="1724025"/>
                    </a:xfrm>
                    <a:prstGeom prst="rect">
                      <a:avLst/>
                    </a:prstGeom>
                    <a:noFill/>
                    <a:ln>
                      <a:noFill/>
                    </a:ln>
                  </pic:spPr>
                </pic:pic>
              </a:graphicData>
            </a:graphic>
          </wp:anchor>
        </w:drawing>
      </w:r>
    </w:p>
    <w:p>
      <w:pPr>
        <w:spacing w:line="600" w:lineRule="exact"/>
        <w:ind w:firstLine="640"/>
        <w:rPr>
          <w:rFonts w:hint="eastAsia" w:ascii="仿宋_GB2312" w:eastAsia="仿宋_GB2312"/>
          <w:b/>
          <w:color w:val="000000"/>
          <w:sz w:val="32"/>
          <w:szCs w:val="32"/>
        </w:rPr>
      </w:pPr>
    </w:p>
    <w:p>
      <w:pPr>
        <w:spacing w:line="600" w:lineRule="exact"/>
        <w:ind w:firstLine="640"/>
        <w:rPr>
          <w:rFonts w:hint="eastAsia" w:ascii="仿宋_GB2312" w:eastAsia="仿宋_GB2312"/>
          <w:b/>
          <w:color w:val="000000"/>
          <w:sz w:val="32"/>
          <w:szCs w:val="32"/>
        </w:rPr>
      </w:pPr>
    </w:p>
    <w:p>
      <w:pPr>
        <w:spacing w:line="600" w:lineRule="exact"/>
        <w:ind w:firstLine="640"/>
        <w:rPr>
          <w:rFonts w:hint="eastAsia" w:ascii="仿宋_GB2312" w:eastAsia="仿宋_GB2312"/>
          <w:b/>
          <w:color w:val="000000"/>
          <w:sz w:val="32"/>
          <w:szCs w:val="32"/>
        </w:rPr>
      </w:pPr>
    </w:p>
    <w:p>
      <w:pPr>
        <w:spacing w:line="600" w:lineRule="exact"/>
        <w:ind w:firstLine="640"/>
        <w:rPr>
          <w:rFonts w:hint="eastAsia" w:ascii="仿宋_GB2312" w:eastAsia="仿宋_GB2312"/>
          <w:b/>
          <w:color w:val="000000"/>
          <w:sz w:val="32"/>
          <w:szCs w:val="32"/>
        </w:rPr>
      </w:pP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4"/>
          <w:rFonts w:hint="eastAsia" w:ascii="仿宋" w:hAnsi="仿宋" w:eastAsia="仿宋"/>
          <w:b w:val="0"/>
          <w:bCs/>
          <w:color w:val="000000"/>
          <w:sz w:val="32"/>
          <w:szCs w:val="32"/>
        </w:rPr>
        <w:t>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全年安排因公出国（境）团组0次，出国（境）0人。因公出国（境）支出决算比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减少0万元，增长</w:t>
      </w:r>
      <w:r>
        <w:rPr>
          <w:rFonts w:ascii="仿宋_GB2312" w:eastAsia="仿宋_GB2312"/>
          <w:color w:val="000000"/>
          <w:sz w:val="32"/>
          <w:szCs w:val="32"/>
        </w:rPr>
        <w:t>/</w:t>
      </w:r>
      <w:r>
        <w:rPr>
          <w:rFonts w:hint="eastAsia" w:ascii="仿宋_GB2312" w:eastAsia="仿宋_GB2312"/>
          <w:color w:val="000000"/>
          <w:sz w:val="32"/>
          <w:szCs w:val="32"/>
        </w:rPr>
        <w:t>下降0</w:t>
      </w:r>
      <w:r>
        <w:rPr>
          <w:rFonts w:ascii="仿宋_GB2312" w:eastAsia="仿宋_GB2312"/>
          <w:color w:val="000000"/>
          <w:sz w:val="32"/>
          <w:szCs w:val="32"/>
        </w:rPr>
        <w:t>%</w:t>
      </w:r>
      <w:r>
        <w:rPr>
          <w:rFonts w:hint="eastAsia" w:ascii="仿宋_GB2312" w:eastAsia="仿宋_GB2312"/>
          <w:color w:val="000000"/>
          <w:sz w:val="32"/>
          <w:szCs w:val="32"/>
        </w:rPr>
        <w:t>。主要原因是…</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开支内容包括：…（团组名称、出访地点、取得成效）</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r>
        <w:rPr>
          <w:rStyle w:val="14"/>
          <w:rFonts w:hint="eastAsia" w:ascii="仿宋" w:hAnsi="仿宋" w:eastAsia="仿宋"/>
          <w:b w:val="0"/>
          <w:bCs/>
          <w:color w:val="000000"/>
          <w:sz w:val="32"/>
          <w:szCs w:val="32"/>
        </w:rPr>
        <w:t>完成预算</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减少0万元，增长</w:t>
      </w:r>
      <w:r>
        <w:rPr>
          <w:rFonts w:ascii="仿宋_GB2312" w:eastAsia="仿宋_GB2312"/>
          <w:color w:val="000000"/>
          <w:sz w:val="32"/>
          <w:szCs w:val="32"/>
        </w:rPr>
        <w:t>/</w:t>
      </w:r>
      <w:r>
        <w:rPr>
          <w:rFonts w:hint="eastAsia" w:ascii="仿宋_GB2312" w:eastAsia="仿宋_GB2312"/>
          <w:color w:val="000000"/>
          <w:sz w:val="32"/>
          <w:szCs w:val="32"/>
        </w:rPr>
        <w:t>下降0</w:t>
      </w:r>
      <w:r>
        <w:rPr>
          <w:rFonts w:ascii="仿宋_GB2312" w:eastAsia="仿宋_GB2312"/>
          <w:color w:val="000000"/>
          <w:sz w:val="32"/>
          <w:szCs w:val="32"/>
        </w:rPr>
        <w:t>%</w:t>
      </w:r>
      <w:r>
        <w:rPr>
          <w:rFonts w:hint="eastAsia" w:ascii="仿宋_GB2312" w:eastAsia="仿宋_GB2312"/>
          <w:color w:val="000000"/>
          <w:sz w:val="32"/>
          <w:szCs w:val="32"/>
        </w:rPr>
        <w:t>。主要原因是…</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0万元。全年按规定更新购置公务用车0辆，金额0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月底，单位共有公务用车0辆，其中：主要领导干部用车0辆、机要通信用车0辆、应急保障用车0辆、 执法执勤用车0辆…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0万元。主要用于</w:t>
      </w:r>
      <w:r>
        <w:rPr>
          <w:rFonts w:ascii="仿宋_GB2312" w:eastAsia="仿宋_GB2312"/>
          <w:color w:val="000000"/>
          <w:sz w:val="32"/>
          <w:szCs w:val="32"/>
        </w:rPr>
        <w:t>…</w:t>
      </w:r>
      <w:r>
        <w:rPr>
          <w:rFonts w:hint="eastAsia" w:ascii="仿宋_GB2312" w:eastAsia="仿宋_GB2312"/>
          <w:color w:val="000000"/>
          <w:sz w:val="32"/>
          <w:szCs w:val="32"/>
        </w:rPr>
        <w:t>（具体工作）等所需的公务用车燃料费、维修费、过路过桥费、保险费等支出。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1.68万元，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8年减少0.07万元，增长</w:t>
      </w:r>
      <w:r>
        <w:rPr>
          <w:rFonts w:ascii="仿宋_GB2312" w:eastAsia="仿宋_GB2312"/>
          <w:color w:val="000000"/>
          <w:sz w:val="32"/>
          <w:szCs w:val="32"/>
        </w:rPr>
        <w:t>/</w:t>
      </w:r>
      <w:r>
        <w:rPr>
          <w:rFonts w:hint="eastAsia" w:ascii="仿宋_GB2312" w:eastAsia="仿宋_GB2312"/>
          <w:color w:val="000000"/>
          <w:sz w:val="32"/>
          <w:szCs w:val="32"/>
        </w:rPr>
        <w:t>下降4</w:t>
      </w:r>
      <w:r>
        <w:rPr>
          <w:rFonts w:ascii="仿宋_GB2312" w:eastAsia="仿宋_GB2312"/>
          <w:color w:val="000000"/>
          <w:sz w:val="32"/>
          <w:szCs w:val="32"/>
        </w:rPr>
        <w:t>%</w:t>
      </w:r>
      <w:r>
        <w:rPr>
          <w:rFonts w:hint="eastAsia" w:ascii="仿宋_GB2312" w:eastAsia="仿宋_GB2312"/>
          <w:color w:val="000000"/>
          <w:sz w:val="32"/>
          <w:szCs w:val="32"/>
        </w:rPr>
        <w:t>。主要原因是…其中：</w:t>
      </w:r>
    </w:p>
    <w:p>
      <w:pPr>
        <w:spacing w:line="600" w:lineRule="exact"/>
        <w:ind w:firstLine="643" w:firstLineChars="20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1.68</w:t>
      </w:r>
      <w:r>
        <w:rPr>
          <w:rFonts w:hint="eastAsia" w:ascii="仿宋_GB2312" w:eastAsia="仿宋_GB2312"/>
          <w:color w:val="000000"/>
          <w:sz w:val="32"/>
          <w:szCs w:val="32"/>
        </w:rPr>
        <w:t>万元，主要用于执行公务、开展业务活动开支的交通费、住宿费、用餐费等。国内公务接待75批次，470人次（不包括陪同人员），共计支出1.68万元，具体内容包括：校园食品检查、六年级毕业检测，九年级实验操作考试及体育考试，非毕业年级检测，学校交叉检查等。</w:t>
      </w:r>
    </w:p>
    <w:p>
      <w:pPr>
        <w:spacing w:line="600" w:lineRule="exact"/>
        <w:ind w:firstLine="640"/>
        <w:rPr>
          <w:rFonts w:ascii="仿宋_GB2312" w:eastAsia="仿宋_GB2312"/>
          <w:color w:val="000000"/>
          <w:sz w:val="32"/>
          <w:szCs w:val="32"/>
        </w:rPr>
      </w:pPr>
    </w:p>
    <w:p>
      <w:pPr>
        <w:spacing w:line="600" w:lineRule="exact"/>
        <w:ind w:firstLine="643" w:firstLineChars="200"/>
        <w:rPr>
          <w:rFonts w:ascii="仿宋_GB2312" w:eastAsia="仿宋_GB2312"/>
          <w:color w:val="000000" w:themeColor="text1"/>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，外事接待0批次，0人，共计支出0万元，主要用于接待</w:t>
      </w:r>
      <w:r>
        <w:rPr>
          <w:rFonts w:ascii="仿宋_GB2312" w:eastAsia="仿宋_GB2312"/>
          <w:color w:val="000000" w:themeColor="text1"/>
          <w:sz w:val="32"/>
          <w:szCs w:val="32"/>
        </w:rPr>
        <w:t>…</w:t>
      </w:r>
      <w:r>
        <w:rPr>
          <w:rFonts w:hint="eastAsia" w:ascii="仿宋_GB2312" w:eastAsia="仿宋_GB2312"/>
          <w:color w:val="000000" w:themeColor="text1"/>
          <w:sz w:val="32"/>
          <w:szCs w:val="32"/>
        </w:rPr>
        <w:t>（具体项目）</w:t>
      </w:r>
    </w:p>
    <w:p>
      <w:pPr>
        <w:spacing w:line="600" w:lineRule="exact"/>
        <w:ind w:firstLine="640"/>
        <w:outlineLvl w:val="1"/>
        <w:rPr>
          <w:rFonts w:ascii="黑体" w:eastAsia="黑体"/>
          <w:color w:val="000000"/>
          <w:sz w:val="32"/>
          <w:szCs w:val="32"/>
        </w:rPr>
      </w:pPr>
      <w:bookmarkStart w:id="46" w:name="_Toc15396610"/>
      <w:bookmarkStart w:id="47" w:name="_Toc15377218"/>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9年政府性基金预算拨款支出3万元。</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25"/>
          <w:rFonts w:ascii="黑体" w:hAnsi="黑体" w:eastAsia="黑体"/>
          <w:b w:val="0"/>
        </w:rPr>
      </w:pPr>
      <w:bookmarkStart w:id="48" w:name="_Toc15396611"/>
      <w:bookmarkStart w:id="49" w:name="_Toc15377219"/>
      <w:r>
        <w:rPr>
          <w:rStyle w:val="25"/>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9年国有资本经营预算拨款支出0万元。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w:t>
      </w:r>
      <w:r>
        <w:rPr>
          <w:rFonts w:hint="eastAsia" w:ascii="仿宋_GB2312" w:eastAsia="仿宋_GB2312"/>
          <w:color w:val="000000"/>
          <w:sz w:val="32"/>
          <w:szCs w:val="32"/>
        </w:rPr>
        <w:t>机关运行经费支出</w:t>
      </w:r>
      <w:r>
        <w:rPr>
          <w:rFonts w:ascii="仿宋_GB2312" w:eastAsia="仿宋_GB2312"/>
          <w:color w:val="000000"/>
          <w:sz w:val="32"/>
          <w:szCs w:val="32"/>
        </w:rPr>
        <w:t>**</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ascii="仿宋_GB2312" w:eastAsia="仿宋_GB2312"/>
          <w:color w:val="000000"/>
          <w:sz w:val="32"/>
          <w:szCs w:val="32"/>
        </w:rPr>
        <w:t>**</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ascii="仿宋_GB2312" w:eastAsia="仿宋_GB2312"/>
          <w:color w:val="000000"/>
          <w:sz w:val="32"/>
          <w:szCs w:val="32"/>
        </w:rPr>
        <w:t>**%</w:t>
      </w:r>
      <w:r>
        <w:rPr>
          <w:rFonts w:hint="eastAsia" w:ascii="仿宋_GB2312" w:eastAsia="仿宋_GB2312"/>
          <w:color w:val="000000"/>
          <w:sz w:val="32"/>
          <w:szCs w:val="32"/>
        </w:rPr>
        <w:t>（或与</w:t>
      </w:r>
      <w:r>
        <w:rPr>
          <w:rFonts w:ascii="仿宋_GB2312" w:eastAsia="仿宋_GB2312"/>
          <w:color w:val="000000"/>
          <w:sz w:val="32"/>
          <w:szCs w:val="32"/>
        </w:rPr>
        <w:t>201</w:t>
      </w:r>
      <w:r>
        <w:rPr>
          <w:rFonts w:hint="eastAsia" w:ascii="仿宋_GB2312" w:eastAsia="仿宋_GB2312"/>
          <w:color w:val="000000"/>
          <w:sz w:val="32"/>
          <w:szCs w:val="32"/>
        </w:rPr>
        <w:t>8年决算数持平）。</w:t>
      </w:r>
      <w:r>
        <w:rPr>
          <w:rFonts w:hint="eastAsia" w:ascii="仿宋_GB2312" w:eastAsia="仿宋_GB2312"/>
          <w:color w:val="000000" w:themeColor="text1"/>
          <w:sz w:val="32"/>
          <w:szCs w:val="32"/>
        </w:rPr>
        <w:t>主要原因是……</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w:t>
      </w:r>
      <w:r>
        <w:rPr>
          <w:rFonts w:hint="eastAsia" w:ascii="仿宋_GB2312" w:eastAsia="仿宋_GB2312"/>
          <w:color w:val="000000"/>
          <w:sz w:val="32"/>
          <w:szCs w:val="32"/>
        </w:rPr>
        <w:t>政府采购支出总额</w:t>
      </w:r>
      <w:r>
        <w:rPr>
          <w:rFonts w:ascii="仿宋_GB2312" w:eastAsia="仿宋_GB2312"/>
          <w:color w:val="000000"/>
          <w:sz w:val="32"/>
          <w:szCs w:val="32"/>
        </w:rPr>
        <w:t>**</w:t>
      </w:r>
      <w:r>
        <w:rPr>
          <w:rFonts w:hint="eastAsia" w:ascii="仿宋_GB2312" w:eastAsia="仿宋_GB2312"/>
          <w:color w:val="000000"/>
          <w:sz w:val="32"/>
          <w:szCs w:val="32"/>
        </w:rPr>
        <w:t>万元，其中：政府采购货物支出</w:t>
      </w:r>
      <w:r>
        <w:rPr>
          <w:rFonts w:ascii="仿宋_GB2312" w:eastAsia="仿宋_GB2312"/>
          <w:color w:val="000000"/>
          <w:sz w:val="32"/>
          <w:szCs w:val="32"/>
        </w:rPr>
        <w:t>**</w:t>
      </w:r>
      <w:r>
        <w:rPr>
          <w:rFonts w:hint="eastAsia" w:ascii="仿宋_GB2312" w:eastAsia="仿宋_GB2312"/>
          <w:color w:val="000000"/>
          <w:sz w:val="32"/>
          <w:szCs w:val="32"/>
        </w:rPr>
        <w:t>万元、政府采购工程支出</w:t>
      </w:r>
      <w:r>
        <w:rPr>
          <w:rFonts w:ascii="仿宋_GB2312" w:eastAsia="仿宋_GB2312"/>
          <w:color w:val="000000"/>
          <w:sz w:val="32"/>
          <w:szCs w:val="32"/>
        </w:rPr>
        <w:t>**</w:t>
      </w:r>
      <w:r>
        <w:rPr>
          <w:rFonts w:hint="eastAsia" w:ascii="仿宋_GB2312" w:eastAsia="仿宋_GB2312"/>
          <w:color w:val="000000"/>
          <w:sz w:val="32"/>
          <w:szCs w:val="32"/>
        </w:rPr>
        <w:t>万元、政府采购服务支出</w:t>
      </w:r>
      <w:r>
        <w:rPr>
          <w:rFonts w:ascii="仿宋_GB2312" w:eastAsia="仿宋_GB2312"/>
          <w:color w:val="000000"/>
          <w:sz w:val="32"/>
          <w:szCs w:val="32"/>
        </w:rPr>
        <w:t>**</w:t>
      </w:r>
      <w:r>
        <w:rPr>
          <w:rFonts w:hint="eastAsia" w:ascii="仿宋_GB2312" w:eastAsia="仿宋_GB2312"/>
          <w:color w:val="000000"/>
          <w:sz w:val="32"/>
          <w:szCs w:val="32"/>
        </w:rPr>
        <w:t>万元。主要用于</w:t>
      </w:r>
      <w:r>
        <w:rPr>
          <w:rFonts w:ascii="仿宋_GB2312" w:eastAsia="仿宋_GB2312"/>
          <w:color w:val="000000"/>
          <w:sz w:val="32"/>
          <w:szCs w:val="32"/>
        </w:rPr>
        <w:t>…</w:t>
      </w:r>
      <w:r>
        <w:rPr>
          <w:rFonts w:hint="eastAsia" w:ascii="仿宋_GB2312" w:eastAsia="仿宋_GB2312"/>
          <w:color w:val="000000"/>
          <w:sz w:val="32"/>
          <w:szCs w:val="32"/>
        </w:rPr>
        <w:t>（具体工作）。授予中小企业合同金额</w:t>
      </w:r>
      <w:r>
        <w:rPr>
          <w:rFonts w:ascii="仿宋_GB2312" w:eastAsia="仿宋_GB2312"/>
          <w:color w:val="000000"/>
          <w:sz w:val="32"/>
          <w:szCs w:val="32"/>
        </w:rPr>
        <w:t>**</w:t>
      </w:r>
      <w:r>
        <w:rPr>
          <w:rFonts w:hint="eastAsia" w:ascii="仿宋_GB2312" w:eastAsia="仿宋_GB2312"/>
          <w:color w:val="000000"/>
          <w:sz w:val="32"/>
          <w:szCs w:val="32"/>
        </w:rPr>
        <w:t>万元，占政府采购支出总额的</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ascii="仿宋_GB2312" w:eastAsia="仿宋_GB2312"/>
          <w:color w:val="000000"/>
          <w:sz w:val="32"/>
          <w:szCs w:val="32"/>
        </w:rPr>
        <w:t>**</w:t>
      </w:r>
      <w:r>
        <w:rPr>
          <w:rFonts w:hint="eastAsia" w:ascii="仿宋_GB2312" w:eastAsia="仿宋_GB2312"/>
          <w:color w:val="000000"/>
          <w:sz w:val="32"/>
          <w:szCs w:val="32"/>
        </w:rPr>
        <w:t>万元，占政府采购支出总额的</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3" w:firstLineChars="200"/>
        <w:rPr>
          <w:rFonts w:ascii="仿宋" w:hAnsi="仿宋" w:eastAsia="仿宋"/>
          <w:b/>
          <w:color w:val="FF0000"/>
          <w:sz w:val="32"/>
          <w:szCs w:val="32"/>
        </w:rPr>
      </w:pPr>
      <w:r>
        <w:rPr>
          <w:rFonts w:hint="eastAsia" w:ascii="仿宋" w:hAnsi="仿宋" w:eastAsia="仿宋"/>
          <w:b/>
          <w:color w:val="FF0000"/>
          <w:sz w:val="32"/>
          <w:szCs w:val="32"/>
        </w:rPr>
        <w:t>（注：数据来源于财决附</w:t>
      </w:r>
      <w:r>
        <w:rPr>
          <w:rFonts w:ascii="仿宋" w:hAnsi="仿宋" w:eastAsia="仿宋"/>
          <w:b/>
          <w:color w:val="FF0000"/>
          <w:sz w:val="32"/>
          <w:szCs w:val="32"/>
        </w:rPr>
        <w:t>03</w:t>
      </w:r>
      <w:r>
        <w:rPr>
          <w:rFonts w:hint="eastAsia" w:ascii="仿宋" w:hAnsi="仿宋" w:eastAsia="仿宋"/>
          <w:b/>
          <w:color w:val="FF0000"/>
          <w:sz w:val="32"/>
          <w:szCs w:val="32"/>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ascii="仿宋_GB2312" w:eastAsia="仿宋_GB2312"/>
          <w:color w:val="000000"/>
          <w:sz w:val="32"/>
          <w:szCs w:val="32"/>
        </w:rPr>
        <w:t>***</w:t>
      </w:r>
      <w:r>
        <w:rPr>
          <w:rFonts w:hint="eastAsia" w:ascii="仿宋_GB2312" w:eastAsia="仿宋_GB2312"/>
          <w:color w:val="000000"/>
          <w:sz w:val="32"/>
          <w:szCs w:val="32"/>
        </w:rPr>
        <w:t>共有车辆</w:t>
      </w:r>
      <w:r>
        <w:rPr>
          <w:rFonts w:ascii="仿宋_GB2312" w:eastAsia="仿宋_GB2312"/>
          <w:color w:val="000000"/>
          <w:sz w:val="32"/>
          <w:szCs w:val="32"/>
        </w:rPr>
        <w:t>**</w:t>
      </w:r>
      <w:r>
        <w:rPr>
          <w:rFonts w:hint="eastAsia" w:ascii="仿宋_GB2312" w:eastAsia="仿宋_GB2312"/>
          <w:color w:val="000000"/>
          <w:sz w:val="32"/>
          <w:szCs w:val="32"/>
        </w:rPr>
        <w:t>辆，其中：主要领导干部用车</w:t>
      </w:r>
      <w:r>
        <w:rPr>
          <w:rFonts w:ascii="仿宋_GB2312" w:eastAsia="仿宋_GB2312"/>
          <w:color w:val="000000"/>
          <w:sz w:val="32"/>
          <w:szCs w:val="32"/>
        </w:rPr>
        <w:t>**</w:t>
      </w:r>
      <w:r>
        <w:rPr>
          <w:rFonts w:hint="eastAsia" w:ascii="仿宋_GB2312" w:eastAsia="仿宋_GB2312"/>
          <w:color w:val="000000"/>
          <w:sz w:val="32"/>
          <w:szCs w:val="32"/>
        </w:rPr>
        <w:t>辆、机要通信用车</w:t>
      </w:r>
      <w:r>
        <w:rPr>
          <w:rFonts w:ascii="仿宋_GB2312" w:eastAsia="仿宋_GB2312"/>
          <w:color w:val="000000"/>
          <w:sz w:val="32"/>
          <w:szCs w:val="32"/>
        </w:rPr>
        <w:t>**</w:t>
      </w:r>
      <w:r>
        <w:rPr>
          <w:rFonts w:hint="eastAsia" w:ascii="仿宋_GB2312" w:eastAsia="仿宋_GB2312"/>
          <w:color w:val="000000"/>
          <w:sz w:val="32"/>
          <w:szCs w:val="32"/>
        </w:rPr>
        <w:t>辆、应急保障用车</w:t>
      </w:r>
      <w:r>
        <w:rPr>
          <w:rFonts w:ascii="仿宋_GB2312" w:eastAsia="仿宋_GB2312"/>
          <w:color w:val="000000"/>
          <w:sz w:val="32"/>
          <w:szCs w:val="32"/>
        </w:rPr>
        <w:t>**</w:t>
      </w:r>
      <w:r>
        <w:rPr>
          <w:rFonts w:hint="eastAsia" w:ascii="仿宋_GB2312" w:eastAsia="仿宋_GB2312"/>
          <w:color w:val="000000"/>
          <w:sz w:val="32"/>
          <w:szCs w:val="32"/>
        </w:rPr>
        <w:t>辆、其他用车</w:t>
      </w:r>
      <w:r>
        <w:rPr>
          <w:rFonts w:ascii="仿宋_GB2312" w:eastAsia="仿宋_GB2312"/>
          <w:color w:val="000000"/>
          <w:sz w:val="32"/>
          <w:szCs w:val="32"/>
        </w:rPr>
        <w:t>**</w:t>
      </w:r>
      <w:r>
        <w:rPr>
          <w:rFonts w:hint="eastAsia" w:ascii="仿宋_GB2312" w:eastAsia="仿宋_GB2312"/>
          <w:color w:val="000000"/>
          <w:sz w:val="32"/>
          <w:szCs w:val="32"/>
        </w:rPr>
        <w:t>辆……</w:t>
      </w:r>
      <w:r>
        <w:rPr>
          <w:rFonts w:hint="eastAsia" w:ascii="仿宋_GB2312" w:eastAsia="仿宋_GB2312"/>
          <w:color w:val="000000" w:themeColor="text1"/>
          <w:sz w:val="32"/>
          <w:szCs w:val="32"/>
        </w:rPr>
        <w:t>其他用车主要是用于……单价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ascii="仿宋_GB2312" w:eastAsia="仿宋_GB2312"/>
          <w:color w:val="000000" w:themeColor="text1"/>
          <w:sz w:val="32"/>
          <w:szCs w:val="32"/>
        </w:rPr>
        <w:t>**</w:t>
      </w:r>
      <w:r>
        <w:rPr>
          <w:rFonts w:hint="eastAsia" w:ascii="仿宋_GB2312" w:eastAsia="仿宋_GB2312"/>
          <w:color w:val="000000" w:themeColor="text1"/>
          <w:sz w:val="32"/>
          <w:szCs w:val="32"/>
        </w:rPr>
        <w:t>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w:t>
      </w:r>
      <w:r>
        <w:rPr>
          <w:rFonts w:ascii="仿宋_GB2312" w:eastAsia="仿宋_GB2312"/>
          <w:color w:val="000000"/>
          <w:sz w:val="32"/>
          <w:szCs w:val="32"/>
        </w:rPr>
        <w:t>**</w:t>
      </w:r>
      <w:r>
        <w:rPr>
          <w:rFonts w:hint="eastAsia" w:ascii="仿宋_GB2312" w:eastAsia="仿宋_GB2312"/>
          <w:color w:val="000000"/>
          <w:sz w:val="32"/>
          <w:szCs w:val="32"/>
        </w:rPr>
        <w:t>台（套）。</w:t>
      </w:r>
      <w:r>
        <w:rPr>
          <w:rFonts w:hint="eastAsia" w:ascii="仿宋" w:hAnsi="仿宋" w:eastAsia="仿宋"/>
          <w:b/>
          <w:color w:val="FF0000"/>
          <w:sz w:val="32"/>
          <w:szCs w:val="32"/>
        </w:rPr>
        <w:t>（注：数据来源财决附</w:t>
      </w:r>
      <w:r>
        <w:rPr>
          <w:rFonts w:ascii="仿宋" w:hAnsi="仿宋" w:eastAsia="仿宋"/>
          <w:b/>
          <w:color w:val="FF0000"/>
          <w:sz w:val="32"/>
          <w:szCs w:val="32"/>
        </w:rPr>
        <w:t>03</w:t>
      </w:r>
      <w:r>
        <w:rPr>
          <w:rFonts w:hint="eastAsia" w:ascii="仿宋" w:hAnsi="仿宋" w:eastAsia="仿宋"/>
          <w:b/>
          <w:color w:val="FF0000"/>
          <w:sz w:val="32"/>
          <w:szCs w:val="32"/>
        </w:rPr>
        <w:t>表，按部门决算报表填报数据罗列车辆情况。）</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根据预算绩效管理要求，本单位在年初预算编制阶段，组织对我校2019年工资福利支出项目开展了预算事前绩效评估，编制了绩效目标，预算执行过程中，选取工资福利支出项目开展绩效监控。</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高度重视预算支出绩效评价工作，成立了以周卫民校长为组长，杨帆支部副书记为副组长，学校行政、后勤人员为成员的预算支出绩效评价领导小组，明确各办公室的评价责任，进一步强化各办公室对财政预算支出管理意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加强对国家、省级财政预算资金管理方面制度的学习培训，不断提高各单位的业务工作能力。及时组织后勤人员学习了2018年省县出台的培训费、会议费、外宾接待、因公出国、因公出国短期培训、差旅费、国内公务接待等7个管理办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 建立了单位支出管理方面的内控制度，并不断进行完善和修订。如：制定了《庙安乡中心校学校财务管理办法》及《庙安乡中心校食堂安全管理制度》、《庙安乡中心校改进作风厉行节约十条规定》、《庙安乡中心校三公经费和差旅费报销管理办法》等，对招待费、差旅费等支出进行了有效管控。</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 严格制度执行，特别是“三公”经费的预算控制。严格招待费用审核审批程序，“三公”经费较好地控制在预算范围之内。</w:t>
      </w: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工资福利支出</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宣汉县庙安乡中心校</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637.97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637.97</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637.97</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637.97</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1、实施九年制义务教育，促进基础教育发展 2、本着以人为本的目标，全面贯彻党的教育方针，推行素质教育，体现时代要求。 3、安全工作常抓不懈，认真学习各项法规政策，落实各级安全工作会议精神。 4、全力以赴抓教育教学常规，建立健全常规管理制度，完善常规管理办法，确保教学质量稳步提高。 5、落实环保教育，积极开展校园文化建设。 6、促进义务教育均衡发展，做好控辍保学、教育扶贫工作，不让每一个孩子因贫困而失学。</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按照预期目标已完成</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开展教育教学活动，保证辖区内每一个适龄儿童入学，完成教学目标任务。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所有适龄儿童必须接受义务教育，是国家予以保障的公益性事业。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所有适龄儿童接受义务教育。</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按质按量完成教育教学任务，促进教育均衡发展。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实施义务教育，提高全民素质。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实施义务教育，提高全民素质。</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按期完成教学任务和考核指标。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按照确定的教育教学内容和课程设置开展教育教学活动，按时完成教学任务和考核指标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按照确定的教育教学内容和课程设置开展教育教学活动，按时完成教学任务和考核。</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工资福利支出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637.97</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637.97</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严肃财经纪律，严格内控，加强管理，节能高效。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严格控制开支，保证学校正常运转。</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严格控制开支，保证学校正常运转。</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深入开展教育教学、教研活动，促进基础教育发展。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面向全体学生，教书育人，促进学生全面发展，提高全民素质。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面向全体学生，教书育人，促进学生全面发展，提高全民素质。</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生态效益指标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坚持以人为本，绿色发展理念。</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积极开展校园文化建设，落实环保教育。</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积极开展校园文化建设，落实环保教育。</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sz w:val="24"/>
              </w:rPr>
              <w:t>促进义务教育均衡发展。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面向全体学生，教书育人，促进义务教育的均衡发展。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面向全体学生，教书育人，促进义务教育的均衡发展。</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社会、家长、学生满意度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sz w:val="24"/>
              </w:rPr>
              <w:t>≧97%</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上级部门满意度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≧97%</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p>
        </w:tc>
      </w:tr>
      <w:tr>
        <w:tblPrEx>
          <w:tblCellMar>
            <w:top w:w="0" w:type="dxa"/>
            <w:left w:w="0" w:type="dxa"/>
            <w:bottom w:w="0" w:type="dxa"/>
            <w:right w:w="0" w:type="dxa"/>
          </w:tblCellMar>
        </w:tblPrEx>
        <w:trPr>
          <w:trHeight w:val="1050" w:hRule="atLeast"/>
          <w:jc w:val="center"/>
        </w:trPr>
        <w:tc>
          <w:tcPr>
            <w:tcW w:w="390"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相关部门和单位满意度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r>
              <w:rPr>
                <w:rFonts w:hint="eastAsia" w:ascii="宋体" w:hAnsi="宋体" w:cs="宋体"/>
                <w:kern w:val="0"/>
                <w:sz w:val="24"/>
              </w:rPr>
              <w:t>≧97%</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 w:val="24"/>
              </w:rPr>
            </w:pP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本部门按要求对2019年部门整体支出绩效评价情况开展自评，本部门自行组织对工资福利支出项目开展了绩效评价，圆满完成各项工作。</w:t>
      </w:r>
    </w:p>
    <w:p>
      <w:pPr>
        <w:spacing w:line="600" w:lineRule="exact"/>
        <w:ind w:firstLine="800" w:firstLineChars="250"/>
        <w:outlineLvl w:val="1"/>
        <w:rPr>
          <w:rStyle w:val="25"/>
          <w:rFonts w:ascii="黑体" w:hAnsi="黑体" w:eastAsia="黑体"/>
        </w:rPr>
      </w:pPr>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 xml:space="preserve">          无</w:t>
      </w: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24"/>
          <w:rFonts w:ascii="黑体" w:hAnsi="黑体" w:eastAsia="黑体"/>
          <w:b w:val="0"/>
        </w:rPr>
      </w:pPr>
      <w:bookmarkStart w:id="55" w:name="_Toc15396613"/>
      <w:bookmarkStart w:id="56" w:name="_Toc15377225"/>
      <w:r>
        <w:rPr>
          <w:rFonts w:hint="eastAsia" w:ascii="黑体" w:hAnsi="黑体" w:eastAsia="黑体"/>
          <w:color w:val="000000"/>
          <w:sz w:val="44"/>
          <w:szCs w:val="44"/>
        </w:rPr>
        <w:t>名</w:t>
      </w:r>
      <w:r>
        <w:rPr>
          <w:rStyle w:val="24"/>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9年政府收支分类科目》增减内容。）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2"/>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4"/>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8"/>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XX</w:t>
      </w:r>
      <w:r>
        <w:rPr>
          <w:rFonts w:hint="eastAsia" w:ascii="方正小标宋简体" w:hAnsi="宋体" w:eastAsia="方正小标宋简体"/>
          <w:color w:val="000000"/>
          <w:kern w:val="0"/>
          <w:sz w:val="40"/>
          <w:szCs w:val="44"/>
          <w:lang w:val="zh-CN"/>
        </w:rPr>
        <w:t>部门</w:t>
      </w: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spacing w:line="580"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（二）机构职能。</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（三）人员概况。</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（二）部门财政资金支出情况。</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包括部门绩效目标制定、目标实现、预算编制准确、支出控制、预算动态调整、执行进度、预算完成情况和违规记录等情况。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包括绩效自评公开、评价结果整改和应用结果反馈等情况。</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XXX</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1．说明项目主管部门（单位）在该项目管理中的职能。</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2．项目立项、资金申报的依据。</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3．资金管理办法制定情况，资金支持具体项目的条件、范围与支持方式概况。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4．资金分配的原则及考虑因素。</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1．项目主要内容。</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2．项目应实现的具体绩效目标，包括目标的量化、细化情况以及项目实施进度计划等。</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3．分析评价申报内容是否与实际相符，申报目标是否合理可行。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说明项目绩效自评采用的组织实施步骤及方法。</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说明项目资金申报、批复及预算调整等程序的相关情况。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1．资金计划。</w:t>
      </w:r>
      <w:r>
        <w:rPr>
          <w:rFonts w:hint="eastAsia" w:ascii="仿宋_GB2312" w:hAnsi="宋体" w:eastAsia="仿宋_GB2312"/>
          <w:sz w:val="32"/>
          <w:szCs w:val="32"/>
          <w:lang w:val="zh-CN"/>
        </w:rPr>
        <w:t>在说明该项目全省资金计划的基础上，分项目大类或市（州）分别说明各类资金计划情况，包括中央、省、市（州）、县（市、区）财政资金、项目单位自筹、其他渠道资金（包括银行贷款及其他资金等）。</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2．资金到位。</w:t>
      </w:r>
      <w:r>
        <w:rPr>
          <w:rFonts w:hint="eastAsia" w:ascii="仿宋_GB2312" w:hAnsi="宋体" w:eastAsia="仿宋_GB2312"/>
          <w:sz w:val="32"/>
          <w:szCs w:val="32"/>
          <w:lang w:val="zh-CN"/>
        </w:rPr>
        <w:t>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作出分析说明。</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3．资金使用。</w:t>
      </w:r>
      <w:r>
        <w:rPr>
          <w:rFonts w:hint="eastAsia" w:ascii="仿宋_GB2312" w:hAnsi="宋体" w:eastAsia="仿宋_GB2312"/>
          <w:sz w:val="32"/>
          <w:szCs w:val="32"/>
          <w:lang w:val="zh-CN"/>
        </w:rPr>
        <w:t>汇总统计截止评价时点该项目全省资金支出情况。在此基础上分项目大类或市（州）统计资金支出情况，并对资金使用的安全性、规范性及有效性进行重点分析，包括资金支付范围、支付标准、支付进度、支付依据等是否合规合法、是否与预算相符，并对自评中发现的相关问题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总体评价各项目实施单位财务管理制度是否健全，是否严格执行财务管理制度，账务处理是否及时，会计核算是否规范等。</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结合项目特点，总体评价各项目实施单位执行相关法律法规及项目管理制度等情况，如招投标、政府采购、项目公示制等相关规定。</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说明项目主管部门为加强项目管理所采取的监管手段、监管程序、监管工作开展情况及实现的效果等。</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eastAsia="仿宋_GB2312"/>
          <w:sz w:val="32"/>
          <w:szCs w:val="32"/>
          <w:lang w:val="zh-CN"/>
        </w:rPr>
        <w:t>包括项目完成数量、质量、时效、成本等情况，对照项目计划完成目标，对截止评价时点的任务量完成、质量标准、进度计划、成本控制目标的实现程度进行评价，并进行分析说明。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从项目经济效益、社会效益、生态效益、可持续效益以及服务对象满意度等方面对项目效益进行全面分析评价。</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结合项目自身特点、评价重点及管理办法等要求，围绕专项项目支出绩效评价指标体系对项目进行总体评价。</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结合自评情况，分析存在的问题及原因。</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针对项目自评中发现的问题，提出下一步改进完善的意见及有关政策性建议。</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24"/>
          <w:rFonts w:ascii="黑体" w:hAnsi="黑体" w:eastAsia="黑体"/>
          <w:b w:val="0"/>
        </w:rPr>
      </w:pPr>
    </w:p>
    <w:p>
      <w:pPr>
        <w:widowControl/>
        <w:jc w:val="left"/>
        <w:rPr>
          <w:rStyle w:val="24"/>
          <w:rFonts w:ascii="黑体" w:hAnsi="黑体" w:eastAsia="黑体"/>
          <w:b w:val="0"/>
        </w:rPr>
      </w:pPr>
      <w:r>
        <w:rPr>
          <w:rStyle w:val="24"/>
          <w:rFonts w:ascii="黑体" w:hAnsi="黑体" w:eastAsia="黑体"/>
          <w:b w:val="0"/>
        </w:rPr>
        <w:br w:type="page"/>
      </w:r>
    </w:p>
    <w:p>
      <w:pPr>
        <w:spacing w:line="600" w:lineRule="exact"/>
        <w:jc w:val="center"/>
        <w:outlineLvl w:val="0"/>
        <w:rPr>
          <w:rStyle w:val="24"/>
          <w:rFonts w:ascii="黑体" w:hAnsi="黑体" w:eastAsia="黑体"/>
          <w:b w:val="0"/>
        </w:rPr>
      </w:pPr>
    </w:p>
    <w:p>
      <w:pPr>
        <w:spacing w:line="600" w:lineRule="exact"/>
        <w:jc w:val="center"/>
        <w:outlineLvl w:val="0"/>
        <w:rPr>
          <w:rStyle w:val="24"/>
          <w:rFonts w:ascii="黑体" w:hAnsi="黑体" w:eastAsia="黑体"/>
          <w:b w:val="0"/>
        </w:rPr>
      </w:pPr>
      <w:bookmarkStart w:id="59"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7"/>
      <w:bookmarkEnd w:id="59"/>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0"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0"/>
    </w:p>
    <w:p>
      <w:pPr>
        <w:pStyle w:val="3"/>
        <w:rPr>
          <w:rFonts w:ascii="仿宋" w:hAnsi="仿宋" w:eastAsia="仿宋"/>
          <w:color w:val="000000"/>
        </w:rPr>
      </w:pPr>
      <w:bookmarkStart w:id="61"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61"/>
    </w:p>
    <w:p>
      <w:pPr>
        <w:pStyle w:val="3"/>
        <w:rPr>
          <w:rFonts w:ascii="仿宋" w:hAnsi="仿宋" w:eastAsia="仿宋"/>
          <w:color w:val="000000"/>
        </w:rPr>
      </w:pPr>
      <w:bookmarkStart w:id="62"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62"/>
    </w:p>
    <w:p>
      <w:pPr>
        <w:pStyle w:val="3"/>
        <w:rPr>
          <w:rFonts w:ascii="仿宋" w:hAnsi="仿宋" w:eastAsia="仿宋"/>
          <w:b w:val="0"/>
          <w:color w:val="000000"/>
        </w:rPr>
      </w:pPr>
      <w:bookmarkStart w:id="63"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3"/>
    </w:p>
    <w:p>
      <w:pPr>
        <w:pStyle w:val="3"/>
        <w:rPr>
          <w:rStyle w:val="25"/>
          <w:rFonts w:ascii="仿宋" w:hAnsi="仿宋" w:eastAsia="仿宋"/>
          <w:b w:val="0"/>
          <w:bCs w:val="0"/>
        </w:rPr>
      </w:pPr>
      <w:bookmarkStart w:id="64"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64"/>
      <w:bookmarkStart w:id="65" w:name="_Toc15396624"/>
    </w:p>
    <w:p>
      <w:pPr>
        <w:pStyle w:val="3"/>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5"/>
    </w:p>
    <w:p>
      <w:pPr>
        <w:pStyle w:val="3"/>
        <w:rPr>
          <w:rFonts w:ascii="仿宋" w:hAnsi="仿宋" w:eastAsia="仿宋"/>
          <w:color w:val="000000"/>
        </w:rPr>
      </w:pPr>
      <w:bookmarkStart w:id="66"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6"/>
    </w:p>
    <w:p>
      <w:pPr>
        <w:pStyle w:val="3"/>
        <w:rPr>
          <w:rFonts w:ascii="仿宋" w:hAnsi="仿宋" w:eastAsia="仿宋"/>
          <w:color w:val="000000"/>
        </w:rPr>
      </w:pPr>
      <w:bookmarkStart w:id="67"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7"/>
    </w:p>
    <w:p>
      <w:pPr>
        <w:pStyle w:val="3"/>
        <w:rPr>
          <w:rFonts w:ascii="仿宋" w:hAnsi="仿宋" w:eastAsia="仿宋"/>
          <w:color w:val="000000"/>
        </w:rPr>
      </w:pPr>
      <w:bookmarkStart w:id="68"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8"/>
    </w:p>
    <w:p>
      <w:pPr>
        <w:pStyle w:val="3"/>
        <w:rPr>
          <w:rFonts w:ascii="仿宋" w:hAnsi="仿宋" w:eastAsia="仿宋"/>
          <w:color w:val="000000"/>
        </w:rPr>
      </w:pPr>
      <w:bookmarkStart w:id="69"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9"/>
    </w:p>
    <w:p>
      <w:pPr>
        <w:pStyle w:val="3"/>
        <w:rPr>
          <w:rFonts w:ascii="仿宋" w:hAnsi="仿宋" w:eastAsia="仿宋"/>
          <w:color w:val="000000"/>
        </w:rPr>
      </w:pPr>
      <w:bookmarkStart w:id="70"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0"/>
    </w:p>
    <w:p>
      <w:pPr>
        <w:pStyle w:val="3"/>
        <w:rPr>
          <w:rFonts w:ascii="仿宋" w:hAnsi="仿宋" w:eastAsia="仿宋"/>
          <w:color w:val="000000"/>
        </w:rPr>
      </w:pPr>
      <w:bookmarkStart w:id="71"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1"/>
    </w:p>
    <w:p>
      <w:pPr>
        <w:pStyle w:val="3"/>
        <w:rPr>
          <w:rFonts w:ascii="仿宋" w:hAnsi="仿宋" w:eastAsia="仿宋"/>
          <w:color w:val="000000" w:themeColor="text1"/>
        </w:rPr>
      </w:pPr>
      <w:bookmarkStart w:id="72"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5</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02DE3"/>
    <w:rsid w:val="000222C6"/>
    <w:rsid w:val="0002549F"/>
    <w:rsid w:val="000370FA"/>
    <w:rsid w:val="000468DB"/>
    <w:rsid w:val="0006487A"/>
    <w:rsid w:val="00065F8F"/>
    <w:rsid w:val="00066DDB"/>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4BA6"/>
    <w:rsid w:val="0036561B"/>
    <w:rsid w:val="0036779F"/>
    <w:rsid w:val="0037013F"/>
    <w:rsid w:val="00380C92"/>
    <w:rsid w:val="003A484F"/>
    <w:rsid w:val="003A4883"/>
    <w:rsid w:val="003B0BE0"/>
    <w:rsid w:val="003B0C1B"/>
    <w:rsid w:val="003B5C41"/>
    <w:rsid w:val="003B688C"/>
    <w:rsid w:val="003C0291"/>
    <w:rsid w:val="003C39AE"/>
    <w:rsid w:val="003C5467"/>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1A9F"/>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E48BA"/>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95A6C"/>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24D5F"/>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3B6A"/>
    <w:rsid w:val="00A45BB7"/>
    <w:rsid w:val="00A55C96"/>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20620"/>
    <w:rsid w:val="00D22302"/>
    <w:rsid w:val="00D254F7"/>
    <w:rsid w:val="00D26091"/>
    <w:rsid w:val="00D2685C"/>
    <w:rsid w:val="00D34E7C"/>
    <w:rsid w:val="00D35489"/>
    <w:rsid w:val="00D36AFE"/>
    <w:rsid w:val="00D51276"/>
    <w:rsid w:val="00D7035F"/>
    <w:rsid w:val="00DA634F"/>
    <w:rsid w:val="00DA65AC"/>
    <w:rsid w:val="00DA7C55"/>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64DFF"/>
    <w:rsid w:val="00F754A1"/>
    <w:rsid w:val="00F81FD9"/>
    <w:rsid w:val="00F841AA"/>
    <w:rsid w:val="00F84A94"/>
    <w:rsid w:val="00F87E96"/>
    <w:rsid w:val="00FA23E8"/>
    <w:rsid w:val="00FD3CC1"/>
    <w:rsid w:val="00FE5FBD"/>
    <w:rsid w:val="00FF1E02"/>
    <w:rsid w:val="00FF30B4"/>
    <w:rsid w:val="04D90FB0"/>
    <w:rsid w:val="10C055FF"/>
    <w:rsid w:val="16BB723D"/>
    <w:rsid w:val="240371BF"/>
    <w:rsid w:val="29FD04D3"/>
    <w:rsid w:val="319F7F4E"/>
    <w:rsid w:val="4ECE2238"/>
    <w:rsid w:val="68A05929"/>
    <w:rsid w:val="72734D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0">
    <w:name w:val="content_txt"/>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emf"/><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ED5CA9-CF39-445D-9608-AFE240E81EC3}">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26</Pages>
  <Words>1437</Words>
  <Characters>8194</Characters>
  <Lines>68</Lines>
  <Paragraphs>19</Paragraphs>
  <TotalTime>659</TotalTime>
  <ScaleCrop>false</ScaleCrop>
  <LinksUpToDate>false</LinksUpToDate>
  <CharactersWithSpaces>9612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asus</cp:lastModifiedBy>
  <cp:lastPrinted>2020-07-23T02:58:00Z</cp:lastPrinted>
  <dcterms:modified xsi:type="dcterms:W3CDTF">2020-11-11T07:44:39Z</dcterms:modified>
  <dc:title>四川省***</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