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597"/>
      <w:bookmarkStart w:id="4" w:name="_Toc15378441"/>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96476"/>
      <w:bookmarkStart w:id="8" w:name="_Toc15377426"/>
      <w:bookmarkStart w:id="9" w:name="_Toc15396598"/>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宣汉县双河镇</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11 </w:t>
      </w:r>
      <w:r>
        <w:rPr>
          <w:rFonts w:hint="eastAsia"/>
        </w:rPr>
        <w:t>月</w:t>
      </w:r>
      <w:r>
        <w:rPr>
          <w:rFonts w:hint="eastAsia"/>
          <w:lang w:val="en-US" w:eastAsia="zh-CN"/>
        </w:rPr>
        <w:t xml:space="preserve">12 </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19</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22</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29</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560" w:firstLineChars="200"/>
        <w:jc w:val="left"/>
        <w:rPr>
          <w:rFonts w:ascii="仿宋" w:hAnsi="仿宋" w:eastAsia="仿宋"/>
          <w:sz w:val="28"/>
          <w:szCs w:val="28"/>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7199"/>
      <w:bookmarkStart w:id="15" w:name="_Toc15378446"/>
      <w:r>
        <w:rPr>
          <w:rFonts w:hint="eastAsia" w:ascii="黑体" w:hAnsi="黑体" w:eastAsia="黑体"/>
          <w:b w:val="0"/>
          <w:color w:val="000000"/>
        </w:rPr>
        <w:t>一、基</w:t>
      </w:r>
      <w:r>
        <w:rPr>
          <w:rStyle w:val="25"/>
          <w:rFonts w:hint="eastAsia" w:ascii="黑体" w:hAnsi="黑体" w:eastAsia="黑体"/>
          <w:b w:val="0"/>
          <w:bCs w:val="0"/>
        </w:rPr>
        <w:t>本职能及主要工作</w:t>
      </w:r>
    </w:p>
    <w:p>
      <w:pPr>
        <w:pStyle w:val="5"/>
        <w:adjustRightInd w:val="0"/>
        <w:snapToGrid w:val="0"/>
        <w:spacing w:before="93" w:line="600" w:lineRule="exact"/>
        <w:ind w:firstLine="640" w:firstLineChars="20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w:t>
      </w:r>
      <w:r>
        <w:rPr>
          <w:rFonts w:hint="eastAsia" w:ascii="仿宋" w:hAnsi="仿宋" w:eastAsia="仿宋"/>
          <w:bCs/>
          <w:color w:val="000000"/>
          <w:sz w:val="32"/>
          <w:szCs w:val="32"/>
          <w:lang w:val="en-US" w:eastAsia="zh-CN"/>
        </w:rPr>
        <w:t>)</w:t>
      </w:r>
      <w:r>
        <w:rPr>
          <w:rFonts w:hint="eastAsia" w:ascii="仿宋_GB2312" w:hAnsi="仿宋_GB2312" w:eastAsia="仿宋_GB2312" w:cs="仿宋_GB2312"/>
          <w:bCs/>
          <w:color w:val="000000"/>
          <w:sz w:val="32"/>
          <w:szCs w:val="32"/>
          <w:highlight w:val="none"/>
        </w:rPr>
        <w:t>主要职能</w:t>
      </w:r>
      <w:r>
        <w:rPr>
          <w:rFonts w:hint="eastAsia" w:ascii="仿宋_GB2312" w:hAnsi="仿宋_GB2312" w:eastAsia="仿宋_GB2312" w:cs="仿宋_GB2312"/>
          <w:bCs/>
          <w:color w:val="000000"/>
          <w:sz w:val="32"/>
          <w:szCs w:val="32"/>
          <w:highlight w:val="none"/>
          <w:lang w:eastAsia="zh-CN"/>
        </w:rPr>
        <w:t>：一是落实政策。宣传、落实好党的路线、方针、政策和国家的法律、法规，稳定农村基本经济制度，坚持依法行政，推进政务公开，加强对村民委员会的指导，提高、培育村民委员会自治能力。二是促进发展。科学制订发展规划，加强农村市场监督。搞活市场流通。推广农业技术。完善农业社会化体系，引导农民发展现代农业。调整产业结构，加强农村劳动力技能培训，引导农村劳动力转移和就业，不断提高社会主义新农村建设水平。三是维护稳定。要坚持“立党为公，执政为民”。要加强和巩固农村基层政权建设和民主法制建设，加强社会治安综合治理，加强对突发事件的预警和管理，建立、健全各种应急机制，开展农村扶贫和社会救助，切实保障农民合法权益，维护农村社会稳定。四是加强管理。加强民政、教育、科技、文化、卫生、人口和计划生育、安全生产、劳动保障、农林牧水和乡村规划等社会管理，加强社会主义精神文明建设，做好防灾减灾工作，加强环境保护，努力改善农村人居环境，不断提高农村人口素质和农民生活质量。五是提供服务。进一步发展和完善农业社会化服务体系，打造政务服务平台，主动为基层群众提供周到便捷的服务，引导各类协会和农村</w:t>
      </w:r>
      <w:r>
        <w:rPr>
          <w:rFonts w:hint="eastAsia" w:ascii="仿宋_GB2312" w:hAnsi="仿宋_GB2312" w:eastAsia="仿宋_GB2312" w:cs="仿宋_GB2312"/>
          <w:bCs/>
          <w:color w:val="000000"/>
          <w:sz w:val="32"/>
          <w:szCs w:val="32"/>
          <w:highlight w:val="none"/>
          <w:lang w:val="en-US" w:eastAsia="zh-CN"/>
        </w:rPr>
        <w:t>专业合作经济组织发展并充分发挥其作用，发展农村社会公益事业，加强农村基础设施建设，增加公益产品，提供政策、科技、市场信息和社会救济、救助服务，及时向上级党委、政府反映社情民意，进</w:t>
      </w:r>
      <w:r>
        <w:rPr>
          <w:rFonts w:hint="eastAsia" w:ascii="仿宋" w:hAnsi="仿宋" w:eastAsia="仿宋"/>
          <w:bCs/>
          <w:color w:val="000000"/>
          <w:sz w:val="32"/>
          <w:szCs w:val="32"/>
        </w:rPr>
        <w:t>方案）</w:t>
      </w:r>
      <w:bookmarkEnd w:id="16"/>
      <w:bookmarkEnd w:id="17"/>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4"/>
      <w:bookmarkEnd w:id="15"/>
    </w:p>
    <w:p>
      <w:pPr>
        <w:pStyle w:val="5"/>
        <w:adjustRightInd w:val="0"/>
        <w:snapToGrid w:val="0"/>
        <w:spacing w:before="93" w:line="600" w:lineRule="exact"/>
        <w:ind w:firstLine="672" w:firstLineChars="210"/>
        <w:outlineLvl w:val="2"/>
        <w:rPr>
          <w:rFonts w:hint="default" w:ascii="仿宋" w:hAnsi="仿宋" w:eastAsia="仿宋"/>
          <w:bCs/>
          <w:color w:val="000000"/>
          <w:sz w:val="32"/>
          <w:szCs w:val="32"/>
          <w:lang w:val="en-US"/>
        </w:rPr>
      </w:pPr>
      <w:r>
        <w:rPr>
          <w:rFonts w:hint="eastAsia" w:ascii="仿宋_GB2312" w:hAnsi="仿宋_GB2312" w:eastAsia="仿宋_GB2312" w:cs="仿宋_GB2312"/>
          <w:kern w:val="0"/>
          <w:sz w:val="32"/>
          <w:szCs w:val="32"/>
          <w:highlight w:val="none"/>
          <w:lang w:val="en-US" w:eastAsia="zh-CN" w:bidi="ar"/>
        </w:rPr>
        <w:t>重点建设抢进度，形成经济发展强大动力</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一年来，</w:t>
      </w:r>
      <w:r>
        <w:rPr>
          <w:rFonts w:hint="eastAsia" w:hAnsi="仿宋_GB2312" w:cs="仿宋_GB2312"/>
          <w:kern w:val="0"/>
          <w:sz w:val="32"/>
          <w:szCs w:val="32"/>
          <w:highlight w:val="none"/>
          <w:lang w:val="en-US" w:eastAsia="zh-CN" w:bidi="ar"/>
        </w:rPr>
        <w:t>镇</w:t>
      </w:r>
      <w:r>
        <w:rPr>
          <w:rFonts w:hint="eastAsia" w:ascii="仿宋_GB2312" w:hAnsi="仿宋_GB2312" w:eastAsia="仿宋_GB2312" w:cs="仿宋_GB2312"/>
          <w:kern w:val="0"/>
          <w:sz w:val="32"/>
          <w:szCs w:val="32"/>
          <w:highlight w:val="none"/>
          <w:lang w:val="en-US" w:eastAsia="zh-CN" w:bidi="ar"/>
        </w:rPr>
        <w:t>政府一班人在镇党委的领导下，加强协调、狠抓发展，全镇重点建设推进有力，“硬实力”明显提高。</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——协调服务工作成效显著。全面配合企地关系和谐发展，不断强化重大项目协调服务工作，切实解决发生在本地的各类矛盾纠纷，经济发展软环境建设机制不断完善</w:t>
      </w:r>
      <w:r>
        <w:rPr>
          <w:rFonts w:hint="eastAsia" w:hAnsi="仿宋_GB2312" w:cs="仿宋_GB2312"/>
          <w:kern w:val="0"/>
          <w:sz w:val="32"/>
          <w:szCs w:val="32"/>
          <w:highlight w:val="none"/>
          <w:lang w:val="en-US" w:eastAsia="zh-CN" w:bidi="ar"/>
        </w:rPr>
        <w:t>.</w:t>
      </w:r>
    </w:p>
    <w:p>
      <w:pPr>
        <w:pStyle w:val="3"/>
        <w:rPr>
          <w:rStyle w:val="25"/>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p>
    <w:p>
      <w:pPr>
        <w:pStyle w:val="5"/>
        <w:adjustRightInd w:val="0"/>
        <w:snapToGrid w:val="0"/>
        <w:spacing w:line="600" w:lineRule="exact"/>
        <w:ind w:firstLine="672" w:firstLineChars="210"/>
        <w:rPr>
          <w:rFonts w:hint="eastAsia"/>
          <w:color w:val="000000"/>
          <w:sz w:val="32"/>
          <w:szCs w:val="32"/>
        </w:rPr>
      </w:pPr>
      <w:r>
        <w:rPr>
          <w:rFonts w:hint="eastAsia"/>
          <w:color w:val="000000"/>
          <w:sz w:val="32"/>
          <w:szCs w:val="32"/>
          <w:lang w:eastAsia="zh-CN"/>
        </w:rPr>
        <w:t>双河镇</w:t>
      </w:r>
      <w:r>
        <w:rPr>
          <w:rFonts w:hint="eastAsia"/>
          <w:color w:val="000000"/>
          <w:sz w:val="32"/>
          <w:szCs w:val="32"/>
        </w:rPr>
        <w:t>下属二级单位</w:t>
      </w:r>
      <w:r>
        <w:rPr>
          <w:rFonts w:hint="eastAsia"/>
          <w:color w:val="000000"/>
          <w:sz w:val="32"/>
          <w:szCs w:val="32"/>
          <w:lang w:val="en-US" w:eastAsia="zh-CN"/>
        </w:rPr>
        <w:t>2</w:t>
      </w:r>
      <w:r>
        <w:rPr>
          <w:rFonts w:hint="eastAsia"/>
          <w:color w:val="000000"/>
          <w:sz w:val="32"/>
          <w:szCs w:val="32"/>
        </w:rPr>
        <w:t>个，其中行政单位</w:t>
      </w:r>
      <w:r>
        <w:rPr>
          <w:rFonts w:hint="eastAsia"/>
          <w:color w:val="000000"/>
          <w:sz w:val="32"/>
          <w:szCs w:val="32"/>
          <w:lang w:val="en-US" w:eastAsia="zh-CN"/>
        </w:rPr>
        <w:t>1</w:t>
      </w:r>
      <w:r>
        <w:rPr>
          <w:rFonts w:hint="eastAsia"/>
          <w:color w:val="000000"/>
          <w:sz w:val="32"/>
          <w:szCs w:val="32"/>
        </w:rPr>
        <w:t>个，参照公务员法管理的事业单位</w:t>
      </w:r>
      <w:r>
        <w:rPr>
          <w:rFonts w:hint="eastAsia"/>
          <w:bCs/>
          <w:color w:val="000000"/>
          <w:sz w:val="32"/>
          <w:szCs w:val="32"/>
          <w:lang w:val="en-US" w:eastAsia="zh-CN"/>
        </w:rPr>
        <w:t>0</w:t>
      </w:r>
      <w:r>
        <w:rPr>
          <w:rFonts w:hint="eastAsia"/>
          <w:color w:val="000000"/>
          <w:sz w:val="32"/>
          <w:szCs w:val="32"/>
        </w:rPr>
        <w:t>个，其他事业单位</w:t>
      </w:r>
      <w:r>
        <w:rPr>
          <w:rFonts w:hint="eastAsia"/>
          <w:color w:val="000000"/>
          <w:sz w:val="32"/>
          <w:szCs w:val="32"/>
          <w:lang w:val="en-US" w:eastAsia="zh-CN"/>
        </w:rPr>
        <w:t>1</w:t>
      </w:r>
      <w:r>
        <w:rPr>
          <w:rFonts w:hint="eastAsia"/>
          <w:color w:val="000000"/>
          <w:sz w:val="32"/>
          <w:szCs w:val="32"/>
        </w:rPr>
        <w:t>个。</w:t>
      </w:r>
    </w:p>
    <w:p>
      <w:pPr>
        <w:pStyle w:val="5"/>
        <w:adjustRightInd w:val="0"/>
        <w:snapToGrid w:val="0"/>
        <w:spacing w:before="93" w:line="600" w:lineRule="exact"/>
        <w:ind w:firstLine="672" w:firstLineChars="210"/>
        <w:rPr>
          <w:rFonts w:hint="eastAsia" w:ascii="仿宋" w:hAnsi="仿宋" w:eastAsia="仿宋"/>
          <w:color w:val="000000"/>
          <w:sz w:val="32"/>
          <w:szCs w:val="32"/>
          <w:lang w:eastAsia="zh-CN"/>
        </w:rPr>
      </w:pPr>
      <w:r>
        <w:rPr>
          <w:rFonts w:hint="eastAsia" w:ascii="仿宋" w:hAnsi="仿宋" w:eastAsia="仿宋"/>
          <w:color w:val="000000"/>
          <w:sz w:val="32"/>
          <w:szCs w:val="32"/>
        </w:rPr>
        <w:t>纳入</w:t>
      </w:r>
      <w:r>
        <w:rPr>
          <w:rFonts w:hint="eastAsia"/>
          <w:color w:val="000000"/>
          <w:sz w:val="32"/>
          <w:szCs w:val="32"/>
          <w:lang w:eastAsia="zh-CN"/>
        </w:rPr>
        <w:t>双河镇</w:t>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年度部门决算编制范围的二级预算单位包括</w:t>
      </w:r>
      <w:r>
        <w:rPr>
          <w:rFonts w:hint="eastAsia" w:ascii="仿宋" w:hAnsi="仿宋" w:eastAsia="仿宋"/>
          <w:color w:val="000000"/>
          <w:sz w:val="32"/>
          <w:szCs w:val="32"/>
          <w:lang w:eastAsia="zh-CN"/>
        </w:rPr>
        <w:t>：无</w:t>
      </w:r>
    </w:p>
    <w:p>
      <w:pPr>
        <w:widowControl/>
        <w:ind w:firstLine="1080" w:firstLineChars="300"/>
        <w:jc w:val="left"/>
        <w:rPr>
          <w:rStyle w:val="24"/>
          <w:rFonts w:hint="eastAsia" w:ascii="微软雅黑" w:hAnsi="微软雅黑" w:eastAsia="微软雅黑" w:cs="微软雅黑"/>
          <w:b w:val="0"/>
          <w:bCs w:val="0"/>
          <w:sz w:val="36"/>
          <w:szCs w:val="36"/>
        </w:rPr>
      </w:pPr>
      <w:bookmarkStart w:id="18" w:name="_Toc15377204"/>
      <w:bookmarkStart w:id="19" w:name="_Toc15396602"/>
      <w:r>
        <w:rPr>
          <w:rFonts w:hint="eastAsia" w:ascii="微软雅黑" w:hAnsi="微软雅黑" w:eastAsia="微软雅黑" w:cs="微软雅黑"/>
          <w:b w:val="0"/>
          <w:color w:val="000000"/>
          <w:sz w:val="36"/>
          <w:szCs w:val="36"/>
          <w:lang w:eastAsia="zh-CN"/>
        </w:rPr>
        <w:t>第二部份</w:t>
      </w:r>
      <w:r>
        <w:rPr>
          <w:rStyle w:val="24"/>
          <w:rFonts w:hint="eastAsia" w:ascii="微软雅黑" w:hAnsi="微软雅黑" w:eastAsia="微软雅黑" w:cs="微软雅黑"/>
          <w:b w:val="0"/>
          <w:bCs w:val="0"/>
          <w:sz w:val="36"/>
          <w:szCs w:val="36"/>
        </w:rPr>
        <w:t>2019年度部门决算情况说明</w:t>
      </w:r>
      <w:bookmarkEnd w:id="18"/>
      <w:bookmarkEnd w:id="19"/>
    </w:p>
    <w:p/>
    <w:p>
      <w:pPr>
        <w:pStyle w:val="23"/>
        <w:numPr>
          <w:ilvl w:val="0"/>
          <w:numId w:val="0"/>
        </w:numPr>
        <w:spacing w:line="600" w:lineRule="exact"/>
        <w:ind w:left="640" w:leftChars="0"/>
        <w:outlineLvl w:val="1"/>
        <w:rPr>
          <w:rStyle w:val="25"/>
          <w:rFonts w:ascii="黑体" w:hAnsi="黑体" w:eastAsia="黑体"/>
          <w:b w:val="0"/>
        </w:rPr>
      </w:pPr>
      <w:bookmarkStart w:id="20" w:name="_Toc15377205"/>
      <w:bookmarkStart w:id="21" w:name="_Toc15396603"/>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1214.13</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865.32</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31.24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基金预算减少等。</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bookmarkStart w:id="69" w:name="_GoBack"/>
      <w:r>
        <w:rPr>
          <w:rFonts w:hint="eastAsia" w:ascii="仿宋" w:hAnsi="仿宋" w:eastAsia="仿宋"/>
          <w:color w:val="000000" w:themeColor="text1"/>
          <w:sz w:val="32"/>
          <w:szCs w:val="32"/>
          <w:lang w:eastAsia="zh-CN"/>
        </w:rPr>
        <w:drawing>
          <wp:anchor distT="0" distB="0" distL="114300" distR="114300" simplePos="0" relativeHeight="251910144" behindDoc="0" locked="0" layoutInCell="1" allowOverlap="1">
            <wp:simplePos x="0" y="0"/>
            <wp:positionH relativeFrom="column">
              <wp:posOffset>95250</wp:posOffset>
            </wp:positionH>
            <wp:positionV relativeFrom="paragraph">
              <wp:posOffset>182245</wp:posOffset>
            </wp:positionV>
            <wp:extent cx="5213350" cy="3933825"/>
            <wp:effectExtent l="4445" t="4445" r="20955" b="508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bookmarkEnd w:id="69"/>
    </w:p>
    <w:p>
      <w:pPr>
        <w:spacing w:line="600" w:lineRule="exact"/>
        <w:ind w:firstLine="640" w:firstLineChars="200"/>
        <w:jc w:val="left"/>
        <w:rPr>
          <w:rFonts w:ascii="仿宋_GB2312" w:eastAsia="仿宋_GB2312"/>
          <w:color w:val="000000"/>
          <w:sz w:val="32"/>
          <w:szCs w:val="32"/>
        </w:rPr>
      </w:pPr>
    </w:p>
    <w:p>
      <w:pPr>
        <w:pStyle w:val="23"/>
        <w:numPr>
          <w:ilvl w:val="0"/>
          <w:numId w:val="0"/>
        </w:numPr>
        <w:spacing w:line="600" w:lineRule="exact"/>
        <w:ind w:left="640" w:leftChars="0"/>
        <w:outlineLvl w:val="1"/>
        <w:rPr>
          <w:rStyle w:val="25"/>
          <w:rFonts w:ascii="黑体" w:hAnsi="黑体" w:eastAsia="黑体"/>
          <w:b w:val="0"/>
        </w:rPr>
      </w:pPr>
      <w:bookmarkStart w:id="22" w:name="_Toc15396604"/>
      <w:bookmarkStart w:id="23" w:name="_Toc15377206"/>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outlineLvl w:val="1"/>
        <w:rPr>
          <w:rStyle w:val="25"/>
          <w:rFonts w:ascii="黑体" w:hAnsi="黑体" w:eastAsia="黑体"/>
          <w:b w:val="0"/>
        </w:rPr>
      </w:pPr>
    </w:p>
    <w:p>
      <w:pPr>
        <w:pStyle w:val="23"/>
        <w:numPr>
          <w:ilvl w:val="0"/>
          <w:numId w:val="0"/>
        </w:numPr>
        <w:spacing w:line="600" w:lineRule="exact"/>
        <w:outlineLvl w:val="1"/>
        <w:rPr>
          <w:rStyle w:val="25"/>
          <w:rFonts w:ascii="黑体" w:hAnsi="黑体" w:eastAsia="黑体"/>
          <w:b w:val="0"/>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1214.13</w:t>
      </w:r>
      <w:r>
        <w:rPr>
          <w:rFonts w:hint="eastAsia" w:ascii="仿宋" w:hAnsi="仿宋" w:eastAsia="仿宋"/>
          <w:color w:val="000000"/>
          <w:sz w:val="32"/>
          <w:szCs w:val="32"/>
        </w:rPr>
        <w:t>万元，其中：一般公共预算财政拨款收入1139.75万元，占</w:t>
      </w:r>
      <w:r>
        <w:rPr>
          <w:rFonts w:hint="eastAsia" w:ascii="仿宋" w:hAnsi="仿宋" w:eastAsia="仿宋"/>
          <w:color w:val="000000"/>
          <w:sz w:val="32"/>
          <w:szCs w:val="32"/>
          <w:lang w:val="en-US" w:eastAsia="zh-CN"/>
        </w:rPr>
        <w:t>93.88</w:t>
      </w:r>
      <w:r>
        <w:rPr>
          <w:rFonts w:ascii="仿宋" w:hAnsi="仿宋" w:eastAsia="仿宋"/>
          <w:color w:val="000000"/>
          <w:sz w:val="32"/>
          <w:szCs w:val="32"/>
        </w:rPr>
        <w:t>%</w:t>
      </w:r>
      <w:r>
        <w:rPr>
          <w:rFonts w:hint="eastAsia" w:ascii="仿宋" w:hAnsi="仿宋" w:eastAsia="仿宋"/>
          <w:color w:val="000000"/>
          <w:sz w:val="32"/>
          <w:szCs w:val="32"/>
        </w:rPr>
        <w:t>；政府性基金预算财政拨款收入74.38万元，占</w:t>
      </w:r>
      <w:r>
        <w:rPr>
          <w:rFonts w:hint="eastAsia" w:ascii="仿宋" w:hAnsi="仿宋" w:eastAsia="仿宋"/>
          <w:color w:val="000000"/>
          <w:sz w:val="32"/>
          <w:szCs w:val="32"/>
          <w:lang w:val="en-US" w:eastAsia="zh-CN"/>
        </w:rPr>
        <w:t>6.12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1280" w:firstLineChars="4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1280" w:firstLineChars="400"/>
        <w:rPr>
          <w:rFonts w:hint="eastAsia" w:ascii="仿宋" w:hAnsi="仿宋" w:eastAsia="仿宋"/>
          <w:color w:val="000000" w:themeColor="text1"/>
          <w:sz w:val="32"/>
          <w:szCs w:val="32"/>
        </w:rPr>
      </w:pPr>
      <w:r>
        <w:rPr>
          <w:rFonts w:ascii="仿宋_GB2312" w:eastAsia="仿宋_GB2312"/>
          <w:color w:val="000000"/>
          <w:sz w:val="32"/>
          <w:szCs w:val="32"/>
        </w:rPr>
        <w:pict>
          <v:shape id="_x0000_s1027" o:spid="_x0000_s1027" o:spt="75" type="#_x0000_t75" style="position:absolute;left:0pt;margin-left:64.4pt;margin-top:0.45pt;height:166.2pt;width:250.8pt;z-index:251915264;mso-width-relative:page;mso-height-relative:page;" o:ole="t" filled="f" o:preferrelative="t" stroked="f" coordsize="21600,21600">
            <v:path/>
            <v:fill on="f" focussize="0,0"/>
            <v:stroke on="f"/>
            <v:imagedata r:id="rId8" o:title=""/>
            <o:lock v:ext="edit" aspectratio="t"/>
          </v:shape>
          <o:OLEObject Type="Embed" ProgID="MSGraph.Chart.8" ShapeID="_x0000_s1027" DrawAspect="Content" ObjectID="_1468075725" r:id="rId7">
            <o:LockedField>false</o:LockedField>
          </o:OLEObject>
        </w:pict>
      </w: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pStyle w:val="23"/>
        <w:numPr>
          <w:ilvl w:val="0"/>
          <w:numId w:val="0"/>
        </w:numPr>
        <w:spacing w:line="600" w:lineRule="exact"/>
        <w:outlineLvl w:val="1"/>
        <w:rPr>
          <w:rStyle w:val="25"/>
          <w:rFonts w:ascii="黑体" w:hAnsi="黑体" w:eastAsia="黑体"/>
          <w:b w:val="0"/>
        </w:rPr>
      </w:pPr>
      <w:bookmarkStart w:id="24" w:name="_Toc15377207"/>
      <w:bookmarkStart w:id="25" w:name="_Toc15396605"/>
      <w:r>
        <w:rPr>
          <w:rFonts w:hint="eastAsia" w:ascii="黑体" w:hAnsi="黑体" w:eastAsia="黑体"/>
          <w:color w:val="000000"/>
          <w:sz w:val="32"/>
          <w:szCs w:val="32"/>
          <w:lang w:eastAsia="zh-CN"/>
        </w:rPr>
        <w:t>二、</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1214.13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736.21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60.63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477.92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39.37</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hint="eastAsia" w:ascii="仿宋" w:hAnsi="仿宋" w:eastAsia="仿宋"/>
          <w:color w:val="000000" w:themeColor="text1"/>
          <w:sz w:val="32"/>
          <w:szCs w:val="32"/>
        </w:rPr>
      </w:pPr>
      <w:r>
        <w:rPr>
          <w:rFonts w:ascii="仿宋_GB2312" w:eastAsia="仿宋_GB2312"/>
          <w:color w:val="000000"/>
          <w:sz w:val="32"/>
          <w:szCs w:val="32"/>
        </w:rPr>
        <w:pict>
          <v:shape id="_x0000_s1028" o:spid="_x0000_s1028" o:spt="75" type="#_x0000_t75" style="position:absolute;left:0pt;margin-left:44.15pt;margin-top:5.6pt;height:175.2pt;width:293.95pt;z-index:251922432;mso-width-relative:page;mso-height-relative:page;" o:ole="t" filled="f" o:preferrelative="t" stroked="f" coordsize="21600,21600">
            <v:path/>
            <v:fill on="f" focussize="0,0"/>
            <v:stroke on="f"/>
            <v:imagedata r:id="rId10" o:title=""/>
            <o:lock v:ext="edit" aspectratio="t"/>
          </v:shape>
          <o:OLEObject Type="Embed" ProgID="MSGraph.Chart.8" ShapeID="_x0000_s1028" DrawAspect="Content" ObjectID="_1468075726" r:id="rId9">
            <o:LockedField>false</o:LockedField>
          </o:OLEObject>
        </w:pic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26" w:name="_Toc15377208"/>
      <w:bookmarkStart w:id="27" w:name="_Toc15396606"/>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6"/>
      <w:bookmarkEnd w:id="2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1214.13</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1472.78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54.81</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基金预算减少等。</w:t>
      </w:r>
    </w:p>
    <w:p>
      <w:pPr>
        <w:spacing w:line="600" w:lineRule="exact"/>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pict>
          <v:shape id="_x0000_s1029" o:spid="_x0000_s1029" o:spt="75" type="#_x0000_t75" style="position:absolute;left:0pt;margin-left:49.25pt;margin-top:25.6pt;height:169pt;width:312.25pt;z-index:252129280;mso-width-relative:page;mso-height-relative:page;" o:ole="t" fillcolor="#FFFFFF" filled="t" o:preferrelative="t" stroked="f" coordsize="21600,21600">
            <v:path/>
            <v:fill on="t" color2="#FFFFFF" focussize="0,0"/>
            <v:stroke on="f"/>
            <v:imagedata r:id="rId12" o:title=""/>
            <o:lock v:ext="edit" aspectratio="t"/>
          </v:shape>
          <o:OLEObject Type="Embed" ProgID="Excel.Chart.8" ShapeID="_x0000_s1029" DrawAspect="Content" ObjectID="_1468075727" r:id="rId11">
            <o:LockedField>false</o:LockedField>
          </o:OLEObject>
        </w:pict>
      </w:r>
      <w:r>
        <w:rPr>
          <w:rFonts w:hint="eastAsia" w:ascii="仿宋" w:hAnsi="仿宋" w:eastAsia="仿宋"/>
          <w:color w:val="000000" w:themeColor="text1"/>
          <w:sz w:val="32"/>
          <w:szCs w:val="32"/>
        </w:rPr>
        <w:t>（图4：财政拨款收、支决算总计变动情况）（柱状图）</w:t>
      </w:r>
    </w:p>
    <w:p>
      <w:pPr>
        <w:spacing w:line="600" w:lineRule="exact"/>
        <w:ind w:firstLine="320" w:firstLineChars="100"/>
        <w:rPr>
          <w:rFonts w:hint="eastAsia" w:ascii="仿宋" w:hAnsi="仿宋" w:eastAsia="仿宋"/>
          <w:color w:val="000000" w:themeColor="text1"/>
          <w:sz w:val="32"/>
          <w:szCs w:val="32"/>
        </w:rPr>
      </w:pPr>
    </w:p>
    <w:p>
      <w:pPr>
        <w:spacing w:line="600" w:lineRule="exact"/>
        <w:ind w:firstLine="320" w:firstLineChars="100"/>
        <w:rPr>
          <w:rFonts w:hint="eastAsia" w:ascii="仿宋" w:hAnsi="仿宋" w:eastAsia="仿宋"/>
          <w:color w:val="000000" w:themeColor="text1"/>
          <w:sz w:val="32"/>
          <w:szCs w:val="32"/>
        </w:rPr>
      </w:pPr>
    </w:p>
    <w:p>
      <w:pPr>
        <w:spacing w:line="600" w:lineRule="exact"/>
        <w:ind w:firstLine="320" w:firstLineChars="1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28" w:name="_Toc15396607"/>
      <w:bookmarkStart w:id="29"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1139.75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93.88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1546.35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 xml:space="preserve">57.55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农村基础设施建设减少。</w:t>
      </w:r>
    </w:p>
    <w:p>
      <w:pPr>
        <w:spacing w:line="600" w:lineRule="exact"/>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pict>
          <v:shape id="_x0000_s1031" o:spid="_x0000_s1031" o:spt="75" type="#_x0000_t75" style="position:absolute;left:0pt;margin-left:50.05pt;margin-top:6.55pt;height:172.9pt;width:303.2pt;z-index:252297216;mso-width-relative:page;mso-height-relative:page;" o:ole="t" fillcolor="#FFFFFF" filled="t" o:preferrelative="t" stroked="f" coordsize="21600,21600">
            <v:path/>
            <v:fill on="t" color2="#FFFFFF" focussize="0,0"/>
            <v:stroke on="f"/>
            <v:imagedata r:id="rId14" o:title=""/>
            <o:lock v:ext="edit" aspectratio="t"/>
          </v:shape>
          <o:OLEObject Type="Embed" ProgID="Excel.Chart.8" ShapeID="_x0000_s1031" DrawAspect="Content" ObjectID="_1468075728" r:id="rId13">
            <o:LockedField>false</o:LockedField>
          </o:OLEObject>
        </w:pict>
      </w:r>
    </w:p>
    <w:p>
      <w:pPr>
        <w:spacing w:line="600" w:lineRule="exact"/>
        <w:rPr>
          <w:rFonts w:hint="eastAsia" w:ascii="仿宋" w:hAnsi="仿宋" w:eastAsia="仿宋"/>
          <w:color w:val="000000" w:themeColor="text1"/>
          <w:sz w:val="32"/>
          <w:szCs w:val="32"/>
        </w:rPr>
      </w:pPr>
    </w:p>
    <w:p>
      <w:pPr>
        <w:spacing w:line="600" w:lineRule="exact"/>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hint="eastAsia" w:ascii="仿宋" w:hAnsi="仿宋" w:eastAsia="仿宋"/>
          <w:b/>
          <w:color w:val="000000"/>
          <w:sz w:val="32"/>
          <w:szCs w:val="32"/>
        </w:rPr>
      </w:pPr>
      <w:bookmarkStart w:id="31" w:name="_Toc15377211"/>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lang w:val="en-US" w:eastAsia="zh-CN"/>
        </w:rPr>
        <w:t>1139.75</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607.79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52.21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color w:val="000000" w:themeColor="text1"/>
          <w:sz w:val="32"/>
          <w:szCs w:val="32"/>
          <w:lang w:val="en-US" w:eastAsia="zh-CN"/>
        </w:rPr>
        <w:t>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0.09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ascii="仿宋" w:hAnsi="仿宋" w:eastAsia="仿宋"/>
          <w:color w:val="000000" w:themeColor="text1"/>
          <w:sz w:val="32"/>
          <w:szCs w:val="32"/>
        </w:rPr>
        <w:t>**</w:t>
      </w:r>
      <w:r>
        <w:rPr>
          <w:rFonts w:hint="eastAsia" w:ascii="仿宋" w:hAnsi="仿宋" w:eastAsia="仿宋"/>
          <w:color w:val="000000" w:themeColor="text1"/>
          <w:sz w:val="32"/>
          <w:szCs w:val="32"/>
        </w:rPr>
        <w:t>万元，占</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bCs/>
          <w:color w:val="000000" w:themeColor="text1"/>
          <w:sz w:val="32"/>
          <w:szCs w:val="32"/>
          <w:lang w:val="en-US" w:eastAsia="zh-CN"/>
        </w:rPr>
        <w:t>5</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 xml:space="preserve">0.43 </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99.04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8.51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41.89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3.60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39.05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3.35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42.37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3.64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303.99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26.11 </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仿宋" w:hAnsi="仿宋" w:eastAsia="仿宋"/>
          <w:b/>
          <w:bCs/>
          <w:color w:val="000000" w:themeColor="text1"/>
          <w:sz w:val="32"/>
          <w:szCs w:val="32"/>
          <w:lang w:eastAsia="zh-CN"/>
        </w:rPr>
        <w:t>交通运输支出</w:t>
      </w:r>
      <w:r>
        <w:rPr>
          <w:rFonts w:hint="eastAsia" w:ascii="仿宋" w:hAnsi="仿宋" w:eastAsia="仿宋"/>
          <w:color w:val="000000" w:themeColor="text1"/>
          <w:sz w:val="32"/>
          <w:szCs w:val="32"/>
          <w:lang w:val="en-US" w:eastAsia="zh-CN"/>
        </w:rPr>
        <w:t>24万元，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 xml:space="preserve">2.06 </w:t>
      </w:r>
      <w:r>
        <w:rPr>
          <w:rFonts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rPr>
          <w:rFonts w:ascii="仿宋" w:hAnsi="仿宋" w:eastAsia="仿宋"/>
          <w:color w:val="000000"/>
          <w:sz w:val="32"/>
          <w:szCs w:val="32"/>
        </w:rPr>
      </w:pPr>
      <w:r>
        <w:rPr>
          <w:rFonts w:ascii="仿宋_GB2312" w:eastAsia="仿宋_GB2312"/>
          <w:b/>
          <w:i/>
          <w:color w:val="404040"/>
          <w:sz w:val="32"/>
          <w:szCs w:val="32"/>
        </w:rPr>
        <w:pict>
          <v:shape id="_x0000_s1032" o:spid="_x0000_s1032" o:spt="75" type="#_x0000_t75" style="position:absolute;left:0pt;margin-left:39.7pt;margin-top:2.85pt;height:209.55pt;width:315.3pt;z-index:252552192;mso-width-relative:page;mso-height-relative:page;" o:ole="t" filled="f" o:preferrelative="t" stroked="f" coordsize="21600,21600">
            <v:path/>
            <v:fill on="f" focussize="0,0"/>
            <v:stroke on="f"/>
            <v:imagedata r:id="rId16" o:title=""/>
            <o:lock v:ext="edit" aspectratio="t"/>
          </v:shape>
          <o:OLEObject Type="Embed" ProgID="MSGraph.Chart.8" ShapeID="_x0000_s1032" DrawAspect="Content" ObjectID="_1468075729" r:id="rId15">
            <o:LockedField>false</o:LockedField>
          </o:OLEObject>
        </w:pict>
      </w:r>
    </w:p>
    <w:p>
      <w:pPr>
        <w:spacing w:line="600" w:lineRule="exact"/>
        <w:ind w:firstLine="321" w:firstLineChars="100"/>
        <w:outlineLvl w:val="2"/>
        <w:rPr>
          <w:rFonts w:hint="eastAsia" w:ascii="仿宋" w:hAnsi="仿宋" w:eastAsia="仿宋"/>
          <w:b/>
          <w:color w:val="000000"/>
          <w:sz w:val="32"/>
          <w:szCs w:val="32"/>
        </w:rPr>
      </w:pPr>
      <w:bookmarkStart w:id="32" w:name="_Toc15377212"/>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7213"/>
      <w:bookmarkStart w:id="34" w:name="_Toc15377444"/>
      <w:bookmarkStart w:id="35" w:name="_Toc15378460"/>
      <w:r>
        <w:rPr>
          <w:rFonts w:hint="eastAsia" w:ascii="仿宋" w:hAnsi="仿宋" w:eastAsia="仿宋"/>
          <w:b/>
          <w:color w:val="000000" w:themeColor="text1"/>
          <w:sz w:val="32"/>
          <w:szCs w:val="32"/>
        </w:rPr>
        <w:t>2019年般公共预算支出决算数为</w:t>
      </w:r>
      <w:r>
        <w:rPr>
          <w:rFonts w:hint="eastAsia" w:ascii="仿宋" w:hAnsi="仿宋" w:eastAsia="仿宋"/>
          <w:color w:val="000000"/>
          <w:sz w:val="32"/>
          <w:szCs w:val="32"/>
          <w:lang w:val="en-US" w:eastAsia="zh-CN"/>
        </w:rPr>
        <w:t>1139.75</w:t>
      </w:r>
      <w:r>
        <w:rPr>
          <w:rFonts w:hint="eastAsia" w:ascii="仿宋" w:hAnsi="仿宋" w:eastAsia="仿宋"/>
          <w:b/>
          <w:color w:val="000000" w:themeColor="text1"/>
          <w:sz w:val="32"/>
          <w:szCs w:val="32"/>
          <w:lang w:val="en-US" w:eastAsia="zh-CN"/>
        </w:rPr>
        <w:t>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3"/>
      <w:bookmarkEnd w:id="34"/>
      <w:bookmarkEnd w:id="35"/>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607.79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99.04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Style w:val="14"/>
          <w:rFonts w:hint="eastAsia" w:ascii="仿宋" w:hAnsi="仿宋" w:eastAsia="仿宋"/>
          <w:b w:val="0"/>
          <w:bCs/>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41.89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0"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7.</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39.05</w:t>
      </w:r>
      <w:r>
        <w:rPr>
          <w:rFonts w:hint="eastAsia" w:ascii="仿宋" w:hAnsi="仿宋" w:eastAsia="仿宋"/>
          <w:color w:val="000000" w:themeColor="text1"/>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0" w:firstLineChars="200"/>
        <w:rPr>
          <w:rFonts w:hint="default" w:ascii="仿宋" w:hAnsi="仿宋" w:eastAsia="仿宋"/>
          <w:color w:val="000000" w:themeColor="text1"/>
          <w:sz w:val="32"/>
          <w:szCs w:val="32"/>
          <w:lang w:val="en-US" w:eastAsia="zh-CN"/>
        </w:rPr>
      </w:pPr>
      <w:r>
        <w:rPr>
          <w:rStyle w:val="14"/>
          <w:rFonts w:hint="eastAsia" w:ascii="仿宋" w:hAnsi="仿宋" w:eastAsia="仿宋"/>
          <w:b w:val="0"/>
          <w:bCs/>
          <w:color w:val="000000"/>
          <w:sz w:val="32"/>
          <w:szCs w:val="32"/>
          <w:lang w:val="en-US" w:eastAsia="zh-CN"/>
        </w:rPr>
        <w:t>8、</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42.37</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9、</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303.99</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0" w:firstLineChars="200"/>
        <w:rPr>
          <w:rFonts w:hint="default" w:ascii="仿宋" w:hAnsi="仿宋" w:eastAsia="仿宋"/>
          <w:b/>
          <w:color w:val="000000"/>
          <w:sz w:val="32"/>
          <w:szCs w:val="32"/>
          <w:lang w:val="en-US" w:eastAsia="zh-CN"/>
        </w:rPr>
      </w:pPr>
      <w:r>
        <w:rPr>
          <w:rFonts w:hint="eastAsia" w:ascii="仿宋" w:hAnsi="仿宋" w:eastAsia="仿宋"/>
          <w:color w:val="000000" w:themeColor="text1"/>
          <w:sz w:val="32"/>
          <w:szCs w:val="32"/>
          <w:lang w:val="en-US" w:eastAsia="zh-CN"/>
        </w:rPr>
        <w:t>10、</w:t>
      </w:r>
      <w:r>
        <w:rPr>
          <w:rFonts w:hint="eastAsia" w:ascii="仿宋" w:hAnsi="仿宋" w:eastAsia="仿宋"/>
          <w:b/>
          <w:bCs/>
          <w:color w:val="000000" w:themeColor="text1"/>
          <w:sz w:val="32"/>
          <w:szCs w:val="32"/>
          <w:lang w:eastAsia="zh-CN"/>
        </w:rPr>
        <w:t>交通运输支出</w:t>
      </w:r>
      <w:r>
        <w:rPr>
          <w:rFonts w:hint="eastAsia" w:ascii="仿宋" w:hAnsi="仿宋" w:eastAsia="仿宋"/>
          <w:color w:val="000000" w:themeColor="text1"/>
          <w:sz w:val="32"/>
          <w:szCs w:val="32"/>
          <w:lang w:val="en-US" w:eastAsia="zh-CN"/>
        </w:rPr>
        <w:t>24万元，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36" w:name="_Toc15377214"/>
      <w:bookmarkStart w:id="3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6"/>
      <w:bookmarkEnd w:id="37"/>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607.79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548.69</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153.20</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ascii="仿宋" w:hAnsi="仿宋" w:eastAsia="仿宋"/>
          <w:color w:val="000000"/>
          <w:sz w:val="32"/>
          <w:szCs w:val="32"/>
        </w:rPr>
        <w:t>**</w:t>
      </w:r>
      <w:r>
        <w:rPr>
          <w:rFonts w:hint="eastAsia" w:ascii="仿宋" w:hAnsi="仿宋" w:eastAsia="仿宋"/>
          <w:color w:val="000000"/>
          <w:sz w:val="32"/>
          <w:szCs w:val="32"/>
        </w:rPr>
        <w:t>万元，完成预算</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_GB2312" w:eastAsia="仿宋_GB2312"/>
          <w:b/>
          <w:color w:val="000000"/>
          <w:sz w:val="32"/>
          <w:szCs w:val="32"/>
          <w:lang w:eastAsia="zh-CN"/>
        </w:rPr>
        <w:pict>
          <v:shape id="_x0000_s1034" o:spid="_x0000_s1034" o:spt="75" type="#_x0000_t75" style="position:absolute;left:0pt;margin-left:1.5pt;margin-top:-6.3pt;height:145.5pt;width:434.25pt;z-index:252814336;mso-width-relative:page;mso-height-relative:page;" o:ole="t" filled="f" o:preferrelative="t" stroked="t" coordsize="21600,21600">
            <v:path/>
            <v:fill on="f" focussize="0,0"/>
            <v:stroke color="#F2F2F2" joinstyle="miter"/>
            <v:imagedata r:id="rId18" o:title=""/>
            <o:lock v:ext="edit" aspectratio="t"/>
          </v:shape>
          <o:OLEObject Type="Embed" ProgID="Excel.Chart.8" ShapeID="_x0000_s1034" DrawAspect="Content" ObjectID="_1468075730" r:id="rId17">
            <o:LockedField>false</o:LockedField>
          </o:OLEObject>
        </w:pic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2</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w:t>
      </w:r>
      <w:r>
        <w:rPr>
          <w:rFonts w:hint="eastAsia" w:ascii="仿宋_GB2312" w:eastAsia="仿宋_GB2312"/>
          <w:color w:val="000000"/>
          <w:sz w:val="32"/>
          <w:szCs w:val="32"/>
          <w:lang w:eastAsia="zh-CN"/>
        </w:rPr>
        <w:t>少</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60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交通改善，车辆使用减少。</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2</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7</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12.50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严格控制接待费用。</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7</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170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1000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万元，具体内容包括：…（接待具体项目、金额）。</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42" w:name="_Toc15377218"/>
      <w:bookmarkStart w:id="43"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74.38</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1"/>
        </w:numPr>
        <w:spacing w:line="600" w:lineRule="exact"/>
        <w:ind w:firstLine="640"/>
        <w:outlineLvl w:val="1"/>
        <w:rPr>
          <w:rStyle w:val="25"/>
          <w:rFonts w:ascii="黑体" w:hAnsi="黑体" w:eastAsia="黑体"/>
          <w:b w:val="0"/>
        </w:rPr>
      </w:pPr>
      <w:bookmarkStart w:id="44" w:name="_Toc15377219"/>
      <w:bookmarkStart w:id="45" w:name="_Toc15396611"/>
      <w:r>
        <w:rPr>
          <w:rStyle w:val="25"/>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46" w:name="_Toc15377221"/>
      <w:bookmarkStart w:id="47"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双河镇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736.21</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47.2</w:t>
      </w:r>
      <w:r>
        <w:rPr>
          <w:rFonts w:hint="eastAsia" w:ascii="仿宋_GB2312" w:eastAsia="仿宋_GB2312"/>
          <w:color w:val="000000"/>
          <w:sz w:val="32"/>
          <w:szCs w:val="32"/>
        </w:rPr>
        <w:t>万元，与</w:t>
      </w:r>
      <w:r>
        <w:rPr>
          <w:rFonts w:ascii="仿宋_GB2312" w:eastAsia="仿宋_GB2312"/>
          <w:color w:val="000000"/>
          <w:sz w:val="32"/>
          <w:szCs w:val="32"/>
        </w:rPr>
        <w:t>201</w:t>
      </w:r>
      <w:r>
        <w:rPr>
          <w:rFonts w:hint="eastAsia" w:ascii="仿宋_GB2312" w:eastAsia="仿宋_GB2312"/>
          <w:color w:val="000000"/>
          <w:sz w:val="32"/>
          <w:szCs w:val="32"/>
        </w:rPr>
        <w:t>8年决算数持平）。</w:t>
      </w:r>
      <w:r>
        <w:rPr>
          <w:rFonts w:hint="eastAsia" w:ascii="仿宋_GB2312" w:eastAsia="仿宋_GB2312"/>
          <w:color w:val="000000" w:themeColor="text1"/>
          <w:sz w:val="32"/>
          <w:szCs w:val="32"/>
        </w:rPr>
        <w:t>主要原因是……</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双河镇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XXX项目（项目名称）开展了预算事前绩效评估，对XX个项目编制了绩效目标，预算执行过程中，选取XX个项目开展绩效监控，年终执行完毕后，对XX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简要说明整体绩效情况）。本部门还自行组织了X个项目支出绩效评价，从评价情况来看…………（简要说明项目绩效情况；若未开展项目支出绩效评价，则说明未开展情况。如：本部门无专项预算项目，因此未组织开展项目支出绩效评价/本部门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本部门按要求对2019年部门整体支出绩效评价情况开展自评，《XX部门2019年部门整体支出绩效评价报告》见附件（附件1）。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XXX项目、XXX项目开展了绩效评价，《XXX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2"/>
        </w:numPr>
        <w:spacing w:line="600" w:lineRule="exact"/>
        <w:ind w:firstLine="660" w:firstLineChars="150"/>
        <w:jc w:val="center"/>
        <w:outlineLvl w:val="0"/>
        <w:rPr>
          <w:rStyle w:val="24"/>
          <w:rFonts w:ascii="黑体" w:hAnsi="黑体" w:eastAsia="黑体"/>
          <w:b w:val="0"/>
        </w:rPr>
      </w:pPr>
      <w:bookmarkStart w:id="51" w:name="_Toc15377225"/>
      <w:bookmarkStart w:id="52"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3" w:name="_Toc15377226"/>
      <w:r>
        <w:rPr>
          <w:rFonts w:ascii="宋体"/>
          <w:b/>
          <w:color w:val="000000"/>
          <w:sz w:val="44"/>
          <w:szCs w:val="44"/>
        </w:rPr>
        <w:br w:type="page"/>
      </w:r>
      <w:bookmarkStart w:id="54"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4"/>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XX</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79" w:lineRule="exact"/>
        <w:ind w:firstLine="960" w:firstLineChars="300"/>
        <w:rPr>
          <w:rFonts w:ascii="仿宋_GB2312" w:hAnsi="仿宋_GB2312" w:eastAsia="仿宋_GB2312" w:cs="仿宋_GB2312"/>
          <w:kern w:val="0"/>
          <w:sz w:val="32"/>
          <w:szCs w:val="32"/>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_GB2312" w:hAnsi="仿宋_GB2312" w:eastAsia="仿宋_GB2312" w:cs="仿宋_GB2312"/>
          <w:kern w:val="0"/>
          <w:sz w:val="32"/>
          <w:szCs w:val="32"/>
          <w:lang w:eastAsia="zh-CN"/>
        </w:rPr>
        <w:t>普光</w:t>
      </w:r>
      <w:r>
        <w:rPr>
          <w:rFonts w:hint="eastAsia" w:ascii="仿宋_GB2312" w:hAnsi="仿宋_GB2312" w:eastAsia="仿宋_GB2312" w:cs="仿宋_GB2312"/>
          <w:kern w:val="0"/>
          <w:sz w:val="32"/>
          <w:szCs w:val="32"/>
        </w:rPr>
        <w:t>镇人民政府下设便民服务中心，共设岗位</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个，在岗人员共计</w:t>
      </w:r>
      <w:r>
        <w:rPr>
          <w:rFonts w:ascii="仿宋_GB2312" w:hAnsi="仿宋_GB2312" w:eastAsia="仿宋_GB2312" w:cs="仿宋_GB2312"/>
          <w:kern w:val="0"/>
          <w:sz w:val="32"/>
          <w:szCs w:val="32"/>
        </w:rPr>
        <w:t>45</w:t>
      </w:r>
      <w:r>
        <w:rPr>
          <w:rFonts w:hint="eastAsia" w:ascii="仿宋_GB2312" w:hAnsi="仿宋_GB2312" w:eastAsia="仿宋_GB2312" w:cs="仿宋_GB2312"/>
          <w:kern w:val="0"/>
          <w:sz w:val="32"/>
          <w:szCs w:val="32"/>
        </w:rPr>
        <w:t>人，编制内共</w:t>
      </w:r>
      <w:r>
        <w:rPr>
          <w:rFonts w:hint="eastAsia" w:ascii="仿宋_GB2312" w:hAnsi="仿宋_GB2312" w:eastAsia="仿宋_GB2312" w:cs="仿宋_GB2312"/>
          <w:kern w:val="0"/>
          <w:sz w:val="32"/>
          <w:szCs w:val="32"/>
          <w:lang w:val="en-US" w:eastAsia="zh-CN"/>
        </w:rPr>
        <w:t>53</w:t>
      </w:r>
      <w:r>
        <w:rPr>
          <w:rFonts w:hint="eastAsia" w:ascii="仿宋_GB2312" w:hAnsi="仿宋_GB2312" w:eastAsia="仿宋_GB2312" w:cs="仿宋_GB2312"/>
          <w:kern w:val="0"/>
          <w:sz w:val="32"/>
          <w:szCs w:val="32"/>
        </w:rPr>
        <w:t>人，</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其中行政编制</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人，工勤</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人，事业编制</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人。具体单位</w:t>
      </w:r>
      <w:r>
        <w:rPr>
          <w:rFonts w:hint="eastAsia" w:ascii="仿宋_GB2312" w:hAnsi="仿宋_GB2312" w:eastAsia="仿宋_GB2312" w:cs="仿宋_GB2312"/>
          <w:sz w:val="32"/>
          <w:szCs w:val="32"/>
        </w:rPr>
        <w:t>有党政办公室、人大主席团、镇纪委、镇武装部、便民服务中心、财政所、农技服务站、林业站、民政办、应急管理办、国土所、规建办、计生办、退役军人事务服务站、综治信访维稳办公室等部门组成。</w:t>
      </w:r>
    </w:p>
    <w:p>
      <w:pPr>
        <w:widowControl/>
        <w:spacing w:line="579" w:lineRule="exact"/>
        <w:ind w:firstLine="960" w:firstLineChars="3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贯彻执行党的路线方针政策，团结和带领广大干部群众发展经济，改善民生，教育广大群众遵纪守法服务群众等。</w:t>
      </w:r>
    </w:p>
    <w:p>
      <w:pPr>
        <w:widowControl/>
        <w:adjustRightInd w:val="0"/>
        <w:snapToGrid w:val="0"/>
        <w:spacing w:line="580" w:lineRule="exact"/>
        <w:ind w:firstLine="960" w:firstLineChars="3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（三）人员概况。年底在职人员共</w:t>
      </w:r>
      <w:r>
        <w:rPr>
          <w:rFonts w:hint="eastAsia" w:ascii="仿宋_GB2312" w:hAnsi="宋体" w:eastAsia="仿宋_GB2312" w:cs="宋体"/>
          <w:color w:val="000000"/>
          <w:kern w:val="0"/>
          <w:sz w:val="32"/>
          <w:szCs w:val="32"/>
          <w:shd w:val="clear" w:color="auto" w:fill="FFFFFF"/>
          <w:lang w:val="en-US" w:eastAsia="zh-CN"/>
        </w:rPr>
        <w:t>37人</w:t>
      </w:r>
      <w:r>
        <w:rPr>
          <w:rFonts w:hint="eastAsia" w:ascii="仿宋_GB2312" w:hAnsi="宋体" w:eastAsia="仿宋_GB2312" w:cs="宋体"/>
          <w:color w:val="000000"/>
          <w:kern w:val="0"/>
          <w:sz w:val="32"/>
          <w:szCs w:val="32"/>
          <w:shd w:val="clear" w:color="auto" w:fill="FFFFFF"/>
          <w:lang w:val="zh-CN"/>
        </w:rPr>
        <w:t>：事业</w:t>
      </w:r>
      <w:r>
        <w:rPr>
          <w:rFonts w:hint="eastAsia" w:ascii="仿宋_GB2312" w:hAnsi="宋体" w:eastAsia="仿宋_GB2312" w:cs="宋体"/>
          <w:color w:val="000000"/>
          <w:kern w:val="0"/>
          <w:sz w:val="32"/>
          <w:szCs w:val="32"/>
          <w:shd w:val="clear" w:color="auto" w:fill="FFFFFF"/>
          <w:lang w:val="en-US" w:eastAsia="zh-CN"/>
        </w:rPr>
        <w:t>13人、公务员34人。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60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960" w:firstLineChars="3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1、</w:t>
      </w:r>
      <w:r>
        <w:rPr>
          <w:rFonts w:ascii="仿宋" w:hAnsi="仿宋" w:eastAsia="仿宋"/>
          <w:color w:val="000000"/>
          <w:sz w:val="32"/>
          <w:szCs w:val="32"/>
        </w:rPr>
        <w:t>201</w:t>
      </w:r>
      <w:r>
        <w:rPr>
          <w:rFonts w:hint="eastAsia" w:ascii="仿宋" w:hAnsi="仿宋" w:eastAsia="仿宋"/>
          <w:color w:val="000000"/>
          <w:sz w:val="32"/>
          <w:szCs w:val="32"/>
        </w:rPr>
        <w:t>9年一般公共预算财政拨款</w:t>
      </w:r>
      <w:r>
        <w:rPr>
          <w:rFonts w:hint="eastAsia" w:ascii="仿宋" w:hAnsi="仿宋" w:eastAsia="仿宋"/>
          <w:color w:val="000000"/>
          <w:sz w:val="32"/>
          <w:szCs w:val="32"/>
          <w:lang w:eastAsia="zh-CN"/>
        </w:rPr>
        <w:t>收入</w:t>
      </w:r>
      <w:r>
        <w:rPr>
          <w:rFonts w:hint="eastAsia" w:ascii="仿宋" w:hAnsi="仿宋" w:eastAsia="仿宋"/>
          <w:color w:val="000000"/>
          <w:sz w:val="32"/>
          <w:szCs w:val="32"/>
          <w:lang w:val="en-US" w:eastAsia="zh-CN"/>
        </w:rPr>
        <w:t>1139.75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 xml:space="preserve">91.84 </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208.87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 xml:space="preserve">14.68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严格控制支出。</w:t>
      </w:r>
    </w:p>
    <w:p>
      <w:pPr>
        <w:spacing w:line="600" w:lineRule="exact"/>
        <w:ind w:firstLine="640"/>
        <w:rPr>
          <w:rFonts w:ascii="仿宋_GB2312" w:eastAsia="仿宋_GB2312"/>
          <w:color w:val="00000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eastAsia="仿宋_GB2312"/>
          <w:color w:val="000000"/>
          <w:sz w:val="32"/>
          <w:szCs w:val="32"/>
        </w:rPr>
        <w:t>201</w:t>
      </w:r>
      <w:r>
        <w:rPr>
          <w:rFonts w:hint="eastAsia" w:ascii="仿宋_GB2312" w:eastAsia="仿宋_GB2312"/>
          <w:color w:val="000000"/>
          <w:sz w:val="32"/>
          <w:szCs w:val="32"/>
        </w:rPr>
        <w:t>9年政府性基金预算拨款</w:t>
      </w:r>
      <w:r>
        <w:rPr>
          <w:rFonts w:hint="eastAsia" w:ascii="仿宋_GB2312" w:eastAsia="仿宋_GB2312"/>
          <w:color w:val="000000"/>
          <w:sz w:val="32"/>
          <w:szCs w:val="32"/>
          <w:lang w:eastAsia="zh-CN"/>
        </w:rPr>
        <w:t>收入</w:t>
      </w:r>
      <w:r>
        <w:rPr>
          <w:rFonts w:hint="eastAsia" w:ascii="仿宋_GB2312" w:eastAsia="仿宋_GB2312"/>
          <w:color w:val="000000"/>
          <w:sz w:val="32"/>
          <w:szCs w:val="32"/>
          <w:lang w:val="en-US" w:eastAsia="zh-CN"/>
        </w:rPr>
        <w:t>74.38</w:t>
      </w:r>
      <w:r>
        <w:rPr>
          <w:rFonts w:hint="eastAsia" w:ascii="仿宋_GB2312" w:eastAsia="仿宋_GB2312"/>
          <w:color w:val="000000"/>
          <w:sz w:val="32"/>
          <w:szCs w:val="32"/>
        </w:rPr>
        <w:t>万元。</w:t>
      </w:r>
    </w:p>
    <w:p>
      <w:pPr>
        <w:widowControl/>
        <w:numPr>
          <w:ilvl w:val="0"/>
          <w:numId w:val="3"/>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olor w:val="000000" w:themeColor="text1"/>
          <w:sz w:val="32"/>
          <w:szCs w:val="32"/>
          <w:lang w:eastAsia="zh-CN"/>
        </w:rPr>
      </w:pPr>
      <w:r>
        <w:rPr>
          <w:rFonts w:hint="eastAsia" w:ascii="仿宋_GB2312" w:hAnsi="宋体" w:eastAsia="仿宋_GB2312" w:cs="宋体"/>
          <w:color w:val="000000"/>
          <w:kern w:val="0"/>
          <w:sz w:val="32"/>
          <w:szCs w:val="32"/>
          <w:shd w:val="clear" w:color="auto" w:fill="FFFFFF"/>
          <w:lang w:val="en-US" w:eastAsia="zh-CN"/>
        </w:rPr>
        <w:t>1、</w:t>
      </w: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1139.75</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607.79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53.33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b/>
          <w:color w:val="000000" w:themeColor="text1"/>
          <w:sz w:val="32"/>
          <w:szCs w:val="32"/>
          <w:lang w:val="en-US" w:eastAsia="zh-CN"/>
        </w:rPr>
        <w:t>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0.09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ascii="仿宋" w:hAnsi="仿宋" w:eastAsia="仿宋"/>
          <w:color w:val="000000" w:themeColor="text1"/>
          <w:sz w:val="32"/>
          <w:szCs w:val="32"/>
        </w:rPr>
        <w:t>**</w:t>
      </w:r>
      <w:r>
        <w:rPr>
          <w:rFonts w:hint="eastAsia" w:ascii="仿宋" w:hAnsi="仿宋" w:eastAsia="仿宋"/>
          <w:color w:val="000000" w:themeColor="text1"/>
          <w:sz w:val="32"/>
          <w:szCs w:val="32"/>
        </w:rPr>
        <w:t>万元，占</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val="0"/>
          <w:bCs w:val="0"/>
          <w:color w:val="000000" w:themeColor="text1"/>
          <w:sz w:val="32"/>
          <w:szCs w:val="32"/>
          <w:lang w:val="en-US" w:eastAsia="zh-CN"/>
        </w:rPr>
        <w:t>8</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0.71</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99.04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8.69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41.89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3.68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39.05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3.43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城乡社区支出</w:t>
      </w:r>
      <w:r>
        <w:rPr>
          <w:rFonts w:hint="eastAsia" w:ascii="仿宋" w:hAnsi="仿宋" w:eastAsia="仿宋"/>
          <w:b/>
          <w:bCs/>
          <w:color w:val="000000" w:themeColor="text1"/>
          <w:sz w:val="32"/>
          <w:szCs w:val="32"/>
          <w:lang w:val="en-US" w:eastAsia="zh-CN"/>
        </w:rPr>
        <w:t>17.99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1.58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303.99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26.68 </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仿宋" w:hAnsi="仿宋" w:eastAsia="仿宋"/>
          <w:b/>
          <w:bCs/>
          <w:color w:val="000000" w:themeColor="text1"/>
          <w:sz w:val="32"/>
          <w:szCs w:val="32"/>
          <w:lang w:eastAsia="zh-CN"/>
        </w:rPr>
        <w:t>交通运输支出</w:t>
      </w:r>
      <w:r>
        <w:rPr>
          <w:rFonts w:hint="eastAsia" w:ascii="仿宋" w:hAnsi="仿宋" w:eastAsia="仿宋"/>
          <w:b/>
          <w:bCs/>
          <w:color w:val="000000" w:themeColor="text1"/>
          <w:sz w:val="32"/>
          <w:szCs w:val="32"/>
          <w:lang w:val="en-US" w:eastAsia="zh-CN"/>
        </w:rPr>
        <w:t>24</w:t>
      </w:r>
      <w:r>
        <w:rPr>
          <w:rFonts w:hint="eastAsia" w:ascii="仿宋" w:hAnsi="仿宋" w:eastAsia="仿宋"/>
          <w:color w:val="000000" w:themeColor="text1"/>
          <w:sz w:val="32"/>
          <w:szCs w:val="32"/>
          <w:lang w:val="en-US" w:eastAsia="zh-CN"/>
        </w:rPr>
        <w:t>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 xml:space="preserve">2.11 </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 w:cs="宋体"/>
          <w:color w:val="000000"/>
          <w:kern w:val="0"/>
          <w:sz w:val="32"/>
          <w:szCs w:val="32"/>
          <w:shd w:val="clear" w:color="auto" w:fill="FFFFFF"/>
          <w:lang w:val="en-US" w:eastAsia="zh-CN"/>
        </w:rPr>
      </w:pPr>
      <w:r>
        <w:rPr>
          <w:rFonts w:hint="eastAsia" w:ascii="仿宋" w:hAnsi="仿宋" w:eastAsia="仿宋"/>
          <w:color w:val="000000" w:themeColor="text1"/>
          <w:sz w:val="32"/>
          <w:szCs w:val="32"/>
          <w:lang w:val="en-US" w:eastAsia="zh-CN"/>
        </w:rPr>
        <w:t>2、</w:t>
      </w: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74.38</w:t>
      </w:r>
      <w:r>
        <w:rPr>
          <w:rFonts w:hint="eastAsia" w:ascii="仿宋_GB2312" w:eastAsia="仿宋_GB2312"/>
          <w:color w:val="000000"/>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spacing w:line="579" w:lineRule="exact"/>
        <w:ind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照绩效目标逐项建立任务台账、资金监管台账，对项目建设过程进行全程监督，按照报账程序和规定进行资金划拨，并对项目跟踪问效，项目建成后保证项目长久发挥作用，从根本上改善群众的生产生活条件，为脱贫奔康助力。</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spacing w:line="579" w:lineRule="exact"/>
        <w:ind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镇机关财务管理制度健全，管理规范，执行有力。会计核算和账务处理严格按照现行财会制度、要求办理，会计核算规范，会计信息财务报告真实可靠。从节约一度电、一张纸、一方气开始，做节约型机关、节约型政府，同时保证了政府机关正常运转和履行只能职责的需要。</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79" w:lineRule="exact"/>
        <w:ind w:firstLine="640" w:firstLineChars="200"/>
        <w:rPr>
          <w:rFonts w:ascii="仿宋_GB2312" w:hAnsi="仿宋_GB2312" w:eastAsia="仿宋_GB2312"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lang w:val="en-US" w:eastAsia="zh-CN"/>
        </w:rPr>
        <w:t>:</w:t>
      </w:r>
      <w:r>
        <w:rPr>
          <w:rFonts w:hint="eastAsia" w:ascii="仿宋_GB2312" w:hAnsi="仿宋_GB2312" w:eastAsia="仿宋_GB2312" w:cs="仿宋_GB2312"/>
          <w:sz w:val="32"/>
          <w:szCs w:val="32"/>
        </w:rPr>
        <w:t>财政绩效评价工作按照预算编制、预算执行、支出绩效等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大项、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小项指标体系对照比对，我镇财政收支绩效管理工作规范完整，管理有序，通过与指标体系逐条对比打分，自评分在</w:t>
      </w:r>
      <w:r>
        <w:rPr>
          <w:rFonts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分，总体情况良好。</w:t>
      </w:r>
    </w:p>
    <w:tbl>
      <w:tblPr>
        <w:tblStyle w:val="12"/>
        <w:tblpPr w:leftFromText="180" w:rightFromText="180" w:vertAnchor="text" w:horzAnchor="page" w:tblpXSpec="center" w:tblpY="234"/>
        <w:tblOverlap w:val="never"/>
        <w:tblW w:w="11911" w:type="dxa"/>
        <w:jc w:val="center"/>
        <w:tblLayout w:type="fixed"/>
        <w:tblCellMar>
          <w:top w:w="0" w:type="dxa"/>
          <w:left w:w="108" w:type="dxa"/>
          <w:bottom w:w="0" w:type="dxa"/>
          <w:right w:w="108" w:type="dxa"/>
        </w:tblCellMar>
      </w:tblPr>
      <w:tblGrid>
        <w:gridCol w:w="750"/>
        <w:gridCol w:w="1065"/>
        <w:gridCol w:w="1216"/>
        <w:gridCol w:w="236"/>
        <w:gridCol w:w="1985"/>
        <w:gridCol w:w="2511"/>
        <w:gridCol w:w="2694"/>
        <w:gridCol w:w="1214"/>
      </w:tblGrid>
      <w:tr>
        <w:tblPrEx>
          <w:tblCellMar>
            <w:top w:w="0" w:type="dxa"/>
            <w:left w:w="108" w:type="dxa"/>
            <w:bottom w:w="0" w:type="dxa"/>
            <w:right w:w="108" w:type="dxa"/>
          </w:tblCellMar>
        </w:tblPrEx>
        <w:trPr>
          <w:trHeight w:val="315" w:hRule="atLeast"/>
          <w:jc w:val="center"/>
        </w:trPr>
        <w:tc>
          <w:tcPr>
            <w:tcW w:w="3031" w:type="dxa"/>
            <w:gridSpan w:val="3"/>
            <w:tcBorders>
              <w:top w:val="nil"/>
              <w:left w:val="nil"/>
              <w:bottom w:val="nil"/>
              <w:right w:val="nil"/>
            </w:tcBorders>
            <w:noWrap w:val="0"/>
            <w:vAlign w:val="center"/>
          </w:tcPr>
          <w:p>
            <w:pPr>
              <w:widowControl/>
              <w:rPr>
                <w:rFonts w:ascii="黑体" w:hAnsi="黑体" w:eastAsia="黑体"/>
                <w:color w:val="000000"/>
                <w:sz w:val="32"/>
                <w:szCs w:val="32"/>
              </w:rPr>
            </w:pPr>
            <w:r>
              <w:rPr>
                <w:rFonts w:hint="eastAsia" w:ascii="黑体" w:hAnsi="黑体" w:eastAsia="黑体"/>
                <w:color w:val="000000"/>
                <w:sz w:val="32"/>
                <w:szCs w:val="32"/>
              </w:rPr>
              <w:t xml:space="preserve">附 </w:t>
            </w:r>
          </w:p>
        </w:tc>
        <w:tc>
          <w:tcPr>
            <w:tcW w:w="236" w:type="dxa"/>
            <w:tcBorders>
              <w:top w:val="nil"/>
              <w:left w:val="nil"/>
              <w:bottom w:val="nil"/>
              <w:right w:val="nil"/>
            </w:tcBorders>
            <w:noWrap w:val="0"/>
            <w:vAlign w:val="center"/>
          </w:tcPr>
          <w:p>
            <w:pPr>
              <w:widowControl/>
              <w:jc w:val="left"/>
              <w:rPr>
                <w:rFonts w:ascii="宋体" w:hAnsi="宋体" w:cs="宋体"/>
                <w:color w:val="000000"/>
                <w:kern w:val="0"/>
                <w:sz w:val="24"/>
              </w:rPr>
            </w:pPr>
          </w:p>
        </w:tc>
        <w:tc>
          <w:tcPr>
            <w:tcW w:w="1985" w:type="dxa"/>
            <w:tcBorders>
              <w:top w:val="nil"/>
              <w:left w:val="nil"/>
              <w:bottom w:val="nil"/>
              <w:right w:val="nil"/>
            </w:tcBorders>
            <w:noWrap w:val="0"/>
            <w:vAlign w:val="top"/>
          </w:tcPr>
          <w:p>
            <w:pPr>
              <w:widowControl/>
              <w:jc w:val="left"/>
              <w:rPr>
                <w:rFonts w:ascii="宋体" w:hAnsi="宋体" w:cs="宋体"/>
                <w:color w:val="000000"/>
                <w:kern w:val="0"/>
                <w:sz w:val="24"/>
              </w:rPr>
            </w:pPr>
          </w:p>
        </w:tc>
        <w:tc>
          <w:tcPr>
            <w:tcW w:w="6419" w:type="dxa"/>
            <w:gridSpan w:val="3"/>
            <w:tcBorders>
              <w:top w:val="nil"/>
              <w:left w:val="nil"/>
              <w:bottom w:val="nil"/>
              <w:right w:val="nil"/>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55" w:hRule="atLeast"/>
          <w:jc w:val="center"/>
        </w:trPr>
        <w:tc>
          <w:tcPr>
            <w:tcW w:w="10457" w:type="dxa"/>
            <w:gridSpan w:val="7"/>
            <w:tcBorders>
              <w:top w:val="nil"/>
              <w:left w:val="nil"/>
              <w:bottom w:val="single" w:color="auto" w:sz="4" w:space="0"/>
              <w:right w:val="nil"/>
            </w:tcBorders>
            <w:noWrap w:val="0"/>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宣汉县土主镇2019年部门整体支出绩效评价指标体系</w:t>
            </w:r>
          </w:p>
        </w:tc>
        <w:tc>
          <w:tcPr>
            <w:tcW w:w="1214" w:type="dxa"/>
            <w:tcBorders>
              <w:top w:val="nil"/>
              <w:left w:val="nil"/>
              <w:bottom w:val="single" w:color="auto" w:sz="4" w:space="0"/>
              <w:right w:val="nil"/>
            </w:tcBorders>
            <w:noWrap w:val="0"/>
            <w:vAlign w:val="top"/>
          </w:tcPr>
          <w:p>
            <w:pPr>
              <w:widowControl/>
              <w:jc w:val="center"/>
              <w:rPr>
                <w:rFonts w:hint="eastAsia" w:ascii="宋体" w:hAnsi="宋体" w:cs="宋体"/>
                <w:b/>
                <w:bCs/>
                <w:color w:val="000000"/>
                <w:kern w:val="0"/>
                <w:sz w:val="40"/>
                <w:szCs w:val="40"/>
              </w:rPr>
            </w:pPr>
          </w:p>
        </w:tc>
      </w:tr>
      <w:tr>
        <w:tblPrEx>
          <w:tblCellMar>
            <w:top w:w="0" w:type="dxa"/>
            <w:left w:w="108" w:type="dxa"/>
            <w:bottom w:w="0" w:type="dxa"/>
            <w:right w:w="108" w:type="dxa"/>
          </w:tblCellMar>
        </w:tblPrEx>
        <w:trPr>
          <w:trHeight w:val="36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一级指标</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二级指标</w:t>
            </w:r>
          </w:p>
        </w:tc>
        <w:tc>
          <w:tcPr>
            <w:tcW w:w="12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三级指标</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指标解释</w:t>
            </w: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 注</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b/>
                <w:bCs/>
                <w:color w:val="000000"/>
                <w:kern w:val="0"/>
                <w:sz w:val="24"/>
              </w:rPr>
            </w:pPr>
          </w:p>
          <w:p>
            <w:pPr>
              <w:widowControl/>
              <w:rPr>
                <w:rFonts w:hint="eastAsia" w:ascii="宋体" w:hAnsi="宋体" w:cs="宋体"/>
                <w:b/>
                <w:bCs/>
                <w:color w:val="000000"/>
                <w:kern w:val="0"/>
                <w:sz w:val="24"/>
              </w:rPr>
            </w:pPr>
          </w:p>
          <w:p>
            <w:pPr>
              <w:widowControl/>
              <w:ind w:firstLine="361" w:firstLineChars="150"/>
              <w:rPr>
                <w:rFonts w:hint="eastAsia" w:ascii="宋体" w:hAnsi="宋体" w:cs="宋体"/>
                <w:b/>
                <w:bCs/>
                <w:color w:val="000000"/>
                <w:kern w:val="0"/>
                <w:sz w:val="24"/>
              </w:rPr>
            </w:pPr>
            <w:r>
              <w:rPr>
                <w:rFonts w:hint="eastAsia" w:ascii="宋体" w:hAnsi="宋体" w:cs="宋体"/>
                <w:b/>
                <w:bCs/>
                <w:color w:val="000000"/>
                <w:kern w:val="0"/>
                <w:sz w:val="24"/>
              </w:rPr>
              <w:t>自评得分</w:t>
            </w:r>
          </w:p>
        </w:tc>
      </w:tr>
      <w:tr>
        <w:tblPrEx>
          <w:tblCellMar>
            <w:top w:w="0" w:type="dxa"/>
            <w:left w:w="108" w:type="dxa"/>
            <w:bottom w:w="0" w:type="dxa"/>
            <w:right w:w="108" w:type="dxa"/>
          </w:tblCellMar>
        </w:tblPrEx>
        <w:trPr>
          <w:trHeight w:val="749"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预算编制（25分）</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报送时效（3分）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基础信息更新（2分）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部门是否按照县级部门预算编制通知和有关要求，按时完成基础、项目库报送工作</w:t>
            </w:r>
          </w:p>
        </w:tc>
        <w:tc>
          <w:tcPr>
            <w:tcW w:w="2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超过规定5个工作日扣0.5分，10个工作日扣1分，以此类推，直至扣完</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5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预算草案报送（1分）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部门是否按照县级部门预算编制通知和有关要求，按时完成预算编制工作，并按时提交部门预算草案</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编制质量（8分）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预算编制准确（3分）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（预算资金总来源-追加(减）预算）÷预算资金总来源*指标分值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其中：预算资金总来源是指县级年初预算与执行中追加预算（不含当年中央、省专款）总和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34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预算执行调整（3分）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〔1-追加(减）预算）÷部门预算〕*分值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0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部门预算审查（5分）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根据县人大财经委对预算草案审查结果进行考核</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每个问题扣0.02分，直至扣完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绩效目标（5分）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绩效目标编制（5分）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部门一次性通过绩效目标审查的项目个数÷应编制绩效目标项目个数*指标分值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专项预算提前细化（5分）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★预控指标细化（5分）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已细化资金规模÷当年专项预算指标规模*指标分值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7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预算公开（4分）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公开内容（4分）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除涉密信息外，各部门要在财政部门批复二十日内向社会公开本部门预算（含所有财政资金安排的“三公”经费、机关运行经费的安排、使用情况等），未按要求公开的，发现一处扣0.5分，直至扣完。</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按财政厅通知要求公开预算。</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510"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预算执行（35分）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绩效分配（10分）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★项目绩效分配（5分）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部门实施绩效分配项目个数÷专项预算项目个数*指标分值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绩效分配按《四川省省级财政专项资金绩效分配管理暂行办法》（川办发〔2011〕70号）执行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624"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执行进度（10分）</w:t>
            </w:r>
          </w:p>
        </w:tc>
        <w:tc>
          <w:tcPr>
            <w:tcW w:w="12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6月执行进度（3分）</w:t>
            </w:r>
          </w:p>
        </w:tc>
        <w:tc>
          <w:tcPr>
            <w:tcW w:w="473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1、无专项预算部门。6、9、12月预算执行进度达到量化指标的分别得3、4、3分，未达到量化指标的按其进度占量化指标的比重计算得分。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有专项预算部门。6、9、12月预算执行进度达到量化指标的分别得3、4、3分，未达到量化指标的按其进度占量化指标的比重计算得分；专项预算预算（除预留的中央补助配套资金和应急资金外）在6月底前下达的得3分，未按期下达的按下达金额占专项预算的比重计算得分。</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624"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47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9月执行进度（4分）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69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12月执行进度（3分）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48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预算调整（9分）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执行中期评估（9分）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部门中期评估调整取消资金÷（中期评估调整取消资金+预算结余注销资金）*指标分值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其中：预算资金总来源是指县级年初预算与执行中追加预算（不含当年中央、省专款）总和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r>
      <w:tr>
        <w:tblPrEx>
          <w:tblCellMar>
            <w:top w:w="0" w:type="dxa"/>
            <w:left w:w="108" w:type="dxa"/>
            <w:bottom w:w="0" w:type="dxa"/>
            <w:right w:w="108" w:type="dxa"/>
          </w:tblCellMar>
        </w:tblPrEx>
        <w:trPr>
          <w:trHeight w:val="33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行政成本（6分）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节能降耗（6分）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根据机关事务管理局节能考核换算得分</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廉洁行政（6分）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严格执行“三公经费”预算</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一项超预算扣1分，两项超预算扣2分，以此类推，直至扣完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r>
      <w:tr>
        <w:tblPrEx>
          <w:tblCellMar>
            <w:top w:w="0" w:type="dxa"/>
            <w:left w:w="108" w:type="dxa"/>
            <w:bottom w:w="0" w:type="dxa"/>
            <w:right w:w="108" w:type="dxa"/>
          </w:tblCellMar>
        </w:tblPrEx>
        <w:trPr>
          <w:trHeight w:val="735"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支出绩效（40分）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绩效评价（28分）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部门预算绩效评价（28分）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包括制度建设、资金管理两个方面</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规章制度是否建立健全，制度执行是否严格合规，会计核算是否符合相关规定，资金是否专款专用，资金支付依据和开支标准是否合法合规</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28</w:t>
            </w:r>
          </w:p>
        </w:tc>
      </w:tr>
      <w:tr>
        <w:tblPrEx>
          <w:tblCellMar>
            <w:top w:w="0" w:type="dxa"/>
            <w:left w:w="108" w:type="dxa"/>
            <w:bottom w:w="0" w:type="dxa"/>
            <w:right w:w="108" w:type="dxa"/>
          </w:tblCellMar>
        </w:tblPrEx>
        <w:trPr>
          <w:trHeight w:val="61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决算审查（2分）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部门决算差错率（3分）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（1-决算调整额度÷决算实际支出）*指标分值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决算调整额度包括应编未编、错误列编、虚假混编等导致需进行重新调整的决算资金总额度</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72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决算公开（3分）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公开内容（3分）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包括部门收支决算总表和财政拨款支出决算表中重点支出应公开到“款”级科目；“三公”经费分项财政拨款决算数额；未按要求公开的，发现一处扣0.5分，直至扣完。</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按财政厅通知要求公开决算。</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结余注销（3分）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结余注销率（3分）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（1-当年结余注销金额度÷当年结余资金额度）*指标分值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0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绩效管理（4分）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部工作开展（4分）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根据部门支出绩效自评情况进行考核。</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视部门自评工作和结果运用等情况评分。</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525" w:hRule="atLeast"/>
          <w:jc w:val="center"/>
        </w:trPr>
        <w:tc>
          <w:tcPr>
            <w:tcW w:w="10457"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总分</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4</w:t>
            </w:r>
          </w:p>
        </w:tc>
      </w:tr>
      <w:tr>
        <w:tblPrEx>
          <w:tblCellMar>
            <w:top w:w="0" w:type="dxa"/>
            <w:left w:w="108" w:type="dxa"/>
            <w:bottom w:w="0" w:type="dxa"/>
            <w:right w:w="108" w:type="dxa"/>
          </w:tblCellMar>
        </w:tblPrEx>
        <w:trPr>
          <w:trHeight w:val="525" w:hRule="atLeast"/>
          <w:jc w:val="center"/>
        </w:trPr>
        <w:tc>
          <w:tcPr>
            <w:tcW w:w="10457" w:type="dxa"/>
            <w:gridSpan w:val="7"/>
            <w:tcBorders>
              <w:top w:val="single" w:color="auto" w:sz="4" w:space="0"/>
              <w:left w:val="nil"/>
              <w:bottom w:val="nil"/>
              <w:right w:val="nil"/>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注：指标适用于有专项预算的部门，无专项预算部门得分按指标实际得分占应得指标满分比例换算成百分制。</w:t>
            </w:r>
          </w:p>
        </w:tc>
        <w:tc>
          <w:tcPr>
            <w:tcW w:w="1214" w:type="dxa"/>
            <w:tcBorders>
              <w:top w:val="single" w:color="auto" w:sz="4" w:space="0"/>
              <w:left w:val="nil"/>
              <w:bottom w:val="nil"/>
              <w:right w:val="nil"/>
            </w:tcBorders>
            <w:noWrap w:val="0"/>
            <w:vAlign w:val="top"/>
          </w:tcPr>
          <w:p>
            <w:pPr>
              <w:widowControl/>
              <w:jc w:val="left"/>
              <w:rPr>
                <w:rFonts w:hint="eastAsia" w:ascii="宋体" w:hAnsi="宋体" w:cs="宋体"/>
                <w:color w:val="000000"/>
                <w:kern w:val="0"/>
                <w:sz w:val="18"/>
                <w:szCs w:val="18"/>
              </w:rPr>
            </w:pPr>
          </w:p>
        </w:tc>
      </w:tr>
    </w:tbl>
    <w:p>
      <w:pPr>
        <w:spacing w:line="579" w:lineRule="exact"/>
        <w:ind w:firstLine="640" w:firstLineChars="200"/>
        <w:rPr>
          <w:rFonts w:ascii="仿宋_GB2312" w:hAnsi="仿宋_GB2312" w:eastAsia="仿宋_GB2312" w:cs="仿宋_GB2312"/>
          <w:sz w:val="32"/>
          <w:szCs w:val="32"/>
        </w:rPr>
      </w:pPr>
    </w:p>
    <w:p>
      <w:pPr>
        <w:numPr>
          <w:ilvl w:val="0"/>
          <w:numId w:val="0"/>
        </w:numPr>
        <w:spacing w:line="579" w:lineRule="exact"/>
        <w:ind w:left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numPr>
          <w:ilvl w:val="0"/>
          <w:numId w:val="0"/>
        </w:numPr>
        <w:spacing w:line="579" w:lineRule="exact"/>
        <w:ind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一是收支矛盾突出，收入少，需做的事情多，特别是扶贫领域需政府投入的资金多，支出大，财力有限不能满足。</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二是绩效管理目标编制不完善，专项预算提前不能实现。</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三是公经费超预算，特别是公务接待三单不齐，公函很难收到，接待标准规定较低，经常出现超标准现象。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5"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3"/>
      <w:bookmarkEnd w:id="5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7"/>
    </w:p>
    <w:p>
      <w:pPr>
        <w:pStyle w:val="3"/>
        <w:rPr>
          <w:rFonts w:ascii="仿宋" w:hAnsi="仿宋" w:eastAsia="仿宋"/>
          <w:color w:val="000000"/>
        </w:rPr>
      </w:pPr>
      <w:bookmarkStart w:id="5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8"/>
    </w:p>
    <w:p>
      <w:pPr>
        <w:pStyle w:val="3"/>
        <w:rPr>
          <w:rFonts w:ascii="仿宋" w:hAnsi="仿宋" w:eastAsia="仿宋"/>
          <w:b w:val="0"/>
          <w:color w:val="000000"/>
        </w:rPr>
      </w:pPr>
      <w:bookmarkStart w:id="59"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9"/>
    </w:p>
    <w:p>
      <w:pPr>
        <w:pStyle w:val="3"/>
        <w:rPr>
          <w:rStyle w:val="25"/>
          <w:rFonts w:ascii="仿宋" w:hAnsi="仿宋" w:eastAsia="仿宋"/>
          <w:b w:val="0"/>
          <w:bCs w:val="0"/>
        </w:rPr>
      </w:pPr>
      <w:bookmarkStart w:id="60"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0"/>
      <w:bookmarkStart w:id="61"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7"/>
    </w:p>
    <w:p>
      <w:pPr>
        <w:pStyle w:val="3"/>
        <w:rPr>
          <w:rFonts w:ascii="仿宋" w:hAnsi="仿宋" w:eastAsia="仿宋"/>
          <w:color w:val="000000" w:themeColor="text1"/>
        </w:rPr>
      </w:pPr>
      <w:bookmarkStart w:id="68"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6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C5F25"/>
    <w:multiLevelType w:val="singleLevel"/>
    <w:tmpl w:val="9CBC5F25"/>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01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B72A0A"/>
    <w:rsid w:val="02BA62DE"/>
    <w:rsid w:val="04220DE8"/>
    <w:rsid w:val="04D90FB0"/>
    <w:rsid w:val="0A917002"/>
    <w:rsid w:val="0CEF36C2"/>
    <w:rsid w:val="0D090722"/>
    <w:rsid w:val="10C055FF"/>
    <w:rsid w:val="145C6951"/>
    <w:rsid w:val="16BB723D"/>
    <w:rsid w:val="173C554D"/>
    <w:rsid w:val="1F7A6A27"/>
    <w:rsid w:val="1FAA5CA2"/>
    <w:rsid w:val="220C0DE6"/>
    <w:rsid w:val="240371BF"/>
    <w:rsid w:val="26DC3F56"/>
    <w:rsid w:val="29FD04D3"/>
    <w:rsid w:val="319F7F4E"/>
    <w:rsid w:val="32B46A59"/>
    <w:rsid w:val="36C01292"/>
    <w:rsid w:val="37EE4698"/>
    <w:rsid w:val="39A74805"/>
    <w:rsid w:val="3F155723"/>
    <w:rsid w:val="49503F12"/>
    <w:rsid w:val="4E5729F2"/>
    <w:rsid w:val="4ECE2238"/>
    <w:rsid w:val="54752BDF"/>
    <w:rsid w:val="57DD34C1"/>
    <w:rsid w:val="5EA418F1"/>
    <w:rsid w:val="72734D90"/>
    <w:rsid w:val="77141C49"/>
    <w:rsid w:val="773F4C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 年度收、支总计变动情况</a:t>
            </a:r>
          </a:p>
        </c:rich>
      </c:tx>
      <c:layout/>
      <c:overlay val="0"/>
      <c:spPr>
        <a:noFill/>
        <a:ln>
          <a:noFill/>
        </a:ln>
        <a:effectLst/>
      </c:spPr>
    </c:title>
    <c:autoTitleDeleted val="0"/>
    <c:plotArea>
      <c:layout>
        <c:manualLayout>
          <c:layoutTarget val="inner"/>
          <c:xMode val="edge"/>
          <c:yMode val="edge"/>
          <c:x val="0.0913055109684323"/>
          <c:y val="0.144300655912072"/>
          <c:w val="0.8812734082397"/>
          <c:h val="0.591100868640312"/>
        </c:manualLayout>
      </c:layout>
      <c:barChart>
        <c:barDir val="col"/>
        <c:grouping val="percentStacked"/>
        <c:varyColors val="0"/>
        <c:ser>
          <c:idx val="0"/>
          <c:order val="0"/>
          <c:tx>
            <c:strRef>
              <c:f>Sheet1!$B$1</c:f>
              <c:strCache>
                <c:ptCount val="1"/>
                <c:pt idx="0">
                  <c:v>2018年收支总额2769.76万元</c:v>
                </c:pt>
              </c:strCache>
            </c:strRef>
          </c:tx>
          <c:spPr>
            <a:solidFill>
              <a:schemeClr val="accent1"/>
            </a:solidFill>
            <a:ln>
              <a:noFill/>
            </a:ln>
            <a:effectLst/>
          </c:spPr>
          <c:invertIfNegative val="0"/>
          <c:dLbls>
            <c:delete val="1"/>
          </c:dLbls>
          <c:cat>
            <c:strRef>
              <c:f>Sheet1!$A$2:$A$5</c:f>
              <c:strCache>
                <c:ptCount val="4"/>
                <c:pt idx="0">
                  <c:v>2018年收支总额</c:v>
                </c:pt>
                <c:pt idx="1">
                  <c:v>2019年收支总额</c:v>
                </c:pt>
              </c:strCache>
            </c:strRef>
          </c:cat>
          <c:val>
            <c:numRef>
              <c:f>Sheet1!$B$2:$B$5</c:f>
              <c:numCache>
                <c:formatCode>General</c:formatCode>
                <c:ptCount val="4"/>
                <c:pt idx="0">
                  <c:v>2769.76</c:v>
                </c:pt>
              </c:numCache>
            </c:numRef>
          </c:val>
        </c:ser>
        <c:ser>
          <c:idx val="1"/>
          <c:order val="1"/>
          <c:tx>
            <c:strRef>
              <c:f>Sheet1!$C$1</c:f>
              <c:strCache>
                <c:ptCount val="1"/>
                <c:pt idx="0">
                  <c:v>2019年收支总额1214.13万元</c:v>
                </c:pt>
              </c:strCache>
            </c:strRef>
          </c:tx>
          <c:spPr>
            <a:solidFill>
              <a:schemeClr val="accent2"/>
            </a:solidFill>
            <a:ln>
              <a:noFill/>
            </a:ln>
            <a:effectLst/>
          </c:spPr>
          <c:invertIfNegative val="0"/>
          <c:dLbls>
            <c:delete val="1"/>
          </c:dLbls>
          <c:cat>
            <c:strRef>
              <c:f>Sheet1!$A$2:$A$5</c:f>
              <c:strCache>
                <c:ptCount val="4"/>
                <c:pt idx="0">
                  <c:v>2018年收支总额</c:v>
                </c:pt>
                <c:pt idx="1">
                  <c:v>2019年收支总额</c:v>
                </c:pt>
              </c:strCache>
            </c:strRef>
          </c:cat>
          <c:val>
            <c:numRef>
              <c:f>Sheet1!$C$2:$C$5</c:f>
              <c:numCache>
                <c:formatCode>General</c:formatCode>
                <c:ptCount val="4"/>
                <c:pt idx="1">
                  <c:v>1214.13</c:v>
                </c:pt>
              </c:numCache>
            </c:numRef>
          </c:val>
        </c:ser>
        <c:ser>
          <c:idx val="2"/>
          <c:order val="2"/>
          <c:tx>
            <c:strRef>
              <c:f>Sheet1!$D$1</c:f>
              <c:strCache>
                <c:ptCount val="1"/>
                <c:pt idx="0">
                  <c:v>2018年收支总额减少1555.63万元</c:v>
                </c:pt>
              </c:strCache>
            </c:strRef>
          </c:tx>
          <c:spPr>
            <a:solidFill>
              <a:schemeClr val="accent3"/>
            </a:solidFill>
            <a:ln>
              <a:noFill/>
            </a:ln>
            <a:effectLst/>
          </c:spPr>
          <c:invertIfNegative val="0"/>
          <c:dLbls>
            <c:delete val="1"/>
          </c:dLbls>
          <c:cat>
            <c:strRef>
              <c:f>Sheet1!$A$2:$A$5</c:f>
              <c:strCache>
                <c:ptCount val="4"/>
                <c:pt idx="0">
                  <c:v>2018年收支总额</c:v>
                </c:pt>
                <c:pt idx="1">
                  <c:v>2019年收支总额</c:v>
                </c:pt>
              </c:strCache>
            </c:strRef>
          </c:cat>
          <c:val>
            <c:numRef>
              <c:f>Sheet1!$D$2:$D$5</c:f>
              <c:numCache>
                <c:formatCode>General</c:formatCode>
                <c:ptCount val="4"/>
                <c:pt idx="1">
                  <c:v>1555.63</c:v>
                </c:pt>
              </c:numCache>
            </c:numRef>
          </c:val>
        </c:ser>
        <c:dLbls>
          <c:showLegendKey val="0"/>
          <c:showVal val="0"/>
          <c:showCatName val="0"/>
          <c:showSerName val="0"/>
          <c:showPercent val="0"/>
          <c:showBubbleSize val="0"/>
        </c:dLbls>
        <c:gapWidth val="150"/>
        <c:overlap val="100"/>
        <c:axId val="645856878"/>
        <c:axId val="501330282"/>
      </c:barChart>
      <c:catAx>
        <c:axId val="6458568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330282"/>
        <c:crosses val="autoZero"/>
        <c:auto val="1"/>
        <c:lblAlgn val="ctr"/>
        <c:lblOffset val="100"/>
        <c:noMultiLvlLbl val="0"/>
      </c:catAx>
      <c:valAx>
        <c:axId val="50133028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8568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1"/>
    <customShpInfo spid="_x0000_s1032"/>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35</TotalTime>
  <ScaleCrop>false</ScaleCrop>
  <LinksUpToDate>false</LinksUpToDate>
  <CharactersWithSpaces>8536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2020-11-12T08:28:04Z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