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1" w:name="_Toc15378441"/>
      <w:bookmarkStart w:id="2" w:name="_Toc15396597"/>
      <w:bookmarkStart w:id="3" w:name="_Toc15377425"/>
      <w:bookmarkStart w:id="4" w:name="_Toc15377193"/>
      <w:bookmarkStart w:id="5" w:name="_Toc15396475"/>
      <w:r>
        <w:rPr>
          <w:rFonts w:ascii="黑体" w:hAnsi="黑体" w:eastAsia="黑体"/>
          <w:color w:val="000000"/>
          <w:sz w:val="72"/>
          <w:szCs w:val="72"/>
        </w:rPr>
        <w:t>201</w:t>
      </w:r>
      <w:r>
        <w:rPr>
          <w:rFonts w:hint="eastAsia" w:ascii="黑体" w:hAnsi="黑体" w:eastAsia="黑体"/>
          <w:color w:val="000000"/>
          <w:sz w:val="72"/>
          <w:szCs w:val="72"/>
        </w:rPr>
        <w:t>9</w:t>
      </w: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年度</w:t>
      </w:r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6" w:name="_Toc15377194"/>
      <w:bookmarkStart w:id="7" w:name="_Toc15377426"/>
      <w:bookmarkStart w:id="8" w:name="_Toc15396476"/>
      <w:bookmarkStart w:id="9" w:name="_Toc15378442"/>
      <w:bookmarkStart w:id="10" w:name="_Toc15396598"/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四川省</w:t>
      </w:r>
      <w:bookmarkEnd w:id="0"/>
      <w:bookmarkStart w:id="11" w:name="_Toc15306268"/>
      <w:r>
        <w:rPr>
          <w:rFonts w:hint="eastAsia" w:ascii="方正小标宋简体" w:hAnsi="宋体" w:eastAsia="方正小标宋简体"/>
          <w:color w:val="000000"/>
          <w:sz w:val="72"/>
          <w:szCs w:val="72"/>
          <w:lang w:eastAsia="zh-CN"/>
        </w:rPr>
        <w:t>宣汉县三墩土家族乡人民政府</w:t>
      </w: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部门决算</w:t>
      </w:r>
      <w:bookmarkEnd w:id="6"/>
      <w:bookmarkEnd w:id="7"/>
      <w:bookmarkEnd w:id="8"/>
      <w:bookmarkEnd w:id="9"/>
      <w:bookmarkEnd w:id="10"/>
      <w:bookmarkEnd w:id="11"/>
    </w:p>
    <w:p>
      <w:pPr>
        <w:widowControl/>
        <w:jc w:val="center"/>
        <w:rPr>
          <w:rFonts w:ascii="黑体" w:hAnsi="黑体" w:eastAsia="黑体"/>
          <w:color w:val="000000"/>
          <w:sz w:val="48"/>
          <w:szCs w:val="48"/>
        </w:rPr>
      </w:pPr>
      <w:r>
        <w:rPr>
          <w:rFonts w:ascii="方正小标宋简体" w:hAnsi="宋体" w:eastAsia="方正小标宋简体"/>
          <w:color w:val="000000"/>
          <w:sz w:val="36"/>
          <w:szCs w:val="36"/>
        </w:rPr>
        <w:br w:type="page"/>
      </w:r>
      <w:r>
        <w:rPr>
          <w:rFonts w:hint="eastAsia" w:ascii="黑体" w:hAnsi="黑体" w:eastAsia="黑体"/>
          <w:color w:val="000000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0"/>
      </w:pPr>
      <w:r>
        <w:rPr>
          <w:rFonts w:hint="eastAsia"/>
        </w:rPr>
        <w:t>公开时间：2020年</w:t>
      </w:r>
      <w:r>
        <w:rPr>
          <w:rFonts w:hint="eastAsia"/>
          <w:lang w:val="en-US" w:eastAsia="zh-CN"/>
        </w:rPr>
        <w:t xml:space="preserve"> 11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12   </w:t>
      </w:r>
      <w:r>
        <w:rPr>
          <w:rFonts w:hint="eastAsia"/>
        </w:rPr>
        <w:t>日</w:t>
      </w:r>
    </w:p>
    <w:p/>
    <w:p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第一部分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部门概况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/>
          <w:sz w:val="24"/>
        </w:rPr>
        <w:t>一、基本职能及主要工作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二、机构设置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第二部分度部门决算情况说明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一、收入支出决算总体情况说明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二、收入决算情况说明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三、支出决算情况说明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四、财政拨款收入支出决算总体情况说明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五、一般公共预算财政拨款支出决算情况说明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六、一般公共预算财政拨款基本支出决算情况说明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七、</w:t>
      </w:r>
      <w:r>
        <w:rPr>
          <w:sz w:val="24"/>
        </w:rPr>
        <w:t>“</w:t>
      </w:r>
      <w:r>
        <w:rPr>
          <w:rFonts w:hint="eastAsia"/>
          <w:sz w:val="24"/>
        </w:rPr>
        <w:t>三公”经费财政拨款支出决算情况说明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八、政府性基金预算支出决算情况说明</w:t>
      </w:r>
    </w:p>
    <w:p>
      <w:pPr>
        <w:pStyle w:val="11"/>
        <w:adjustRightInd w:val="0"/>
        <w:snapToGrid w:val="0"/>
        <w:spacing w:line="440" w:lineRule="exact"/>
        <w:ind w:left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sz w:val="24"/>
        </w:rPr>
        <w:t xml:space="preserve"> 国</w:t>
      </w:r>
      <w:r>
        <w:rPr>
          <w:rFonts w:hint="eastAsia"/>
          <w:sz w:val="24"/>
        </w:rPr>
        <w:t>有资本经营预算支出决算情况说明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="仿宋" w:hAnsi="仿宋" w:eastAsia="仿宋" w:cstheme="minorBidi"/>
          <w:sz w:val="24"/>
        </w:rPr>
      </w:pPr>
      <w:r>
        <w:rPr>
          <w:rStyle w:val="15"/>
          <w:rFonts w:hint="eastAsia" w:ascii="仿宋" w:hAnsi="仿宋" w:eastAsia="仿宋"/>
          <w:color w:val="000000" w:themeColor="text1"/>
          <w:sz w:val="24"/>
          <w:u w:val="none"/>
        </w:rPr>
        <w:t>十、</w:t>
      </w:r>
      <w:r>
        <w:rPr>
          <w:rFonts w:hint="eastAsia"/>
          <w:sz w:val="24"/>
        </w:rPr>
        <w:t>其他重要事项的情况说明</w:t>
      </w:r>
      <w:r>
        <w:rPr>
          <w:rFonts w:ascii="仿宋" w:hAnsi="仿宋" w:eastAsia="仿宋"/>
          <w:sz w:val="24"/>
        </w:rPr>
        <w:tab/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第三部分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名词解释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第四部分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附件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</w:p>
    <w:p>
      <w:pPr>
        <w:pStyle w:val="10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第五部分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一、</w:t>
      </w:r>
      <w:r>
        <w:rPr>
          <w:rFonts w:hint="eastAsia"/>
          <w:sz w:val="24"/>
        </w:rPr>
        <w:t>收入支出决算总表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二、</w:t>
      </w:r>
      <w:r>
        <w:rPr>
          <w:rFonts w:hint="eastAsia"/>
          <w:sz w:val="24"/>
        </w:rPr>
        <w:t>收入</w:t>
      </w:r>
      <w:r>
        <w:rPr>
          <w:rFonts w:hint="eastAsia" w:ascii="仿宋" w:hAnsi="仿宋" w:eastAsia="仿宋"/>
          <w:sz w:val="24"/>
        </w:rPr>
        <w:t>决算</w:t>
      </w:r>
      <w:r>
        <w:rPr>
          <w:rFonts w:hint="eastAsia"/>
          <w:sz w:val="24"/>
        </w:rPr>
        <w:t>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三、</w:t>
      </w:r>
      <w:r>
        <w:rPr>
          <w:rFonts w:hint="eastAsia"/>
          <w:sz w:val="24"/>
        </w:rPr>
        <w:t>支出</w:t>
      </w:r>
      <w:r>
        <w:rPr>
          <w:rFonts w:hint="eastAsia" w:ascii="仿宋" w:hAnsi="仿宋" w:eastAsia="仿宋"/>
          <w:sz w:val="24"/>
        </w:rPr>
        <w:t>决算</w:t>
      </w:r>
      <w:r>
        <w:rPr>
          <w:rFonts w:hint="eastAsia"/>
          <w:sz w:val="24"/>
        </w:rPr>
        <w:t>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四、</w:t>
      </w:r>
      <w:r>
        <w:rPr>
          <w:rFonts w:hint="eastAsia"/>
          <w:sz w:val="24"/>
        </w:rPr>
        <w:t>财政拨款收入支出决算总表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五、财政拨款支出决算明细表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六、</w:t>
      </w:r>
      <w:r>
        <w:rPr>
          <w:rFonts w:hint="eastAsia"/>
          <w:sz w:val="24"/>
        </w:rPr>
        <w:t>一般公共预算财政拨款支出决算表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七、</w:t>
      </w:r>
      <w:r>
        <w:rPr>
          <w:rFonts w:hint="eastAsia"/>
          <w:sz w:val="24"/>
        </w:rPr>
        <w:t>一般公共预算财政拨款支出决算明细表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八、</w:t>
      </w:r>
      <w:r>
        <w:rPr>
          <w:rFonts w:hint="eastAsia"/>
          <w:sz w:val="24"/>
        </w:rPr>
        <w:t>一般公共预算财政拨款基本支出决算表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九、</w:t>
      </w:r>
      <w:r>
        <w:rPr>
          <w:rFonts w:hint="eastAsia"/>
          <w:sz w:val="24"/>
        </w:rPr>
        <w:t>一般公共预算财政拨款项目支出决算表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十、</w:t>
      </w:r>
      <w:r>
        <w:rPr>
          <w:rFonts w:hint="eastAsia"/>
          <w:sz w:val="24"/>
        </w:rPr>
        <w:t>一般公共预算财政拨款“三公”经费支出决算表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十一、</w:t>
      </w:r>
      <w:r>
        <w:rPr>
          <w:rFonts w:hint="eastAsia"/>
          <w:sz w:val="24"/>
        </w:rPr>
        <w:t>政府性基金预算财政拨款收入支出决算表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十二、</w:t>
      </w:r>
      <w:r>
        <w:rPr>
          <w:rFonts w:hint="eastAsia"/>
          <w:sz w:val="24"/>
        </w:rPr>
        <w:t>政府性基金预算财政拨款“三公”经费支出决算表</w:t>
      </w:r>
    </w:p>
    <w:p>
      <w:pPr>
        <w:pStyle w:val="11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/>
          <w:sz w:val="24"/>
        </w:rPr>
        <w:t>十三、</w:t>
      </w:r>
      <w:r>
        <w:rPr>
          <w:rFonts w:hint="eastAsia"/>
          <w:sz w:val="24"/>
        </w:rPr>
        <w:t>国有资本经营预算支出决算表</w:t>
      </w:r>
    </w:p>
    <w:p>
      <w:pPr>
        <w:widowControl/>
        <w:adjustRightInd w:val="0"/>
        <w:snapToGrid w:val="0"/>
        <w:spacing w:line="440" w:lineRule="exact"/>
        <w:ind w:firstLine="1320" w:firstLineChars="550"/>
        <w:jc w:val="left"/>
        <w:rPr>
          <w:rFonts w:ascii="仿宋" w:hAnsi="仿宋" w:eastAsia="仿宋"/>
          <w:color w:val="FF0000"/>
          <w:sz w:val="24"/>
        </w:rPr>
      </w:pPr>
      <w:r>
        <w:rPr>
          <w:rFonts w:ascii="仿宋" w:hAnsi="仿宋" w:eastAsia="仿宋"/>
          <w:color w:val="FF0000"/>
          <w:sz w:val="24"/>
        </w:rPr>
        <w:t>(注：</w:t>
      </w:r>
      <w:r>
        <w:rPr>
          <w:rFonts w:hint="eastAsia" w:ascii="仿宋" w:hAnsi="仿宋" w:eastAsia="仿宋"/>
          <w:color w:val="FF0000"/>
          <w:sz w:val="24"/>
        </w:rPr>
        <w:t>请部门根据实际注明页码</w:t>
      </w:r>
      <w:r>
        <w:rPr>
          <w:rFonts w:ascii="仿宋" w:hAnsi="仿宋" w:eastAsia="仿宋"/>
          <w:color w:val="FF0000"/>
          <w:sz w:val="24"/>
        </w:rPr>
        <w:t>)</w:t>
      </w: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bookmarkStart w:id="12" w:name="_Toc15396599"/>
      <w:bookmarkStart w:id="13" w:name="_Toc15377196"/>
      <w:r>
        <w:rPr>
          <w:rFonts w:ascii="仿宋" w:hAnsi="仿宋" w:eastAsia="仿宋"/>
          <w:b/>
          <w:sz w:val="24"/>
        </w:rPr>
        <w:br w:type="page"/>
      </w:r>
    </w:p>
    <w:p>
      <w:pPr>
        <w:pStyle w:val="2"/>
        <w:jc w:val="center"/>
        <w:rPr>
          <w:rStyle w:val="24"/>
          <w:rFonts w:ascii="黑体" w:hAnsi="黑体" w:eastAsia="黑体"/>
          <w:b/>
          <w:bCs w:val="0"/>
        </w:rPr>
      </w:pPr>
      <w:r>
        <w:rPr>
          <w:rFonts w:hint="eastAsia" w:ascii="黑体" w:hAnsi="黑体" w:eastAsia="黑体"/>
          <w:b w:val="0"/>
        </w:rPr>
        <w:t xml:space="preserve">第一部分 </w:t>
      </w:r>
      <w:r>
        <w:rPr>
          <w:rStyle w:val="24"/>
          <w:rFonts w:hint="eastAsia" w:ascii="黑体" w:hAnsi="黑体" w:eastAsia="黑体"/>
          <w:b w:val="0"/>
          <w:bCs w:val="0"/>
        </w:rPr>
        <w:t>部门概况</w:t>
      </w:r>
      <w:bookmarkEnd w:id="12"/>
      <w:bookmarkEnd w:id="13"/>
    </w:p>
    <w:p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p>
      <w:pPr>
        <w:pStyle w:val="3"/>
        <w:rPr>
          <w:rStyle w:val="25"/>
          <w:rFonts w:ascii="仿宋" w:hAnsi="仿宋" w:eastAsia="仿宋"/>
          <w:b w:val="0"/>
          <w:bCs w:val="0"/>
        </w:rPr>
      </w:pPr>
      <w:bookmarkStart w:id="14" w:name="_Toc15377197"/>
      <w:bookmarkStart w:id="15" w:name="_Toc15396600"/>
      <w:r>
        <w:rPr>
          <w:rFonts w:hint="eastAsia" w:ascii="黑体" w:hAnsi="黑体" w:eastAsia="黑体"/>
          <w:b w:val="0"/>
          <w:color w:val="000000"/>
        </w:rPr>
        <w:t>一、基</w:t>
      </w:r>
      <w:r>
        <w:rPr>
          <w:rStyle w:val="25"/>
          <w:rFonts w:hint="eastAsia" w:ascii="黑体" w:hAnsi="黑体" w:eastAsia="黑体"/>
          <w:b w:val="0"/>
          <w:bCs w:val="0"/>
        </w:rPr>
        <w:t>本职能及主要工作</w:t>
      </w:r>
      <w:bookmarkEnd w:id="14"/>
      <w:bookmarkEnd w:id="15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16" w:name="_Toc15378446"/>
      <w:bookmarkStart w:id="17" w:name="_Toc15377199"/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基本情况。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认真贯彻实施《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instrText xml:space="preserve">HYPERLINK "http://www.8020rc.com/news/more-36.html"</w:instrTex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会计法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》，进一步规范和完善财会制度，强化会计从业人员管理，有效地提高了会计队伍的整体素质，提高了会计管理的工作水平。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根据《中华人民共和国预算法》、《中华人民共和国预算法实施条例》的有关规定和财政局决算会议精神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，我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乡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年度部门决算编审工作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按照行政单位会计制度的有关规章制度和部门决算编报说明及要求，做到了整套报表的及时性、规范性、真实性、准时性、完整性,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使201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年我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部门决算工作得以顺利完成，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推动了我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各项社会经济的发展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320" w:firstLineChars="10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（二）</w:t>
      </w:r>
      <w:r>
        <w:rPr>
          <w:rFonts w:ascii="仿宋" w:hAnsi="仿宋" w:eastAsia="仿宋"/>
          <w:bCs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9年重点工作完成情况。</w:t>
      </w:r>
      <w:bookmarkEnd w:id="16"/>
      <w:bookmarkEnd w:id="17"/>
    </w:p>
    <w:p>
      <w:pPr>
        <w:spacing w:line="56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（1）制定和组织</w:t>
      </w:r>
      <w:r>
        <w:rPr>
          <w:rFonts w:hint="eastAsia" w:ascii="宋体" w:hAnsi="宋体"/>
          <w:sz w:val="32"/>
          <w:szCs w:val="32"/>
        </w:rPr>
        <w:t>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实施经济、科技和社会发展计划，制定资源开发技术改造和产业结构调整方案，组织指导好各业生产，搞好商品流通，协调好本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与外地区的经济交流与合作，抓好招商引资，人才引进项目开发，不断培育市场体系，组织经济运行，促进经济发展。</w:t>
      </w:r>
      <w:r>
        <w:rPr>
          <w:rFonts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（2）制定并组织实施</w:t>
      </w:r>
      <w:r>
        <w:rPr>
          <w:rFonts w:hint="eastAsia" w:ascii="宋体" w:hAnsi="宋体"/>
          <w:sz w:val="32"/>
          <w:szCs w:val="32"/>
        </w:rPr>
        <w:t>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村镇建设规划，部署重点工程建设，地方道路建设及公共设施，水利设施的管理，负责土地、林木、水等自然资源和生态环境的保护，做好护林防火工作。</w:t>
      </w:r>
      <w:r>
        <w:rPr>
          <w:rFonts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（3）负责</w:t>
      </w:r>
      <w:r>
        <w:rPr>
          <w:rFonts w:hint="eastAsia" w:ascii="宋体" w:hAnsi="宋体"/>
          <w:sz w:val="32"/>
          <w:szCs w:val="32"/>
        </w:rPr>
        <w:t>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spacing w:line="560" w:lineRule="exact"/>
        <w:ind w:firstLine="480" w:firstLineChars="15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ascii="宋体" w:hAnsi="宋体"/>
          <w:sz w:val="32"/>
          <w:szCs w:val="32"/>
        </w:rPr>
        <w:t>（4）按计划组织</w:t>
      </w:r>
      <w:r>
        <w:rPr>
          <w:rFonts w:hint="eastAsia" w:ascii="宋体" w:hAnsi="宋体"/>
          <w:sz w:val="32"/>
          <w:szCs w:val="32"/>
        </w:rPr>
        <w:t>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本级财政收入，完成国家财政计划，不断培植税源，管好财政资金，增强财政实力。</w:t>
      </w:r>
      <w:r>
        <w:rPr>
          <w:rFonts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（5）抓好</w:t>
      </w:r>
      <w:r>
        <w:rPr>
          <w:rFonts w:hint="eastAsia" w:ascii="宋体" w:hAnsi="宋体"/>
          <w:sz w:val="32"/>
          <w:szCs w:val="32"/>
        </w:rPr>
        <w:t>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ascii="宋体" w:hAnsi="宋体"/>
          <w:sz w:val="32"/>
          <w:szCs w:val="32"/>
        </w:rPr>
        <w:t>精神文明建设，丰富群众文化生活，提倡移风易俗，反对封建迷信，破除陈规陋习，树立社会主义新风尚。</w:t>
      </w:r>
      <w:r>
        <w:rPr>
          <w:rFonts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（6）完成上级政府交办的其它事项。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2.2019年重点工作完成情况。</w:t>
      </w:r>
    </w:p>
    <w:p>
      <w:pPr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为了确保201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年部门决算工作的顺利完成，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hint="eastAsia" w:ascii="宋体" w:hAnsi="宋体"/>
          <w:sz w:val="32"/>
          <w:szCs w:val="32"/>
        </w:rPr>
        <w:t>党委、政府高度重视，指派党委副书记监督指导，并圆满完成了201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年我</w:t>
      </w:r>
      <w:r>
        <w:rPr>
          <w:rFonts w:hint="eastAsia" w:ascii="宋体" w:hAnsi="宋体"/>
          <w:sz w:val="32"/>
          <w:szCs w:val="32"/>
          <w:lang w:val="en-US" w:eastAsia="zh-CN"/>
        </w:rPr>
        <w:t>乡</w:t>
      </w:r>
      <w:r>
        <w:rPr>
          <w:rFonts w:hint="eastAsia" w:ascii="宋体" w:hAnsi="宋体"/>
          <w:sz w:val="32"/>
          <w:szCs w:val="32"/>
        </w:rPr>
        <w:t>部门决算工作，其主要做了以下工作：</w:t>
      </w:r>
    </w:p>
    <w:p>
      <w:pPr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1、加强领导，抓好零散税收，并在非税收入上下功夫，取得了一定的成绩。</w:t>
      </w:r>
    </w:p>
    <w:p>
      <w:pPr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2、严格按照年初预算，确保了一般公共服务支出和村社干部工资发放。</w:t>
      </w:r>
    </w:p>
    <w:p>
      <w:pPr>
        <w:snapToGrid w:val="0"/>
        <w:spacing w:line="56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3、对项目资金严格按照工作进度拨付资金，做到了公平、公正、公开的原则，不挪用和截留项目资金。</w:t>
      </w:r>
    </w:p>
    <w:p>
      <w:pPr>
        <w:pStyle w:val="5"/>
        <w:adjustRightInd w:val="0"/>
        <w:snapToGrid w:val="0"/>
        <w:spacing w:before="93" w:line="600" w:lineRule="exact"/>
        <w:ind w:firstLine="672" w:firstLineChars="210"/>
        <w:outlineLvl w:val="2"/>
        <w:rPr>
          <w:rFonts w:ascii="仿宋" w:hAnsi="仿宋" w:eastAsia="仿宋"/>
          <w:bCs/>
          <w:color w:val="000000"/>
          <w:sz w:val="32"/>
          <w:szCs w:val="32"/>
        </w:rPr>
      </w:pPr>
    </w:p>
    <w:p>
      <w:pPr>
        <w:pStyle w:val="3"/>
        <w:rPr>
          <w:rStyle w:val="25"/>
          <w:b w:val="0"/>
          <w:bCs w:val="0"/>
        </w:rPr>
      </w:pPr>
      <w:bookmarkStart w:id="18" w:name="_Toc15396601"/>
      <w:bookmarkStart w:id="19" w:name="_Toc15377200"/>
      <w:r>
        <w:rPr>
          <w:rFonts w:hint="eastAsia" w:ascii="黑体" w:eastAsia="黑体"/>
          <w:b w:val="0"/>
          <w:color w:val="000000"/>
        </w:rPr>
        <w:t>二、</w:t>
      </w:r>
      <w:r>
        <w:rPr>
          <w:rFonts w:hint="eastAsia" w:ascii="黑体" w:hAnsi="黑体" w:eastAsia="黑体"/>
          <w:b w:val="0"/>
          <w:color w:val="000000"/>
        </w:rPr>
        <w:t>机</w:t>
      </w:r>
      <w:r>
        <w:rPr>
          <w:rStyle w:val="25"/>
          <w:rFonts w:hint="eastAsia" w:ascii="黑体" w:hAnsi="黑体" w:eastAsia="黑体"/>
          <w:b w:val="0"/>
          <w:bCs w:val="0"/>
        </w:rPr>
        <w:t>构设置</w:t>
      </w:r>
      <w:bookmarkEnd w:id="18"/>
      <w:bookmarkEnd w:id="19"/>
    </w:p>
    <w:p>
      <w:pPr>
        <w:kinsoku w:val="0"/>
        <w:spacing w:line="560" w:lineRule="exact"/>
        <w:ind w:firstLine="640" w:firstLineChars="200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今年，乡财政直接供给关系的单位有2个，即1个行政单位（乡政府）和1个事业单位（便民服务中心）。上级下达我乡的编制数2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人，其中行政1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人，事业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8人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。在职职工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人，其中：行政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人（含工人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人）,事业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人，退休职工1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人，其中：行政退休1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人，事业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人。今年财政供给人数共计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人。遗属人员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widowControl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p>
      <w:pPr>
        <w:pStyle w:val="2"/>
        <w:ind w:right="440"/>
        <w:jc w:val="right"/>
        <w:rPr>
          <w:rStyle w:val="24"/>
          <w:rFonts w:ascii="黑体" w:hAnsi="黑体" w:eastAsia="黑体"/>
          <w:b w:val="0"/>
          <w:bCs w:val="0"/>
        </w:rPr>
      </w:pPr>
      <w:bookmarkStart w:id="20" w:name="_Toc15377204"/>
      <w:bookmarkStart w:id="21" w:name="_Toc15396602"/>
      <w:r>
        <w:rPr>
          <w:rFonts w:hint="eastAsia" w:ascii="黑体" w:hAnsi="黑体" w:eastAsia="黑体"/>
          <w:b w:val="0"/>
          <w:color w:val="000000"/>
        </w:rPr>
        <w:t>第二部分</w:t>
      </w:r>
      <w:r>
        <w:rPr>
          <w:rFonts w:hint="eastAsia" w:ascii="黑体" w:hAnsi="黑体" w:eastAsia="黑体"/>
          <w:color w:val="000000"/>
        </w:rPr>
        <w:t xml:space="preserve"> </w:t>
      </w:r>
      <w:r>
        <w:rPr>
          <w:rStyle w:val="24"/>
          <w:rFonts w:hint="eastAsia" w:ascii="黑体" w:hAnsi="黑体" w:eastAsia="黑体"/>
          <w:b w:val="0"/>
          <w:bCs w:val="0"/>
        </w:rPr>
        <w:t>2019年度部门决算情况说明</w:t>
      </w:r>
      <w:bookmarkEnd w:id="20"/>
      <w:bookmarkEnd w:id="21"/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ascii="黑体" w:hAnsi="黑体" w:eastAsia="黑体"/>
          <w:b w:val="0"/>
        </w:rPr>
      </w:pPr>
      <w:bookmarkStart w:id="22" w:name="_Toc15377205"/>
      <w:bookmarkStart w:id="23" w:name="_Toc15396603"/>
      <w:r>
        <w:rPr>
          <w:rFonts w:hint="eastAsia" w:ascii="黑体" w:hAnsi="黑体" w:eastAsia="黑体"/>
          <w:color w:val="000000"/>
          <w:sz w:val="32"/>
          <w:szCs w:val="32"/>
        </w:rPr>
        <w:t>收</w:t>
      </w:r>
      <w:r>
        <w:rPr>
          <w:rStyle w:val="25"/>
          <w:rFonts w:hint="eastAsia" w:ascii="黑体" w:hAnsi="黑体" w:eastAsia="黑体"/>
          <w:b w:val="0"/>
        </w:rPr>
        <w:t>入支出决算总体情况说明</w:t>
      </w:r>
      <w:bookmarkEnd w:id="22"/>
      <w:bookmarkEnd w:id="23"/>
    </w:p>
    <w:p>
      <w:pPr>
        <w:spacing w:line="600" w:lineRule="exact"/>
        <w:ind w:firstLine="640" w:firstLineChars="200"/>
        <w:rPr>
          <w:rFonts w:hint="eastAsia" w:ascii="仿宋" w:hAnsi="仿宋" w:eastAsia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2019年度收、支总计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1665.94</w:t>
      </w:r>
      <w:r>
        <w:rPr>
          <w:rFonts w:hint="eastAsia" w:ascii="仿宋" w:hAnsi="仿宋" w:eastAsia="仿宋"/>
          <w:color w:val="000000"/>
          <w:sz w:val="32"/>
          <w:szCs w:val="32"/>
        </w:rPr>
        <w:t>万元。与2018年相比，收、支总计减少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8.86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0.53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。主要变动原因是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 w:cs="Arial"/>
          <w:color w:val="000000"/>
          <w:kern w:val="0"/>
          <w:sz w:val="32"/>
          <w:szCs w:val="32"/>
        </w:rPr>
        <w:t>机构人员指标上下年有变动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（图</w:t>
      </w:r>
      <w:r>
        <w:rPr>
          <w:rFonts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：收、支决算总计变动情况图）（柱状图）</w:t>
      </w:r>
    </w:p>
    <w:p>
      <w:pPr>
        <w:spacing w:line="600" w:lineRule="exact"/>
        <w:ind w:firstLine="420" w:firstLineChars="200"/>
        <w:jc w:val="left"/>
        <w:rPr>
          <w:rStyle w:val="25"/>
          <w:rFonts w:ascii="黑体" w:hAnsi="黑体" w:eastAsia="黑体"/>
          <w:b w:val="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84455</wp:posOffset>
            </wp:positionV>
            <wp:extent cx="4416425" cy="2224405"/>
            <wp:effectExtent l="0" t="0" r="3175" b="444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4" w:name="_Toc15377206"/>
      <w:bookmarkStart w:id="25" w:name="_Toc15396604"/>
      <w:r>
        <w:rPr>
          <w:rFonts w:hint="eastAsia" w:ascii="黑体" w:hAnsi="黑体" w:eastAsia="黑体"/>
          <w:color w:val="000000"/>
          <w:sz w:val="32"/>
          <w:szCs w:val="32"/>
        </w:rPr>
        <w:t>收</w:t>
      </w:r>
      <w:r>
        <w:rPr>
          <w:rStyle w:val="25"/>
          <w:rFonts w:hint="eastAsia" w:ascii="黑体" w:hAnsi="黑体" w:eastAsia="黑体"/>
          <w:b w:val="0"/>
        </w:rPr>
        <w:t>入决算情况说明</w:t>
      </w:r>
      <w:bookmarkEnd w:id="24"/>
      <w:bookmarkEnd w:id="25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9年本年收入合计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832.97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700.97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84.15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；政府性基金预算财政拨款收入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15.85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42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549910</wp:posOffset>
            </wp:positionV>
            <wp:extent cx="3792220" cy="2150110"/>
            <wp:effectExtent l="0" t="0" r="0" b="0"/>
            <wp:wrapTopAndBottom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222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（图2：收入决算结构图）（饼状图）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</w:p>
    <w:p>
      <w:pPr>
        <w:pStyle w:val="23"/>
        <w:numPr>
          <w:ilvl w:val="0"/>
          <w:numId w:val="1"/>
        </w:numPr>
        <w:spacing w:line="600" w:lineRule="exact"/>
        <w:ind w:firstLineChars="0"/>
        <w:outlineLvl w:val="1"/>
        <w:rPr>
          <w:rStyle w:val="25"/>
          <w:rFonts w:ascii="黑体" w:hAnsi="黑体" w:eastAsia="黑体"/>
          <w:b w:val="0"/>
        </w:rPr>
      </w:pPr>
      <w:bookmarkStart w:id="26" w:name="_Toc15396605"/>
      <w:bookmarkStart w:id="27" w:name="_Toc15377207"/>
      <w:r>
        <w:rPr>
          <w:rFonts w:hint="eastAsia" w:ascii="黑体" w:hAnsi="黑体" w:eastAsia="黑体"/>
          <w:color w:val="000000"/>
          <w:sz w:val="32"/>
          <w:szCs w:val="32"/>
        </w:rPr>
        <w:t>支</w:t>
      </w:r>
      <w:r>
        <w:rPr>
          <w:rStyle w:val="25"/>
          <w:rFonts w:hint="eastAsia" w:ascii="黑体" w:hAnsi="黑体" w:eastAsia="黑体"/>
          <w:b w:val="0"/>
        </w:rPr>
        <w:t>出决算情况说明</w:t>
      </w:r>
      <w:bookmarkEnd w:id="26"/>
      <w:bookmarkEnd w:id="27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9年本年支出合计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832.97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万元，其中：基本支出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443.75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53.27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；项目支出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389.23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46.73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420" w:firstLineChars="200"/>
        <w:rPr>
          <w:rFonts w:hint="eastAsia" w:ascii="仿宋" w:hAnsi="仿宋" w:eastAsia="仿宋"/>
          <w:color w:val="000000" w:themeColor="text1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580390</wp:posOffset>
            </wp:positionV>
            <wp:extent cx="4580255" cy="2324100"/>
            <wp:effectExtent l="0" t="0" r="0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（图3：支出决算结构图）（饼状图）</w:t>
      </w:r>
      <w:bookmarkStart w:id="28" w:name="_Toc15377208"/>
      <w:bookmarkStart w:id="29" w:name="_Toc15396606"/>
    </w:p>
    <w:p>
      <w:pPr>
        <w:spacing w:line="600" w:lineRule="exact"/>
        <w:ind w:firstLine="640" w:firstLineChars="200"/>
        <w:rPr>
          <w:rStyle w:val="25"/>
          <w:rFonts w:ascii="黑体" w:hAnsi="黑体" w:eastAsia="黑体"/>
          <w:b w:val="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四、财</w:t>
      </w:r>
      <w:r>
        <w:rPr>
          <w:rStyle w:val="25"/>
          <w:rFonts w:hint="eastAsia" w:ascii="黑体" w:hAnsi="黑体" w:eastAsia="黑体"/>
          <w:b w:val="0"/>
        </w:rPr>
        <w:t>政拨款收入支出决算总体情况说明</w:t>
      </w:r>
      <w:bookmarkEnd w:id="28"/>
      <w:bookmarkEnd w:id="29"/>
    </w:p>
    <w:p>
      <w:pPr>
        <w:spacing w:line="600" w:lineRule="exact"/>
        <w:ind w:firstLine="640"/>
        <w:rPr>
          <w:rFonts w:hint="eastAsia" w:ascii="仿宋" w:hAnsi="仿宋" w:eastAsia="宋体"/>
          <w:color w:val="00000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1591945</wp:posOffset>
            </wp:positionV>
            <wp:extent cx="4225925" cy="2128520"/>
            <wp:effectExtent l="0" t="0" r="3175" b="508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9年财政拨款收、支总计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1665.94</w:t>
      </w:r>
      <w:r>
        <w:rPr>
          <w:rFonts w:hint="eastAsia" w:ascii="仿宋" w:hAnsi="仿宋" w:eastAsia="仿宋"/>
          <w:color w:val="000000"/>
          <w:sz w:val="32"/>
          <w:szCs w:val="32"/>
        </w:rPr>
        <w:t>万元。与</w:t>
      </w: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8年相比，财政拨款收、支总计减少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8.86</w:t>
      </w:r>
      <w:r>
        <w:rPr>
          <w:rFonts w:hint="eastAsia" w:ascii="仿宋" w:hAnsi="仿宋" w:eastAsia="仿宋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0.53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。主要变动原因是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:</w:t>
      </w:r>
      <w:r>
        <w:rPr>
          <w:rFonts w:hint="eastAsia" w:ascii="宋体" w:hAnsi="宋体" w:cs="Arial"/>
          <w:color w:val="000000"/>
          <w:kern w:val="0"/>
          <w:sz w:val="32"/>
          <w:szCs w:val="32"/>
        </w:rPr>
        <w:t>机构人员指标上下年有变动</w:t>
      </w:r>
      <w:r>
        <w:rPr>
          <w:rFonts w:hint="eastAsia" w:ascii="宋体" w:hAnsi="宋体" w:cs="Arial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（图4：财政拨款收、支决算总计变动情况）（柱状图）</w:t>
      </w:r>
    </w:p>
    <w:p>
      <w:pPr>
        <w:spacing w:line="600" w:lineRule="exact"/>
        <w:ind w:firstLine="640"/>
        <w:rPr>
          <w:rFonts w:ascii="仿宋" w:hAnsi="仿宋" w:eastAsia="仿宋"/>
          <w:b/>
          <w:color w:val="00B050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Style w:val="25"/>
          <w:rFonts w:ascii="黑体" w:hAnsi="黑体" w:eastAsia="黑体"/>
          <w:b w:val="0"/>
        </w:rPr>
      </w:pPr>
      <w:bookmarkStart w:id="30" w:name="_Toc15396607"/>
      <w:bookmarkStart w:id="31" w:name="_Toc15377209"/>
      <w:r>
        <w:rPr>
          <w:rFonts w:hint="eastAsia" w:ascii="黑体" w:hAnsi="黑体" w:eastAsia="黑体"/>
          <w:color w:val="000000"/>
          <w:sz w:val="32"/>
          <w:szCs w:val="32"/>
        </w:rPr>
        <w:t>五、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一</w:t>
      </w:r>
      <w:r>
        <w:rPr>
          <w:rStyle w:val="25"/>
          <w:rFonts w:hint="eastAsia" w:ascii="黑体" w:hAnsi="黑体" w:eastAsia="黑体"/>
          <w:b w:val="0"/>
        </w:rPr>
        <w:t>般公共预算财政拨款支出决算情况说明</w:t>
      </w:r>
      <w:bookmarkEnd w:id="30"/>
      <w:bookmarkEnd w:id="31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32" w:name="_Toc15377210"/>
      <w:r>
        <w:rPr>
          <w:rFonts w:hint="eastAsia" w:ascii="仿宋" w:hAnsi="仿宋" w:eastAsia="仿宋"/>
          <w:b/>
          <w:color w:val="000000"/>
          <w:sz w:val="32"/>
          <w:szCs w:val="32"/>
        </w:rPr>
        <w:t>（一）一般公共预算财政拨款支出决算总体情况</w:t>
      </w:r>
      <w:bookmarkEnd w:id="32"/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9年一般公共预算财政拨款支出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700.97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84.15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。与</w:t>
      </w: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8年相比，一般公共预算财政拨款增加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77.08</w:t>
      </w:r>
      <w:r>
        <w:rPr>
          <w:rFonts w:hint="eastAsia" w:ascii="仿宋" w:hAnsi="仿宋" w:eastAsia="仿宋"/>
          <w:color w:val="000000"/>
          <w:sz w:val="32"/>
          <w:szCs w:val="32"/>
        </w:rPr>
        <w:t>万元，增长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12.36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。主要变动原因是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中人员调动调资追加而形成；教育支出比年初预算增加了100%主要是年初未预算而形成的；文化体育与传媒支出增长了100%主要是年初无预算；卫生与健康支出增长了14.89%，主要是医疗保险缴费基础增加而形成的；城乡社区支出增长了187.38%主要是上级部门对于城乡社区基础设施投入增长形成；农林水支出增长了56.29%主要是涉农整合项目投入和村社干部工资增加形成；其他支出比年初预算增长了100%，主要是年初未进行预算。</w:t>
      </w:r>
    </w:p>
    <w:p>
      <w:pPr>
        <w:spacing w:line="600" w:lineRule="exact"/>
        <w:ind w:firstLine="42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1012825</wp:posOffset>
            </wp:positionV>
            <wp:extent cx="4857750" cy="2305050"/>
            <wp:effectExtent l="0" t="0" r="0" b="0"/>
            <wp:wrapTopAndBottom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（图5：一般公共预算财政拨款支出决算变动情况）（柱状图）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33" w:name="_Toc15377211"/>
      <w:r>
        <w:rPr>
          <w:rFonts w:hint="eastAsia" w:ascii="仿宋" w:hAnsi="仿宋" w:eastAsia="仿宋"/>
          <w:b/>
          <w:color w:val="000000"/>
          <w:sz w:val="32"/>
          <w:szCs w:val="32"/>
        </w:rPr>
        <w:t>（二）一般公共预算财政拨款支出决算结构情况</w:t>
      </w:r>
      <w:bookmarkEnd w:id="33"/>
    </w:p>
    <w:p>
      <w:pPr>
        <w:spacing w:line="600" w:lineRule="exact"/>
        <w:ind w:firstLine="640"/>
        <w:rPr>
          <w:rFonts w:ascii="仿宋" w:hAnsi="仿宋" w:eastAsia="仿宋"/>
          <w:b/>
          <w:color w:val="000000" w:themeColor="text1"/>
          <w:sz w:val="32"/>
          <w:szCs w:val="32"/>
          <w:highlight w:val="yellow"/>
        </w:rPr>
      </w:pPr>
      <w:r>
        <w:rPr>
          <w:rFonts w:ascii="仿宋" w:hAnsi="仿宋" w:eastAsia="仿宋"/>
          <w:color w:val="000000"/>
          <w:sz w:val="32"/>
          <w:szCs w:val="32"/>
          <w:highlight w:val="yellow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</w:rPr>
        <w:t>9年一般公共预算财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政拨款支出</w:t>
      </w:r>
      <w:r>
        <w:rPr>
          <w:rFonts w:hint="eastAsia" w:ascii="仿宋" w:hAnsi="仿宋" w:eastAsia="仿宋"/>
          <w:color w:val="000000"/>
          <w:sz w:val="32"/>
          <w:szCs w:val="32"/>
          <w:highlight w:val="yellow"/>
          <w:lang w:val="en-US" w:eastAsia="zh-CN"/>
        </w:rPr>
        <w:t>700.97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万元，主要用于以下方面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: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highlight w:val="yellow"/>
        </w:rPr>
        <w:t>一般公共服务（类）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385.61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55.01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highlight w:val="yellow"/>
        </w:rPr>
        <w:t>教育支出（类）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0.86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eastAsia="zh-CN"/>
        </w:rPr>
        <w:t>城乡社区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highlight w:val="yellow"/>
        </w:rPr>
        <w:t>（类）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16.01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2.29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eastAsia="zh-CN"/>
        </w:rPr>
        <w:t>农林水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highlight w:val="yellow"/>
        </w:rPr>
        <w:t>支出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highlight w:val="yellow"/>
          <w:lang w:val="en-US" w:eastAsia="zh-CN"/>
        </w:rPr>
        <w:t>205.46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highlight w:val="yellow"/>
          <w:lang w:val="en-US" w:eastAsia="zh-CN"/>
        </w:rPr>
        <w:t>29.31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highlight w:val="yellow"/>
        </w:rPr>
        <w:t>社会保障和就业（类）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36.87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5.26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highlight w:val="yellow"/>
        </w:rPr>
        <w:t>卫生健康支出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21.29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3.04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；住房保障支出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26.73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万元，占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3.81</w:t>
      </w:r>
      <w:r>
        <w:rPr>
          <w:rFonts w:ascii="仿宋" w:hAnsi="仿宋" w:eastAsia="仿宋"/>
          <w:color w:val="000000" w:themeColor="text1"/>
          <w:sz w:val="32"/>
          <w:szCs w:val="32"/>
          <w:highlight w:val="yellow"/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eastAsia="zh-CN"/>
        </w:rPr>
        <w:t>，其他支出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  <w:lang w:val="en-US" w:eastAsia="zh-CN"/>
        </w:rPr>
        <w:t>2.97万元，占0.42％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（图6：一般公共预算财政拨款支出决算结构）（饼状图）</w:t>
      </w:r>
    </w:p>
    <w:p>
      <w:pPr>
        <w:spacing w:line="600" w:lineRule="exact"/>
        <w:ind w:firstLine="42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198120</wp:posOffset>
            </wp:positionV>
            <wp:extent cx="5272405" cy="2267585"/>
            <wp:effectExtent l="0" t="0" r="0" b="18415"/>
            <wp:wrapTopAndBottom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4" w:name="_Toc15377212"/>
      <w:r>
        <w:rPr>
          <w:rFonts w:hint="eastAsia" w:ascii="仿宋" w:hAnsi="仿宋" w:eastAsia="仿宋"/>
          <w:b/>
          <w:color w:val="000000"/>
          <w:sz w:val="32"/>
          <w:szCs w:val="32"/>
        </w:rPr>
        <w:t>（三）一般公共预算财政拨款支出决算具体情况</w:t>
      </w:r>
      <w:bookmarkEnd w:id="34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color w:val="FF0000"/>
          <w:sz w:val="32"/>
          <w:szCs w:val="32"/>
        </w:rPr>
      </w:pPr>
      <w:bookmarkStart w:id="35" w:name="_Toc15377213"/>
      <w:bookmarkStart w:id="36" w:name="_Toc15378460"/>
      <w:bookmarkStart w:id="37" w:name="_Toc15377444"/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2019年般公共预算支出决算数为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</w:rPr>
        <w:t>832.97万元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Style w:val="14"/>
          <w:rFonts w:hint="eastAsia" w:ascii="仿宋" w:hAnsi="仿宋" w:eastAsia="仿宋"/>
          <w:bCs/>
          <w:color w:val="000000" w:themeColor="text1"/>
          <w:sz w:val="32"/>
          <w:szCs w:val="32"/>
        </w:rPr>
        <w:t>完成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预算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。其中：</w:t>
      </w:r>
      <w:bookmarkEnd w:id="35"/>
      <w:bookmarkEnd w:id="36"/>
      <w:bookmarkEnd w:id="37"/>
    </w:p>
    <w:p>
      <w:pPr>
        <w:snapToGrid w:val="0"/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1.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一般公共服务（类）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385.61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132.55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中人员调动调资追加而形成；教育支出比年初预算增加了100%主要是年初未预算而形成的；文化体育与传媒支出增长了100%主要是年初无预算；卫生与健康支出增长了14.89%，主要是医疗保险缴费基础增加而形成的；城乡社区支出增长了187.38%主要是上级部门对于城乡社区基础设施投入增长形成；农林水支出增长了56.29%主要是涉农整合项目投入和村社干部工资增加形成；其他支出比年初预算增长了100%，主要是年初未进行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2.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教育（类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年初未进行预算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.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文化旅游体育与传媒（类）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年初未进行预算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.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社会保障和就业（类）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36.87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5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卫生健康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21.29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114.89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医疗保险缴费基础增加而形成的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6. 城乡社区支出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48.01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187.38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kern w:val="0"/>
          <w:sz w:val="32"/>
          <w:szCs w:val="32"/>
        </w:rPr>
        <w:t>上级部门对于城乡社区基础设施投入增长形成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7. 农林水支出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4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205.46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156.29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kern w:val="0"/>
          <w:sz w:val="32"/>
          <w:szCs w:val="32"/>
        </w:rPr>
        <w:t>主要是涉农整合项目投入和村社干部工资增加形成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住房保障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支出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26.73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102.5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kern w:val="0"/>
          <w:sz w:val="32"/>
          <w:szCs w:val="32"/>
        </w:rPr>
        <w:t>人员调动调资追加而形成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9..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其他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支出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（类）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（款）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</w:t>
      </w:r>
      <w:r>
        <w:rPr>
          <w:rStyle w:val="14"/>
          <w:rFonts w:hint="eastAsia" w:ascii="仿宋" w:hAnsi="仿宋" w:eastAsia="仿宋"/>
          <w:bCs/>
          <w:color w:val="000000"/>
          <w:sz w:val="32"/>
          <w:szCs w:val="32"/>
        </w:rPr>
        <w:t>（项）</w:t>
      </w:r>
      <w:r>
        <w:rPr>
          <w:rStyle w:val="14"/>
          <w:rFonts w:ascii="仿宋" w:hAnsi="仿宋" w:eastAsia="仿宋"/>
          <w:bCs/>
          <w:color w:val="000000"/>
          <w:sz w:val="32"/>
          <w:szCs w:val="32"/>
        </w:rPr>
        <w:t>: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支出决算为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万元，决算数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大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于预算数的主要原因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年初未进行预算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（注：数据来源于财决</w:t>
      </w:r>
      <w:r>
        <w:rPr>
          <w:rFonts w:ascii="仿宋" w:hAnsi="仿宋" w:eastAsia="仿宋"/>
          <w:b/>
          <w:color w:val="FF0000"/>
          <w:sz w:val="32"/>
          <w:szCs w:val="32"/>
        </w:rPr>
        <w:t>Z01-1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表，罗列全部功能分类科目至项级。上述“预算”口径为</w:t>
      </w:r>
      <w:r>
        <w:rPr>
          <w:rFonts w:hint="eastAsia" w:ascii="仿宋" w:hAnsi="仿宋" w:eastAsia="仿宋"/>
          <w:b/>
          <w:color w:val="FF0000"/>
          <w:sz w:val="32"/>
          <w:szCs w:val="32"/>
          <w:highlight w:val="yellow"/>
        </w:rPr>
        <w:t>调整预算数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。增减变动原因为决算数</w:t>
      </w:r>
      <w:r>
        <w:rPr>
          <w:rFonts w:ascii="仿宋" w:hAnsi="仿宋" w:eastAsia="仿宋"/>
          <w:b/>
          <w:color w:val="FF0000"/>
          <w:sz w:val="32"/>
          <w:szCs w:val="32"/>
        </w:rPr>
        <w:t>&lt;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项级</w:t>
      </w:r>
      <w:r>
        <w:rPr>
          <w:rFonts w:ascii="仿宋" w:hAnsi="仿宋" w:eastAsia="仿宋"/>
          <w:b/>
          <w:color w:val="FF0000"/>
          <w:sz w:val="32"/>
          <w:szCs w:val="32"/>
        </w:rPr>
        <w:t>&gt;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和调整预算数</w:t>
      </w:r>
      <w:r>
        <w:rPr>
          <w:rFonts w:ascii="仿宋" w:hAnsi="仿宋" w:eastAsia="仿宋"/>
          <w:b/>
          <w:color w:val="FF0000"/>
          <w:sz w:val="32"/>
          <w:szCs w:val="32"/>
        </w:rPr>
        <w:t>&lt;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项级</w:t>
      </w:r>
      <w:r>
        <w:rPr>
          <w:rFonts w:ascii="仿宋" w:hAnsi="仿宋" w:eastAsia="仿宋"/>
          <w:b/>
          <w:color w:val="FF0000"/>
          <w:sz w:val="32"/>
          <w:szCs w:val="32"/>
        </w:rPr>
        <w:t>&gt;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比较，与预算数持平可以不写原因。）</w:t>
      </w:r>
    </w:p>
    <w:p>
      <w:pPr>
        <w:spacing w:line="600" w:lineRule="exact"/>
        <w:ind w:firstLine="640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5"/>
        </w:rPr>
      </w:pPr>
      <w:bookmarkStart w:id="38" w:name="_Toc15396608"/>
      <w:bookmarkStart w:id="39" w:name="_Toc15377214"/>
      <w:r>
        <w:rPr>
          <w:rFonts w:hint="eastAsia" w:ascii="黑体" w:eastAsia="黑体"/>
          <w:color w:val="000000"/>
          <w:sz w:val="32"/>
          <w:szCs w:val="32"/>
        </w:rPr>
        <w:t>六</w:t>
      </w:r>
      <w:r>
        <w:rPr>
          <w:rFonts w:hint="eastAsia" w:ascii="黑体" w:eastAsia="黑体"/>
          <w:b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一</w:t>
      </w:r>
      <w:r>
        <w:rPr>
          <w:rStyle w:val="25"/>
          <w:rFonts w:hint="eastAsia" w:ascii="黑体" w:hAnsi="黑体" w:eastAsia="黑体"/>
          <w:b w:val="0"/>
        </w:rPr>
        <w:t>般公共预算财政拨款基本支出决算情况说明</w:t>
      </w:r>
      <w:bookmarkEnd w:id="38"/>
      <w:bookmarkEnd w:id="39"/>
      <w:r>
        <w:rPr>
          <w:rStyle w:val="25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9年一般公共预算财政拨款基本支出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409.67</w:t>
      </w:r>
      <w:r>
        <w:rPr>
          <w:rFonts w:hint="eastAsia" w:ascii="仿宋" w:hAnsi="仿宋" w:eastAsia="仿宋"/>
          <w:color w:val="000000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人员经费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364.19</w:t>
      </w:r>
      <w:r>
        <w:rPr>
          <w:rFonts w:hint="eastAsia" w:ascii="仿宋" w:hAnsi="仿宋" w:eastAsia="仿宋"/>
          <w:color w:val="000000"/>
          <w:sz w:val="32"/>
          <w:szCs w:val="32"/>
        </w:rPr>
        <w:t>万元，主要包括：基本工资、津贴补贴、奖金、伙食补助费、绩效工资、机关事业单位基本养老保险缴费、职业年金缴费、其他社会保障缴费、其他工资福利支出、离休费、退休费、抚恤金、生活补助、医疗费补助、奖励金、住房公积金、其他对个人和家庭的补助支出等。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000000"/>
          <w:sz w:val="32"/>
          <w:szCs w:val="32"/>
        </w:rPr>
        <w:t>　　日常公用经费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45.48</w:t>
      </w:r>
      <w:r>
        <w:rPr>
          <w:rFonts w:hint="eastAsia" w:ascii="仿宋" w:hAnsi="仿宋" w:eastAsia="仿宋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用、维修（护）费、租赁费、会议费、培训费、公务接待费、劳务费、委托业务费、工会经费、福利费、公务用车运行维护费、其他交通费、税金及附加费用、其他商品和服务支出、办公设备购置、专用设备购置、信息网络及软件购置更新、其他资本性支出等。</w:t>
      </w:r>
    </w:p>
    <w:p>
      <w:pPr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40" w:name="_Toc15377215"/>
      <w:bookmarkStart w:id="41" w:name="_Toc15396609"/>
      <w:r>
        <w:rPr>
          <w:rFonts w:hint="eastAsia" w:ascii="黑体" w:eastAsia="黑体"/>
          <w:color w:val="000000"/>
          <w:sz w:val="32"/>
          <w:szCs w:val="32"/>
        </w:rPr>
        <w:t>七、</w:t>
      </w:r>
      <w:r>
        <w:rPr>
          <w:rStyle w:val="25"/>
          <w:rFonts w:hint="eastAsia" w:ascii="黑体" w:hAnsi="黑体" w:eastAsia="黑体"/>
        </w:rPr>
        <w:t>“</w:t>
      </w:r>
      <w:r>
        <w:rPr>
          <w:rStyle w:val="25"/>
          <w:rFonts w:hint="eastAsia" w:ascii="黑体" w:hAnsi="黑体" w:eastAsia="黑体"/>
          <w:b w:val="0"/>
        </w:rPr>
        <w:t>三公”经费财政拨款支出决算情况说明</w:t>
      </w:r>
      <w:bookmarkEnd w:id="40"/>
      <w:bookmarkEnd w:id="41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42" w:name="_Toc15377216"/>
      <w:r>
        <w:rPr>
          <w:rFonts w:hint="eastAsia" w:ascii="仿宋" w:hAnsi="仿宋" w:eastAsia="仿宋"/>
          <w:b/>
          <w:color w:val="000000"/>
          <w:sz w:val="32"/>
          <w:szCs w:val="32"/>
        </w:rPr>
        <w:t>（一）“三公”经费财政拨款支出决算总体情况说明</w:t>
      </w:r>
      <w:bookmarkEnd w:id="42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（注：上述“预算”口径为调整预算数，包括政府性基金支出决算情况。）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43" w:name="_Toc15377217"/>
      <w:r>
        <w:rPr>
          <w:rFonts w:hint="eastAsia" w:ascii="仿宋" w:hAnsi="仿宋" w:eastAsia="仿宋"/>
          <w:b/>
          <w:color w:val="000000"/>
          <w:sz w:val="32"/>
          <w:szCs w:val="32"/>
        </w:rPr>
        <w:t>（二）“三公”经费财政拨款支出决算具体情况说明</w:t>
      </w:r>
      <w:bookmarkEnd w:id="43"/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9年“三公”经费财政拨款支出决算中，因公出国（境）费支出决算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；公务接待费支出决算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514350</wp:posOffset>
            </wp:positionV>
            <wp:extent cx="4486275" cy="2076450"/>
            <wp:effectExtent l="0" t="0" r="0" b="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sz w:val="32"/>
          <w:szCs w:val="32"/>
        </w:rPr>
        <w:t>（图7：“三公”经费财政拨款支出结构）（饼状图）</w:t>
      </w:r>
    </w:p>
    <w:p>
      <w:pPr>
        <w:spacing w:line="600" w:lineRule="exact"/>
        <w:ind w:firstLine="640"/>
        <w:rPr>
          <w:rFonts w:hint="eastAsia" w:ascii="仿宋_GB2312" w:eastAsia="仿宋"/>
          <w:color w:val="000000"/>
          <w:sz w:val="32"/>
          <w:szCs w:val="32"/>
          <w:lang w:eastAsia="zh-CN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2.2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14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14"/>
          <w:rFonts w:hint="eastAsia" w:ascii="仿宋" w:hAnsi="仿宋" w:eastAsia="仿宋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国内公务接待支出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2.2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万元，主要用于执行公务、开展业务活动开支的交通费、住宿费、用餐费等。</w:t>
      </w:r>
    </w:p>
    <w:p>
      <w:pPr>
        <w:spacing w:line="600" w:lineRule="exact"/>
        <w:ind w:firstLine="640"/>
        <w:outlineLvl w:val="1"/>
        <w:rPr>
          <w:rStyle w:val="25"/>
          <w:rFonts w:ascii="黑体" w:hAnsi="黑体" w:eastAsia="黑体"/>
        </w:rPr>
      </w:pPr>
      <w:bookmarkStart w:id="44" w:name="_Toc15396610"/>
      <w:bookmarkStart w:id="45" w:name="_Toc15377218"/>
      <w:bookmarkStart w:id="53" w:name="_GoBack"/>
      <w:bookmarkEnd w:id="53"/>
      <w:r>
        <w:rPr>
          <w:rFonts w:hint="eastAsia" w:ascii="黑体" w:eastAsia="黑体"/>
          <w:color w:val="000000"/>
          <w:sz w:val="32"/>
          <w:szCs w:val="32"/>
        </w:rPr>
        <w:t>八、</w:t>
      </w:r>
      <w:r>
        <w:rPr>
          <w:rStyle w:val="25"/>
          <w:rFonts w:hint="eastAsia" w:ascii="黑体" w:hAnsi="黑体" w:eastAsia="黑体"/>
          <w:b w:val="0"/>
        </w:rPr>
        <w:t>政府性基金预算支出决算情况说明</w:t>
      </w:r>
      <w:bookmarkEnd w:id="44"/>
      <w:bookmarkEnd w:id="45"/>
    </w:p>
    <w:p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9年政府性基金预算拨款支出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132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</w:p>
    <w:p>
      <w:pPr>
        <w:numPr>
          <w:ilvl w:val="0"/>
          <w:numId w:val="2"/>
        </w:numPr>
        <w:spacing w:line="600" w:lineRule="exact"/>
        <w:ind w:firstLine="640"/>
        <w:outlineLvl w:val="1"/>
        <w:rPr>
          <w:rStyle w:val="25"/>
          <w:rFonts w:ascii="黑体" w:hAnsi="黑体" w:eastAsia="黑体"/>
          <w:b w:val="0"/>
        </w:rPr>
      </w:pPr>
      <w:bookmarkStart w:id="46" w:name="_Toc15396611"/>
      <w:bookmarkStart w:id="47" w:name="_Toc15377219"/>
      <w:r>
        <w:rPr>
          <w:rStyle w:val="25"/>
          <w:rFonts w:hint="eastAsia" w:ascii="黑体" w:hAnsi="黑体" w:eastAsia="黑体"/>
          <w:b w:val="0"/>
        </w:rPr>
        <w:t>国有资本经营预算支出决算情况说明</w:t>
      </w:r>
      <w:bookmarkEnd w:id="46"/>
      <w:bookmarkEnd w:id="47"/>
    </w:p>
    <w:p>
      <w:pPr>
        <w:spacing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9年国有资本经营预算拨款支出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800" w:firstLineChars="250"/>
        <w:outlineLvl w:val="1"/>
        <w:rPr>
          <w:rStyle w:val="25"/>
          <w:rFonts w:ascii="黑体" w:hAnsi="黑体" w:eastAsia="黑体"/>
        </w:rPr>
      </w:pPr>
      <w:bookmarkStart w:id="48" w:name="_Toc15377221"/>
      <w:bookmarkStart w:id="49" w:name="_Toc15396612"/>
      <w:r>
        <w:rPr>
          <w:rFonts w:hint="eastAsia" w:ascii="黑体" w:hAnsi="黑体" w:eastAsia="黑体"/>
          <w:color w:val="000000"/>
          <w:sz w:val="32"/>
          <w:szCs w:val="32"/>
        </w:rPr>
        <w:t>十</w:t>
      </w:r>
      <w:r>
        <w:rPr>
          <w:rStyle w:val="25"/>
          <w:rFonts w:hint="eastAsia" w:ascii="黑体" w:hAnsi="黑体" w:eastAsia="黑体"/>
        </w:rPr>
        <w:t>、</w:t>
      </w:r>
      <w:r>
        <w:rPr>
          <w:rStyle w:val="25"/>
          <w:rFonts w:hint="eastAsia" w:ascii="黑体" w:hAnsi="黑体" w:eastAsia="黑体"/>
          <w:b w:val="0"/>
        </w:rPr>
        <w:t>其他重要事项的情况说明</w:t>
      </w:r>
      <w:bookmarkEnd w:id="48"/>
      <w:bookmarkEnd w:id="49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color w:val="000000"/>
          <w:sz w:val="32"/>
          <w:szCs w:val="32"/>
        </w:rPr>
      </w:pPr>
      <w:bookmarkStart w:id="50" w:name="_Toc15377222"/>
      <w:r>
        <w:rPr>
          <w:rFonts w:hint="eastAsia" w:ascii="仿宋" w:hAnsi="仿宋" w:eastAsia="仿宋"/>
          <w:b/>
          <w:color w:val="000000"/>
          <w:sz w:val="32"/>
          <w:szCs w:val="32"/>
        </w:rPr>
        <w:t>（一）机关运行经费支出情况</w:t>
      </w:r>
      <w:bookmarkEnd w:id="50"/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9年，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三墩乡</w:t>
      </w:r>
      <w:r>
        <w:rPr>
          <w:rFonts w:hint="eastAsia" w:ascii="仿宋_GB2312" w:eastAsia="仿宋_GB2312"/>
          <w:color w:val="000000"/>
          <w:sz w:val="32"/>
          <w:szCs w:val="32"/>
        </w:rPr>
        <w:t>机关运行经费支出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288.24</w:t>
      </w:r>
      <w:r>
        <w:rPr>
          <w:rFonts w:hint="eastAsia" w:ascii="仿宋_GB2312" w:eastAsia="仿宋_GB2312"/>
          <w:color w:val="000000"/>
          <w:sz w:val="32"/>
          <w:szCs w:val="32"/>
        </w:rPr>
        <w:t>万元，比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8年增加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10.54</w:t>
      </w:r>
      <w:r>
        <w:rPr>
          <w:rFonts w:hint="eastAsia" w:ascii="仿宋_GB2312" w:eastAsia="仿宋_GB2312"/>
          <w:color w:val="000000"/>
          <w:sz w:val="32"/>
          <w:szCs w:val="32"/>
        </w:rPr>
        <w:t>万元，增长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3.8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（或与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8年决算数持平）。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主要原因是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：人员增加和巴山大峡谷景区开园等。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（注：数据来源于财决附</w:t>
      </w:r>
      <w:r>
        <w:rPr>
          <w:rFonts w:ascii="仿宋" w:hAnsi="仿宋" w:eastAsia="仿宋"/>
          <w:b/>
          <w:color w:val="FF0000"/>
          <w:sz w:val="32"/>
          <w:szCs w:val="32"/>
        </w:rPr>
        <w:t>03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表）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51" w:name="_Toc15377223"/>
      <w:r>
        <w:rPr>
          <w:rFonts w:hint="eastAsia" w:ascii="仿宋" w:hAnsi="仿宋" w:eastAsia="仿宋"/>
          <w:b/>
          <w:color w:val="000000"/>
          <w:sz w:val="32"/>
          <w:szCs w:val="32"/>
        </w:rPr>
        <w:t>（二）政府采购支出情况</w:t>
      </w:r>
      <w:bookmarkEnd w:id="51"/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9年，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三墩乡</w:t>
      </w:r>
      <w:r>
        <w:rPr>
          <w:rFonts w:hint="eastAsia" w:ascii="仿宋_GB2312" w:eastAsia="仿宋_GB2312"/>
          <w:color w:val="000000"/>
          <w:sz w:val="32"/>
          <w:szCs w:val="32"/>
        </w:rPr>
        <w:t>政府采购支出总额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万元、政府采购工程支出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万元、政府采购服务支出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万元。主要用于</w:t>
      </w:r>
      <w:r>
        <w:rPr>
          <w:rFonts w:ascii="仿宋_GB2312" w:eastAsia="仿宋_GB2312"/>
          <w:color w:val="000000"/>
          <w:sz w:val="32"/>
          <w:szCs w:val="32"/>
        </w:rPr>
        <w:t>…</w:t>
      </w:r>
      <w:r>
        <w:rPr>
          <w:rFonts w:hint="eastAsia" w:ascii="仿宋_GB2312" w:eastAsia="仿宋_GB2312"/>
          <w:color w:val="000000"/>
          <w:sz w:val="32"/>
          <w:szCs w:val="32"/>
        </w:rPr>
        <w:t>（具体工作）。授予中小企业合同金额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（注：数据来源于财决附</w:t>
      </w:r>
      <w:r>
        <w:rPr>
          <w:rFonts w:ascii="仿宋" w:hAnsi="仿宋" w:eastAsia="仿宋"/>
          <w:b/>
          <w:color w:val="FF0000"/>
          <w:sz w:val="32"/>
          <w:szCs w:val="32"/>
        </w:rPr>
        <w:t>03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表）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52" w:name="_Toc15377224"/>
      <w:r>
        <w:rPr>
          <w:rFonts w:hint="eastAsia" w:ascii="仿宋" w:hAnsi="仿宋" w:eastAsia="仿宋"/>
          <w:b/>
          <w:color w:val="000000"/>
          <w:sz w:val="32"/>
          <w:szCs w:val="32"/>
        </w:rPr>
        <w:t>（三）国有资产占有使用情况</w:t>
      </w:r>
      <w:bookmarkEnd w:id="52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截至</w:t>
      </w:r>
      <w:r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</w:rPr>
        <w:t>9年</w:t>
      </w:r>
      <w:r>
        <w:rPr>
          <w:rFonts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31</w:t>
      </w:r>
      <w:r>
        <w:rPr>
          <w:rFonts w:hint="eastAsia" w:ascii="仿宋_GB2312" w:eastAsia="仿宋_GB2312"/>
          <w:color w:val="000000"/>
          <w:sz w:val="32"/>
          <w:szCs w:val="32"/>
        </w:rPr>
        <w:t>日，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三墩乡</w:t>
      </w:r>
      <w:r>
        <w:rPr>
          <w:rFonts w:hint="eastAsia" w:ascii="仿宋_GB2312" w:eastAsia="仿宋_GB2312"/>
          <w:color w:val="000000"/>
          <w:sz w:val="32"/>
          <w:szCs w:val="32"/>
        </w:rPr>
        <w:t>共有车辆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辆、机要通信用车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辆、应急保障用车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辆、其他用车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辆……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其他用车主要是用于……单价</w:t>
      </w:r>
      <w:r>
        <w:rPr>
          <w:rFonts w:ascii="仿宋_GB2312" w:eastAsia="仿宋_GB2312"/>
          <w:color w:val="000000" w:themeColor="text1"/>
          <w:sz w:val="32"/>
          <w:szCs w:val="32"/>
        </w:rPr>
        <w:t>50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万元以上通用设备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台（套），单价</w:t>
      </w:r>
      <w:r>
        <w:rPr>
          <w:rFonts w:ascii="仿宋_GB2312" w:eastAsia="仿宋_GB2312"/>
          <w:color w:val="000000" w:themeColor="text1"/>
          <w:sz w:val="32"/>
          <w:szCs w:val="32"/>
        </w:rPr>
        <w:t>100</w:t>
      </w:r>
      <w:r>
        <w:rPr>
          <w:rFonts w:hint="eastAsia" w:ascii="仿宋_GB2312" w:eastAsia="仿宋_GB2312"/>
          <w:color w:val="000000"/>
          <w:sz w:val="32"/>
          <w:szCs w:val="32"/>
        </w:rPr>
        <w:t>万元以上专用设备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hint="eastAsia" w:ascii="仿宋_GB2312" w:eastAsia="仿宋_GB2312"/>
          <w:color w:val="000000"/>
          <w:sz w:val="32"/>
          <w:szCs w:val="32"/>
        </w:rPr>
        <w:t>台（套）。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（注：数据来源财决附</w:t>
      </w:r>
      <w:r>
        <w:rPr>
          <w:rFonts w:ascii="仿宋" w:hAnsi="仿宋" w:eastAsia="仿宋"/>
          <w:b/>
          <w:color w:val="FF0000"/>
          <w:sz w:val="32"/>
          <w:szCs w:val="32"/>
        </w:rPr>
        <w:t>03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表，按部门决算报表填报数据罗列车辆情况。）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（四）预算绩效管理情况。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根据预算绩效管理要求，本部门（单位）在年初预算编制阶段，组织对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项目（项目名称）开展了预算事前绩效评估，对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个项目编制了绩效目标，预算执行过程中，选取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个项目开展绩效监控，年终执行完毕后，对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个项目开展了绩效目标完成情况自评。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本部门按要求对2019年部门整体支出开展绩效自评，从评价情况来看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按照绩效目标任务清单逐项落实，对项目落实过程进行全程监督，按照报账程序进行资金划拨。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1.项目绩效目标完成情况。</w:t>
      </w:r>
      <w:r>
        <w:rPr>
          <w:rFonts w:hint="eastAsia" w:ascii="楷体_GB2312" w:hAnsi="楷体_GB2312" w:eastAsia="楷体_GB2312" w:cs="楷体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本部门在2019年度部门决算中反映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个项目绩效目标实际完成情况。（本单位部门项目绩效目标个数在5个以上的，选取5个项目进行公开，目标个数在5个以下的，全部进行公开，公开内容包括选取的全部项目完成情况综述和完成情况表）。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三墩乡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项目绩效目标完成情况综述。项目全年预算数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万元，执行数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257.23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%。通过项目实施，保障了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乡村各项工作的正常运转，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发现的主要问题：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乡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镇级是支出财政，无其他收入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。下一步改进措施：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严格按照财政体制安排的财政资金安排支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出。</w:t>
      </w:r>
    </w:p>
    <w:p>
      <w:pPr>
        <w:tabs>
          <w:tab w:val="left" w:pos="4744"/>
        </w:tabs>
        <w:bidi w:val="0"/>
        <w:ind w:firstLine="3200" w:firstLineChars="1000"/>
        <w:jc w:val="right"/>
        <w:rPr>
          <w:rFonts w:hint="eastAsia" w:ascii="宋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/>
          <w:color w:val="000000"/>
          <w:sz w:val="32"/>
          <w:szCs w:val="32"/>
          <w:lang w:val="en-US" w:eastAsia="zh-CN"/>
        </w:rPr>
        <w:t xml:space="preserve">                                                                      </w:t>
      </w:r>
      <w:r>
        <w:rPr>
          <w:rFonts w:hint="eastAsia" w:ascii="宋体"/>
          <w:b w:val="0"/>
          <w:bCs/>
          <w:color w:val="000000"/>
          <w:sz w:val="32"/>
          <w:szCs w:val="32"/>
          <w:lang w:eastAsia="zh-CN"/>
        </w:rPr>
        <w:t>宣汉县三墩土家族乡人民政府</w:t>
      </w:r>
    </w:p>
    <w:p>
      <w:pPr>
        <w:bidi w:val="0"/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日</w:t>
      </w:r>
    </w:p>
    <w:p>
      <w:pPr>
        <w:pStyle w:val="3"/>
        <w:rPr>
          <w:rFonts w:ascii="仿宋" w:hAnsi="仿宋" w:eastAsia="仿宋"/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24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6C66B"/>
    <w:multiLevelType w:val="singleLevel"/>
    <w:tmpl w:val="B026C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61C"/>
    <w:rsid w:val="000222C6"/>
    <w:rsid w:val="0002549F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D19B0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16CD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4F403E"/>
    <w:rsid w:val="00505A47"/>
    <w:rsid w:val="00512FDA"/>
    <w:rsid w:val="00520DA0"/>
    <w:rsid w:val="005664BB"/>
    <w:rsid w:val="00566FFA"/>
    <w:rsid w:val="0057481D"/>
    <w:rsid w:val="00575F0B"/>
    <w:rsid w:val="0058486E"/>
    <w:rsid w:val="00585B33"/>
    <w:rsid w:val="0059014D"/>
    <w:rsid w:val="005B5C64"/>
    <w:rsid w:val="005C6BD0"/>
    <w:rsid w:val="005C6C4C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27533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F1991"/>
    <w:rsid w:val="007F2C2F"/>
    <w:rsid w:val="007F55FC"/>
    <w:rsid w:val="007F5665"/>
    <w:rsid w:val="00800112"/>
    <w:rsid w:val="00813348"/>
    <w:rsid w:val="008253BB"/>
    <w:rsid w:val="00833962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E98"/>
    <w:rsid w:val="009C37FB"/>
    <w:rsid w:val="009D3447"/>
    <w:rsid w:val="009D4711"/>
    <w:rsid w:val="009F1185"/>
    <w:rsid w:val="009F18CD"/>
    <w:rsid w:val="009F2A13"/>
    <w:rsid w:val="009F7527"/>
    <w:rsid w:val="00A039ED"/>
    <w:rsid w:val="00A04EB0"/>
    <w:rsid w:val="00A13CC1"/>
    <w:rsid w:val="00A16847"/>
    <w:rsid w:val="00A237D8"/>
    <w:rsid w:val="00A268C4"/>
    <w:rsid w:val="00A307CD"/>
    <w:rsid w:val="00A331C8"/>
    <w:rsid w:val="00A35117"/>
    <w:rsid w:val="00A40A00"/>
    <w:rsid w:val="00A4142F"/>
    <w:rsid w:val="00A422EB"/>
    <w:rsid w:val="00A45BB7"/>
    <w:rsid w:val="00A5171B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0F83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30E69"/>
    <w:rsid w:val="00C33E72"/>
    <w:rsid w:val="00C354B2"/>
    <w:rsid w:val="00C35554"/>
    <w:rsid w:val="00C42709"/>
    <w:rsid w:val="00C533CC"/>
    <w:rsid w:val="00C5751C"/>
    <w:rsid w:val="00C61BFC"/>
    <w:rsid w:val="00C62B85"/>
    <w:rsid w:val="00C65438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66797"/>
    <w:rsid w:val="00E82267"/>
    <w:rsid w:val="00E853CE"/>
    <w:rsid w:val="00E867B6"/>
    <w:rsid w:val="00E87F08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4D90FB0"/>
    <w:rsid w:val="050123A0"/>
    <w:rsid w:val="05DF5376"/>
    <w:rsid w:val="0AF74A0D"/>
    <w:rsid w:val="0B9F5558"/>
    <w:rsid w:val="0DE56983"/>
    <w:rsid w:val="0E9A0FEC"/>
    <w:rsid w:val="0F3859E3"/>
    <w:rsid w:val="10C055FF"/>
    <w:rsid w:val="13160FA2"/>
    <w:rsid w:val="16BB723D"/>
    <w:rsid w:val="183B249B"/>
    <w:rsid w:val="1DAF659B"/>
    <w:rsid w:val="238C4DDD"/>
    <w:rsid w:val="240371BF"/>
    <w:rsid w:val="262C78AD"/>
    <w:rsid w:val="26FE119E"/>
    <w:rsid w:val="271E768C"/>
    <w:rsid w:val="29FD04D3"/>
    <w:rsid w:val="319F7F4E"/>
    <w:rsid w:val="328901CA"/>
    <w:rsid w:val="35B269ED"/>
    <w:rsid w:val="360E2075"/>
    <w:rsid w:val="38270DB1"/>
    <w:rsid w:val="3CAF074D"/>
    <w:rsid w:val="43D67C79"/>
    <w:rsid w:val="442855C3"/>
    <w:rsid w:val="4CD55AE5"/>
    <w:rsid w:val="4DB80065"/>
    <w:rsid w:val="4DD86C5A"/>
    <w:rsid w:val="4ECE2238"/>
    <w:rsid w:val="542C3E46"/>
    <w:rsid w:val="575B456D"/>
    <w:rsid w:val="5AB95FDA"/>
    <w:rsid w:val="5BF2749D"/>
    <w:rsid w:val="63222CA7"/>
    <w:rsid w:val="679557E3"/>
    <w:rsid w:val="6C1E2B16"/>
    <w:rsid w:val="7119690B"/>
    <w:rsid w:val="72734D90"/>
    <w:rsid w:val="74217E3D"/>
    <w:rsid w:val="781162FC"/>
    <w:rsid w:val="7DD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0ACD3-C931-4644-801A-B9EA7D580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24</Pages>
  <Words>7622</Words>
  <Characters>931</Characters>
  <Lines>7</Lines>
  <Paragraphs>17</Paragraphs>
  <TotalTime>58</TotalTime>
  <ScaleCrop>false</ScaleCrop>
  <LinksUpToDate>false</LinksUpToDate>
  <CharactersWithSpaces>8536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2020-08-04T01:49:00Z</dcterms:created>
  <dc:creator>曹颖</dc:creator>
  <cp:lastModifiedBy>在不远处看着你</cp:lastModifiedBy>
  <cp:lastPrinted>2020-07-23T02:58:00Z</cp:lastPrinted>
  <dcterms:modified xsi:type="dcterms:W3CDTF">2020-11-11T00:31:54Z</dcterms:modified>
  <dc:title>四川省***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