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8441"/>
      <w:bookmarkStart w:id="3" w:name="_Toc15396597"/>
      <w:bookmarkStart w:id="4" w:name="_Toc15377425"/>
      <w:bookmarkStart w:id="5"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8442"/>
      <w:bookmarkStart w:id="8" w:name="_Toc15377194"/>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达州市宣汉县明月乡人民政府</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 11 </w:t>
      </w:r>
      <w:r>
        <w:rPr>
          <w:rFonts w:hint="eastAsia"/>
        </w:rPr>
        <w:t>月</w:t>
      </w:r>
      <w:r>
        <w:rPr>
          <w:rFonts w:hint="eastAsia"/>
          <w:lang w:val="en-US" w:eastAsia="zh-CN"/>
        </w:rPr>
        <w:t xml:space="preserve"> 12 </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（一）主要职能。（职能参照省政府批准的三定方案）</w:t>
      </w:r>
      <w:bookmarkEnd w:id="16"/>
      <w:bookmarkEnd w:id="17"/>
    </w:p>
    <w:p>
      <w:pPr>
        <w:ind w:firstLine="843" w:firstLineChars="300"/>
        <w:rPr>
          <w:rFonts w:hint="eastAsia" w:ascii="仿宋_GB2312" w:hAnsi="仿宋_GB2312" w:eastAsia="仿宋_GB2312" w:cs="仿宋_GB2312"/>
          <w:b w:val="0"/>
          <w:bCs w:val="0"/>
          <w:i w:val="0"/>
          <w:caps w:val="0"/>
          <w:color w:val="000000"/>
          <w:spacing w:val="0"/>
          <w:sz w:val="32"/>
          <w:szCs w:val="32"/>
          <w:shd w:val="clear" w:color="auto" w:fill="FFFFFF"/>
          <w:lang w:eastAsia="zh-CN"/>
        </w:rPr>
      </w:pPr>
      <w:r>
        <w:rPr>
          <w:rStyle w:val="14"/>
          <w:rFonts w:hint="eastAsia" w:ascii="楷体_GB2312" w:eastAsia="楷体_GB2312"/>
          <w:color w:val="333333"/>
          <w:sz w:val="28"/>
          <w:szCs w:val="28"/>
        </w:rPr>
        <w:t>1、</w:t>
      </w:r>
      <w:r>
        <w:rPr>
          <w:rStyle w:val="14"/>
          <w:rFonts w:hint="eastAsia" w:ascii="仿宋" w:hAnsi="仿宋" w:eastAsia="仿宋" w:cs="仿宋"/>
          <w:b w:val="0"/>
          <w:bCs w:val="0"/>
          <w:color w:val="333333"/>
          <w:sz w:val="32"/>
          <w:szCs w:val="32"/>
          <w:lang w:eastAsia="zh-CN"/>
        </w:rPr>
        <w:t>明月乡</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人民政府职能是贯彻</w:t>
      </w:r>
      <w:r>
        <w:rPr>
          <w:rFonts w:hint="eastAsia" w:ascii="仿宋_GB2312" w:hAnsi="仿宋_GB2312" w:eastAsia="仿宋_GB2312" w:cs="仿宋_GB2312"/>
          <w:b w:val="0"/>
          <w:bCs w:val="0"/>
          <w:i w:val="0"/>
          <w:caps w:val="0"/>
          <w:color w:val="000000"/>
          <w:spacing w:val="0"/>
          <w:sz w:val="32"/>
          <w:szCs w:val="32"/>
          <w:shd w:val="clear" w:color="auto" w:fill="FFFFFF"/>
        </w:rPr>
        <w:t>执行本级党委和人民代表大会的决议及上级国家行政机关的决定和命令；执行本行政区域内的经济和社会发展计划，管理本行政区域内的经济、教育、科学、文化、卫生、体育事业和财政、民政、司法行政、计划生育等行政工作；取缔非法经济活动，调解和处理民事纠纷，打击刑事犯罪维护社会稳定</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p>
    <w:p>
      <w:pPr>
        <w:ind w:firstLine="843" w:firstLineChars="300"/>
        <w:rPr>
          <w:rFonts w:hint="eastAsia" w:ascii="仿宋_GB2312" w:hAnsi="仿宋_GB2312" w:eastAsia="仿宋_GB2312" w:cs="仿宋_GB2312"/>
          <w:b w:val="0"/>
          <w:bCs w:val="0"/>
          <w:i w:val="0"/>
          <w:caps w:val="0"/>
          <w:color w:val="555555"/>
          <w:spacing w:val="0"/>
          <w:sz w:val="32"/>
          <w:szCs w:val="32"/>
          <w:shd w:val="clear" w:color="auto" w:fill="FFFFFF"/>
        </w:rPr>
      </w:pPr>
      <w:r>
        <w:rPr>
          <w:rStyle w:val="14"/>
          <w:rFonts w:hint="eastAsia" w:ascii="楷体_GB2312" w:eastAsia="楷体_GB2312"/>
          <w:color w:val="333333"/>
          <w:sz w:val="28"/>
          <w:szCs w:val="28"/>
        </w:rPr>
        <w:t>2、</w:t>
      </w:r>
      <w:r>
        <w:rPr>
          <w:rFonts w:hint="eastAsia" w:ascii="仿宋_GB2312" w:hAnsi="仿宋_GB2312" w:eastAsia="仿宋_GB2312" w:cs="仿宋_GB2312"/>
          <w:b w:val="0"/>
          <w:bCs w:val="0"/>
          <w:i w:val="0"/>
          <w:caps w:val="0"/>
          <w:color w:val="000000"/>
          <w:spacing w:val="0"/>
          <w:sz w:val="32"/>
          <w:szCs w:val="32"/>
          <w:shd w:val="clear" w:color="auto" w:fill="FFFFFF"/>
        </w:rPr>
        <w:t>制定和组织实施村镇建设规划，经济、科技和社会发展计划，制定产业结构调整方案，组织指导好生产、促进经济发展，大力开展扶贫帮扶工作；办理上级交办的其他事务</w:t>
      </w:r>
      <w:r>
        <w:rPr>
          <w:rFonts w:hint="eastAsia" w:ascii="仿宋_GB2312" w:hAnsi="仿宋_GB2312" w:eastAsia="仿宋_GB2312" w:cs="仿宋_GB2312"/>
          <w:b w:val="0"/>
          <w:bCs w:val="0"/>
          <w:i w:val="0"/>
          <w:caps w:val="0"/>
          <w:color w:val="555555"/>
          <w:spacing w:val="0"/>
          <w:sz w:val="32"/>
          <w:szCs w:val="32"/>
          <w:shd w:val="clear" w:color="auto" w:fill="FFFFFF"/>
        </w:rPr>
        <w:t>。</w:t>
      </w:r>
    </w:p>
    <w:p>
      <w:pPr>
        <w:pStyle w:val="5"/>
        <w:adjustRightInd w:val="0"/>
        <w:snapToGrid w:val="0"/>
        <w:spacing w:before="93" w:line="600" w:lineRule="exact"/>
        <w:ind w:firstLine="640" w:firstLineChars="20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ind w:firstLine="843" w:firstLineChars="300"/>
        <w:rPr>
          <w:rStyle w:val="14"/>
          <w:rFonts w:hint="eastAsia" w:ascii="楷体_GB2312" w:eastAsia="楷体_GB2312"/>
          <w:color w:val="333333"/>
          <w:sz w:val="28"/>
          <w:szCs w:val="28"/>
          <w:lang w:eastAsia="zh-CN"/>
        </w:rPr>
      </w:pPr>
      <w:r>
        <w:rPr>
          <w:rStyle w:val="14"/>
          <w:rFonts w:hint="eastAsia" w:ascii="楷体_GB2312" w:eastAsia="楷体_GB2312"/>
          <w:color w:val="333333"/>
          <w:sz w:val="28"/>
          <w:szCs w:val="28"/>
        </w:rPr>
        <w:t>1、</w:t>
      </w:r>
      <w:r>
        <w:rPr>
          <w:rStyle w:val="14"/>
          <w:rFonts w:hint="eastAsia" w:ascii="楷体_GB2312" w:eastAsia="楷体_GB2312"/>
          <w:color w:val="333333"/>
          <w:sz w:val="28"/>
          <w:szCs w:val="28"/>
          <w:lang w:eastAsia="zh-CN"/>
        </w:rPr>
        <w:t>做好脱贫攻坚工作，打赢脱贫攻坚战。</w:t>
      </w:r>
    </w:p>
    <w:p>
      <w:pPr>
        <w:pStyle w:val="5"/>
        <w:adjustRightInd w:val="0"/>
        <w:snapToGrid w:val="0"/>
        <w:spacing w:before="93" w:line="600" w:lineRule="exact"/>
        <w:ind w:firstLine="843" w:firstLineChars="300"/>
        <w:outlineLvl w:val="2"/>
        <w:rPr>
          <w:rFonts w:hint="eastAsia" w:ascii="仿宋" w:hAnsi="仿宋" w:eastAsia="仿宋"/>
          <w:bCs/>
          <w:color w:val="000000"/>
          <w:sz w:val="32"/>
          <w:szCs w:val="32"/>
        </w:rPr>
      </w:pPr>
      <w:r>
        <w:rPr>
          <w:rStyle w:val="14"/>
          <w:rFonts w:hint="eastAsia" w:ascii="楷体_GB2312" w:eastAsia="楷体_GB2312"/>
          <w:color w:val="333333"/>
          <w:sz w:val="28"/>
          <w:szCs w:val="28"/>
        </w:rPr>
        <w:t>2、</w:t>
      </w:r>
      <w:r>
        <w:rPr>
          <w:rStyle w:val="14"/>
          <w:rFonts w:hint="eastAsia" w:ascii="楷体_GB2312" w:eastAsia="楷体_GB2312"/>
          <w:color w:val="333333"/>
          <w:sz w:val="28"/>
          <w:szCs w:val="28"/>
          <w:lang w:eastAsia="zh-CN"/>
        </w:rPr>
        <w:t>继续实施明月乡重点工程项目，打造明月特色。</w:t>
      </w: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color w:val="000000"/>
          <w:kern w:val="0"/>
          <w:sz w:val="32"/>
          <w:szCs w:val="32"/>
        </w:rPr>
      </w:pPr>
      <w:r>
        <w:rPr>
          <w:rFonts w:hint="eastAsia" w:ascii="宋体" w:hAnsi="宋体"/>
          <w:color w:val="000000"/>
          <w:sz w:val="32"/>
          <w:szCs w:val="32"/>
        </w:rPr>
        <w:t>201</w:t>
      </w:r>
      <w:r>
        <w:rPr>
          <w:rFonts w:hint="eastAsia" w:ascii="宋体" w:hAnsi="宋体"/>
          <w:color w:val="000000"/>
          <w:sz w:val="32"/>
          <w:szCs w:val="32"/>
          <w:lang w:val="en-US" w:eastAsia="zh-CN"/>
        </w:rPr>
        <w:t>9</w:t>
      </w:r>
      <w:r>
        <w:rPr>
          <w:rFonts w:hint="eastAsia" w:ascii="宋体" w:hAnsi="宋体"/>
          <w:color w:val="000000"/>
          <w:sz w:val="32"/>
          <w:szCs w:val="32"/>
        </w:rPr>
        <w:t>年末，我乡</w:t>
      </w:r>
      <w:r>
        <w:rPr>
          <w:rFonts w:hint="eastAsia" w:ascii="宋体" w:hAnsi="宋体"/>
          <w:sz w:val="32"/>
          <w:szCs w:val="32"/>
        </w:rPr>
        <w:t>纳入部门决算汇编范围的有</w:t>
      </w:r>
      <w:r>
        <w:rPr>
          <w:rFonts w:hint="eastAsia" w:ascii="宋体" w:hAnsi="宋体"/>
          <w:color w:val="000000"/>
          <w:sz w:val="32"/>
          <w:szCs w:val="32"/>
        </w:rPr>
        <w:t>1个乡</w:t>
      </w:r>
      <w:r>
        <w:rPr>
          <w:rFonts w:hint="eastAsia" w:ascii="宋体" w:hAnsi="宋体"/>
          <w:color w:val="000000"/>
          <w:sz w:val="32"/>
          <w:szCs w:val="32"/>
          <w:lang w:eastAsia="zh-CN"/>
        </w:rPr>
        <w:t>乡</w:t>
      </w:r>
      <w:r>
        <w:rPr>
          <w:rFonts w:hint="eastAsia" w:ascii="宋体" w:hAnsi="宋体"/>
          <w:color w:val="000000"/>
          <w:sz w:val="32"/>
          <w:szCs w:val="32"/>
        </w:rPr>
        <w:t>汇总录入单位，与上年一致。</w:t>
      </w: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9年收、支总计</w:t>
      </w:r>
      <w:r>
        <w:rPr>
          <w:rFonts w:hint="eastAsia" w:ascii="仿宋" w:hAnsi="仿宋" w:eastAsia="仿宋"/>
          <w:color w:val="000000"/>
          <w:sz w:val="32"/>
          <w:szCs w:val="32"/>
          <w:lang w:val="en-US" w:eastAsia="zh-CN"/>
        </w:rPr>
        <w:t>655.81</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8年相比，收、支总计各减少</w:t>
      </w:r>
      <w:r>
        <w:rPr>
          <w:rFonts w:hint="eastAsia" w:ascii="仿宋" w:hAnsi="仿宋" w:eastAsia="仿宋"/>
          <w:color w:val="000000"/>
          <w:sz w:val="32"/>
          <w:szCs w:val="32"/>
          <w:lang w:val="en-US" w:eastAsia="zh-CN"/>
        </w:rPr>
        <w:t>50.22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7.1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宋体" w:hAnsi="宋体"/>
          <w:sz w:val="32"/>
          <w:szCs w:val="32"/>
          <w:lang w:eastAsia="zh-CN"/>
        </w:rPr>
        <w:t>项目收支减少。</w:t>
      </w:r>
    </w:p>
    <w:p>
      <w:pPr>
        <w:snapToGrid w:val="0"/>
        <w:spacing w:line="560" w:lineRule="exact"/>
        <w:ind w:firstLine="640" w:firstLineChars="200"/>
        <w:rPr>
          <w:rFonts w:hint="eastAsia" w:ascii="宋体" w:hAnsi="宋体" w:eastAsia="宋体"/>
          <w:sz w:val="32"/>
          <w:szCs w:val="32"/>
          <w:lang w:eastAsia="zh-CN"/>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655.81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640.81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97.71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655.81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570.14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86.94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85.66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14.34</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655.81</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50.22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7.1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宋体" w:hAnsi="宋体"/>
          <w:sz w:val="32"/>
          <w:szCs w:val="32"/>
          <w:lang w:eastAsia="zh-CN"/>
        </w:rPr>
        <w:t>项目收支减少。</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655.81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50.22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7.1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宋体" w:hAnsi="宋体"/>
          <w:sz w:val="32"/>
          <w:szCs w:val="32"/>
          <w:lang w:eastAsia="zh-CN"/>
        </w:rPr>
        <w:t>项目收支减少。</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napToGrid w:val="0"/>
        <w:spacing w:line="560" w:lineRule="exact"/>
        <w:ind w:firstLine="640" w:firstLineChars="200"/>
        <w:rPr>
          <w:rFonts w:hint="eastAsia" w:ascii="宋体" w:hAnsi="宋体"/>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655.81</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宋体" w:hAnsi="宋体"/>
          <w:sz w:val="32"/>
          <w:szCs w:val="32"/>
          <w:lang w:val="en-US" w:eastAsia="zh-CN"/>
        </w:rPr>
        <w:t>364.71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55.6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bCs/>
          <w:color w:val="000000" w:themeColor="text1"/>
          <w:sz w:val="32"/>
          <w:szCs w:val="32"/>
          <w:lang w:val="en-US" w:eastAsia="zh-CN"/>
        </w:rPr>
        <w:t>9</w:t>
      </w:r>
      <w:r>
        <w:rPr>
          <w:rFonts w:hint="eastAsia" w:ascii="仿宋" w:hAnsi="仿宋" w:eastAsia="仿宋"/>
          <w:b/>
          <w:bCs/>
          <w:color w:val="000000" w:themeColor="text1"/>
          <w:sz w:val="32"/>
          <w:szCs w:val="32"/>
        </w:rPr>
        <w:t>万元，占</w:t>
      </w:r>
      <w:r>
        <w:rPr>
          <w:rFonts w:hint="eastAsia" w:ascii="仿宋" w:hAnsi="仿宋" w:eastAsia="仿宋"/>
          <w:b/>
          <w:bCs/>
          <w:color w:val="000000" w:themeColor="text1"/>
          <w:sz w:val="32"/>
          <w:szCs w:val="32"/>
          <w:lang w:val="en-US" w:eastAsia="zh-CN"/>
        </w:rPr>
        <w:t>1.4</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宋体" w:hAnsi="宋体"/>
          <w:sz w:val="32"/>
          <w:szCs w:val="32"/>
          <w:lang w:val="en-US" w:eastAsia="zh-CN"/>
        </w:rPr>
        <w:t>43.1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6.6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ascii="宋体" w:hAnsi="宋体"/>
          <w:sz w:val="32"/>
          <w:szCs w:val="32"/>
        </w:rPr>
        <w:t>1</w:t>
      </w:r>
      <w:r>
        <w:rPr>
          <w:rFonts w:hint="eastAsia" w:ascii="宋体" w:hAnsi="宋体"/>
          <w:sz w:val="32"/>
          <w:szCs w:val="32"/>
        </w:rPr>
        <w:t>9.</w:t>
      </w:r>
      <w:r>
        <w:rPr>
          <w:rFonts w:hint="eastAsia" w:ascii="宋体" w:hAnsi="宋体"/>
          <w:sz w:val="32"/>
          <w:szCs w:val="32"/>
          <w:lang w:val="en-US" w:eastAsia="zh-CN"/>
        </w:rPr>
        <w:t>82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宋体" w:hAnsi="宋体"/>
          <w:sz w:val="32"/>
          <w:szCs w:val="32"/>
        </w:rPr>
        <w:t>城乡社区支出</w:t>
      </w:r>
      <w:r>
        <w:rPr>
          <w:rFonts w:hint="eastAsia" w:ascii="宋体" w:hAnsi="宋体"/>
          <w:sz w:val="32"/>
          <w:szCs w:val="32"/>
          <w:lang w:val="en-US" w:eastAsia="zh-CN"/>
        </w:rPr>
        <w:t>16.01</w:t>
      </w:r>
      <w:r>
        <w:rPr>
          <w:rFonts w:hint="eastAsia" w:ascii="宋体" w:hAnsi="宋体"/>
          <w:sz w:val="32"/>
          <w:szCs w:val="32"/>
        </w:rPr>
        <w:t>万元</w:t>
      </w:r>
      <w:r>
        <w:rPr>
          <w:rFonts w:hint="eastAsia" w:ascii="宋体" w:hAnsi="宋体"/>
          <w:sz w:val="32"/>
          <w:szCs w:val="32"/>
          <w:lang w:eastAsia="zh-CN"/>
        </w:rPr>
        <w:t>，占</w:t>
      </w:r>
      <w:r>
        <w:rPr>
          <w:rFonts w:hint="eastAsia" w:ascii="宋体" w:hAnsi="宋体"/>
          <w:sz w:val="32"/>
          <w:szCs w:val="32"/>
          <w:lang w:val="en-US" w:eastAsia="zh-CN"/>
        </w:rPr>
        <w:t>2.4%；</w:t>
      </w:r>
      <w:r>
        <w:rPr>
          <w:rFonts w:hint="eastAsia" w:ascii="宋体" w:hAnsi="宋体"/>
          <w:sz w:val="32"/>
          <w:szCs w:val="32"/>
        </w:rPr>
        <w:t>农林水支出</w:t>
      </w:r>
      <w:r>
        <w:rPr>
          <w:rFonts w:hint="eastAsia" w:ascii="宋体" w:hAnsi="宋体"/>
          <w:sz w:val="32"/>
          <w:szCs w:val="32"/>
          <w:lang w:val="en-US" w:eastAsia="zh-CN"/>
        </w:rPr>
        <w:t>162.89</w:t>
      </w:r>
      <w:r>
        <w:rPr>
          <w:rFonts w:hint="eastAsia" w:ascii="宋体" w:hAnsi="宋体"/>
          <w:sz w:val="32"/>
          <w:szCs w:val="32"/>
        </w:rPr>
        <w:t>万元</w:t>
      </w:r>
      <w:r>
        <w:rPr>
          <w:rFonts w:hint="eastAsia" w:ascii="宋体" w:hAnsi="宋体"/>
          <w:sz w:val="32"/>
          <w:szCs w:val="32"/>
          <w:lang w:eastAsia="zh-CN"/>
        </w:rPr>
        <w:t>，占</w:t>
      </w:r>
      <w:r>
        <w:rPr>
          <w:rFonts w:hint="eastAsia" w:ascii="宋体" w:hAnsi="宋体"/>
          <w:sz w:val="32"/>
          <w:szCs w:val="32"/>
          <w:lang w:val="en-US" w:eastAsia="zh-CN"/>
        </w:rPr>
        <w:t>24.8%；</w:t>
      </w:r>
      <w:r>
        <w:rPr>
          <w:rFonts w:hint="eastAsia" w:ascii="宋体" w:hAnsi="宋体"/>
          <w:sz w:val="32"/>
          <w:szCs w:val="32"/>
        </w:rPr>
        <w:t>住房保障支出</w:t>
      </w:r>
      <w:r>
        <w:rPr>
          <w:rFonts w:hint="eastAsia" w:ascii="宋体" w:hAnsi="宋体"/>
          <w:sz w:val="32"/>
          <w:szCs w:val="32"/>
          <w:lang w:val="en-US" w:eastAsia="zh-CN"/>
        </w:rPr>
        <w:t>25.29</w:t>
      </w:r>
      <w:r>
        <w:rPr>
          <w:rFonts w:hint="eastAsia" w:ascii="宋体" w:hAnsi="宋体"/>
          <w:sz w:val="32"/>
          <w:szCs w:val="32"/>
        </w:rPr>
        <w:t>万元</w:t>
      </w:r>
      <w:r>
        <w:rPr>
          <w:rFonts w:hint="eastAsia" w:ascii="宋体" w:hAnsi="宋体"/>
          <w:sz w:val="32"/>
          <w:szCs w:val="32"/>
          <w:lang w:eastAsia="zh-CN"/>
        </w:rPr>
        <w:t>，占</w:t>
      </w:r>
      <w:r>
        <w:rPr>
          <w:rFonts w:hint="eastAsia" w:ascii="宋体" w:hAnsi="宋体"/>
          <w:sz w:val="32"/>
          <w:szCs w:val="32"/>
          <w:lang w:val="en-US" w:eastAsia="zh-CN"/>
        </w:rPr>
        <w:t>3.9%；</w:t>
      </w:r>
      <w:r>
        <w:rPr>
          <w:rFonts w:hint="eastAsia" w:ascii="宋体" w:hAnsi="宋体"/>
          <w:sz w:val="32"/>
          <w:szCs w:val="32"/>
        </w:rPr>
        <w:t>其他支出</w:t>
      </w:r>
      <w:r>
        <w:rPr>
          <w:rFonts w:hint="eastAsia" w:ascii="宋体" w:hAnsi="宋体"/>
          <w:sz w:val="32"/>
          <w:szCs w:val="32"/>
          <w:lang w:val="en-US" w:eastAsia="zh-CN"/>
        </w:rPr>
        <w:t>15</w:t>
      </w:r>
      <w:r>
        <w:rPr>
          <w:rFonts w:hint="eastAsia" w:ascii="宋体" w:hAnsi="宋体"/>
          <w:sz w:val="32"/>
          <w:szCs w:val="32"/>
        </w:rPr>
        <w:t>万元</w:t>
      </w:r>
      <w:r>
        <w:rPr>
          <w:rFonts w:hint="eastAsia" w:ascii="宋体" w:hAnsi="宋体"/>
          <w:sz w:val="32"/>
          <w:szCs w:val="32"/>
          <w:lang w:eastAsia="zh-CN"/>
        </w:rPr>
        <w:t>，占</w:t>
      </w:r>
      <w:r>
        <w:rPr>
          <w:rFonts w:hint="eastAsia" w:ascii="宋体" w:hAnsi="宋体"/>
          <w:sz w:val="32"/>
          <w:szCs w:val="32"/>
          <w:lang w:val="en-US" w:eastAsia="zh-CN"/>
        </w:rPr>
        <w:t>2.3%</w:t>
      </w:r>
      <w:r>
        <w:rPr>
          <w:rFonts w:hint="eastAsia" w:ascii="宋体" w:hAnsi="宋体"/>
          <w:sz w:val="32"/>
          <w:szCs w:val="32"/>
        </w:rPr>
        <w:t>。</w:t>
      </w:r>
    </w:p>
    <w:p>
      <w:pPr>
        <w:spacing w:line="600" w:lineRule="exact"/>
        <w:ind w:firstLine="64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7213"/>
      <w:bookmarkStart w:id="39" w:name="_Toc15378460"/>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655.81</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364.71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numId w:val="0"/>
        </w:num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43.1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19.82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lang w:val="en-US" w:eastAsia="zh-CN"/>
        </w:rPr>
        <w:t>7.城乡社区（类）：支出决算为16.01万元，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lang w:val="en-US" w:eastAsia="zh-CN"/>
        </w:rPr>
        <w:t>8.农林水（类）：支出决算为162.88万元，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lang w:val="en-US" w:eastAsia="zh-CN"/>
        </w:rPr>
        <w:t>9.住房保障（类）：支出决算为25.29万元，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lang w:val="en-US" w:eastAsia="zh-CN"/>
        </w:rPr>
        <w:t>10.其他（类）：支出决算为15万元，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firstLineChars="200"/>
        <w:rPr>
          <w:rFonts w:hint="default" w:ascii="仿宋" w:hAnsi="仿宋" w:eastAsia="仿宋"/>
          <w:color w:val="000000"/>
          <w:sz w:val="32"/>
          <w:szCs w:val="32"/>
          <w:lang w:val="en-US" w:eastAsia="zh-CN"/>
        </w:rPr>
      </w:pP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570.14</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宋体" w:hAnsi="宋体"/>
          <w:sz w:val="32"/>
          <w:szCs w:val="32"/>
          <w:lang w:val="en-US" w:eastAsia="zh-CN"/>
        </w:rPr>
        <w:t>483.58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宋体" w:hAnsi="宋体"/>
          <w:sz w:val="32"/>
          <w:szCs w:val="32"/>
          <w:lang w:val="en-US" w:eastAsia="zh-CN"/>
        </w:rPr>
        <w:t>86.56</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3</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112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634</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w:t>
      </w:r>
    </w:p>
    <w:p>
      <w:pPr>
        <w:spacing w:line="600" w:lineRule="exact"/>
        <w:ind w:firstLine="643" w:firstLineChars="200"/>
        <w:rPr>
          <w:rFonts w:hint="eastAsia" w:ascii="仿宋_GB2312" w:eastAsia="仿宋_GB2312"/>
          <w:color w:val="000000" w:themeColor="text1"/>
          <w:sz w:val="32"/>
          <w:szCs w:val="32"/>
          <w:lang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p>
    <w:p>
      <w:pPr>
        <w:spacing w:line="600" w:lineRule="exact"/>
        <w:ind w:firstLine="640"/>
        <w:outlineLvl w:val="1"/>
        <w:rPr>
          <w:rFonts w:ascii="黑体" w:eastAsia="黑体"/>
          <w:color w:val="000000"/>
          <w:sz w:val="32"/>
          <w:szCs w:val="32"/>
        </w:rPr>
      </w:pP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9年，机关运行经费支出</w:t>
      </w:r>
      <w:r>
        <w:rPr>
          <w:rFonts w:hint="eastAsia" w:ascii="仿宋_GB2312" w:eastAsia="仿宋_GB2312"/>
          <w:color w:val="000000"/>
          <w:sz w:val="32"/>
          <w:szCs w:val="32"/>
          <w:lang w:val="en-US" w:eastAsia="zh-CN"/>
        </w:rPr>
        <w:t>86.56</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10.82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11.11</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widowControl/>
        <w:jc w:val="left"/>
        <w:rPr>
          <w:rFonts w:ascii="仿宋_GB2312" w:eastAsia="仿宋_GB2312"/>
          <w:b/>
          <w:color w:val="000000"/>
          <w:sz w:val="32"/>
          <w:szCs w:val="32"/>
        </w:rPr>
      </w:pPr>
      <w:bookmarkStart w:id="73" w:name="_GoBack"/>
      <w:bookmarkEnd w:id="73"/>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XX</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包括部门绩效目标制定、目标实现、预算编制准确、支出控制、预算动态调整、执行进度、预算完成情况和违规记录等情况。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包括绩效自评公开、评价结果整改和应用结果反馈等情况。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C56CCD"/>
    <w:multiLevelType w:val="singleLevel"/>
    <w:tmpl w:val="B4C56CCD"/>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D90FB0"/>
    <w:rsid w:val="10C055FF"/>
    <w:rsid w:val="16BB723D"/>
    <w:rsid w:val="240371BF"/>
    <w:rsid w:val="29FD04D3"/>
    <w:rsid w:val="2CD8120B"/>
    <w:rsid w:val="319F7F4E"/>
    <w:rsid w:val="4ECE2238"/>
    <w:rsid w:val="62CB6692"/>
    <w:rsid w:val="705937AE"/>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7622</Words>
  <Characters>931</Characters>
  <Lines>1</Lines>
  <Paragraphs>1</Paragraphs>
  <TotalTime>19</TotalTime>
  <ScaleCrop>false</ScaleCrop>
  <LinksUpToDate>false</LinksUpToDate>
  <CharactersWithSpaces>8536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WPS_1528167839</cp:lastModifiedBy>
  <cp:lastPrinted>2020-07-23T02:58:00Z</cp:lastPrinted>
  <dcterms:modified xsi:type="dcterms:W3CDTF">2020-11-11T06:45:22Z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