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7193"/>
      <w:bookmarkStart w:id="4" w:name="_Toc15396597"/>
      <w:bookmarkStart w:id="5" w:name="_Toc15378441"/>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426"/>
      <w:bookmarkStart w:id="9" w:name="_Toc15377194"/>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宣汉县毛坝镇人民政府</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11 </w:t>
      </w:r>
      <w:r>
        <w:rPr>
          <w:rFonts w:hint="eastAsia"/>
        </w:rPr>
        <w:t>月</w:t>
      </w:r>
      <w:r>
        <w:rPr>
          <w:rFonts w:hint="eastAsia"/>
          <w:lang w:val="en-US" w:eastAsia="zh-CN"/>
        </w:rPr>
        <w:t xml:space="preserve"> 12  </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spacing w:line="560" w:lineRule="exact"/>
        <w:ind w:firstLine="480" w:firstLineChars="150"/>
        <w:rPr>
          <w:rFonts w:hint="eastAsia" w:ascii="宋体" w:hAnsi="宋体"/>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ascii="宋体" w:hAnsi="宋体"/>
          <w:sz w:val="32"/>
          <w:szCs w:val="32"/>
        </w:rPr>
        <w:t>（1）制定和组织</w:t>
      </w:r>
      <w:r>
        <w:rPr>
          <w:rFonts w:hint="eastAsia" w:ascii="宋体" w:hAnsi="宋体"/>
          <w:sz w:val="32"/>
          <w:szCs w:val="32"/>
        </w:rPr>
        <w:t>我镇</w:t>
      </w:r>
      <w:r>
        <w:rPr>
          <w:rFonts w:ascii="宋体" w:hAnsi="宋体"/>
          <w:sz w:val="32"/>
          <w:szCs w:val="32"/>
        </w:rPr>
        <w:t>实施经济、科技和社会发展计划，制定资源开发技术改造和产业结构调整方案，组织指导好各业生产，搞好商品流通，协调好本</w:t>
      </w:r>
      <w:r>
        <w:rPr>
          <w:rFonts w:hint="eastAsia" w:ascii="宋体" w:hAnsi="宋体"/>
          <w:sz w:val="32"/>
          <w:szCs w:val="32"/>
        </w:rPr>
        <w:t>镇</w:t>
      </w:r>
      <w:r>
        <w:rPr>
          <w:rFonts w:ascii="宋体" w:hAnsi="宋体"/>
          <w:sz w:val="32"/>
          <w:szCs w:val="32"/>
        </w:rPr>
        <w:t>与外地区的经济交流与合作，抓好招商引资，人才引进项目开发，不断培育市场体系，组织经济运行，促进经济发展。</w:t>
      </w:r>
      <w:r>
        <w:rPr>
          <w:rFonts w:ascii="宋体" w:hAnsi="宋体"/>
          <w:sz w:val="32"/>
          <w:szCs w:val="32"/>
        </w:rPr>
        <w:br w:type="textWrapping"/>
      </w:r>
      <w:r>
        <w:rPr>
          <w:rFonts w:hint="eastAsia" w:ascii="宋体" w:hAnsi="宋体"/>
          <w:sz w:val="32"/>
          <w:szCs w:val="32"/>
        </w:rPr>
        <w:t xml:space="preserve">   </w:t>
      </w:r>
      <w:r>
        <w:rPr>
          <w:rFonts w:ascii="宋体" w:hAnsi="宋体"/>
          <w:sz w:val="32"/>
          <w:szCs w:val="32"/>
        </w:rPr>
        <w:t>（2）制定并组织实施</w:t>
      </w:r>
      <w:r>
        <w:rPr>
          <w:rFonts w:hint="eastAsia" w:ascii="宋体" w:hAnsi="宋体"/>
          <w:sz w:val="32"/>
          <w:szCs w:val="32"/>
        </w:rPr>
        <w:t>我镇</w:t>
      </w:r>
      <w:r>
        <w:rPr>
          <w:rFonts w:ascii="宋体" w:hAnsi="宋体"/>
          <w:sz w:val="32"/>
          <w:szCs w:val="32"/>
        </w:rPr>
        <w:t>村镇建设规划，部署重点工程建设，地方道路建设及公共设施，水利设施的管理，负责土地、林木、水等自然资源和生态环境的保护，做好护林防火工作。</w:t>
      </w:r>
      <w:r>
        <w:rPr>
          <w:rFonts w:ascii="宋体" w:hAnsi="宋体"/>
          <w:sz w:val="32"/>
          <w:szCs w:val="32"/>
        </w:rPr>
        <w:br w:type="textWrapping"/>
      </w:r>
      <w:r>
        <w:rPr>
          <w:rFonts w:hint="eastAsia" w:ascii="宋体" w:hAnsi="宋体"/>
          <w:sz w:val="32"/>
          <w:szCs w:val="32"/>
        </w:rPr>
        <w:t xml:space="preserve">   </w:t>
      </w:r>
      <w:r>
        <w:rPr>
          <w:rFonts w:ascii="宋体" w:hAnsi="宋体"/>
          <w:sz w:val="32"/>
          <w:szCs w:val="32"/>
        </w:rPr>
        <w:t>（3）负责</w:t>
      </w:r>
      <w:r>
        <w:rPr>
          <w:rFonts w:hint="eastAsia" w:ascii="宋体" w:hAnsi="宋体"/>
          <w:sz w:val="32"/>
          <w:szCs w:val="32"/>
        </w:rPr>
        <w:t>我镇</w:t>
      </w:r>
      <w:r>
        <w:rPr>
          <w:rFonts w:ascii="宋体" w:hAnsi="宋体"/>
          <w:sz w:val="32"/>
          <w:szCs w:val="32"/>
        </w:rPr>
        <w:t>行政区域内的民政、计划生育、文化教育、卫生、体育等社会公益事业的综合性工作，维护一切经济单位和个人的正当经济权益，取缔非法经济活动，调解和处理民事纠纷，打击刑事犯罪维护社会稳定。</w:t>
      </w:r>
    </w:p>
    <w:p>
      <w:pPr>
        <w:spacing w:line="560" w:lineRule="exact"/>
        <w:ind w:firstLine="480" w:firstLineChars="150"/>
        <w:rPr>
          <w:rFonts w:hint="eastAsia" w:ascii="宋体" w:hAnsi="宋体"/>
          <w:sz w:val="32"/>
          <w:szCs w:val="32"/>
        </w:rPr>
      </w:pPr>
      <w:r>
        <w:rPr>
          <w:rFonts w:ascii="宋体" w:hAnsi="宋体"/>
          <w:sz w:val="32"/>
          <w:szCs w:val="32"/>
        </w:rPr>
        <w:t>（4）按计划组织</w:t>
      </w:r>
      <w:r>
        <w:rPr>
          <w:rFonts w:hint="eastAsia" w:ascii="宋体" w:hAnsi="宋体"/>
          <w:sz w:val="32"/>
          <w:szCs w:val="32"/>
        </w:rPr>
        <w:t>我镇</w:t>
      </w:r>
      <w:r>
        <w:rPr>
          <w:rFonts w:ascii="宋体" w:hAnsi="宋体"/>
          <w:sz w:val="32"/>
          <w:szCs w:val="32"/>
        </w:rPr>
        <w:t>本级财政收入，完成国家财政计划，不断培植税源，管好财政资金，增强财政实力。</w:t>
      </w:r>
      <w:r>
        <w:rPr>
          <w:rFonts w:ascii="宋体" w:hAnsi="宋体"/>
          <w:sz w:val="32"/>
          <w:szCs w:val="32"/>
        </w:rPr>
        <w:br w:type="textWrapping"/>
      </w:r>
      <w:r>
        <w:rPr>
          <w:rFonts w:hint="eastAsia" w:ascii="宋体" w:hAnsi="宋体"/>
          <w:sz w:val="32"/>
          <w:szCs w:val="32"/>
        </w:rPr>
        <w:t xml:space="preserve">   </w:t>
      </w:r>
      <w:r>
        <w:rPr>
          <w:rFonts w:ascii="宋体" w:hAnsi="宋体"/>
          <w:sz w:val="32"/>
          <w:szCs w:val="32"/>
        </w:rPr>
        <w:t>（5）抓好</w:t>
      </w:r>
      <w:r>
        <w:rPr>
          <w:rFonts w:hint="eastAsia" w:ascii="宋体" w:hAnsi="宋体"/>
          <w:sz w:val="32"/>
          <w:szCs w:val="32"/>
        </w:rPr>
        <w:t>我镇</w:t>
      </w:r>
      <w:r>
        <w:rPr>
          <w:rFonts w:ascii="宋体" w:hAnsi="宋体"/>
          <w:sz w:val="32"/>
          <w:szCs w:val="32"/>
        </w:rPr>
        <w:t>精神文明建设，丰富群众文化生活，提倡移风易俗，反对封建迷信，破除陈规陋习，树立社会主义新风尚。</w:t>
      </w:r>
      <w:r>
        <w:rPr>
          <w:rFonts w:ascii="宋体" w:hAnsi="宋体"/>
          <w:sz w:val="32"/>
          <w:szCs w:val="32"/>
        </w:rPr>
        <w:br w:type="textWrapping"/>
      </w:r>
      <w:r>
        <w:rPr>
          <w:rFonts w:hint="eastAsia" w:ascii="宋体" w:hAnsi="宋体"/>
          <w:sz w:val="32"/>
          <w:szCs w:val="32"/>
        </w:rPr>
        <w:t xml:space="preserve">   </w:t>
      </w:r>
      <w:r>
        <w:rPr>
          <w:rFonts w:ascii="宋体" w:hAnsi="宋体"/>
          <w:sz w:val="32"/>
          <w:szCs w:val="32"/>
        </w:rPr>
        <w:t>（6）完成上级政府交办的其它事项。</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widowControl/>
        <w:jc w:val="left"/>
        <w:rPr>
          <w:rFonts w:ascii="仿宋" w:hAnsi="仿宋" w:eastAsia="仿宋"/>
          <w:color w:val="000000"/>
          <w:kern w:val="0"/>
          <w:sz w:val="32"/>
          <w:szCs w:val="32"/>
        </w:rPr>
      </w:pPr>
      <w:r>
        <w:rPr>
          <w:rFonts w:hint="eastAsia" w:ascii="宋体" w:hAnsi="宋体"/>
          <w:sz w:val="32"/>
          <w:szCs w:val="32"/>
          <w:lang w:val="en-US" w:eastAsia="zh-CN"/>
        </w:rPr>
        <w:t>毛坝镇设立了以党委、人大为核心的政府机构。下设人民武装部、党政办公室、便民服务中心、乡直属农业技术服务中心、财政所、国土所、林业站、水利站、计生办、民政办等业务部门。</w:t>
      </w: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w:t>
      </w:r>
      <w:r>
        <w:rPr>
          <w:rFonts w:hint="eastAsia" w:ascii="宋体" w:hAnsi="宋体"/>
          <w:sz w:val="32"/>
          <w:szCs w:val="32"/>
          <w:lang w:val="en-US" w:eastAsia="zh-CN"/>
        </w:rPr>
        <w:t>年度收入总计804.49万元、支出总计804.49万元。与2018年相比，收、支总计各减少156.03万元，下降16%。</w:t>
      </w: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hint="eastAsia" w:ascii="宋体" w:hAnsi="宋体"/>
          <w:sz w:val="32"/>
          <w:szCs w:val="32"/>
          <w:lang w:val="en-US" w:eastAsia="zh-CN"/>
        </w:rPr>
        <w:t>2019年本年收入合计804.49万元，其中：一般公共预算财政拨款收入770.49万元，占95%；政府性基金预算财政拨款收入34万元，占5%；国有资本经营预算财政拨款收入、事业收入、经营收入、附属单位上缴收入、其他收入0万元，占0%。</w: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widowControl/>
        <w:ind w:firstLine="640" w:firstLineChars="200"/>
        <w:jc w:val="left"/>
        <w:rPr>
          <w:rFonts w:hint="eastAsia" w:ascii="宋体" w:hAnsi="宋体"/>
          <w:sz w:val="32"/>
          <w:szCs w:val="32"/>
          <w:lang w:val="en-US" w:eastAsia="zh-CN"/>
        </w:rPr>
      </w:pPr>
      <w:r>
        <w:rPr>
          <w:rFonts w:hint="eastAsia" w:ascii="宋体" w:hAnsi="宋体"/>
          <w:sz w:val="32"/>
          <w:szCs w:val="32"/>
          <w:lang w:val="en-US" w:eastAsia="zh-CN"/>
        </w:rPr>
        <w:t>2019年本年支出合计804.49万元，其中：基本支出686.82万元，占85%；项目支出117.66万元，占14%；上缴上级支出、经营支出、对附属单位补助支出0万元，占0%。</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hint="eastAsia" w:ascii="宋体" w:hAnsi="宋体"/>
          <w:sz w:val="32"/>
          <w:szCs w:val="32"/>
          <w:lang w:val="en-US" w:eastAsia="zh-CN"/>
        </w:rPr>
        <w:t>2019年财政拨款收入、支出总计770.49万元。与2018年相比，财政拨款收、支总计各减少127.53万元，降低14%。</w:t>
      </w: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outlineLvl w:val="2"/>
        <w:rPr>
          <w:rFonts w:hint="eastAsia" w:ascii="宋体" w:hAnsi="宋体"/>
          <w:sz w:val="32"/>
          <w:szCs w:val="32"/>
          <w:lang w:val="en-US" w:eastAsia="zh-CN"/>
        </w:rPr>
      </w:pPr>
      <w:r>
        <w:rPr>
          <w:rFonts w:hint="eastAsia" w:ascii="宋体" w:hAnsi="宋体"/>
          <w:sz w:val="32"/>
          <w:szCs w:val="32"/>
          <w:lang w:val="en-US" w:eastAsia="zh-CN"/>
        </w:rPr>
        <w:t>2019年一般公共预算财政拨款支出770.49万元，占本年支出合计的95%。与2018年相比，一般公共预算财政拨款增加127.53万元，降低14%。</w:t>
      </w:r>
      <w:bookmarkStart w:id="35"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hint="eastAsia" w:ascii="宋体" w:hAnsi="宋体"/>
          <w:sz w:val="32"/>
          <w:szCs w:val="32"/>
          <w:lang w:val="en-US" w:eastAsia="zh-CN"/>
        </w:rPr>
        <w:t>2019年一般公共预算财政拨款支出770.49万元，主要用于以下方面:一般公共服务（类）支出405.5万元，占52%；教育支出（类）1万元；科学技术（类）支出0万元；社会保障和就业（类）支出37.19万元，占4%；医疗卫生支出23.12万元，占3%；住房保障支出25.27万元，占3%；城乡社区事务（类）支出38.68万元；农林水事务（类）支出223.73万元。</w:t>
      </w:r>
    </w:p>
    <w:p>
      <w:pPr>
        <w:spacing w:line="600" w:lineRule="exact"/>
        <w:ind w:firstLine="64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770.49</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一般公共服务（类）政府办公厅（室）及相关机构事务（款）行政运行（项）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305.3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2"/>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一般公共服务（类）政府办公厅（室）及相关机构事务（款）一般行政管理事务（项）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35.08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2"/>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一般公共服务（类）政府办公厅（室）及相关机构事务（款） 其他政府办公厅（室）及相关机构事务支出（项）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65.11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2"/>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教育支出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进修及培训</w:t>
      </w:r>
      <w:r>
        <w:rPr>
          <w:rStyle w:val="14"/>
          <w:rFonts w:hint="eastAsia" w:ascii="仿宋" w:hAnsi="仿宋" w:eastAsia="仿宋"/>
          <w:bCs/>
          <w:color w:val="000000"/>
          <w:sz w:val="32"/>
          <w:szCs w:val="32"/>
        </w:rPr>
        <w:t xml:space="preserve">（款） </w:t>
      </w:r>
      <w:r>
        <w:rPr>
          <w:rStyle w:val="14"/>
          <w:rFonts w:hint="eastAsia" w:ascii="仿宋" w:hAnsi="仿宋" w:eastAsia="仿宋"/>
          <w:bCs/>
          <w:color w:val="000000"/>
          <w:sz w:val="32"/>
          <w:szCs w:val="32"/>
          <w:lang w:eastAsia="zh-CN"/>
        </w:rPr>
        <w:t>培训</w:t>
      </w:r>
      <w:r>
        <w:rPr>
          <w:rStyle w:val="14"/>
          <w:rFonts w:hint="eastAsia" w:ascii="仿宋" w:hAnsi="仿宋" w:eastAsia="仿宋"/>
          <w:bCs/>
          <w:color w:val="000000"/>
          <w:sz w:val="32"/>
          <w:szCs w:val="32"/>
        </w:rPr>
        <w:t>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2"/>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eastAsia="zh-CN"/>
        </w:rPr>
        <w:t>文化旅游体育与传媒支出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其他文化旅游体育与传媒支出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其他文化旅游体育与传媒支出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2"/>
        </w:numPr>
        <w:spacing w:line="600" w:lineRule="exact"/>
        <w:ind w:left="0" w:leftChars="0"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社会保障和就业（类）行政事业单位离退休（款）行政事业单位离退休（项）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37.19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7、</w:t>
      </w:r>
      <w:r>
        <w:rPr>
          <w:rStyle w:val="14"/>
          <w:rFonts w:hint="eastAsia" w:ascii="仿宋" w:hAnsi="仿宋" w:eastAsia="仿宋"/>
          <w:bCs/>
          <w:color w:val="000000"/>
          <w:sz w:val="32"/>
          <w:szCs w:val="32"/>
        </w:rPr>
        <w:t>医疗卫生与计划生育（类）公共卫生（款）重大公共卫生专项（项）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5.58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8、</w:t>
      </w:r>
      <w:r>
        <w:rPr>
          <w:rStyle w:val="14"/>
          <w:rFonts w:hint="eastAsia" w:ascii="仿宋" w:hAnsi="仿宋" w:eastAsia="仿宋"/>
          <w:bCs/>
          <w:color w:val="000000"/>
          <w:sz w:val="32"/>
          <w:szCs w:val="32"/>
        </w:rPr>
        <w:t>医疗卫生与计划生育（类）行政事业单位医疗（款） 行政单位医疗（项）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9.53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9、</w:t>
      </w:r>
      <w:r>
        <w:rPr>
          <w:rStyle w:val="14"/>
          <w:rFonts w:hint="eastAsia" w:ascii="仿宋" w:hAnsi="仿宋" w:eastAsia="仿宋"/>
          <w:bCs/>
          <w:color w:val="000000"/>
          <w:sz w:val="32"/>
          <w:szCs w:val="32"/>
        </w:rPr>
        <w:t>医疗卫生与计划生育（类）行政事业单位医疗（款）  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4.16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10、</w:t>
      </w:r>
      <w:r>
        <w:rPr>
          <w:rStyle w:val="14"/>
          <w:rFonts w:hint="eastAsia" w:ascii="仿宋" w:hAnsi="仿宋" w:eastAsia="仿宋"/>
          <w:bCs/>
          <w:color w:val="000000"/>
          <w:sz w:val="32"/>
          <w:szCs w:val="32"/>
        </w:rPr>
        <w:t>医疗卫生与计划生育（类）行政事业单位医疗（款）  公务员医疗补助（项）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3.59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医疗卫生与计划生育（类）行政事业单位医疗（款）   其他行政事业单位医疗支出（项）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0.27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城乡社区支出（类）城乡社区管理事务（款）   其他城乡社区管理事务支出（项）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32.68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农林水支出（类）农业（款）  其他农业支出（项）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农林水支出（类）农村综合改革（款）对村民委员会和村党支部的补助（项）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农林水支出（类）扶贫（款）对村民委员会和村党支部的补助（项）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203.73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3"/>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住房保障支出（类）住房改革支出（款）住房公积金（项）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25.27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2019年一般公共预算财政拨款基本支出686.82万元，其中：</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人员经费595.68万元，主要包括：基本工资110.21万元、津贴补贴68.6万元、奖金6.5万元、绩效工资26万元、机关事业单位基本养老保险缴费37.19万元、职业年金缴费0万元、其他社会保障缴费18.59万元、离休费11.04万元、生活补助207.73万元等。</w:t>
      </w:r>
      <w:r>
        <w:rPr>
          <w:rFonts w:hint="eastAsia" w:ascii="宋体" w:hAnsi="宋体"/>
          <w:sz w:val="32"/>
          <w:szCs w:val="32"/>
          <w:lang w:val="en-US" w:eastAsia="zh-CN"/>
        </w:rPr>
        <w:br w:type="textWrapping"/>
      </w:r>
      <w:r>
        <w:rPr>
          <w:rFonts w:hint="eastAsia" w:ascii="宋体" w:hAnsi="宋体"/>
          <w:sz w:val="32"/>
          <w:szCs w:val="32"/>
          <w:lang w:val="en-US" w:eastAsia="zh-CN"/>
        </w:rPr>
        <w:t>　　公用经费91.15万元，主要包括：办公费43.28万元、水费1.5万元、电费4.5万元、邮电费1.2万元、差旅费5.46万元、维修（护）费1.5万元、会议费1.5万元、公务接待费7.4万元、劳务费5.28万元、工会经费1.1万元、其他交通费17.42万元等。</w:t>
      </w:r>
    </w:p>
    <w:p>
      <w:pPr>
        <w:spacing w:line="600" w:lineRule="exact"/>
        <w:ind w:firstLine="645"/>
        <w:rPr>
          <w:rFonts w:ascii="仿宋" w:hAnsi="仿宋" w:eastAsia="仿宋"/>
          <w:color w:val="000000"/>
          <w:sz w:val="32"/>
          <w:szCs w:val="32"/>
        </w:rPr>
      </w:pP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w:t>
      </w:r>
      <w:r>
        <w:rPr>
          <w:rFonts w:hint="eastAsia" w:ascii="宋体" w:hAnsi="宋体"/>
          <w:sz w:val="32"/>
          <w:szCs w:val="32"/>
          <w:lang w:val="en-US" w:eastAsia="zh-CN"/>
        </w:rPr>
        <w:t>年“三公”经费财政拨款支出决算为8.4万元，完成预算100%，决算数与预算数持平</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2018年“三公”经费财政拨款支出决算中，因公出国（境）费支出决算0万元；公务用车购置及运行维护费支出决算1万元；公务接待费支出决算7.4万元，占88%。具体情况如下：</w:t>
      </w: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val="en-US"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执法执勤</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7.4</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7.4</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上级领导来检查工作等</w:t>
      </w:r>
      <w:r>
        <w:rPr>
          <w:rFonts w:hint="eastAsia" w:ascii="仿宋_GB2312" w:eastAsia="仿宋_GB2312"/>
          <w:color w:val="000000"/>
          <w:sz w:val="32"/>
          <w:szCs w:val="32"/>
        </w:rPr>
        <w:t>(执行公务、开展业务活动开支的交通费、住宿费、用餐费等)。国内公务接待</w:t>
      </w:r>
      <w:r>
        <w:rPr>
          <w:rFonts w:hint="eastAsia" w:ascii="仿宋_GB2312" w:eastAsia="仿宋_GB2312"/>
          <w:color w:val="000000"/>
          <w:sz w:val="32"/>
          <w:szCs w:val="32"/>
          <w:lang w:val="en-US" w:eastAsia="zh-CN"/>
        </w:rPr>
        <w:t>269</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897</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7.4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34</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毛坝镇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91.15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毛坝镇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毛坝镇人民政府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1.绩效目标管理情况。</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按照预算绩效管理要求，本部门对2019年一般公共预算项目支出开展了绩效目标管理，共编制绩效目标14个，涉及财政资金83.66万元，覆盖率达到100%。</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2.部门整体支出绩效自评开展情况。</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按照预算绩效管理要求，本部门对2019年整体支出开展绩效自评，自评得分98分，存在的问题：一是绩效信息公开没有及时，二是评价结果运用效果差。下一步改进措施：一是及时对绩效信息进行公开，二是对评价结果及时运用。</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2019年部门整体支出绩效评价得分表</w:t>
      </w:r>
    </w:p>
    <w:tbl>
      <w:tblPr>
        <w:tblStyle w:val="12"/>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一级指标</w:t>
            </w:r>
          </w:p>
        </w:tc>
        <w:tc>
          <w:tcPr>
            <w:tcW w:w="2268" w:type="dxa"/>
            <w:tcBorders>
              <w:top w:val="single" w:color="auto" w:sz="4" w:space="0"/>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二级指标</w:t>
            </w:r>
          </w:p>
        </w:tc>
        <w:tc>
          <w:tcPr>
            <w:tcW w:w="3402" w:type="dxa"/>
            <w:tcBorders>
              <w:top w:val="single" w:color="auto" w:sz="4" w:space="0"/>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三级指标</w:t>
            </w:r>
          </w:p>
        </w:tc>
        <w:tc>
          <w:tcPr>
            <w:tcW w:w="2126" w:type="dxa"/>
            <w:tcBorders>
              <w:top w:val="single" w:color="auto" w:sz="4" w:space="0"/>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得分</w:t>
            </w:r>
          </w:p>
        </w:tc>
      </w:tr>
      <w:tr>
        <w:tblPrEx>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部门决策（25分）</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目标任务（15分）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相关性（5分）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明确性（5分）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合理性（5分）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预算编制（10分）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测算依据（5分）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目标管理（5分）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综合管理（30分）</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专项资金分配时限（2分）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省级财力专项预算分配时限（1分）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w:t>
            </w:r>
          </w:p>
        </w:tc>
      </w:tr>
      <w:tr>
        <w:tblPrEx>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中央专款分配合规率（1分）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w:t>
            </w:r>
          </w:p>
        </w:tc>
      </w:tr>
      <w:tr>
        <w:tblPrEx>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中期评估（2分）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执行中期评估（2分）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绩效监控（5分）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预算执行进度监控（2分）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绩效目标动态监控（3分）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w:t>
            </w:r>
          </w:p>
        </w:tc>
      </w:tr>
      <w:tr>
        <w:tblPrEx>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非税收入执收情况（2分）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非税收入征收情况（1分）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w:t>
            </w:r>
          </w:p>
        </w:tc>
      </w:tr>
      <w:tr>
        <w:tblPrEx>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非税收入上缴情况（1分）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w:t>
            </w:r>
          </w:p>
        </w:tc>
      </w:tr>
      <w:tr>
        <w:tblPrEx>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资产管理（6分）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资产管理信息化情况（2分）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行政事业单位资产报告情况（2分）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资产管理与预算管理相结合（2分）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内控制度管理（2分）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内部控制度健全完整（2分）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信息公开（6分）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预算公开（2分）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决算公开（2分）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绩效信息公开（2分）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w:t>
            </w:r>
          </w:p>
        </w:tc>
      </w:tr>
      <w:tr>
        <w:tblPrEx>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绩效评价（5分）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绩效评价开展（2分）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评价结果应用（3分）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部门绩效情况（45分）</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履职成效（20分）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部门特性指标</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20</w:t>
            </w:r>
          </w:p>
        </w:tc>
      </w:tr>
      <w:tr>
        <w:tblPrEx>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p>
        </w:tc>
      </w:tr>
      <w:tr>
        <w:tblPrEx>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p>
        </w:tc>
      </w:tr>
      <w:tr>
        <w:tblPrEx>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p>
        </w:tc>
      </w:tr>
      <w:tr>
        <w:tblPrEx>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可持续发展能力（15分）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重点改革（重点工作）完成情况（5分）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科技（制度、方法、机制等）创新（5分）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人才培养（5分）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restart"/>
            <w:tcBorders>
              <w:top w:val="nil"/>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满意度（10分）</w:t>
            </w: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协作部门满意度（3分）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w:t>
            </w:r>
          </w:p>
        </w:tc>
      </w:tr>
      <w:tr>
        <w:tblPrEx>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left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管理对象满意度（3分）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w:t>
            </w:r>
          </w:p>
        </w:tc>
      </w:tr>
      <w:tr>
        <w:tblPrEx>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2268" w:type="dxa"/>
            <w:vMerge w:val="continue"/>
            <w:tcBorders>
              <w:left w:val="single" w:color="auto" w:sz="4" w:space="0"/>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p>
        </w:tc>
        <w:tc>
          <w:tcPr>
            <w:tcW w:w="3402" w:type="dxa"/>
            <w:tcBorders>
              <w:top w:val="nil"/>
              <w:left w:val="nil"/>
              <w:bottom w:val="single" w:color="auto" w:sz="4" w:space="0"/>
              <w:right w:val="single" w:color="auto" w:sz="4" w:space="0"/>
            </w:tcBorders>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社会公众满意度（4分）</w:t>
            </w:r>
          </w:p>
        </w:tc>
        <w:tc>
          <w:tcPr>
            <w:tcW w:w="2126" w:type="dxa"/>
            <w:tcBorders>
              <w:top w:val="nil"/>
              <w:left w:val="nil"/>
              <w:bottom w:val="single" w:color="auto" w:sz="4" w:space="0"/>
              <w:right w:val="single" w:color="auto" w:sz="4" w:space="0"/>
            </w:tcBorders>
            <w:noWrap w:val="0"/>
            <w:vAlign w:val="top"/>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w:t>
            </w:r>
          </w:p>
        </w:tc>
      </w:tr>
    </w:tbl>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3.部门自行组织绩效评价开展情况。</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本部门对下属单位村级项目开展了整体支出绩效评价，得分为97分，存在的问题：一是工程进度慢，二是施工单位资料收集整理慢，三是项目资金拨付不及时。下一步改进措施：一是在保证质量的同时加快工程进度，二是督促施工单位加快加快拨付项目资金。</w:t>
      </w: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2019年项目支出绩效评价得分表</w:t>
      </w:r>
    </w:p>
    <w:tbl>
      <w:tblPr>
        <w:tblStyle w:val="12"/>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113"/>
        <w:gridCol w:w="3535"/>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18"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单位名称/</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项目名称</w:t>
            </w:r>
          </w:p>
        </w:tc>
        <w:tc>
          <w:tcPr>
            <w:tcW w:w="8270" w:type="dxa"/>
            <w:gridSpan w:val="4"/>
            <w:shd w:val="clear" w:color="auto" w:fill="auto"/>
            <w:noWrap w:val="0"/>
            <w:vAlign w:val="center"/>
          </w:tcPr>
          <w:p>
            <w:pPr>
              <w:spacing w:line="600" w:lineRule="exact"/>
              <w:ind w:firstLine="640"/>
              <w:rPr>
                <w:rFonts w:hint="eastAsia" w:ascii="宋体" w:hAnsi="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618"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一级</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指标</w:t>
            </w:r>
          </w:p>
        </w:tc>
        <w:tc>
          <w:tcPr>
            <w:tcW w:w="2113"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二级</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指标</w:t>
            </w: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三级指标</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分值</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vMerge w:val="restart"/>
            <w:shd w:val="clear" w:color="auto" w:fill="auto"/>
            <w:noWrap w:val="0"/>
            <w:textDirection w:val="tbRlV"/>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（20分）</w:t>
            </w:r>
            <w:r>
              <w:rPr>
                <w:rFonts w:hint="eastAsia" w:ascii="宋体" w:hAnsi="宋体"/>
                <w:sz w:val="32"/>
                <w:szCs w:val="32"/>
                <w:lang w:val="en-US" w:eastAsia="zh-CN"/>
              </w:rPr>
              <w:br w:type="textWrapping"/>
            </w:r>
            <w:r>
              <w:rPr>
                <w:rFonts w:hint="eastAsia" w:ascii="宋体" w:hAnsi="宋体"/>
                <w:sz w:val="32"/>
                <w:szCs w:val="32"/>
                <w:lang w:val="en-US" w:eastAsia="zh-CN"/>
              </w:rPr>
              <w:t>项目决策</w:t>
            </w:r>
          </w:p>
        </w:tc>
        <w:tc>
          <w:tcPr>
            <w:tcW w:w="2113" w:type="dxa"/>
            <w:vMerge w:val="restart"/>
            <w:shd w:val="clear" w:color="auto" w:fill="auto"/>
            <w:noWrap w:val="0"/>
            <w:textDirection w:val="tbRlV"/>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（10分）</w:t>
            </w:r>
            <w:r>
              <w:rPr>
                <w:rFonts w:hint="eastAsia" w:ascii="宋体" w:hAnsi="宋体"/>
                <w:sz w:val="32"/>
                <w:szCs w:val="32"/>
                <w:lang w:val="en-US" w:eastAsia="zh-CN"/>
              </w:rPr>
              <w:br w:type="textWrapping"/>
            </w:r>
            <w:r>
              <w:rPr>
                <w:rFonts w:hint="eastAsia" w:ascii="宋体" w:hAnsi="宋体"/>
                <w:sz w:val="32"/>
                <w:szCs w:val="32"/>
                <w:lang w:val="en-US" w:eastAsia="zh-CN"/>
              </w:rPr>
              <w:t>科学决策</w:t>
            </w: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必要性</w:t>
            </w:r>
            <w:r>
              <w:rPr>
                <w:rFonts w:hint="eastAsia" w:ascii="宋体" w:hAnsi="宋体"/>
                <w:sz w:val="32"/>
                <w:szCs w:val="32"/>
                <w:lang w:val="en-US" w:eastAsia="zh-CN"/>
              </w:rPr>
              <w:br w:type="textWrapping"/>
            </w:r>
            <w:r>
              <w:rPr>
                <w:rFonts w:hint="eastAsia" w:ascii="宋体" w:hAnsi="宋体"/>
                <w:sz w:val="32"/>
                <w:szCs w:val="32"/>
                <w:lang w:val="en-US" w:eastAsia="zh-CN"/>
              </w:rPr>
              <w:t>（政策依据)</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可行性</w:t>
            </w:r>
            <w:r>
              <w:rPr>
                <w:rFonts w:hint="eastAsia" w:ascii="宋体" w:hAnsi="宋体"/>
                <w:sz w:val="32"/>
                <w:szCs w:val="32"/>
                <w:lang w:val="en-US" w:eastAsia="zh-CN"/>
              </w:rPr>
              <w:br w:type="textWrapping"/>
            </w:r>
            <w:r>
              <w:rPr>
                <w:rFonts w:hint="eastAsia" w:ascii="宋体" w:hAnsi="宋体"/>
                <w:sz w:val="32"/>
                <w:szCs w:val="32"/>
                <w:lang w:val="en-US" w:eastAsia="zh-CN"/>
              </w:rPr>
              <w:t>（政策完善）</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restart"/>
            <w:shd w:val="clear" w:color="auto" w:fill="auto"/>
            <w:noWrap w:val="0"/>
            <w:textDirection w:val="tbRlV"/>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（10）</w:t>
            </w:r>
            <w:r>
              <w:rPr>
                <w:rFonts w:hint="eastAsia" w:ascii="宋体" w:hAnsi="宋体"/>
                <w:sz w:val="32"/>
                <w:szCs w:val="32"/>
                <w:lang w:val="en-US" w:eastAsia="zh-CN"/>
              </w:rPr>
              <w:br w:type="textWrapping"/>
            </w:r>
            <w:r>
              <w:rPr>
                <w:rFonts w:hint="eastAsia" w:ascii="宋体" w:hAnsi="宋体"/>
                <w:sz w:val="32"/>
                <w:szCs w:val="32"/>
                <w:lang w:val="en-US" w:eastAsia="zh-CN"/>
              </w:rPr>
              <w:t xml:space="preserve">绩效目标    </w:t>
            </w: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明确性</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合理性</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618" w:type="dxa"/>
            <w:vMerge w:val="restart"/>
            <w:shd w:val="clear" w:color="auto" w:fill="auto"/>
            <w:noWrap w:val="0"/>
            <w:textDirection w:val="tbRlV"/>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（10分）</w:t>
            </w:r>
            <w:r>
              <w:rPr>
                <w:rFonts w:hint="eastAsia" w:ascii="宋体" w:hAnsi="宋体"/>
                <w:sz w:val="32"/>
                <w:szCs w:val="32"/>
                <w:lang w:val="en-US" w:eastAsia="zh-CN"/>
              </w:rPr>
              <w:br w:type="textWrapping"/>
            </w:r>
            <w:r>
              <w:rPr>
                <w:rFonts w:hint="eastAsia" w:ascii="宋体" w:hAnsi="宋体"/>
                <w:sz w:val="32"/>
                <w:szCs w:val="32"/>
                <w:lang w:val="en-US" w:eastAsia="zh-CN"/>
              </w:rPr>
              <w:t>项目管理</w:t>
            </w:r>
          </w:p>
        </w:tc>
        <w:tc>
          <w:tcPr>
            <w:tcW w:w="2113" w:type="dxa"/>
            <w:vMerge w:val="restart"/>
            <w:shd w:val="clear" w:color="auto" w:fill="auto"/>
            <w:noWrap w:val="0"/>
            <w:textDirection w:val="tbRlV"/>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（7分）</w:t>
            </w:r>
            <w:r>
              <w:rPr>
                <w:rFonts w:hint="eastAsia" w:ascii="宋体" w:hAnsi="宋体"/>
                <w:sz w:val="32"/>
                <w:szCs w:val="32"/>
                <w:lang w:val="en-US" w:eastAsia="zh-CN"/>
              </w:rPr>
              <w:br w:type="textWrapping"/>
            </w:r>
            <w:r>
              <w:rPr>
                <w:rFonts w:hint="eastAsia" w:ascii="宋体" w:hAnsi="宋体"/>
                <w:sz w:val="32"/>
                <w:szCs w:val="32"/>
                <w:lang w:val="en-US" w:eastAsia="zh-CN"/>
              </w:rPr>
              <w:t>资金管理</w:t>
            </w: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资金分配</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textDirection w:val="tbRlV"/>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资金使用</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4</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shd w:val="clear" w:color="auto" w:fill="auto"/>
            <w:noWrap w:val="0"/>
            <w:textDirection w:val="tbRlV"/>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（3分）</w:t>
            </w:r>
            <w:r>
              <w:rPr>
                <w:rFonts w:hint="eastAsia" w:ascii="宋体" w:hAnsi="宋体"/>
                <w:sz w:val="32"/>
                <w:szCs w:val="32"/>
                <w:lang w:val="en-US" w:eastAsia="zh-CN"/>
              </w:rPr>
              <w:br w:type="textWrapping"/>
            </w:r>
            <w:r>
              <w:rPr>
                <w:rFonts w:hint="eastAsia" w:ascii="宋体" w:hAnsi="宋体"/>
                <w:sz w:val="32"/>
                <w:szCs w:val="32"/>
                <w:lang w:val="en-US" w:eastAsia="zh-CN"/>
              </w:rPr>
              <w:t>项目执行</w:t>
            </w: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执行规范</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3</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18" w:type="dxa"/>
            <w:vMerge w:val="restart"/>
            <w:shd w:val="clear" w:color="auto" w:fill="auto"/>
            <w:noWrap w:val="0"/>
            <w:textDirection w:val="tbRlV"/>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（特性指标70分）</w:t>
            </w:r>
            <w:r>
              <w:rPr>
                <w:rFonts w:hint="eastAsia" w:ascii="宋体" w:hAnsi="宋体"/>
                <w:sz w:val="32"/>
                <w:szCs w:val="32"/>
                <w:lang w:val="en-US" w:eastAsia="zh-CN"/>
              </w:rPr>
              <w:br w:type="textWrapping"/>
            </w:r>
            <w:r>
              <w:rPr>
                <w:rFonts w:hint="eastAsia" w:ascii="宋体" w:hAnsi="宋体"/>
                <w:sz w:val="32"/>
                <w:szCs w:val="32"/>
                <w:lang w:val="en-US" w:eastAsia="zh-CN"/>
              </w:rPr>
              <w:t xml:space="preserve">项目绩效  </w:t>
            </w:r>
          </w:p>
        </w:tc>
        <w:tc>
          <w:tcPr>
            <w:tcW w:w="2113" w:type="dxa"/>
            <w:vMerge w:val="restart"/>
            <w:shd w:val="clear" w:color="auto" w:fill="auto"/>
            <w:noWrap w:val="0"/>
            <w:textDirection w:val="tbRlV"/>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（20）</w:t>
            </w:r>
            <w:r>
              <w:rPr>
                <w:rFonts w:hint="eastAsia" w:ascii="宋体" w:hAnsi="宋体"/>
                <w:sz w:val="32"/>
                <w:szCs w:val="32"/>
                <w:lang w:val="en-US" w:eastAsia="zh-CN"/>
              </w:rPr>
              <w:br w:type="textWrapping"/>
            </w:r>
            <w:r>
              <w:rPr>
                <w:rFonts w:hint="eastAsia" w:ascii="宋体" w:hAnsi="宋体"/>
                <w:sz w:val="32"/>
                <w:szCs w:val="32"/>
                <w:lang w:val="en-US" w:eastAsia="zh-CN"/>
              </w:rPr>
              <w:t>项目完成</w:t>
            </w: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完成数量</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完成质量</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完成时效</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完成成本</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restart"/>
            <w:shd w:val="clear" w:color="auto" w:fill="auto"/>
            <w:noWrap w:val="0"/>
            <w:textDirection w:val="tbRlV"/>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（50分）</w:t>
            </w:r>
            <w:r>
              <w:rPr>
                <w:rFonts w:hint="eastAsia" w:ascii="宋体" w:hAnsi="宋体"/>
                <w:sz w:val="32"/>
                <w:szCs w:val="32"/>
                <w:lang w:val="en-US" w:eastAsia="zh-CN"/>
              </w:rPr>
              <w:br w:type="textWrapping"/>
            </w:r>
            <w:r>
              <w:rPr>
                <w:rFonts w:hint="eastAsia" w:ascii="宋体" w:hAnsi="宋体"/>
                <w:sz w:val="32"/>
                <w:szCs w:val="32"/>
                <w:lang w:val="en-US" w:eastAsia="zh-CN"/>
              </w:rPr>
              <w:t>项目效益</w:t>
            </w: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经济效益（可选项）</w:t>
            </w:r>
          </w:p>
        </w:tc>
        <w:tc>
          <w:tcPr>
            <w:tcW w:w="1311" w:type="dxa"/>
            <w:vMerge w:val="restart"/>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40</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社会效益（可选项）</w:t>
            </w:r>
          </w:p>
        </w:tc>
        <w:tc>
          <w:tcPr>
            <w:tcW w:w="1311"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生态效益（可选项）</w:t>
            </w:r>
          </w:p>
        </w:tc>
        <w:tc>
          <w:tcPr>
            <w:tcW w:w="1311"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可持续效益（可选项）</w:t>
            </w:r>
          </w:p>
        </w:tc>
        <w:tc>
          <w:tcPr>
            <w:tcW w:w="1311"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公平效率（可选项）</w:t>
            </w:r>
          </w:p>
        </w:tc>
        <w:tc>
          <w:tcPr>
            <w:tcW w:w="1311"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使用效率（可选项）</w:t>
            </w:r>
          </w:p>
        </w:tc>
        <w:tc>
          <w:tcPr>
            <w:tcW w:w="1311"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18"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2113" w:type="dxa"/>
            <w:vMerge w:val="continue"/>
            <w:shd w:val="clear" w:color="auto" w:fill="auto"/>
            <w:noWrap w:val="0"/>
            <w:vAlign w:val="center"/>
          </w:tcPr>
          <w:p>
            <w:pPr>
              <w:spacing w:line="600" w:lineRule="exact"/>
              <w:ind w:firstLine="640"/>
              <w:rPr>
                <w:rFonts w:hint="eastAsia" w:ascii="宋体" w:hAnsi="宋体"/>
                <w:sz w:val="32"/>
                <w:szCs w:val="32"/>
                <w:lang w:val="en-US" w:eastAsia="zh-CN"/>
              </w:rPr>
            </w:pPr>
          </w:p>
        </w:tc>
        <w:tc>
          <w:tcPr>
            <w:tcW w:w="3535"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 xml:space="preserve">服务对象满意度    </w:t>
            </w:r>
          </w:p>
        </w:tc>
        <w:tc>
          <w:tcPr>
            <w:tcW w:w="1311"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10</w:t>
            </w:r>
          </w:p>
        </w:tc>
        <w:tc>
          <w:tcPr>
            <w:tcW w:w="1311" w:type="dxa"/>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618" w:type="dxa"/>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总分</w:t>
            </w:r>
          </w:p>
        </w:tc>
        <w:tc>
          <w:tcPr>
            <w:tcW w:w="8270" w:type="dxa"/>
            <w:gridSpan w:val="4"/>
            <w:shd w:val="clear" w:color="auto" w:fill="auto"/>
            <w:noWrap w:val="0"/>
            <w:vAlign w:val="center"/>
          </w:tcPr>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98</w:t>
            </w:r>
          </w:p>
        </w:tc>
      </w:tr>
    </w:tbl>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600" w:lineRule="exact"/>
        <w:ind w:firstLine="640"/>
        <w:rPr>
          <w:rFonts w:hint="eastAsia" w:ascii="宋体" w:hAnsi="宋体"/>
          <w:sz w:val="32"/>
          <w:szCs w:val="32"/>
          <w:lang w:val="en-US" w:eastAsia="zh-CN"/>
        </w:rPr>
      </w:pPr>
      <w:r>
        <w:rPr>
          <w:rFonts w:hint="eastAsia" w:ascii="宋体" w:hAnsi="宋体"/>
          <w:sz w:val="32"/>
          <w:szCs w:val="32"/>
          <w:lang w:val="en-US" w:eastAsia="zh-CN"/>
        </w:rPr>
        <w:t>本部门按要求对2019年部门整体支出绩效评价情况开展自评，《毛坝镇人民政府2019年部门整体支出绩效评价报告》见附件。</w:t>
      </w: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spacing w:line="600" w:lineRule="exact"/>
        <w:ind w:firstLine="640"/>
        <w:rPr>
          <w:rFonts w:hint="eastAsia" w:ascii="宋体" w:hAnsi="宋体"/>
          <w:sz w:val="32"/>
          <w:szCs w:val="32"/>
          <w:lang w:val="en-US" w:eastAsia="zh-CN"/>
        </w:rPr>
      </w:pPr>
    </w:p>
    <w:p>
      <w:pPr>
        <w:numPr>
          <w:ilvl w:val="0"/>
          <w:numId w:val="6"/>
        </w:numPr>
        <w:spacing w:line="600" w:lineRule="exact"/>
        <w:ind w:firstLine="660"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ascii="黑体" w:hAnsi="黑体" w:eastAsia="黑体" w:cs="方正小标宋简体"/>
          <w:sz w:val="36"/>
          <w:szCs w:val="36"/>
        </w:rPr>
      </w:pPr>
      <w:bookmarkStart w:id="59" w:name="_Toc15396616"/>
      <w:r>
        <w:rPr>
          <w:rFonts w:hint="eastAsia" w:ascii="黑体" w:hAnsi="黑体" w:eastAsia="黑体" w:cs="方正小标宋简体"/>
          <w:sz w:val="36"/>
          <w:szCs w:val="36"/>
          <w:lang w:eastAsia="zh-CN"/>
        </w:rPr>
        <w:t>毛坝镇人民政府</w:t>
      </w:r>
      <w:r>
        <w:rPr>
          <w:rFonts w:hint="eastAsia" w:ascii="黑体" w:hAnsi="黑体" w:eastAsia="黑体" w:cs="方正小标宋简体"/>
          <w:sz w:val="36"/>
          <w:szCs w:val="36"/>
        </w:rPr>
        <w:t>2018年部门整体支出绩效评价报告</w:t>
      </w:r>
      <w:bookmarkEnd w:id="59"/>
    </w:p>
    <w:p>
      <w:pPr>
        <w:spacing w:line="580" w:lineRule="exact"/>
        <w:ind w:firstLine="640" w:firstLineChars="200"/>
        <w:rPr>
          <w:rFonts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一、部门基本情况</w:t>
      </w:r>
    </w:p>
    <w:p>
      <w:pPr>
        <w:keepNext w:val="0"/>
        <w:keepLines w:val="0"/>
        <w:pageBreakBefore w:val="0"/>
        <w:widowControl w:val="0"/>
        <w:numPr>
          <w:ilvl w:val="0"/>
          <w:numId w:val="7"/>
        </w:numPr>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机构构成</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毛坝镇设立了以党委、人大为核心的政府机构。下设人民武装部、党政办公室、便民服务中心、乡直属农业技术服务中心、财政所、国土所、林业站、水利站、计生办、民政办等业务部门。</w:t>
      </w:r>
    </w:p>
    <w:p>
      <w:pPr>
        <w:keepNext w:val="0"/>
        <w:keepLines w:val="0"/>
        <w:pageBreakBefore w:val="0"/>
        <w:widowControl w:val="0"/>
        <w:numPr>
          <w:ilvl w:val="0"/>
          <w:numId w:val="7"/>
        </w:numPr>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机构职能</w:t>
      </w:r>
    </w:p>
    <w:p>
      <w:pPr>
        <w:keepNext w:val="0"/>
        <w:keepLines w:val="0"/>
        <w:pageBreakBefore w:val="0"/>
        <w:widowControl w:val="0"/>
        <w:numPr>
          <w:ilvl w:val="0"/>
          <w:numId w:val="8"/>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党政办公室负责文书档案和机关后勤工作；</w:t>
      </w:r>
    </w:p>
    <w:p>
      <w:pPr>
        <w:keepNext w:val="0"/>
        <w:keepLines w:val="0"/>
        <w:pageBreakBefore w:val="0"/>
        <w:widowControl w:val="0"/>
        <w:numPr>
          <w:ilvl w:val="0"/>
          <w:numId w:val="8"/>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便民服务中心各单位驻1人在对应窗口岗，负责接纳群众，办理民政、农保、医保等相关事务；</w:t>
      </w:r>
    </w:p>
    <w:p>
      <w:pPr>
        <w:keepNext w:val="0"/>
        <w:keepLines w:val="0"/>
        <w:pageBreakBefore w:val="0"/>
        <w:widowControl w:val="0"/>
        <w:numPr>
          <w:ilvl w:val="0"/>
          <w:numId w:val="8"/>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农业技术服务中心负责农业生产发展的技术服务推广、畜牧业等动植物的病虫防止、地力保护补贴的发放；</w:t>
      </w:r>
    </w:p>
    <w:p>
      <w:pPr>
        <w:keepNext w:val="0"/>
        <w:keepLines w:val="0"/>
        <w:pageBreakBefore w:val="0"/>
        <w:widowControl w:val="0"/>
        <w:numPr>
          <w:ilvl w:val="0"/>
          <w:numId w:val="8"/>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财政负责全乡财政预算内外资金预算、收入、分配和管理；</w:t>
      </w:r>
    </w:p>
    <w:p>
      <w:pPr>
        <w:keepNext w:val="0"/>
        <w:keepLines w:val="0"/>
        <w:pageBreakBefore w:val="0"/>
        <w:widowControl w:val="0"/>
        <w:numPr>
          <w:ilvl w:val="0"/>
          <w:numId w:val="8"/>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国土所负责水土保持的预防及水土流失的治理、土地资源的合理利用；</w:t>
      </w:r>
    </w:p>
    <w:p>
      <w:pPr>
        <w:keepNext w:val="0"/>
        <w:keepLines w:val="0"/>
        <w:pageBreakBefore w:val="0"/>
        <w:widowControl w:val="0"/>
        <w:numPr>
          <w:ilvl w:val="0"/>
          <w:numId w:val="8"/>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林业负责林业资源、对动植物保护、病虫防止；水利站负责水土保持和流失治理；</w:t>
      </w:r>
    </w:p>
    <w:p>
      <w:pPr>
        <w:keepNext w:val="0"/>
        <w:keepLines w:val="0"/>
        <w:pageBreakBefore w:val="0"/>
        <w:widowControl w:val="0"/>
        <w:numPr>
          <w:ilvl w:val="0"/>
          <w:numId w:val="8"/>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计生负责技术服务、宣传咨询、培训、药具发放。</w:t>
      </w:r>
    </w:p>
    <w:p>
      <w:pPr>
        <w:keepNext w:val="0"/>
        <w:keepLines w:val="0"/>
        <w:pageBreakBefore w:val="0"/>
        <w:widowControl w:val="0"/>
        <w:numPr>
          <w:ilvl w:val="0"/>
          <w:numId w:val="7"/>
        </w:numPr>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人员概况</w:t>
      </w:r>
    </w:p>
    <w:p>
      <w:pPr>
        <w:tabs>
          <w:tab w:val="left" w:pos="1140"/>
        </w:tabs>
        <w:ind w:firstLine="640" w:firstLineChars="200"/>
        <w:rPr>
          <w:rFonts w:hint="eastAsia" w:ascii="仿宋" w:hAnsi="仿宋" w:eastAsia="仿宋" w:cs="仿宋"/>
          <w:sz w:val="32"/>
          <w:szCs w:val="32"/>
          <w:lang w:eastAsia="zh-CN"/>
        </w:rPr>
      </w:pPr>
      <w:r>
        <w:rPr>
          <w:rFonts w:hint="eastAsia" w:ascii="楷体" w:hAnsi="楷体" w:eastAsia="楷体" w:cs="楷体"/>
          <w:sz w:val="32"/>
          <w:szCs w:val="32"/>
          <w:lang w:val="en-US" w:eastAsia="zh-CN"/>
        </w:rPr>
        <w:t xml:space="preserve">     </w:t>
      </w:r>
      <w:r>
        <w:rPr>
          <w:rFonts w:hint="eastAsia" w:ascii="仿宋" w:hAnsi="仿宋" w:eastAsia="仿宋" w:cs="仿宋"/>
          <w:sz w:val="32"/>
          <w:szCs w:val="32"/>
        </w:rPr>
        <w:t>乡机关行政编制</w:t>
      </w:r>
      <w:r>
        <w:rPr>
          <w:rFonts w:hint="eastAsia" w:ascii="仿宋" w:hAnsi="仿宋" w:eastAsia="仿宋" w:cs="仿宋"/>
          <w:sz w:val="32"/>
          <w:szCs w:val="32"/>
          <w:lang w:val="en-US" w:eastAsia="zh-CN"/>
        </w:rPr>
        <w:t>23</w:t>
      </w:r>
      <w:r>
        <w:rPr>
          <w:rFonts w:hint="eastAsia" w:ascii="仿宋" w:hAnsi="仿宋" w:eastAsia="仿宋" w:cs="仿宋"/>
          <w:sz w:val="32"/>
          <w:szCs w:val="32"/>
        </w:rPr>
        <w:t>人，机关工勤人员</w:t>
      </w:r>
      <w:r>
        <w:rPr>
          <w:rFonts w:hint="eastAsia" w:ascii="仿宋" w:hAnsi="仿宋" w:eastAsia="仿宋" w:cs="仿宋"/>
          <w:sz w:val="32"/>
          <w:szCs w:val="32"/>
          <w:lang w:val="en-US" w:eastAsia="zh-CN"/>
        </w:rPr>
        <w:t>1</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10</w:t>
      </w:r>
      <w:r>
        <w:rPr>
          <w:rFonts w:hint="eastAsia" w:ascii="仿宋" w:hAnsi="仿宋" w:eastAsia="仿宋" w:cs="仿宋"/>
          <w:sz w:val="32"/>
          <w:szCs w:val="32"/>
        </w:rPr>
        <w:t>人。农业服务中心</w:t>
      </w:r>
      <w:r>
        <w:rPr>
          <w:rFonts w:hint="eastAsia" w:ascii="仿宋" w:hAnsi="仿宋" w:eastAsia="仿宋" w:cs="仿宋"/>
          <w:sz w:val="32"/>
          <w:szCs w:val="32"/>
          <w:lang w:val="en-US" w:eastAsia="zh-CN"/>
        </w:rPr>
        <w:t>6</w:t>
      </w:r>
      <w:r>
        <w:rPr>
          <w:rFonts w:hint="eastAsia" w:ascii="仿宋" w:hAnsi="仿宋" w:eastAsia="仿宋" w:cs="仿宋"/>
          <w:sz w:val="32"/>
          <w:szCs w:val="32"/>
        </w:rPr>
        <w:t>人，财政所</w:t>
      </w:r>
      <w:r>
        <w:rPr>
          <w:rFonts w:hint="eastAsia" w:ascii="仿宋" w:hAnsi="仿宋" w:eastAsia="仿宋" w:cs="仿宋"/>
          <w:sz w:val="32"/>
          <w:szCs w:val="32"/>
          <w:lang w:val="en-US" w:eastAsia="zh-CN"/>
        </w:rPr>
        <w:t>3</w:t>
      </w:r>
      <w:r>
        <w:rPr>
          <w:rFonts w:hint="eastAsia" w:ascii="仿宋" w:hAnsi="仿宋" w:eastAsia="仿宋" w:cs="仿宋"/>
          <w:sz w:val="32"/>
          <w:szCs w:val="32"/>
        </w:rPr>
        <w:t>人，林业站</w:t>
      </w:r>
      <w:r>
        <w:rPr>
          <w:rFonts w:hint="eastAsia" w:ascii="仿宋" w:hAnsi="仿宋" w:eastAsia="仿宋" w:cs="仿宋"/>
          <w:sz w:val="32"/>
          <w:szCs w:val="32"/>
          <w:lang w:val="en-US" w:eastAsia="zh-CN"/>
        </w:rPr>
        <w:t>3</w:t>
      </w:r>
      <w:r>
        <w:rPr>
          <w:rFonts w:hint="eastAsia" w:ascii="仿宋" w:hAnsi="仿宋" w:eastAsia="仿宋" w:cs="仿宋"/>
          <w:sz w:val="32"/>
          <w:szCs w:val="32"/>
        </w:rPr>
        <w:t>人，计生办</w:t>
      </w:r>
      <w:r>
        <w:rPr>
          <w:rFonts w:hint="eastAsia" w:ascii="仿宋" w:hAnsi="仿宋" w:eastAsia="仿宋" w:cs="仿宋"/>
          <w:sz w:val="32"/>
          <w:szCs w:val="32"/>
          <w:lang w:val="en-US" w:eastAsia="zh-CN"/>
        </w:rPr>
        <w:t>3</w:t>
      </w:r>
      <w:r>
        <w:rPr>
          <w:rFonts w:hint="eastAsia" w:ascii="仿宋" w:hAnsi="仿宋" w:eastAsia="仿宋" w:cs="仿宋"/>
          <w:sz w:val="32"/>
          <w:szCs w:val="32"/>
        </w:rPr>
        <w:t>人</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二、财政资金收支情况</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color w:val="343434"/>
          <w:kern w:val="0"/>
          <w:sz w:val="32"/>
          <w:szCs w:val="32"/>
        </w:rPr>
      </w:pPr>
      <w:r>
        <w:rPr>
          <w:rFonts w:hint="eastAsia" w:ascii="仿宋_GB2312" w:hAnsi="仿宋_GB2312" w:eastAsia="仿宋_GB2312" w:cs="仿宋_GB2312"/>
          <w:color w:val="343434"/>
          <w:kern w:val="0"/>
          <w:sz w:val="32"/>
          <w:szCs w:val="32"/>
        </w:rPr>
        <w:t>按照现行财政体制划分固定收支范围，核定固定收支基数,定额补助，自求平衡。乡镇没有收入任务但给予了激励乡镇创收的政策。按照这一财政体制，毛坝镇201</w:t>
      </w:r>
      <w:r>
        <w:rPr>
          <w:rFonts w:hint="eastAsia" w:ascii="仿宋_GB2312" w:hAnsi="仿宋_GB2312" w:eastAsia="仿宋_GB2312" w:cs="仿宋_GB2312"/>
          <w:color w:val="343434"/>
          <w:kern w:val="0"/>
          <w:sz w:val="32"/>
          <w:szCs w:val="32"/>
          <w:lang w:val="en-US" w:eastAsia="zh-CN"/>
        </w:rPr>
        <w:t>9</w:t>
      </w:r>
      <w:r>
        <w:rPr>
          <w:rFonts w:hint="eastAsia" w:ascii="仿宋_GB2312" w:hAnsi="仿宋_GB2312" w:eastAsia="仿宋_GB2312" w:cs="仿宋_GB2312"/>
          <w:color w:val="343434"/>
          <w:kern w:val="0"/>
          <w:sz w:val="32"/>
          <w:szCs w:val="32"/>
        </w:rPr>
        <w:t>年年初预算财政总收入为</w:t>
      </w:r>
      <w:r>
        <w:rPr>
          <w:rFonts w:hint="eastAsia" w:ascii="仿宋_GB2312" w:hAnsi="仿宋_GB2312" w:eastAsia="仿宋_GB2312" w:cs="仿宋_GB2312"/>
          <w:color w:val="343434"/>
          <w:kern w:val="0"/>
          <w:sz w:val="32"/>
          <w:szCs w:val="32"/>
          <w:lang w:val="en-US" w:eastAsia="zh-CN"/>
        </w:rPr>
        <w:t>717.19</w:t>
      </w:r>
      <w:r>
        <w:rPr>
          <w:rFonts w:hint="eastAsia" w:ascii="仿宋_GB2312" w:hAnsi="仿宋_GB2312" w:eastAsia="仿宋_GB2312" w:cs="仿宋_GB2312"/>
          <w:color w:val="343434"/>
          <w:kern w:val="0"/>
          <w:sz w:val="32"/>
          <w:szCs w:val="32"/>
        </w:rPr>
        <w:t>万元。在预算执行过程序中追加预算</w:t>
      </w:r>
      <w:r>
        <w:rPr>
          <w:rFonts w:hint="eastAsia" w:ascii="仿宋_GB2312" w:hAnsi="仿宋_GB2312" w:eastAsia="仿宋_GB2312" w:cs="仿宋_GB2312"/>
          <w:color w:val="343434"/>
          <w:kern w:val="0"/>
          <w:sz w:val="32"/>
          <w:szCs w:val="32"/>
          <w:lang w:val="en-US" w:eastAsia="zh-CN"/>
        </w:rPr>
        <w:t>87.3</w:t>
      </w:r>
      <w:r>
        <w:rPr>
          <w:rFonts w:hint="eastAsia" w:ascii="仿宋_GB2312" w:hAnsi="仿宋_GB2312" w:eastAsia="仿宋_GB2312" w:cs="仿宋_GB2312"/>
          <w:color w:val="343434"/>
          <w:kern w:val="0"/>
          <w:sz w:val="32"/>
          <w:szCs w:val="32"/>
        </w:rPr>
        <w:t>万元。年终总收入(本镇可用财力)</w:t>
      </w:r>
      <w:r>
        <w:rPr>
          <w:rFonts w:hint="eastAsia" w:ascii="仿宋_GB2312" w:hAnsi="仿宋_GB2312" w:eastAsia="仿宋_GB2312" w:cs="仿宋_GB2312"/>
          <w:color w:val="343434"/>
          <w:kern w:val="0"/>
          <w:sz w:val="32"/>
          <w:szCs w:val="32"/>
          <w:lang w:val="en-US" w:eastAsia="zh-CN"/>
        </w:rPr>
        <w:t>804.49</w:t>
      </w:r>
      <w:r>
        <w:rPr>
          <w:rFonts w:hint="eastAsia" w:ascii="仿宋_GB2312" w:hAnsi="仿宋_GB2312" w:eastAsia="仿宋_GB2312" w:cs="仿宋_GB2312"/>
          <w:color w:val="343434"/>
          <w:kern w:val="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960" w:firstLineChars="3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三、部门财政支出管理情况</w:t>
      </w:r>
    </w:p>
    <w:p>
      <w:pPr>
        <w:keepNext w:val="0"/>
        <w:keepLines w:val="0"/>
        <w:pageBreakBefore w:val="0"/>
        <w:widowControl w:val="0"/>
        <w:numPr>
          <w:ilvl w:val="0"/>
          <w:numId w:val="9"/>
        </w:numPr>
        <w:kinsoku/>
        <w:wordWrap/>
        <w:overflowPunct/>
        <w:topLinePunct w:val="0"/>
        <w:autoSpaceDE/>
        <w:autoSpaceDN/>
        <w:bidi w:val="0"/>
        <w:adjustRightInd/>
        <w:snapToGrid/>
        <w:spacing w:line="579" w:lineRule="exact"/>
        <w:ind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预算编制情况</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2019年预算全额为年初预算</w:t>
      </w:r>
      <w:r>
        <w:rPr>
          <w:rFonts w:hint="eastAsia" w:ascii="仿宋_GB2312" w:hAnsi="仿宋_GB2312" w:eastAsia="仿宋_GB2312" w:cs="仿宋_GB2312"/>
          <w:color w:val="343434"/>
          <w:kern w:val="0"/>
          <w:sz w:val="32"/>
          <w:szCs w:val="32"/>
          <w:lang w:val="en-US" w:eastAsia="zh-CN"/>
        </w:rPr>
        <w:t>717.19</w:t>
      </w:r>
      <w:r>
        <w:rPr>
          <w:rFonts w:hint="eastAsia" w:ascii="仿宋_GB2312" w:hAnsi="仿宋_GB2312" w:eastAsia="仿宋_GB2312" w:cs="仿宋_GB2312"/>
          <w:color w:val="343434"/>
          <w:kern w:val="0"/>
          <w:sz w:val="32"/>
          <w:szCs w:val="32"/>
        </w:rPr>
        <w:t>万元</w:t>
      </w:r>
      <w:r>
        <w:rPr>
          <w:rFonts w:hint="eastAsia" w:ascii="仿宋_GB2312" w:hAnsi="仿宋_GB2312" w:eastAsia="仿宋_GB2312" w:cs="仿宋_GB2312"/>
          <w:sz w:val="32"/>
          <w:szCs w:val="32"/>
          <w:lang w:val="en-US" w:eastAsia="zh-CN"/>
        </w:rPr>
        <w:t>元，最终决算为</w:t>
      </w:r>
      <w:r>
        <w:rPr>
          <w:rFonts w:hint="eastAsia" w:ascii="仿宋_GB2312" w:hAnsi="仿宋_GB2312" w:eastAsia="仿宋_GB2312" w:cs="仿宋_GB2312"/>
          <w:color w:val="343434"/>
          <w:kern w:val="0"/>
          <w:sz w:val="32"/>
          <w:szCs w:val="32"/>
          <w:lang w:val="en-US" w:eastAsia="zh-CN"/>
        </w:rPr>
        <w:t>804.49</w:t>
      </w:r>
      <w:r>
        <w:rPr>
          <w:rFonts w:hint="eastAsia" w:ascii="仿宋_GB2312" w:hAnsi="仿宋_GB2312" w:eastAsia="仿宋_GB2312" w:cs="仿宋_GB2312"/>
          <w:color w:val="343434"/>
          <w:kern w:val="0"/>
          <w:sz w:val="32"/>
          <w:szCs w:val="32"/>
        </w:rPr>
        <w:t>万</w:t>
      </w:r>
      <w:r>
        <w:rPr>
          <w:rFonts w:hint="eastAsia" w:ascii="仿宋_GB2312" w:hAnsi="仿宋_GB2312" w:eastAsia="仿宋_GB2312" w:cs="仿宋_GB2312"/>
          <w:sz w:val="32"/>
          <w:szCs w:val="32"/>
          <w:lang w:val="en-US" w:eastAsia="zh-CN"/>
        </w:rPr>
        <w:t>元。</w:t>
      </w:r>
    </w:p>
    <w:p>
      <w:pPr>
        <w:keepNext w:val="0"/>
        <w:keepLines w:val="0"/>
        <w:pageBreakBefore w:val="0"/>
        <w:widowControl w:val="0"/>
        <w:numPr>
          <w:ilvl w:val="0"/>
          <w:numId w:val="9"/>
        </w:numPr>
        <w:kinsoku/>
        <w:wordWrap/>
        <w:overflowPunct/>
        <w:topLinePunct w:val="0"/>
        <w:autoSpaceDE/>
        <w:autoSpaceDN/>
        <w:bidi w:val="0"/>
        <w:adjustRightInd/>
        <w:snapToGrid/>
        <w:spacing w:line="579" w:lineRule="exact"/>
        <w:ind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财政资金支出情况</w:t>
      </w:r>
    </w:p>
    <w:p>
      <w:pPr>
        <w:keepNext w:val="0"/>
        <w:keepLines w:val="0"/>
        <w:pageBreakBefore w:val="0"/>
        <w:widowControl/>
        <w:shd w:val="clear" w:color="auto" w:fill="FFFFFF"/>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343434"/>
          <w:kern w:val="0"/>
          <w:sz w:val="32"/>
          <w:szCs w:val="32"/>
        </w:rPr>
      </w:pPr>
      <w:r>
        <w:rPr>
          <w:rFonts w:hint="eastAsia" w:ascii="仿宋_GB2312" w:hAnsi="仿宋_GB2312" w:eastAsia="仿宋_GB2312" w:cs="仿宋_GB2312"/>
          <w:color w:val="343434"/>
          <w:kern w:val="0"/>
          <w:sz w:val="32"/>
          <w:szCs w:val="32"/>
        </w:rPr>
        <w:t> </w:t>
      </w:r>
      <w:r>
        <w:rPr>
          <w:rFonts w:hint="eastAsia" w:ascii="仿宋_GB2312" w:hAnsi="仿宋_GB2312" w:eastAsia="仿宋_GB2312" w:cs="仿宋_GB2312"/>
          <w:color w:val="343434"/>
          <w:kern w:val="0"/>
          <w:sz w:val="32"/>
          <w:szCs w:val="32"/>
          <w:lang w:val="en-US" w:eastAsia="zh-CN"/>
        </w:rPr>
        <w:t xml:space="preserve">  </w:t>
      </w:r>
      <w:r>
        <w:rPr>
          <w:rFonts w:hint="eastAsia" w:ascii="仿宋_GB2312" w:hAnsi="仿宋_GB2312" w:eastAsia="仿宋_GB2312" w:cs="仿宋_GB2312"/>
          <w:color w:val="343434"/>
          <w:kern w:val="0"/>
          <w:sz w:val="32"/>
          <w:szCs w:val="32"/>
        </w:rPr>
        <w:t>201</w:t>
      </w:r>
      <w:r>
        <w:rPr>
          <w:rFonts w:hint="eastAsia" w:ascii="仿宋_GB2312" w:hAnsi="仿宋_GB2312" w:eastAsia="仿宋_GB2312" w:cs="仿宋_GB2312"/>
          <w:color w:val="343434"/>
          <w:kern w:val="0"/>
          <w:sz w:val="32"/>
          <w:szCs w:val="32"/>
          <w:lang w:val="en-US" w:eastAsia="zh-CN"/>
        </w:rPr>
        <w:t>9</w:t>
      </w:r>
      <w:r>
        <w:rPr>
          <w:rFonts w:hint="eastAsia" w:ascii="仿宋_GB2312" w:hAnsi="仿宋_GB2312" w:eastAsia="仿宋_GB2312" w:cs="仿宋_GB2312"/>
          <w:color w:val="343434"/>
          <w:kern w:val="0"/>
          <w:sz w:val="32"/>
          <w:szCs w:val="32"/>
        </w:rPr>
        <w:t>年财政总支出为</w:t>
      </w:r>
      <w:r>
        <w:rPr>
          <w:rFonts w:hint="eastAsia" w:ascii="仿宋_GB2312" w:hAnsi="仿宋_GB2312" w:eastAsia="仿宋_GB2312" w:cs="仿宋_GB2312"/>
          <w:color w:val="343434"/>
          <w:kern w:val="0"/>
          <w:sz w:val="32"/>
          <w:szCs w:val="32"/>
          <w:lang w:val="en-US" w:eastAsia="zh-CN"/>
        </w:rPr>
        <w:t>804.49</w:t>
      </w:r>
      <w:r>
        <w:rPr>
          <w:rFonts w:hint="eastAsia" w:ascii="仿宋_GB2312" w:hAnsi="仿宋_GB2312" w:eastAsia="仿宋_GB2312" w:cs="仿宋_GB2312"/>
          <w:color w:val="343434"/>
          <w:kern w:val="0"/>
          <w:sz w:val="32"/>
          <w:szCs w:val="32"/>
        </w:rPr>
        <w:t>万元，剃除基础设施建设费外本级总支出为</w:t>
      </w:r>
      <w:r>
        <w:rPr>
          <w:rFonts w:hint="eastAsia" w:ascii="仿宋_GB2312" w:hAnsi="仿宋_GB2312" w:eastAsia="仿宋_GB2312" w:cs="仿宋_GB2312"/>
          <w:color w:val="343434"/>
          <w:kern w:val="0"/>
          <w:sz w:val="32"/>
          <w:szCs w:val="32"/>
          <w:lang w:val="en-US" w:eastAsia="zh-CN"/>
        </w:rPr>
        <w:t>804.49</w:t>
      </w:r>
      <w:r>
        <w:rPr>
          <w:rFonts w:hint="eastAsia" w:ascii="仿宋_GB2312" w:hAnsi="仿宋_GB2312" w:eastAsia="仿宋_GB2312" w:cs="仿宋_GB2312"/>
          <w:color w:val="343434"/>
          <w:kern w:val="0"/>
          <w:sz w:val="32"/>
          <w:szCs w:val="32"/>
        </w:rPr>
        <w:t>万元，比年初预算增加了</w:t>
      </w:r>
      <w:r>
        <w:rPr>
          <w:rFonts w:hint="eastAsia" w:ascii="仿宋_GB2312" w:hAnsi="仿宋_GB2312" w:eastAsia="仿宋_GB2312" w:cs="仿宋_GB2312"/>
          <w:color w:val="343434"/>
          <w:kern w:val="0"/>
          <w:sz w:val="32"/>
          <w:szCs w:val="32"/>
          <w:lang w:val="en-US" w:eastAsia="zh-CN"/>
        </w:rPr>
        <w:t>87.3</w:t>
      </w:r>
      <w:r>
        <w:rPr>
          <w:rFonts w:hint="eastAsia" w:ascii="仿宋_GB2312" w:hAnsi="仿宋_GB2312" w:eastAsia="仿宋_GB2312" w:cs="仿宋_GB2312"/>
          <w:color w:val="343434"/>
          <w:kern w:val="0"/>
          <w:sz w:val="32"/>
          <w:szCs w:val="32"/>
        </w:rPr>
        <w:t>万元，增长</w:t>
      </w:r>
      <w:r>
        <w:rPr>
          <w:rFonts w:hint="eastAsia" w:ascii="仿宋_GB2312" w:hAnsi="仿宋_GB2312" w:eastAsia="仿宋_GB2312" w:cs="仿宋_GB2312"/>
          <w:color w:val="343434"/>
          <w:kern w:val="0"/>
          <w:sz w:val="32"/>
          <w:szCs w:val="32"/>
          <w:lang w:val="en-US" w:eastAsia="zh-CN"/>
        </w:rPr>
        <w:t>13.35</w:t>
      </w:r>
      <w:r>
        <w:rPr>
          <w:rFonts w:hint="eastAsia" w:ascii="仿宋_GB2312" w:hAnsi="仿宋_GB2312" w:eastAsia="仿宋_GB2312" w:cs="仿宋_GB2312"/>
          <w:color w:val="343434"/>
          <w:kern w:val="0"/>
          <w:sz w:val="32"/>
          <w:szCs w:val="32"/>
        </w:rPr>
        <w:t>%，其中：</w:t>
      </w:r>
    </w:p>
    <w:p>
      <w:pPr>
        <w:keepNext w:val="0"/>
        <w:keepLines w:val="0"/>
        <w:pageBreakBefore w:val="0"/>
        <w:widowControl/>
        <w:shd w:val="clear" w:color="auto" w:fill="FFFFFF"/>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343434"/>
          <w:kern w:val="0"/>
          <w:sz w:val="32"/>
          <w:szCs w:val="32"/>
        </w:rPr>
      </w:pPr>
      <w:r>
        <w:rPr>
          <w:rFonts w:hint="eastAsia" w:ascii="仿宋_GB2312" w:hAnsi="仿宋_GB2312" w:eastAsia="仿宋_GB2312" w:cs="仿宋_GB2312"/>
          <w:color w:val="343434"/>
          <w:kern w:val="0"/>
          <w:sz w:val="32"/>
          <w:szCs w:val="32"/>
        </w:rPr>
        <w:t> </w:t>
      </w:r>
      <w:r>
        <w:rPr>
          <w:rFonts w:hint="eastAsia" w:ascii="仿宋_GB2312" w:hAnsi="仿宋_GB2312" w:eastAsia="仿宋_GB2312" w:cs="仿宋_GB2312"/>
          <w:color w:val="343434"/>
          <w:kern w:val="0"/>
          <w:sz w:val="32"/>
          <w:szCs w:val="32"/>
          <w:lang w:val="en-US" w:eastAsia="zh-CN"/>
        </w:rPr>
        <w:t xml:space="preserve">   </w:t>
      </w:r>
      <w:r>
        <w:rPr>
          <w:rFonts w:hint="eastAsia" w:ascii="仿宋_GB2312" w:hAnsi="仿宋_GB2312" w:eastAsia="仿宋_GB2312" w:cs="仿宋_GB2312"/>
          <w:color w:val="343434"/>
          <w:kern w:val="0"/>
          <w:sz w:val="32"/>
          <w:szCs w:val="32"/>
        </w:rPr>
        <w:t> 1、基金预算支出完成</w:t>
      </w:r>
      <w:r>
        <w:rPr>
          <w:rFonts w:hint="eastAsia" w:ascii="仿宋_GB2312" w:hAnsi="仿宋_GB2312" w:eastAsia="仿宋_GB2312" w:cs="仿宋_GB2312"/>
          <w:color w:val="343434"/>
          <w:kern w:val="0"/>
          <w:sz w:val="32"/>
          <w:szCs w:val="32"/>
          <w:lang w:val="en-US" w:eastAsia="zh-CN"/>
        </w:rPr>
        <w:t>34</w:t>
      </w:r>
      <w:r>
        <w:rPr>
          <w:rFonts w:hint="eastAsia" w:ascii="仿宋_GB2312" w:hAnsi="仿宋_GB2312" w:eastAsia="仿宋_GB2312" w:cs="仿宋_GB2312"/>
          <w:color w:val="343434"/>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43434"/>
          <w:kern w:val="0"/>
          <w:sz w:val="32"/>
          <w:szCs w:val="32"/>
        </w:rPr>
      </w:pPr>
      <w:r>
        <w:rPr>
          <w:rFonts w:hint="eastAsia" w:ascii="仿宋_GB2312" w:hAnsi="仿宋_GB2312" w:eastAsia="仿宋_GB2312" w:cs="仿宋_GB2312"/>
          <w:color w:val="343434"/>
          <w:kern w:val="0"/>
          <w:sz w:val="32"/>
          <w:szCs w:val="32"/>
        </w:rPr>
        <w:t>2、公共财政预算支出完成</w:t>
      </w:r>
      <w:r>
        <w:rPr>
          <w:rFonts w:hint="eastAsia" w:ascii="仿宋_GB2312" w:hAnsi="仿宋_GB2312" w:eastAsia="仿宋_GB2312" w:cs="仿宋_GB2312"/>
          <w:color w:val="343434"/>
          <w:kern w:val="0"/>
          <w:sz w:val="32"/>
          <w:szCs w:val="32"/>
          <w:lang w:val="en-US" w:eastAsia="zh-CN"/>
        </w:rPr>
        <w:t>770.49</w:t>
      </w:r>
      <w:r>
        <w:rPr>
          <w:rFonts w:hint="eastAsia" w:ascii="仿宋_GB2312" w:hAnsi="仿宋_GB2312" w:eastAsia="仿宋_GB2312" w:cs="仿宋_GB2312"/>
          <w:color w:val="343434"/>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43434"/>
          <w:kern w:val="0"/>
          <w:sz w:val="32"/>
          <w:szCs w:val="32"/>
        </w:rPr>
      </w:pPr>
      <w:r>
        <w:rPr>
          <w:rFonts w:hint="eastAsia" w:ascii="仿宋_GB2312" w:hAnsi="仿宋_GB2312" w:eastAsia="仿宋_GB2312" w:cs="仿宋_GB2312"/>
          <w:color w:val="343434"/>
          <w:kern w:val="0"/>
          <w:sz w:val="32"/>
          <w:szCs w:val="32"/>
        </w:rPr>
        <w:t>3、农村基础设施建设支出</w:t>
      </w:r>
      <w:r>
        <w:rPr>
          <w:rFonts w:hint="eastAsia" w:ascii="仿宋_GB2312" w:hAnsi="仿宋_GB2312" w:eastAsia="仿宋_GB2312" w:cs="仿宋_GB2312"/>
          <w:color w:val="343434"/>
          <w:kern w:val="0"/>
          <w:sz w:val="32"/>
          <w:szCs w:val="32"/>
          <w:lang w:val="en-US" w:eastAsia="zh-CN"/>
        </w:rPr>
        <w:t>0</w:t>
      </w:r>
      <w:r>
        <w:rPr>
          <w:rFonts w:hint="eastAsia" w:ascii="仿宋_GB2312" w:hAnsi="仿宋_GB2312" w:eastAsia="仿宋_GB2312" w:cs="仿宋_GB2312"/>
          <w:color w:val="343434"/>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color w:val="343434"/>
          <w:kern w:val="0"/>
          <w:sz w:val="32"/>
          <w:szCs w:val="32"/>
        </w:rPr>
      </w:pPr>
      <w:r>
        <w:rPr>
          <w:rFonts w:hint="eastAsia" w:ascii="仿宋_GB2312" w:hAnsi="仿宋_GB2312" w:eastAsia="仿宋_GB2312" w:cs="仿宋_GB2312"/>
          <w:color w:val="343434"/>
          <w:kern w:val="0"/>
          <w:sz w:val="32"/>
          <w:szCs w:val="32"/>
        </w:rPr>
        <w:t>公共财政预算支出分科目完成情况如下：一般公共服务支出</w:t>
      </w:r>
      <w:r>
        <w:rPr>
          <w:rFonts w:hint="eastAsia" w:ascii="仿宋_GB2312" w:hAnsi="仿宋_GB2312" w:eastAsia="仿宋_GB2312" w:cs="仿宋_GB2312"/>
          <w:color w:val="343434"/>
          <w:kern w:val="0"/>
          <w:sz w:val="32"/>
          <w:szCs w:val="32"/>
          <w:lang w:val="en-US" w:eastAsia="zh-CN"/>
        </w:rPr>
        <w:t>405.5</w:t>
      </w:r>
      <w:r>
        <w:rPr>
          <w:rFonts w:hint="eastAsia" w:ascii="仿宋_GB2312" w:hAnsi="仿宋_GB2312" w:eastAsia="仿宋_GB2312" w:cs="仿宋_GB2312"/>
          <w:color w:val="343434"/>
          <w:kern w:val="0"/>
          <w:sz w:val="32"/>
          <w:szCs w:val="32"/>
        </w:rPr>
        <w:t>万元；社会保障和就业支出</w:t>
      </w:r>
      <w:r>
        <w:rPr>
          <w:rFonts w:hint="eastAsia" w:ascii="仿宋_GB2312" w:hAnsi="仿宋_GB2312" w:eastAsia="仿宋_GB2312" w:cs="仿宋_GB2312"/>
          <w:color w:val="343434"/>
          <w:kern w:val="0"/>
          <w:sz w:val="32"/>
          <w:szCs w:val="32"/>
          <w:lang w:val="en-US" w:eastAsia="zh-CN"/>
        </w:rPr>
        <w:t>37.19</w:t>
      </w:r>
      <w:r>
        <w:rPr>
          <w:rFonts w:hint="eastAsia" w:ascii="仿宋_GB2312" w:hAnsi="仿宋_GB2312" w:eastAsia="仿宋_GB2312" w:cs="仿宋_GB2312"/>
          <w:color w:val="343434"/>
          <w:kern w:val="0"/>
          <w:sz w:val="32"/>
          <w:szCs w:val="32"/>
        </w:rPr>
        <w:t>万元；公共医疗卫生支出</w:t>
      </w:r>
      <w:r>
        <w:rPr>
          <w:rFonts w:hint="eastAsia" w:ascii="仿宋_GB2312" w:hAnsi="仿宋_GB2312" w:eastAsia="仿宋_GB2312" w:cs="仿宋_GB2312"/>
          <w:color w:val="343434"/>
          <w:kern w:val="0"/>
          <w:sz w:val="32"/>
          <w:szCs w:val="32"/>
          <w:lang w:val="en-US" w:eastAsia="zh-CN"/>
        </w:rPr>
        <w:t>23.12</w:t>
      </w:r>
      <w:r>
        <w:rPr>
          <w:rFonts w:hint="eastAsia" w:ascii="仿宋_GB2312" w:hAnsi="仿宋_GB2312" w:eastAsia="仿宋_GB2312" w:cs="仿宋_GB2312"/>
          <w:color w:val="343434"/>
          <w:kern w:val="0"/>
          <w:sz w:val="32"/>
          <w:szCs w:val="32"/>
        </w:rPr>
        <w:t>万元；城乡社区事务支出</w:t>
      </w:r>
      <w:r>
        <w:rPr>
          <w:rFonts w:hint="eastAsia" w:ascii="仿宋_GB2312" w:hAnsi="仿宋_GB2312" w:eastAsia="仿宋_GB2312" w:cs="仿宋_GB2312"/>
          <w:color w:val="343434"/>
          <w:kern w:val="0"/>
          <w:sz w:val="32"/>
          <w:szCs w:val="32"/>
          <w:lang w:val="en-US" w:eastAsia="zh-CN"/>
        </w:rPr>
        <w:t>38.68</w:t>
      </w:r>
      <w:r>
        <w:rPr>
          <w:rFonts w:hint="eastAsia" w:ascii="仿宋_GB2312" w:hAnsi="仿宋_GB2312" w:eastAsia="仿宋_GB2312" w:cs="仿宋_GB2312"/>
          <w:color w:val="343434"/>
          <w:kern w:val="0"/>
          <w:sz w:val="32"/>
          <w:szCs w:val="32"/>
        </w:rPr>
        <w:t>万元；农林水事务支出</w:t>
      </w:r>
      <w:r>
        <w:rPr>
          <w:rFonts w:hint="eastAsia" w:ascii="仿宋_GB2312" w:hAnsi="仿宋_GB2312" w:eastAsia="仿宋_GB2312" w:cs="仿宋_GB2312"/>
          <w:color w:val="343434"/>
          <w:kern w:val="0"/>
          <w:sz w:val="32"/>
          <w:szCs w:val="32"/>
          <w:lang w:val="en-US" w:eastAsia="zh-CN"/>
        </w:rPr>
        <w:t>223.73</w:t>
      </w:r>
      <w:r>
        <w:rPr>
          <w:rFonts w:hint="eastAsia" w:ascii="仿宋_GB2312" w:hAnsi="仿宋_GB2312" w:eastAsia="仿宋_GB2312" w:cs="仿宋_GB2312"/>
          <w:color w:val="343434"/>
          <w:kern w:val="0"/>
          <w:sz w:val="32"/>
          <w:szCs w:val="32"/>
        </w:rPr>
        <w:t>万元；住房保障支出</w:t>
      </w:r>
      <w:r>
        <w:rPr>
          <w:rFonts w:hint="eastAsia" w:ascii="仿宋_GB2312" w:hAnsi="仿宋_GB2312" w:eastAsia="仿宋_GB2312" w:cs="仿宋_GB2312"/>
          <w:color w:val="343434"/>
          <w:kern w:val="0"/>
          <w:sz w:val="32"/>
          <w:szCs w:val="32"/>
          <w:lang w:val="en-US" w:eastAsia="zh-CN"/>
        </w:rPr>
        <w:t>25.27</w:t>
      </w:r>
      <w:r>
        <w:rPr>
          <w:rFonts w:hint="eastAsia" w:ascii="仿宋_GB2312" w:hAnsi="仿宋_GB2312" w:eastAsia="仿宋_GB2312" w:cs="仿宋_GB2312"/>
          <w:color w:val="343434"/>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color w:val="343434"/>
          <w:kern w:val="0"/>
          <w:sz w:val="32"/>
          <w:szCs w:val="32"/>
        </w:rPr>
      </w:pPr>
      <w:r>
        <w:rPr>
          <w:rFonts w:hint="eastAsia" w:ascii="仿宋_GB2312" w:hAnsi="仿宋_GB2312" w:eastAsia="仿宋_GB2312" w:cs="仿宋_GB2312"/>
          <w:color w:val="343434"/>
          <w:kern w:val="0"/>
          <w:sz w:val="32"/>
          <w:szCs w:val="32"/>
        </w:rPr>
        <w:t>201</w:t>
      </w:r>
      <w:r>
        <w:rPr>
          <w:rFonts w:hint="eastAsia" w:ascii="仿宋_GB2312" w:hAnsi="仿宋_GB2312" w:eastAsia="仿宋_GB2312" w:cs="仿宋_GB2312"/>
          <w:color w:val="343434"/>
          <w:kern w:val="0"/>
          <w:sz w:val="32"/>
          <w:szCs w:val="32"/>
          <w:lang w:val="en-US" w:eastAsia="zh-CN"/>
        </w:rPr>
        <w:t>9</w:t>
      </w:r>
      <w:r>
        <w:rPr>
          <w:rFonts w:hint="eastAsia" w:ascii="仿宋_GB2312" w:hAnsi="仿宋_GB2312" w:eastAsia="仿宋_GB2312" w:cs="仿宋_GB2312"/>
          <w:color w:val="343434"/>
          <w:kern w:val="0"/>
          <w:sz w:val="32"/>
          <w:szCs w:val="32"/>
        </w:rPr>
        <w:t>年，财政上级拨款收入为</w:t>
      </w:r>
      <w:r>
        <w:rPr>
          <w:rFonts w:hint="eastAsia" w:ascii="仿宋_GB2312" w:hAnsi="仿宋_GB2312" w:eastAsia="仿宋_GB2312" w:cs="仿宋_GB2312"/>
          <w:color w:val="343434"/>
          <w:kern w:val="0"/>
          <w:sz w:val="32"/>
          <w:szCs w:val="32"/>
          <w:lang w:val="en-US" w:eastAsia="zh-CN"/>
        </w:rPr>
        <w:t>804.49</w:t>
      </w:r>
      <w:r>
        <w:rPr>
          <w:rFonts w:hint="eastAsia" w:ascii="仿宋_GB2312" w:hAnsi="仿宋_GB2312" w:eastAsia="仿宋_GB2312" w:cs="仿宋_GB2312"/>
          <w:color w:val="343434"/>
          <w:kern w:val="0"/>
          <w:sz w:val="32"/>
          <w:szCs w:val="32"/>
        </w:rPr>
        <w:t>万元，占年初预算</w:t>
      </w:r>
      <w:r>
        <w:rPr>
          <w:rFonts w:hint="eastAsia" w:ascii="仿宋_GB2312" w:hAnsi="仿宋_GB2312" w:eastAsia="仿宋_GB2312" w:cs="仿宋_GB2312"/>
          <w:color w:val="343434"/>
          <w:kern w:val="0"/>
          <w:sz w:val="32"/>
          <w:szCs w:val="32"/>
          <w:lang w:val="en-US" w:eastAsia="zh-CN"/>
        </w:rPr>
        <w:t>717.19</w:t>
      </w:r>
      <w:r>
        <w:rPr>
          <w:rFonts w:hint="eastAsia" w:ascii="仿宋_GB2312" w:hAnsi="仿宋_GB2312" w:eastAsia="仿宋_GB2312" w:cs="仿宋_GB2312"/>
          <w:color w:val="343434"/>
          <w:kern w:val="0"/>
          <w:sz w:val="32"/>
          <w:szCs w:val="32"/>
        </w:rPr>
        <w:t>万元的</w:t>
      </w:r>
      <w:r>
        <w:rPr>
          <w:rFonts w:hint="eastAsia" w:ascii="仿宋_GB2312" w:hAnsi="仿宋_GB2312" w:eastAsia="仿宋_GB2312" w:cs="仿宋_GB2312"/>
          <w:color w:val="343434"/>
          <w:kern w:val="0"/>
          <w:sz w:val="32"/>
          <w:szCs w:val="32"/>
          <w:lang w:val="en-US" w:eastAsia="zh-CN"/>
        </w:rPr>
        <w:t>112</w:t>
      </w:r>
      <w:r>
        <w:rPr>
          <w:rFonts w:hint="eastAsia" w:ascii="仿宋_GB2312" w:hAnsi="仿宋_GB2312" w:eastAsia="仿宋_GB2312" w:cs="仿宋_GB2312"/>
          <w:color w:val="343434"/>
          <w:kern w:val="0"/>
          <w:sz w:val="32"/>
          <w:szCs w:val="32"/>
        </w:rPr>
        <w:t>%</w:t>
      </w:r>
      <w:r>
        <w:rPr>
          <w:rFonts w:hint="eastAsia" w:ascii="仿宋_GB2312" w:hAnsi="仿宋_GB2312" w:eastAsia="仿宋_GB2312" w:cs="仿宋_GB2312"/>
          <w:color w:val="343434"/>
          <w:kern w:val="0"/>
          <w:sz w:val="32"/>
          <w:szCs w:val="32"/>
          <w:lang w:val="en-US" w:eastAsia="zh-CN"/>
        </w:rPr>
        <w:t>;</w:t>
      </w:r>
      <w:r>
        <w:rPr>
          <w:rFonts w:hint="eastAsia" w:ascii="仿宋_GB2312" w:hAnsi="仿宋_GB2312" w:eastAsia="仿宋_GB2312" w:cs="仿宋_GB2312"/>
          <w:color w:val="343434"/>
          <w:kern w:val="0"/>
          <w:sz w:val="32"/>
          <w:szCs w:val="32"/>
        </w:rPr>
        <w:t>财政总支出为</w:t>
      </w:r>
      <w:r>
        <w:rPr>
          <w:rFonts w:hint="eastAsia" w:ascii="仿宋_GB2312" w:hAnsi="仿宋_GB2312" w:eastAsia="仿宋_GB2312" w:cs="仿宋_GB2312"/>
          <w:color w:val="343434"/>
          <w:kern w:val="0"/>
          <w:sz w:val="32"/>
          <w:szCs w:val="32"/>
          <w:lang w:val="en-US" w:eastAsia="zh-CN"/>
        </w:rPr>
        <w:t>804.49</w:t>
      </w:r>
      <w:bookmarkStart w:id="74" w:name="_GoBack"/>
      <w:bookmarkEnd w:id="74"/>
      <w:r>
        <w:rPr>
          <w:rFonts w:hint="eastAsia" w:ascii="仿宋_GB2312" w:hAnsi="仿宋_GB2312" w:eastAsia="仿宋_GB2312" w:cs="仿宋_GB2312"/>
          <w:color w:val="343434"/>
          <w:kern w:val="0"/>
          <w:sz w:val="32"/>
          <w:szCs w:val="32"/>
        </w:rPr>
        <w:t>万元，收支相抵全年财政收支平衡。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960" w:firstLineChars="3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四、部门财政支出管理办法</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343434"/>
          <w:kern w:val="0"/>
          <w:sz w:val="32"/>
          <w:szCs w:val="32"/>
        </w:rPr>
      </w:pPr>
      <w:r>
        <w:rPr>
          <w:rFonts w:hint="eastAsia" w:ascii="仿宋_GB2312" w:hAnsi="仿宋_GB2312" w:eastAsia="仿宋_GB2312" w:cs="仿宋_GB2312"/>
          <w:b/>
          <w:bCs/>
          <w:color w:val="343434"/>
          <w:kern w:val="0"/>
          <w:sz w:val="32"/>
          <w:szCs w:val="32"/>
        </w:rPr>
        <w:t> </w:t>
      </w:r>
      <w:r>
        <w:rPr>
          <w:rFonts w:hint="eastAsia" w:ascii="楷体_GB2312" w:hAnsi="楷体_GB2312" w:eastAsia="楷体_GB2312" w:cs="楷体_GB2312"/>
          <w:b w:val="0"/>
          <w:bCs w:val="0"/>
          <w:color w:val="343434"/>
          <w:kern w:val="0"/>
          <w:sz w:val="32"/>
          <w:szCs w:val="32"/>
        </w:rPr>
        <w:t>（一）狠抓财源建设，实现财税收入稳步增长</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43434"/>
          <w:kern w:val="0"/>
          <w:sz w:val="32"/>
          <w:szCs w:val="32"/>
        </w:rPr>
      </w:pPr>
      <w:r>
        <w:rPr>
          <w:rFonts w:hint="eastAsia" w:ascii="仿宋_GB2312" w:hAnsi="仿宋_GB2312" w:eastAsia="仿宋_GB2312" w:cs="仿宋_GB2312"/>
          <w:color w:val="343434"/>
          <w:kern w:val="0"/>
          <w:sz w:val="32"/>
          <w:szCs w:val="32"/>
        </w:rPr>
        <w:t> 财政部门必须把保增长</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促发展作为自身的第一要务，紧紧围绕镇党委</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政府的发展思路</w:t>
      </w:r>
      <w:r>
        <w:rPr>
          <w:rFonts w:hint="eastAsia" w:ascii="仿宋_GB2312" w:hAnsi="仿宋_GB2312" w:eastAsia="仿宋_GB2312" w:cs="仿宋_GB2312"/>
          <w:color w:val="343434"/>
          <w:kern w:val="0"/>
          <w:sz w:val="32"/>
          <w:szCs w:val="32"/>
          <w:lang w:eastAsia="zh-CN"/>
        </w:rPr>
        <w:t>。首先，扩充财源途径</w:t>
      </w:r>
      <w:r>
        <w:rPr>
          <w:rFonts w:hint="eastAsia" w:ascii="仿宋_GB2312" w:hAnsi="仿宋_GB2312" w:eastAsia="仿宋_GB2312" w:cs="仿宋_GB2312"/>
          <w:color w:val="343434"/>
          <w:kern w:val="0"/>
          <w:sz w:val="32"/>
          <w:szCs w:val="32"/>
        </w:rPr>
        <w:t>，做大收入总量，</w:t>
      </w:r>
      <w:r>
        <w:rPr>
          <w:rFonts w:hint="eastAsia" w:ascii="仿宋_GB2312" w:hAnsi="仿宋_GB2312" w:eastAsia="仿宋_GB2312" w:cs="仿宋_GB2312"/>
          <w:color w:val="343434"/>
          <w:kern w:val="0"/>
          <w:sz w:val="32"/>
          <w:szCs w:val="32"/>
          <w:lang w:eastAsia="zh-CN"/>
        </w:rPr>
        <w:t>优化</w:t>
      </w:r>
      <w:r>
        <w:rPr>
          <w:rFonts w:hint="eastAsia" w:ascii="仿宋_GB2312" w:hAnsi="仿宋_GB2312" w:eastAsia="仿宋_GB2312" w:cs="仿宋_GB2312"/>
          <w:color w:val="343434"/>
          <w:kern w:val="0"/>
          <w:sz w:val="32"/>
          <w:szCs w:val="32"/>
        </w:rPr>
        <w:t>收入结构</w:t>
      </w:r>
      <w:r>
        <w:rPr>
          <w:rFonts w:hint="eastAsia" w:ascii="仿宋_GB2312" w:hAnsi="仿宋_GB2312" w:eastAsia="仿宋_GB2312" w:cs="仿宋_GB2312"/>
          <w:color w:val="343434"/>
          <w:kern w:val="0"/>
          <w:sz w:val="32"/>
          <w:szCs w:val="32"/>
          <w:lang w:eastAsia="zh-CN"/>
        </w:rPr>
        <w:t>；其次，</w:t>
      </w:r>
      <w:r>
        <w:rPr>
          <w:rFonts w:hint="eastAsia" w:ascii="仿宋_GB2312" w:hAnsi="仿宋_GB2312" w:eastAsia="仿宋_GB2312" w:cs="仿宋_GB2312"/>
          <w:color w:val="343434"/>
          <w:kern w:val="0"/>
          <w:sz w:val="32"/>
          <w:szCs w:val="32"/>
        </w:rPr>
        <w:t>加大招商引资力度，推进重点项目建设；</w:t>
      </w:r>
      <w:r>
        <w:rPr>
          <w:rFonts w:hint="eastAsia" w:ascii="仿宋_GB2312" w:hAnsi="仿宋_GB2312" w:eastAsia="仿宋_GB2312" w:cs="仿宋_GB2312"/>
          <w:color w:val="343434"/>
          <w:kern w:val="0"/>
          <w:sz w:val="32"/>
          <w:szCs w:val="32"/>
          <w:lang w:eastAsia="zh-CN"/>
        </w:rPr>
        <w:t>最后，</w:t>
      </w:r>
      <w:r>
        <w:rPr>
          <w:rFonts w:hint="eastAsia" w:ascii="仿宋_GB2312" w:hAnsi="仿宋_GB2312" w:eastAsia="仿宋_GB2312" w:cs="仿宋_GB2312"/>
          <w:color w:val="343434"/>
          <w:kern w:val="0"/>
          <w:sz w:val="32"/>
          <w:szCs w:val="32"/>
        </w:rPr>
        <w:t>加强农业基础财源建设，优化资源配置，转变经营方式</w:t>
      </w:r>
      <w:r>
        <w:rPr>
          <w:rFonts w:hint="eastAsia" w:ascii="仿宋_GB2312" w:hAnsi="仿宋_GB2312" w:eastAsia="仿宋_GB2312" w:cs="仿宋_GB2312"/>
          <w:color w:val="343434"/>
          <w:kern w:val="0"/>
          <w:sz w:val="32"/>
          <w:szCs w:val="32"/>
          <w:lang w:eastAsia="zh-CN"/>
        </w:rPr>
        <w:t>。各手各抓，全面</w:t>
      </w:r>
      <w:r>
        <w:rPr>
          <w:rFonts w:hint="eastAsia" w:ascii="仿宋_GB2312" w:hAnsi="仿宋_GB2312" w:eastAsia="仿宋_GB2312" w:cs="仿宋_GB2312"/>
          <w:color w:val="343434"/>
          <w:kern w:val="0"/>
          <w:sz w:val="32"/>
          <w:szCs w:val="32"/>
        </w:rPr>
        <w:t>确保各项财税任务超额完成。</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43434"/>
          <w:kern w:val="0"/>
          <w:sz w:val="32"/>
          <w:szCs w:val="32"/>
        </w:rPr>
      </w:pPr>
      <w:r>
        <w:rPr>
          <w:rFonts w:hint="eastAsia" w:ascii="楷体_GB2312" w:hAnsi="楷体_GB2312" w:eastAsia="楷体_GB2312" w:cs="楷体_GB2312"/>
          <w:b w:val="0"/>
          <w:bCs w:val="0"/>
          <w:color w:val="343434"/>
          <w:kern w:val="0"/>
          <w:sz w:val="32"/>
          <w:szCs w:val="32"/>
        </w:rPr>
        <w:t>（二）深化财政改革，推动财政管理体制创新</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343434"/>
          <w:kern w:val="0"/>
          <w:sz w:val="32"/>
          <w:szCs w:val="32"/>
          <w:lang w:eastAsia="zh-CN"/>
        </w:rPr>
      </w:pPr>
      <w:r>
        <w:rPr>
          <w:rFonts w:hint="eastAsia" w:ascii="仿宋_GB2312" w:hAnsi="仿宋_GB2312" w:eastAsia="仿宋_GB2312" w:cs="仿宋_GB2312"/>
          <w:color w:val="343434"/>
          <w:kern w:val="0"/>
          <w:sz w:val="32"/>
          <w:szCs w:val="32"/>
        </w:rPr>
        <w:t> 目前，镇财政收支矛盾十分突出</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随着各项改革的深入和经济社会事业的发展，对财政支出增长提出了更高的要求。一是注重预算约束</w:t>
      </w:r>
      <w:r>
        <w:rPr>
          <w:rFonts w:hint="eastAsia" w:ascii="仿宋_GB2312" w:hAnsi="仿宋_GB2312" w:eastAsia="仿宋_GB2312" w:cs="仿宋_GB2312"/>
          <w:color w:val="343434"/>
          <w:kern w:val="0"/>
          <w:sz w:val="32"/>
          <w:szCs w:val="32"/>
          <w:lang w:eastAsia="zh-CN"/>
        </w:rPr>
        <w:t>，做好</w:t>
      </w:r>
      <w:r>
        <w:rPr>
          <w:rFonts w:hint="eastAsia" w:ascii="仿宋_GB2312" w:hAnsi="仿宋_GB2312" w:eastAsia="仿宋_GB2312" w:cs="仿宋_GB2312"/>
          <w:color w:val="343434"/>
          <w:kern w:val="0"/>
          <w:sz w:val="32"/>
          <w:szCs w:val="32"/>
        </w:rPr>
        <w:t>预算公开，加强财政资金</w:t>
      </w:r>
      <w:r>
        <w:rPr>
          <w:rFonts w:hint="eastAsia" w:ascii="仿宋_GB2312" w:hAnsi="仿宋_GB2312" w:eastAsia="仿宋_GB2312" w:cs="仿宋_GB2312"/>
          <w:color w:val="343434"/>
          <w:kern w:val="0"/>
          <w:sz w:val="32"/>
          <w:szCs w:val="32"/>
          <w:lang w:eastAsia="zh-CN"/>
        </w:rPr>
        <w:t>支出的</w:t>
      </w:r>
      <w:r>
        <w:rPr>
          <w:rFonts w:hint="eastAsia" w:ascii="仿宋_GB2312" w:hAnsi="仿宋_GB2312" w:eastAsia="仿宋_GB2312" w:cs="仿宋_GB2312"/>
          <w:color w:val="343434"/>
          <w:kern w:val="0"/>
          <w:sz w:val="32"/>
          <w:szCs w:val="32"/>
        </w:rPr>
        <w:t>监管</w:t>
      </w:r>
      <w:r>
        <w:rPr>
          <w:rFonts w:hint="eastAsia" w:ascii="仿宋_GB2312" w:hAnsi="仿宋_GB2312" w:eastAsia="仿宋_GB2312" w:cs="仿宋_GB2312"/>
          <w:color w:val="343434"/>
          <w:kern w:val="0"/>
          <w:sz w:val="32"/>
          <w:szCs w:val="32"/>
          <w:lang w:eastAsia="zh-CN"/>
        </w:rPr>
        <w:t>力度；要</w:t>
      </w:r>
      <w:r>
        <w:rPr>
          <w:rFonts w:hint="eastAsia" w:ascii="仿宋_GB2312" w:hAnsi="仿宋_GB2312" w:eastAsia="仿宋_GB2312" w:cs="仿宋_GB2312"/>
          <w:color w:val="343434"/>
          <w:kern w:val="0"/>
          <w:sz w:val="32"/>
          <w:szCs w:val="32"/>
        </w:rPr>
        <w:t>确保工资发放</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重点建设和社会大局稳定</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积极稳妥推进预算公开，提高预算编制的透明度</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二是注重财政日常监管，牢固树立“过紧日子”的思想</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大力压缩非生产性支出，全镇上下都要厉行节约，严禁铺张浪费，努力建设节约型机关</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三是注重完善财政资金监管机制、项目投资评审机制</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进一步完善部门集中核算制度、村账镇代管财务制度，切实解决实行村账镇代管以来所面临的问题和矛盾</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努力实现财政资金监管由事后监管向建立“事前审核，事中监控、事后检查“相结合的机制转变，建立健全财政投资项目评审机制</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四是注重镇村债权债务管理，制定出切实可行的措施</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强化镇村债务管理，进一步做好镇、村资产清查工作，摸清家底</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建立镇村债权债务台账，加大消赤减债工作力度，努力化解镇村财务风险</w:t>
      </w:r>
      <w:r>
        <w:rPr>
          <w:rFonts w:hint="eastAsia" w:ascii="仿宋_GB2312" w:hAnsi="仿宋_GB2312" w:eastAsia="仿宋_GB2312" w:cs="仿宋_GB2312"/>
          <w:color w:val="343434"/>
          <w:kern w:val="0"/>
          <w:sz w:val="32"/>
          <w:szCs w:val="32"/>
          <w:lang w:eastAsia="zh-CN"/>
        </w:rPr>
        <w:t>；</w:t>
      </w:r>
      <w:r>
        <w:rPr>
          <w:rFonts w:hint="eastAsia" w:ascii="仿宋_GB2312" w:hAnsi="仿宋_GB2312" w:eastAsia="仿宋_GB2312" w:cs="仿宋_GB2312"/>
          <w:color w:val="343434"/>
          <w:kern w:val="0"/>
          <w:sz w:val="32"/>
          <w:szCs w:val="32"/>
        </w:rPr>
        <w:t>创新理财思路，尽力缓解财政困难，不断完善镇村财政财务科学化、精细化管理制度、财政资金监管制度</w:t>
      </w:r>
      <w:r>
        <w:rPr>
          <w:rFonts w:hint="eastAsia" w:ascii="仿宋_GB2312" w:hAnsi="仿宋_GB2312" w:eastAsia="仿宋_GB2312" w:cs="仿宋_GB2312"/>
          <w:color w:val="343434"/>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支出绩效行政运转保障。首先在预算内保障机关的正常办公需要，人员工资福利以及急待解决的应急应难的支出保障，严控不必要的支出，厉行节约，该办的必办，该缓的必缓，有轻有重，严控出国出境，差旅费、会议费和公务接待费用等支出，总之把有限的财政资金用好。机关用水、电、气等到厉行节约、反对浪费，总的运行情况良好。在财政局和政府的双重领导下，总的是在按会计制度执行的基础上，不断完善财务制度，政府办公用品集中平均制度，资金监管制度、财务会审签字制度，单位所有支出，先签字后办理，票据必须由经办人、分管领导、主要领导、财政审核签字认可，手续齐备、规范合法有效等才能报销，合理安排资金的使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960" w:firstLineChars="3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五、评价结论及建议</w:t>
      </w:r>
    </w:p>
    <w:p>
      <w:pPr>
        <w:keepNext w:val="0"/>
        <w:keepLines w:val="0"/>
        <w:pageBreakBefore w:val="0"/>
        <w:widowControl w:val="0"/>
        <w:numPr>
          <w:ilvl w:val="0"/>
          <w:numId w:val="10"/>
        </w:numPr>
        <w:kinsoku/>
        <w:wordWrap/>
        <w:overflowPunct/>
        <w:topLinePunct w:val="0"/>
        <w:autoSpaceDE/>
        <w:autoSpaceDN/>
        <w:bidi w:val="0"/>
        <w:adjustRightInd/>
        <w:snapToGrid/>
        <w:spacing w:line="579"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对照整体支出绩效评价指标自我评分，我镇自评分为97分。</w:t>
      </w:r>
    </w:p>
    <w:p>
      <w:pPr>
        <w:keepNext w:val="0"/>
        <w:keepLines w:val="0"/>
        <w:pageBreakBefore w:val="0"/>
        <w:widowControl w:val="0"/>
        <w:numPr>
          <w:ilvl w:val="0"/>
          <w:numId w:val="10"/>
        </w:numPr>
        <w:kinsoku/>
        <w:wordWrap/>
        <w:overflowPunct/>
        <w:topLinePunct w:val="0"/>
        <w:autoSpaceDE/>
        <w:autoSpaceDN/>
        <w:bidi w:val="0"/>
        <w:adjustRightInd/>
        <w:snapToGrid/>
        <w:spacing w:line="579"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存在的问题，主要有预算编制不够全面、细化，预决算的合理性有待提高，更为科学。</w:t>
      </w:r>
    </w:p>
    <w:p>
      <w:pPr>
        <w:keepNext w:val="0"/>
        <w:keepLines w:val="0"/>
        <w:pageBreakBefore w:val="0"/>
        <w:widowControl w:val="0"/>
        <w:numPr>
          <w:ilvl w:val="0"/>
          <w:numId w:val="10"/>
        </w:numPr>
        <w:kinsoku/>
        <w:wordWrap/>
        <w:overflowPunct/>
        <w:topLinePunct w:val="0"/>
        <w:autoSpaceDE/>
        <w:autoSpaceDN/>
        <w:bidi w:val="0"/>
        <w:adjustRightInd/>
        <w:snapToGrid/>
        <w:spacing w:line="579"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改进建议</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在今后工作中，把预算做得更加合理，进一步细化预算编制工作，更加规范财务管理，在资金使用上实行包干制，取消绝大部分报账制。总之使资金充分发挥更大的作用。</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4"/>
          <w:rFonts w:ascii="黑体" w:hAnsi="黑体" w:eastAsia="黑体"/>
          <w:b w:val="0"/>
        </w:rPr>
      </w:pPr>
    </w:p>
    <w:p>
      <w:pPr>
        <w:spacing w:line="600" w:lineRule="exact"/>
        <w:jc w:val="center"/>
        <w:outlineLvl w:val="0"/>
        <w:rPr>
          <w:rFonts w:hint="eastAsia" w:ascii="黑体" w:hAnsi="黑体" w:eastAsia="黑体"/>
          <w:color w:val="000000"/>
          <w:sz w:val="44"/>
          <w:szCs w:val="44"/>
        </w:rPr>
      </w:pPr>
      <w:bookmarkStart w:id="60"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0"/>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1"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1"/>
    </w:p>
    <w:p>
      <w:pPr>
        <w:pStyle w:val="3"/>
        <w:rPr>
          <w:rFonts w:ascii="仿宋" w:hAnsi="仿宋" w:eastAsia="仿宋"/>
          <w:color w:val="000000"/>
        </w:rPr>
      </w:pPr>
      <w:bookmarkStart w:id="62"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2"/>
    </w:p>
    <w:p>
      <w:pPr>
        <w:pStyle w:val="3"/>
        <w:rPr>
          <w:rFonts w:ascii="仿宋" w:hAnsi="仿宋" w:eastAsia="仿宋"/>
          <w:color w:val="000000"/>
        </w:rPr>
      </w:pPr>
      <w:bookmarkStart w:id="63"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3"/>
    </w:p>
    <w:p>
      <w:pPr>
        <w:pStyle w:val="3"/>
        <w:rPr>
          <w:rFonts w:ascii="仿宋" w:hAnsi="仿宋" w:eastAsia="仿宋"/>
          <w:b w:val="0"/>
          <w:color w:val="000000"/>
        </w:rPr>
      </w:pPr>
      <w:bookmarkStart w:id="64"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4"/>
    </w:p>
    <w:p>
      <w:pPr>
        <w:pStyle w:val="3"/>
        <w:rPr>
          <w:rStyle w:val="25"/>
          <w:rFonts w:ascii="仿宋" w:hAnsi="仿宋" w:eastAsia="仿宋"/>
          <w:b w:val="0"/>
          <w:bCs w:val="0"/>
        </w:rPr>
      </w:pPr>
      <w:bookmarkStart w:id="65"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5"/>
      <w:bookmarkStart w:id="66"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7"/>
    </w:p>
    <w:p>
      <w:pPr>
        <w:pStyle w:val="3"/>
        <w:rPr>
          <w:rFonts w:ascii="仿宋" w:hAnsi="仿宋" w:eastAsia="仿宋"/>
          <w:color w:val="000000"/>
        </w:rPr>
      </w:pPr>
      <w:bookmarkStart w:id="68"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9"/>
    </w:p>
    <w:p>
      <w:pPr>
        <w:pStyle w:val="3"/>
        <w:rPr>
          <w:rFonts w:ascii="仿宋" w:hAnsi="仿宋" w:eastAsia="仿宋"/>
          <w:color w:val="000000"/>
        </w:rPr>
      </w:pPr>
      <w:bookmarkStart w:id="70"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0"/>
    </w:p>
    <w:p>
      <w:pPr>
        <w:pStyle w:val="3"/>
        <w:rPr>
          <w:rFonts w:ascii="仿宋" w:hAnsi="仿宋" w:eastAsia="仿宋"/>
          <w:color w:val="000000"/>
        </w:rPr>
      </w:pPr>
      <w:bookmarkStart w:id="71"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1"/>
    </w:p>
    <w:p>
      <w:pPr>
        <w:pStyle w:val="3"/>
        <w:rPr>
          <w:rFonts w:ascii="仿宋" w:hAnsi="仿宋" w:eastAsia="仿宋"/>
          <w:color w:val="000000"/>
        </w:rPr>
      </w:pPr>
      <w:bookmarkStart w:id="72"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2"/>
    </w:p>
    <w:p>
      <w:pPr>
        <w:pStyle w:val="3"/>
        <w:rPr>
          <w:rFonts w:ascii="仿宋" w:hAnsi="仿宋" w:eastAsia="仿宋"/>
          <w:color w:val="000000" w:themeColor="text1"/>
        </w:rPr>
      </w:pPr>
      <w:bookmarkStart w:id="73"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877DCC"/>
    <w:multiLevelType w:val="singleLevel"/>
    <w:tmpl w:val="C1877DCC"/>
    <w:lvl w:ilvl="0" w:tentative="0">
      <w:start w:val="11"/>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99DA7EE"/>
    <w:multiLevelType w:val="singleLevel"/>
    <w:tmpl w:val="299DA7EE"/>
    <w:lvl w:ilvl="0" w:tentative="0">
      <w:start w:val="1"/>
      <w:numFmt w:val="chineseCounting"/>
      <w:suff w:val="nothing"/>
      <w:lvlText w:val="（%1）"/>
      <w:lvlJc w:val="left"/>
      <w:rPr>
        <w:rFonts w:hint="eastAsia"/>
      </w:rPr>
    </w:lvl>
  </w:abstractNum>
  <w:abstractNum w:abstractNumId="6">
    <w:nsid w:val="55FD4525"/>
    <w:multiLevelType w:val="singleLevel"/>
    <w:tmpl w:val="55FD4525"/>
    <w:lvl w:ilvl="0" w:tentative="0">
      <w:start w:val="1"/>
      <w:numFmt w:val="chineseCounting"/>
      <w:suff w:val="nothing"/>
      <w:lvlText w:val="（%1）"/>
      <w:lvlJc w:val="left"/>
      <w:rPr>
        <w:rFonts w:hint="eastAsia"/>
      </w:rPr>
    </w:lvl>
  </w:abstractNum>
  <w:abstractNum w:abstractNumId="7">
    <w:nsid w:val="6FDC7FB8"/>
    <w:multiLevelType w:val="singleLevel"/>
    <w:tmpl w:val="6FDC7FB8"/>
    <w:lvl w:ilvl="0" w:tentative="0">
      <w:start w:val="1"/>
      <w:numFmt w:val="decimal"/>
      <w:suff w:val="nothing"/>
      <w:lvlText w:val="%1、"/>
      <w:lvlJc w:val="left"/>
    </w:lvl>
  </w:abstractNum>
  <w:abstractNum w:abstractNumId="8">
    <w:nsid w:val="706BF5CA"/>
    <w:multiLevelType w:val="singleLevel"/>
    <w:tmpl w:val="706BF5CA"/>
    <w:lvl w:ilvl="0" w:tentative="0">
      <w:start w:val="1"/>
      <w:numFmt w:val="decimal"/>
      <w:lvlText w:val="%1."/>
      <w:lvlJc w:val="left"/>
      <w:pPr>
        <w:tabs>
          <w:tab w:val="left" w:pos="312"/>
        </w:tabs>
      </w:pPr>
    </w:lvl>
  </w:abstractNum>
  <w:abstractNum w:abstractNumId="9">
    <w:nsid w:val="756E5EC4"/>
    <w:multiLevelType w:val="singleLevel"/>
    <w:tmpl w:val="756E5EC4"/>
    <w:lvl w:ilvl="0" w:tentative="0">
      <w:start w:val="1"/>
      <w:numFmt w:val="chineseCounting"/>
      <w:suff w:val="nothing"/>
      <w:lvlText w:val="（%1）"/>
      <w:lvlJc w:val="left"/>
      <w:rPr>
        <w:rFonts w:hint="eastAsia"/>
      </w:rPr>
    </w:lvl>
  </w:abstractNum>
  <w:num w:numId="1">
    <w:abstractNumId w:val="4"/>
  </w:num>
  <w:num w:numId="2">
    <w:abstractNumId w:val="8"/>
  </w:num>
  <w:num w:numId="3">
    <w:abstractNumId w:val="0"/>
  </w:num>
  <w:num w:numId="4">
    <w:abstractNumId w:val="1"/>
  </w:num>
  <w:num w:numId="5">
    <w:abstractNumId w:val="3"/>
  </w:num>
  <w:num w:numId="6">
    <w:abstractNumId w:val="2"/>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D90FB0"/>
    <w:rsid w:val="10C055FF"/>
    <w:rsid w:val="16BB723D"/>
    <w:rsid w:val="240371BF"/>
    <w:rsid w:val="29FD04D3"/>
    <w:rsid w:val="319F7F4E"/>
    <w:rsid w:val="3F7327AB"/>
    <w:rsid w:val="4ECE2238"/>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8</TotalTime>
  <ScaleCrop>false</ScaleCrop>
  <LinksUpToDate>false</LinksUpToDate>
  <CharactersWithSpaces>8536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极尽似水</cp:lastModifiedBy>
  <cp:lastPrinted>2020-07-23T02:58:00Z</cp:lastPrinted>
  <dcterms:modified xsi:type="dcterms:W3CDTF">2020-11-11T09:15:11Z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