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96475"/>
      <w:bookmarkStart w:id="3" w:name="_Toc15377193"/>
      <w:bookmarkStart w:id="4" w:name="_Toc15378441"/>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7426"/>
      <w:bookmarkStart w:id="8" w:name="_Toc15396598"/>
      <w:bookmarkStart w:id="9" w:name="_Toc15396476"/>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宣汉县机关幼儿园部门决算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公开时间：2019年9月5日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_GB2312" w:hAnsi="仿宋_GB2312" w:eastAsia="仿宋_GB2312" w:cs="仿宋_GB2312"/>
          <w:b w:val="0"/>
          <w:bCs w:val="0"/>
        </w:rPr>
      </w:pPr>
      <w:bookmarkStart w:id="14" w:name="_Toc15377197"/>
      <w:bookmarkStart w:id="15" w:name="_Toc15396600"/>
      <w:r>
        <w:rPr>
          <w:rFonts w:hint="eastAsia" w:ascii="仿宋_GB2312" w:hAnsi="仿宋_GB2312" w:eastAsia="仿宋_GB2312" w:cs="仿宋_GB2312"/>
          <w:b w:val="0"/>
          <w:color w:val="000000"/>
        </w:rPr>
        <w:t>一、基</w:t>
      </w:r>
      <w:r>
        <w:rPr>
          <w:rStyle w:val="25"/>
          <w:rFonts w:hint="eastAsia" w:ascii="仿宋_GB2312" w:hAnsi="仿宋_GB2312" w:eastAsia="仿宋_GB2312" w:cs="仿宋_GB2312"/>
          <w:b w:val="0"/>
          <w:bCs w:val="0"/>
        </w:rPr>
        <w:t>本职能及主要工作</w:t>
      </w:r>
      <w:bookmarkEnd w:id="14"/>
      <w:bookmarkEnd w:id="15"/>
    </w:p>
    <w:p>
      <w:pPr>
        <w:ind w:firstLine="960" w:firstLineChars="300"/>
        <w:rPr>
          <w:rFonts w:ascii="仿宋_GB2312" w:hAnsi="仿宋_GB2312" w:eastAsia="仿宋_GB2312" w:cs="仿宋_GB2312"/>
          <w:bCs/>
          <w:color w:val="000000"/>
          <w:sz w:val="32"/>
          <w:szCs w:val="32"/>
        </w:rPr>
      </w:pPr>
      <w:bookmarkStart w:id="16" w:name="_Toc15378445"/>
      <w:bookmarkStart w:id="17" w:name="_Toc15377198"/>
      <w:r>
        <w:rPr>
          <w:rFonts w:hint="eastAsia" w:ascii="仿宋_GB2312" w:hAnsi="仿宋_GB2312" w:eastAsia="仿宋_GB2312" w:cs="仿宋_GB2312"/>
          <w:bCs/>
          <w:color w:val="000000"/>
          <w:sz w:val="32"/>
          <w:szCs w:val="32"/>
        </w:rPr>
        <w:t>（一）主要职能。</w:t>
      </w:r>
    </w:p>
    <w:p>
      <w:pPr>
        <w:ind w:firstLine="960" w:firstLineChars="300"/>
        <w:rPr>
          <w:rStyle w:val="14"/>
          <w:rFonts w:ascii="仿宋_GB2312" w:hAnsi="仿宋_GB2312" w:eastAsia="仿宋_GB2312" w:cs="仿宋_GB2312"/>
          <w:b w:val="0"/>
          <w:color w:val="333333"/>
          <w:sz w:val="32"/>
          <w:szCs w:val="32"/>
        </w:rPr>
      </w:pPr>
      <w:r>
        <w:rPr>
          <w:rStyle w:val="14"/>
          <w:rFonts w:hint="eastAsia" w:ascii="仿宋_GB2312" w:hAnsi="仿宋_GB2312" w:eastAsia="仿宋_GB2312" w:cs="仿宋_GB2312"/>
          <w:b w:val="0"/>
          <w:color w:val="333333"/>
          <w:sz w:val="32"/>
          <w:szCs w:val="32"/>
        </w:rPr>
        <w:t>宣汉县机关幼儿园的主要职能是：我园以“培养幼儿良好的行为习惯”为准则，实行保育和教育相结合的原则,对幼儿实施体、智、德、美诸方面全面发展的教育，促进其身心和谐发展，为家长解除后顾之忧，热忱为家长服务，真正使幼儿园成为幼儿快乐成长的乐园。</w:t>
      </w:r>
    </w:p>
    <w:bookmarkEnd w:id="16"/>
    <w:bookmarkEnd w:id="17"/>
    <w:p>
      <w:pPr>
        <w:spacing w:line="560" w:lineRule="exact"/>
        <w:ind w:firstLine="640" w:firstLineChars="200"/>
        <w:rPr>
          <w:rFonts w:ascii="仿宋_GB2312" w:hAnsi="仿宋_GB2312" w:eastAsia="仿宋_GB2312" w:cs="仿宋_GB2312"/>
          <w:bCs/>
          <w:color w:val="000000"/>
          <w:sz w:val="32"/>
          <w:szCs w:val="32"/>
        </w:rPr>
      </w:pPr>
      <w:bookmarkStart w:id="18" w:name="_Toc15377199"/>
      <w:bookmarkStart w:id="19" w:name="_Toc15378446"/>
      <w:r>
        <w:rPr>
          <w:rFonts w:hint="eastAsia" w:ascii="仿宋_GB2312" w:hAnsi="仿宋_GB2312" w:eastAsia="仿宋_GB2312" w:cs="仿宋_GB2312"/>
          <w:bCs/>
          <w:color w:val="000000"/>
          <w:sz w:val="32"/>
          <w:szCs w:val="32"/>
        </w:rPr>
        <w:t>（二）2018年重点工作完成情况。</w:t>
      </w:r>
      <w:bookmarkEnd w:id="18"/>
      <w:bookmarkEnd w:id="19"/>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2018年宣汉县机关幼儿园共收学龄前幼儿600多名，对学龄前儿童进行保育教育服务。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1.认真贯彻执行党和国家的有关法律法规、方针、政策，坚持民主管理，依法办园，执行上级主管部门的指示和决定。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2.实行保育和教育相结合的原则，对幼儿实施体、智、德、美诸方面全面发展的教育，促进其身心和谐发展。为家长解除后顾之忧，热忱为家长服务。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3.尊重儿童的人格尊严和基本权利，尊重儿童身心发展的特点和规律，为儿童提供健康、丰富的生活和活动环境。合理组织幼儿一日生活活动和其它活动，促进幼儿体智德美等和谐发展，全面实施素质教育。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4.严格执行幼儿园安全、卫生保健制度，保证幼儿身心健康和生命安全。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5.充分利用幼儿和社区的资源优势，面向家长开展多种形式的早期教育宣传、指导等服务，促进家庭教育质量的不断提高。</w:t>
      </w:r>
    </w:p>
    <w:p>
      <w:pPr>
        <w:spacing w:line="560" w:lineRule="exact"/>
        <w:ind w:firstLine="640" w:firstLineChars="200"/>
        <w:rPr>
          <w:rFonts w:hAnsi="仿宋_GB2312" w:cs="仿宋_GB2312"/>
          <w:bCs/>
          <w:color w:val="000000"/>
          <w:sz w:val="32"/>
          <w:szCs w:val="32"/>
        </w:rPr>
      </w:pPr>
      <w:r>
        <w:rPr>
          <w:rFonts w:hint="eastAsia" w:ascii="仿宋_GB2312" w:hAnsi="仿宋_GB2312" w:eastAsia="仿宋_GB2312" w:cs="仿宋_GB2312"/>
          <w:sz w:val="32"/>
          <w:szCs w:val="32"/>
        </w:rPr>
        <w:t>6.贯彻幼儿教育法规、传播科学教育理念、开展教育科学研究、培训师资，发挥市示范性幼儿园的示范、辐射作用。</w:t>
      </w:r>
    </w:p>
    <w:p>
      <w:pPr>
        <w:pStyle w:val="3"/>
        <w:rPr>
          <w:rStyle w:val="25"/>
          <w:rFonts w:ascii="仿宋_GB2312" w:hAnsi="仿宋_GB2312" w:eastAsia="仿宋_GB2312" w:cs="仿宋_GB2312"/>
          <w:b w:val="0"/>
          <w:bCs w:val="0"/>
        </w:rPr>
      </w:pPr>
      <w:bookmarkStart w:id="20" w:name="_Toc15377200"/>
      <w:bookmarkStart w:id="21" w:name="_Toc15396601"/>
      <w:r>
        <w:rPr>
          <w:rFonts w:hint="eastAsia" w:ascii="仿宋_GB2312" w:hAnsi="仿宋_GB2312" w:eastAsia="仿宋_GB2312" w:cs="仿宋_GB2312"/>
          <w:b w:val="0"/>
          <w:color w:val="000000"/>
        </w:rPr>
        <w:t>二、机</w:t>
      </w:r>
      <w:r>
        <w:rPr>
          <w:rStyle w:val="25"/>
          <w:rFonts w:hint="eastAsia" w:ascii="仿宋_GB2312" w:hAnsi="仿宋_GB2312" w:eastAsia="仿宋_GB2312" w:cs="仿宋_GB2312"/>
          <w:b w:val="0"/>
          <w:bCs w:val="0"/>
        </w:rPr>
        <w:t>构设置</w:t>
      </w:r>
      <w:bookmarkEnd w:id="20"/>
      <w:bookmarkEnd w:id="21"/>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宣汉县机关幼儿园是宣汉县人社局下属事业单位。</w:t>
      </w:r>
      <w:r>
        <w:rPr>
          <w:rFonts w:hint="eastAsia" w:ascii="仿宋_GB2312" w:hAnsi="仿宋_GB2312" w:eastAsia="仿宋_GB2312" w:cs="仿宋_GB2312"/>
          <w:color w:val="333333"/>
          <w:sz w:val="32"/>
          <w:szCs w:val="32"/>
        </w:rPr>
        <w:t>本年机构数1个，属财政全额拨款事业单位，执行事业会计制度，编制数33人，现有在职人员33人。</w:t>
      </w:r>
    </w:p>
    <w:p>
      <w:pPr>
        <w:pStyle w:val="2"/>
        <w:ind w:right="440"/>
        <w:jc w:val="right"/>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入决算总体情况说明</w:t>
      </w:r>
      <w:bookmarkEnd w:id="24"/>
      <w:bookmarkEnd w:id="25"/>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2018年度我单位一般公共财政拨款收、支总计672.90万元。因新增人员和工资调标，较2017年 588.43万元，增加84.46万元，增长12.55%.</w:t>
      </w:r>
    </w:p>
    <w:p>
      <w:pPr>
        <w:spacing w:line="560" w:lineRule="exact"/>
        <w:ind w:firstLine="420" w:firstLineChars="200"/>
        <w:rPr>
          <w:rFonts w:ascii="仿宋_GB2312" w:eastAsia="仿宋_GB2312"/>
          <w:sz w:val="28"/>
          <w:szCs w:val="28"/>
        </w:rPr>
      </w:pPr>
      <w:r>
        <w:drawing>
          <wp:anchor distT="0" distB="0" distL="114300" distR="114300" simplePos="0" relativeHeight="251659264" behindDoc="0" locked="0" layoutInCell="1" allowOverlap="1">
            <wp:simplePos x="0" y="0"/>
            <wp:positionH relativeFrom="column">
              <wp:posOffset>198120</wp:posOffset>
            </wp:positionH>
            <wp:positionV relativeFrom="paragraph">
              <wp:posOffset>95885</wp:posOffset>
            </wp:positionV>
            <wp:extent cx="4942840" cy="3105150"/>
            <wp:effectExtent l="4445" t="4445" r="5715"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Style w:val="25"/>
          <w:rFonts w:hint="eastAsia" w:ascii="黑体" w:hAnsi="黑体" w:eastAsia="黑体"/>
          <w:b w:val="0"/>
        </w:rPr>
        <w:t>支出决算情况说明</w:t>
      </w:r>
      <w:bookmarkEnd w:id="26"/>
      <w:bookmarkEnd w:id="27"/>
    </w:p>
    <w:p>
      <w:pPr>
        <w:spacing w:line="600" w:lineRule="exact"/>
        <w:ind w:firstLine="560" w:firstLineChars="200"/>
        <w:rPr>
          <w:rFonts w:ascii="仿宋_GB2312" w:eastAsia="仿宋_GB2312"/>
          <w:sz w:val="28"/>
          <w:szCs w:val="28"/>
        </w:rPr>
      </w:pPr>
      <w:r>
        <w:rPr>
          <w:rFonts w:hint="eastAsia" w:ascii="仿宋_GB2312" w:eastAsia="仿宋_GB2312"/>
          <w:sz w:val="28"/>
          <w:szCs w:val="28"/>
        </w:rPr>
        <w:t>2018年我单位一般公共财政拨款收入672.90万元。其中：教育支出561.66万元，占总支出的83.47%、社会保障支出66.57万元，占支出的9.89%，医疗卫生16.14万元，占总支出的2.39%，住房保障支出28.53万元，占总支出的4.23%。</w:t>
      </w:r>
    </w:p>
    <w:p>
      <w:pPr>
        <w:spacing w:line="600" w:lineRule="exact"/>
        <w:ind w:firstLine="560" w:firstLineChars="200"/>
        <w:rPr>
          <w:rFonts w:ascii="仿宋_GB2312" w:eastAsia="仿宋_GB2312"/>
          <w:sz w:val="28"/>
          <w:szCs w:val="28"/>
        </w:rPr>
      </w:pPr>
    </w:p>
    <w:p>
      <w:pPr>
        <w:spacing w:line="600" w:lineRule="exact"/>
        <w:ind w:firstLine="560" w:firstLineChars="200"/>
        <w:rPr>
          <w:rFonts w:hint="eastAsia" w:ascii="仿宋_GB2312" w:eastAsia="仿宋_GB2312"/>
          <w:sz w:val="28"/>
          <w:szCs w:val="28"/>
        </w:rPr>
      </w:pPr>
    </w:p>
    <w:p>
      <w:pPr>
        <w:spacing w:line="600" w:lineRule="exact"/>
        <w:ind w:firstLine="420" w:firstLineChars="200"/>
        <w:rPr>
          <w:rFonts w:hint="eastAsia" w:ascii="仿宋_GB2312" w:eastAsia="仿宋_GB2312"/>
          <w:sz w:val="28"/>
          <w:szCs w:val="28"/>
        </w:rPr>
      </w:pPr>
      <w:r>
        <w:drawing>
          <wp:anchor distT="0" distB="0" distL="114300" distR="114300" simplePos="0" relativeHeight="251661312" behindDoc="0" locked="0" layoutInCell="1" allowOverlap="1">
            <wp:simplePos x="0" y="0"/>
            <wp:positionH relativeFrom="column">
              <wp:posOffset>350520</wp:posOffset>
            </wp:positionH>
            <wp:positionV relativeFrom="paragraph">
              <wp:posOffset>381000</wp:posOffset>
            </wp:positionV>
            <wp:extent cx="4572000" cy="284226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56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2018年财政决算672.90万元，全年支出672.90万元。</w:t>
      </w:r>
    </w:p>
    <w:p>
      <w:pPr>
        <w:spacing w:line="560" w:lineRule="exact"/>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按功能分类：其中：教育支出561.66万元，占总支出的83.47%、社会保障支出66.57万元，占支出的9.89%，医疗卫生16.14万元，占总支出的2.39%，住房保障支出28.53万元，占总支出的4.23%，因新增人员和工资调标，较2017年 588.43万元，增加84.46万元，增长12.55%.</w:t>
      </w:r>
    </w:p>
    <w:p>
      <w:pPr>
        <w:spacing w:line="560" w:lineRule="exact"/>
        <w:ind w:firstLine="480" w:firstLineChars="15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按支出性质和经济分类：基本支出602.27万元，其中人员经费406.94万元，占基本支出的67.57%、日常公用经费195.33万元，占基本支出的32.43%；项目支出70.63万元。</w:t>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rPr>
      </w:pPr>
      <w:r>
        <w:drawing>
          <wp:anchor distT="0" distB="0" distL="114300" distR="114300" simplePos="0" relativeHeight="251665408" behindDoc="0" locked="0" layoutInCell="1" allowOverlap="1">
            <wp:simplePos x="0" y="0"/>
            <wp:positionH relativeFrom="column">
              <wp:posOffset>350520</wp:posOffset>
            </wp:positionH>
            <wp:positionV relativeFrom="paragraph">
              <wp:posOffset>3496945</wp:posOffset>
            </wp:positionV>
            <wp:extent cx="4572000" cy="2743200"/>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drawing>
          <wp:anchor distT="0" distB="0" distL="114300" distR="114300" simplePos="0" relativeHeight="251663360" behindDoc="0" locked="0" layoutInCell="1" allowOverlap="1">
            <wp:simplePos x="0" y="0"/>
            <wp:positionH relativeFrom="column">
              <wp:posOffset>342900</wp:posOffset>
            </wp:positionH>
            <wp:positionV relativeFrom="paragraph">
              <wp:posOffset>373380</wp:posOffset>
            </wp:positionV>
            <wp:extent cx="4572000" cy="2743200"/>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_GB2312" w:eastAsia="仿宋_GB2312"/>
          <w:sz w:val="28"/>
          <w:szCs w:val="28"/>
        </w:rPr>
        <w:t>672.90</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hint="eastAsia" w:ascii="仿宋_GB2312" w:eastAsia="仿宋_GB2312"/>
          <w:sz w:val="28"/>
          <w:szCs w:val="28"/>
        </w:rPr>
        <w:t>84.46</w:t>
      </w:r>
      <w:r>
        <w:rPr>
          <w:rFonts w:hint="eastAsia" w:ascii="仿宋" w:hAnsi="仿宋" w:eastAsia="仿宋"/>
          <w:color w:val="000000"/>
          <w:sz w:val="32"/>
          <w:szCs w:val="32"/>
        </w:rPr>
        <w:t>万元，增长</w:t>
      </w:r>
      <w:r>
        <w:rPr>
          <w:rFonts w:hint="eastAsia" w:ascii="仿宋_GB2312" w:eastAsia="仿宋_GB2312"/>
          <w:sz w:val="28"/>
          <w:szCs w:val="28"/>
        </w:rPr>
        <w:t>12.55</w:t>
      </w:r>
      <w:r>
        <w:rPr>
          <w:rFonts w:ascii="仿宋" w:hAnsi="仿宋" w:eastAsia="仿宋"/>
          <w:color w:val="000000"/>
          <w:sz w:val="32"/>
          <w:szCs w:val="32"/>
        </w:rPr>
        <w:t>%</w:t>
      </w:r>
      <w:r>
        <w:rPr>
          <w:rFonts w:hint="eastAsia" w:ascii="仿宋" w:hAnsi="仿宋" w:eastAsia="仿宋"/>
          <w:color w:val="000000"/>
          <w:sz w:val="32"/>
          <w:szCs w:val="32"/>
        </w:rPr>
        <w:t>。</w:t>
      </w:r>
      <w:r>
        <w:drawing>
          <wp:anchor distT="0" distB="0" distL="114300" distR="114300" simplePos="0" relativeHeight="251660288" behindDoc="0" locked="0" layoutInCell="1" allowOverlap="1">
            <wp:simplePos x="0" y="0"/>
            <wp:positionH relativeFrom="column">
              <wp:posOffset>350520</wp:posOffset>
            </wp:positionH>
            <wp:positionV relativeFrom="paragraph">
              <wp:posOffset>738505</wp:posOffset>
            </wp:positionV>
            <wp:extent cx="4572000" cy="2743200"/>
            <wp:effectExtent l="0" t="0" r="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sz w:val="32"/>
          <w:szCs w:val="32"/>
        </w:rPr>
        <w:t>主要变动原因是</w:t>
      </w:r>
      <w:r>
        <w:rPr>
          <w:rFonts w:hint="eastAsia" w:ascii="仿宋_GB2312" w:eastAsia="仿宋_GB2312"/>
          <w:sz w:val="28"/>
          <w:szCs w:val="28"/>
        </w:rPr>
        <w:t>新增人员和工资调标。</w:t>
      </w:r>
    </w:p>
    <w:p>
      <w:pPr>
        <w:spacing w:line="600" w:lineRule="exact"/>
        <w:ind w:firstLine="640" w:firstLineChars="200"/>
        <w:rPr>
          <w:rFonts w:hint="eastAsia" w:ascii="仿宋" w:hAnsi="仿宋" w:eastAsia="仿宋_GB2312"/>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60" w:lineRule="exact"/>
        <w:ind w:firstLine="640" w:firstLineChars="200"/>
        <w:rPr>
          <w:rFonts w:ascii="仿宋_GB2312" w:eastAsia="仿宋_GB2312"/>
          <w:sz w:val="28"/>
          <w:szCs w:val="28"/>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8年一般公共预算财政拨款支出672.9万元，占本年支出合计的100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7年相比，一般公共预算财政拨款增加84.46万元，增长12.55%，主要变动原因是</w:t>
      </w:r>
      <w:r>
        <w:rPr>
          <w:rFonts w:hint="eastAsia" w:ascii="仿宋_GB2312" w:eastAsia="仿宋_GB2312"/>
          <w:sz w:val="28"/>
          <w:szCs w:val="28"/>
        </w:rPr>
        <w:t>新增人员和工资调标。</w:t>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69504" behindDoc="0" locked="0" layoutInCell="1" allowOverlap="1">
            <wp:simplePos x="0" y="0"/>
            <wp:positionH relativeFrom="column">
              <wp:posOffset>350520</wp:posOffset>
            </wp:positionH>
            <wp:positionV relativeFrom="paragraph">
              <wp:posOffset>327660</wp:posOffset>
            </wp:positionV>
            <wp:extent cx="4572000" cy="2781300"/>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themeColor="text1"/>
          <w:sz w:val="32"/>
          <w:szCs w:val="32"/>
        </w:rPr>
        <w:t>（图5：一般公共预算财政拨款支出决算变动情况）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672.9</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561.66万元，占83.5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支出66.57万元，占9.9</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；医疗卫生支出16.14万元，占2.4</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；住房保障支出28.53万元，占4.2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pPr>
    </w:p>
    <w:p>
      <w:pPr>
        <w:spacing w:line="600" w:lineRule="exact"/>
        <w:ind w:firstLine="640"/>
        <w:rPr>
          <w:rFonts w:hint="eastAsia" w:ascii="仿宋" w:hAnsi="仿宋" w:eastAsia="仿宋"/>
          <w:color w:val="000000" w:themeColor="text1"/>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71552" behindDoc="0" locked="0" layoutInCell="1" allowOverlap="1">
            <wp:simplePos x="0" y="0"/>
            <wp:positionH relativeFrom="column">
              <wp:posOffset>276225</wp:posOffset>
            </wp:positionH>
            <wp:positionV relativeFrom="paragraph">
              <wp:posOffset>43815</wp:posOffset>
            </wp:positionV>
            <wp:extent cx="4572000" cy="265176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000000"/>
          <w:sz w:val="32"/>
          <w:szCs w:val="32"/>
        </w:rPr>
        <w:t>（图6：一般公共预算财政拨款支出决算结构）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2018年般公共预算支出决算数为</w:t>
      </w:r>
      <w:r>
        <w:rPr>
          <w:rFonts w:ascii="仿宋" w:hAnsi="仿宋" w:eastAsia="仿宋"/>
          <w:b/>
          <w:color w:val="000000" w:themeColor="text1"/>
          <w:sz w:val="32"/>
          <w:szCs w:val="32"/>
        </w:rPr>
        <w:t>**</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教育（类）普通教育（款）学前教育（项）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支出决算为561.66万元，完成预算100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支出决算为0万元，完成预算0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1社会保障和就业（类）行政事业单位离退休（款）机关事业单位养老保险缴费支出（项）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支出决算为47.55万元，完成预算100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2社会保障和就业（类）行政事业单位离退休（款）机关事业单位职业年金缴费支出（项）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支出决算为19.02万元，完成预算100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医疗卫生与计划生育（类）行政事业单位医疗（款）事业单位医疗（项）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支出决算为16.14万元，完成预算100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7</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住房保障支出（类）住房改革支出（款）住房公积金（项）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支出决算为28.53万元，完成预算100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8年一般公共预算财政拨款基本支出672.9万元，其中：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447.57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225.33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themeColor="text1"/>
          <w:sz w:val="32"/>
          <w:szCs w:val="32"/>
        </w:rPr>
        <w:t>（数据来源财决</w:t>
      </w:r>
      <w:r>
        <w:rPr>
          <w:rFonts w:ascii="仿宋" w:hAnsi="仿宋" w:eastAsia="仿宋"/>
          <w:b/>
          <w:color w:val="000000" w:themeColor="text1"/>
          <w:sz w:val="32"/>
          <w:szCs w:val="32"/>
        </w:rPr>
        <w:t>0</w:t>
      </w:r>
      <w:r>
        <w:rPr>
          <w:rFonts w:hint="eastAsia" w:ascii="仿宋" w:hAnsi="仿宋" w:eastAsia="仿宋"/>
          <w:b/>
          <w:color w:val="000000" w:themeColor="text1"/>
          <w:sz w:val="32"/>
          <w:szCs w:val="32"/>
        </w:rPr>
        <w:t>7表，根据本部门实际支出情况罗列全部经济分类科目。）</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8年“三公”经费财政拨款支出决算为3.51万元，完成预算100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；公务接待费支出决算3.51万元，占100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3.51万元，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黑体" w:eastAsia="黑体"/>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136</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1170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3.51</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2"/>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根据预算绩效管理要求，本部门（单位）在年初预算编制阶段，组织对一般公共预算财政拨款的人员经费、日常公用经费、项目支出等开展了预算事前绩效评估，对3个项目（</w:t>
      </w:r>
      <w:r>
        <w:rPr>
          <w:rFonts w:hint="eastAsia" w:ascii="仿宋_GB2312" w:eastAsia="仿宋_GB2312"/>
          <w:sz w:val="32"/>
          <w:szCs w:val="32"/>
        </w:rPr>
        <w:t>在园幼儿保教费减免、建档立卡贫困家庭幼儿保教费减免、校舍维修</w:t>
      </w:r>
      <w:r>
        <w:rPr>
          <w:rFonts w:hint="eastAsia" w:ascii="仿宋_GB2312" w:hAnsi="仿宋_GB2312" w:eastAsia="仿宋_GB2312" w:cs="仿宋_GB2312"/>
          <w:sz w:val="32"/>
          <w:szCs w:val="32"/>
        </w:rPr>
        <w:t>）编制了绩效目标，预算执行过程中，选取3个项目开展绩效监控，年终执行完毕后，对3个项目开展了绩效目标完成情况梳理填报。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预算编制、执行、管理严格按照程序进行支出符合部门预算批复的用途，无截留、挤占、挪用、虚列支出等情况。本部门还自行组织了3个项目绩效评价，从评价情况来看，项目资金做到了专款专用，涉及资金70.63万元，严格按照文件精神落实进行，合理使用了项目资金。</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本部门在2018年度部门决算中反映“学前教育建档立卡贫困家庭幼儿免保教费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“学前教育幼儿学生免保教费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“校舍维修专项资金”等3个项目绩效目标实际完成情况。</w:t>
      </w:r>
    </w:p>
    <w:p>
      <w:pPr>
        <w:numPr>
          <w:ilvl w:val="0"/>
          <w:numId w:val="5"/>
        </w:num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学前教育建档立卡贫困家庭幼儿免保教费项目绩效目标完成情况综述。项目全年</w:t>
      </w:r>
      <w:r>
        <w:rPr>
          <w:rFonts w:hint="eastAsia" w:ascii="仿宋_GB2312" w:hAnsi="仿宋_GB2312" w:eastAsia="仿宋_GB2312" w:cs="仿宋_GB2312"/>
          <w:color w:val="auto"/>
          <w:sz w:val="32"/>
          <w:szCs w:val="32"/>
        </w:rPr>
        <w:t>预算数</w:t>
      </w:r>
      <w:r>
        <w:rPr>
          <w:rFonts w:hint="eastAsia" w:ascii="仿宋_GB2312" w:hAnsi="仿宋_GB2312" w:eastAsia="仿宋_GB2312" w:cs="仿宋_GB2312"/>
          <w:color w:val="auto"/>
          <w:sz w:val="32"/>
          <w:szCs w:val="32"/>
          <w:lang w:val="en-US" w:eastAsia="zh-CN"/>
        </w:rPr>
        <w:t>0.76</w:t>
      </w:r>
      <w:r>
        <w:rPr>
          <w:rFonts w:hint="eastAsia" w:ascii="仿宋_GB2312" w:hAnsi="仿宋_GB2312" w:eastAsia="仿宋_GB2312" w:cs="仿宋_GB2312"/>
          <w:color w:val="auto"/>
          <w:sz w:val="32"/>
          <w:szCs w:val="32"/>
        </w:rPr>
        <w:t>万元，执行数为8万元，完成预算的100%。通过项目实施，保障了贫困幼儿就学，减轻了贫困家庭幼儿生活压力。发现的主要问题：由于幼儿没成年，部分属于留守儿童，具体监护人时常变更，资金发放的是现金。下一步改进措施：固定法定监护人，督促家长（监护人）为其办理银行卡，实行打卡直发。</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学前教育幼儿学生免保教费项目绩效目标完成情况综述。项目全年预算数</w:t>
      </w:r>
      <w:r>
        <w:rPr>
          <w:rFonts w:hint="eastAsia" w:ascii="仿宋_GB2312" w:hAnsi="仿宋_GB2312" w:eastAsia="仿宋_GB2312" w:cs="仿宋_GB2312"/>
          <w:color w:val="auto"/>
          <w:sz w:val="32"/>
          <w:szCs w:val="32"/>
          <w:lang w:val="en-US" w:eastAsia="zh-CN"/>
        </w:rPr>
        <w:t>39.78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39.78</w:t>
      </w:r>
      <w:r>
        <w:rPr>
          <w:rFonts w:hint="eastAsia" w:ascii="仿宋_GB2312" w:hAnsi="仿宋_GB2312" w:eastAsia="仿宋_GB2312" w:cs="仿宋_GB2312"/>
          <w:sz w:val="32"/>
          <w:szCs w:val="32"/>
        </w:rPr>
        <w:t>万元，完成预算的100%。通过项目实施，保障了普惠性幼儿园在园幼儿入学，学前教育幼儿学生免保教费我园按照文件精神实施报名入学就直接减免，财政补助到园的方式进行。发现的主要问题：有部分监护人是老年人，不了解政策内容。下一步改进措施：督促各班老师进一步宣传政策，务必家长人人了解。</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舍维修项目绩效目标完成情况综述。项目全年预算数30万元，执行数为30万元，完成预算的100%。通过项目实施，保障了幼儿园校舍安全，完善了校舍使用功能，校舍维修严格按照维修程序上报审批，接受财政监管。发现的主要问题：无。下一步改进措施：无</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abs>
                <w:tab w:val="left" w:pos="811"/>
              </w:tabs>
              <w:jc w:val="left"/>
              <w:textAlignment w:val="center"/>
              <w:rPr>
                <w:rFonts w:ascii="宋体" w:hAnsi="宋体" w:cs="宋体"/>
                <w:color w:val="000000"/>
                <w:sz w:val="24"/>
              </w:rPr>
            </w:pPr>
            <w:r>
              <w:rPr>
                <w:rFonts w:hint="eastAsia" w:ascii="宋体" w:hAnsi="宋体" w:cs="宋体"/>
                <w:color w:val="000000"/>
                <w:sz w:val="24"/>
              </w:rPr>
              <w:t>“学前教育建档立卡贫困家庭幼儿免保教费”“学前教育幼儿学生免保教费”“校舍维修专项资金”</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宣汉县机关幼儿园</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70.63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70.63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70.63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70.63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通过资金的投入，解决家庭贫困幼儿家庭生活压力，提高幼儿入学率；完善校舍使用功能，保障幼儿在园活动安全。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严格按照预算管理使用资金，做到专款专用，切实解决了贫困幼儿家庭生活压力，提高了幼儿入学率；保障幼儿在园活动安全。完成率100%</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科学决策</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60" w:lineRule="exact"/>
              <w:jc w:val="center"/>
              <w:rPr>
                <w:rFonts w:ascii="宋体" w:hAnsi="宋体" w:cs="宋体"/>
                <w:color w:val="000000"/>
                <w:sz w:val="24"/>
              </w:rPr>
            </w:pPr>
            <w:r>
              <w:rPr>
                <w:rFonts w:hint="eastAsia" w:ascii="宋体" w:hAnsi="宋体" w:cs="宋体"/>
                <w:color w:val="000000"/>
                <w:sz w:val="24"/>
              </w:rPr>
              <w:t>政策依据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10分  按照文件分配资金，保障幼儿园正常运转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10分  让幼儿享受了国家优惠政策，保障了幼儿园校舍安全</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绩效目标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60" w:lineRule="exact"/>
              <w:jc w:val="center"/>
              <w:rPr>
                <w:rFonts w:ascii="宋体" w:hAnsi="宋体" w:cs="宋体"/>
                <w:color w:val="000000"/>
                <w:sz w:val="24"/>
              </w:rPr>
            </w:pPr>
            <w:r>
              <w:rPr>
                <w:rFonts w:hint="eastAsia" w:ascii="宋体" w:hAnsi="宋体" w:cs="宋体"/>
                <w:color w:val="000000"/>
                <w:sz w:val="24"/>
              </w:rPr>
              <w:t>明确性、合理性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10分</w:t>
            </w:r>
          </w:p>
          <w:p>
            <w:pPr>
              <w:widowControl/>
              <w:jc w:val="center"/>
              <w:textAlignment w:val="center"/>
              <w:rPr>
                <w:rFonts w:ascii="宋体" w:hAnsi="宋体" w:cs="宋体"/>
                <w:color w:val="000000"/>
                <w:sz w:val="24"/>
              </w:rPr>
            </w:pPr>
            <w:r>
              <w:rPr>
                <w:rFonts w:hint="eastAsia" w:ascii="宋体" w:hAnsi="宋体" w:cs="宋体"/>
                <w:color w:val="000000"/>
                <w:sz w:val="24"/>
              </w:rPr>
              <w:t>合理、合规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10分</w:t>
            </w:r>
          </w:p>
          <w:p>
            <w:pPr>
              <w:widowControl/>
              <w:jc w:val="center"/>
              <w:textAlignment w:val="center"/>
              <w:rPr>
                <w:rFonts w:ascii="宋体" w:hAnsi="宋体" w:cs="宋体"/>
                <w:color w:val="000000"/>
                <w:sz w:val="24"/>
              </w:rPr>
            </w:pPr>
            <w:r>
              <w:rPr>
                <w:rFonts w:hint="eastAsia" w:ascii="宋体" w:hAnsi="宋体" w:cs="宋体"/>
                <w:color w:val="000000"/>
                <w:sz w:val="24"/>
              </w:rPr>
              <w:t>按照程序进行，完成绩效目标</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资金管理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60" w:lineRule="exact"/>
              <w:jc w:val="center"/>
              <w:rPr>
                <w:rFonts w:ascii="宋体" w:hAnsi="宋体" w:cs="宋体"/>
                <w:color w:val="000000"/>
                <w:sz w:val="24"/>
              </w:rPr>
            </w:pPr>
            <w:r>
              <w:rPr>
                <w:rFonts w:hint="eastAsia" w:ascii="宋体" w:hAnsi="宋体" w:cs="宋体"/>
                <w:color w:val="000000"/>
                <w:sz w:val="24"/>
              </w:rPr>
              <w:t>资金分配、使用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7分</w:t>
            </w:r>
          </w:p>
          <w:p>
            <w:pPr>
              <w:widowControl/>
              <w:jc w:val="center"/>
              <w:textAlignment w:val="center"/>
              <w:rPr>
                <w:rFonts w:ascii="宋体" w:hAnsi="宋体" w:cs="宋体"/>
                <w:color w:val="000000"/>
                <w:sz w:val="24"/>
              </w:rPr>
            </w:pPr>
            <w:r>
              <w:rPr>
                <w:rFonts w:hint="eastAsia" w:ascii="宋体" w:hAnsi="宋体" w:cs="宋体"/>
                <w:color w:val="000000"/>
                <w:sz w:val="24"/>
              </w:rPr>
              <w:t>按预算性质分配，投入使用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7分</w:t>
            </w:r>
          </w:p>
          <w:p>
            <w:pPr>
              <w:widowControl/>
              <w:jc w:val="center"/>
              <w:textAlignment w:val="center"/>
              <w:rPr>
                <w:rFonts w:ascii="宋体" w:hAnsi="宋体" w:cs="宋体"/>
                <w:color w:val="000000"/>
                <w:sz w:val="24"/>
              </w:rPr>
            </w:pPr>
            <w:r>
              <w:rPr>
                <w:rFonts w:hint="eastAsia" w:ascii="宋体" w:hAnsi="宋体" w:cs="宋体"/>
                <w:color w:val="000000"/>
                <w:sz w:val="24"/>
              </w:rPr>
              <w:t>合理分配，合规使用</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spacing w:line="260" w:lineRule="exact"/>
              <w:jc w:val="center"/>
              <w:rPr>
                <w:rFonts w:ascii="宋体" w:hAnsi="宋体" w:cs="宋体"/>
                <w:color w:val="000000"/>
                <w:sz w:val="24"/>
              </w:rPr>
            </w:pPr>
            <w:r>
              <w:rPr>
                <w:rFonts w:hint="eastAsia" w:ascii="宋体" w:hAnsi="宋体" w:cs="宋体"/>
                <w:color w:val="000000"/>
                <w:sz w:val="24"/>
              </w:rPr>
              <w:t>执行规范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3分</w:t>
            </w:r>
          </w:p>
          <w:p>
            <w:pPr>
              <w:widowControl/>
              <w:jc w:val="center"/>
              <w:textAlignment w:val="center"/>
              <w:rPr>
                <w:rFonts w:ascii="宋体" w:hAnsi="宋体" w:cs="宋体"/>
                <w:color w:val="000000"/>
                <w:sz w:val="24"/>
              </w:rPr>
            </w:pPr>
            <w:r>
              <w:rPr>
                <w:rFonts w:hint="eastAsia" w:ascii="宋体" w:hAnsi="宋体" w:cs="宋体"/>
                <w:color w:val="000000"/>
                <w:sz w:val="24"/>
              </w:rPr>
              <w:t>按照文件精神执行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3分</w:t>
            </w:r>
          </w:p>
          <w:p>
            <w:pPr>
              <w:widowControl/>
              <w:jc w:val="center"/>
              <w:textAlignment w:val="center"/>
              <w:rPr>
                <w:rFonts w:ascii="宋体" w:hAnsi="宋体" w:cs="宋体"/>
                <w:color w:val="000000"/>
                <w:sz w:val="24"/>
              </w:rPr>
            </w:pPr>
            <w:r>
              <w:rPr>
                <w:rFonts w:hint="eastAsia" w:ascii="宋体" w:hAnsi="宋体" w:cs="宋体"/>
                <w:color w:val="000000"/>
                <w:sz w:val="24"/>
              </w:rPr>
              <w:t>执行规范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完成数量、质量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20分</w:t>
            </w:r>
          </w:p>
          <w:p>
            <w:pPr>
              <w:widowControl/>
              <w:jc w:val="center"/>
              <w:textAlignment w:val="center"/>
              <w:rPr>
                <w:rFonts w:ascii="宋体" w:hAnsi="宋体" w:cs="宋体"/>
                <w:color w:val="000000"/>
                <w:sz w:val="24"/>
              </w:rPr>
            </w:pPr>
            <w:r>
              <w:rPr>
                <w:rFonts w:hint="eastAsia" w:ascii="宋体" w:hAnsi="宋体" w:cs="宋体"/>
                <w:color w:val="000000"/>
                <w:sz w:val="24"/>
              </w:rPr>
              <w:t>预算3个项目，投入70.63万元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20分</w:t>
            </w:r>
          </w:p>
          <w:p>
            <w:pPr>
              <w:widowControl/>
              <w:jc w:val="center"/>
              <w:textAlignment w:val="center"/>
              <w:rPr>
                <w:rFonts w:ascii="宋体" w:hAnsi="宋体" w:cs="宋体"/>
                <w:color w:val="000000"/>
                <w:sz w:val="24"/>
              </w:rPr>
            </w:pPr>
            <w:r>
              <w:rPr>
                <w:rFonts w:hint="eastAsia" w:ascii="宋体" w:hAnsi="宋体" w:cs="宋体"/>
                <w:color w:val="000000"/>
                <w:sz w:val="24"/>
              </w:rPr>
              <w:t>3个项目按时完成，质量合格</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20分</w:t>
            </w:r>
          </w:p>
          <w:p>
            <w:pPr>
              <w:widowControl/>
              <w:jc w:val="center"/>
              <w:textAlignment w:val="center"/>
              <w:rPr>
                <w:rFonts w:ascii="宋体" w:hAnsi="宋体" w:cs="宋体"/>
                <w:color w:val="000000"/>
                <w:sz w:val="24"/>
              </w:rPr>
            </w:pPr>
            <w:r>
              <w:rPr>
                <w:rFonts w:hint="eastAsia" w:ascii="宋体" w:hAnsi="宋体" w:cs="宋体"/>
                <w:color w:val="000000"/>
                <w:sz w:val="24"/>
              </w:rPr>
              <w:t>通过公示，预期取得良好社会效益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20分</w:t>
            </w:r>
          </w:p>
          <w:p>
            <w:pPr>
              <w:widowControl/>
              <w:jc w:val="center"/>
              <w:textAlignment w:val="center"/>
              <w:rPr>
                <w:rFonts w:ascii="宋体" w:hAnsi="宋体" w:cs="宋体"/>
                <w:color w:val="000000"/>
                <w:sz w:val="24"/>
              </w:rPr>
            </w:pPr>
            <w:r>
              <w:rPr>
                <w:rFonts w:hint="eastAsia" w:ascii="宋体" w:hAnsi="宋体" w:cs="宋体"/>
                <w:color w:val="000000"/>
                <w:sz w:val="24"/>
              </w:rPr>
              <w:t>宣传了幼儿园，展示了幼儿园项目管理</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使用效益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20分</w:t>
            </w:r>
          </w:p>
          <w:p>
            <w:pPr>
              <w:widowControl/>
              <w:jc w:val="center"/>
              <w:textAlignment w:val="center"/>
              <w:rPr>
                <w:rFonts w:ascii="宋体" w:hAnsi="宋体" w:cs="宋体"/>
                <w:color w:val="000000"/>
                <w:sz w:val="24"/>
              </w:rPr>
            </w:pPr>
            <w:r>
              <w:rPr>
                <w:rFonts w:hint="eastAsia" w:ascii="宋体" w:hAnsi="宋体" w:cs="宋体"/>
                <w:color w:val="000000"/>
                <w:sz w:val="24"/>
              </w:rPr>
              <w:t>预期资助资金及时发放到位，校舍按时投入使用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20分</w:t>
            </w:r>
          </w:p>
          <w:p>
            <w:pPr>
              <w:widowControl/>
              <w:jc w:val="center"/>
              <w:textAlignment w:val="center"/>
              <w:rPr>
                <w:rFonts w:ascii="宋体" w:hAnsi="宋体" w:cs="宋体"/>
                <w:color w:val="000000"/>
                <w:sz w:val="24"/>
              </w:rPr>
            </w:pPr>
            <w:r>
              <w:rPr>
                <w:rFonts w:hint="eastAsia" w:ascii="宋体" w:hAnsi="宋体" w:cs="宋体"/>
                <w:color w:val="000000"/>
                <w:sz w:val="24"/>
              </w:rPr>
              <w:t>幼儿享受了国家优惠政策，校舍使用效益高</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10分</w:t>
            </w:r>
          </w:p>
          <w:p>
            <w:pPr>
              <w:widowControl/>
              <w:jc w:val="center"/>
              <w:textAlignment w:val="center"/>
              <w:rPr>
                <w:rFonts w:ascii="宋体" w:hAnsi="宋体" w:cs="宋体"/>
                <w:color w:val="000000"/>
                <w:sz w:val="24"/>
              </w:rPr>
            </w:pPr>
            <w:r>
              <w:rPr>
                <w:rFonts w:hint="eastAsia" w:ascii="宋体" w:hAnsi="宋体" w:cs="宋体"/>
                <w:color w:val="000000"/>
                <w:sz w:val="24"/>
              </w:rPr>
              <w:t>一定要取得社会和家长认可</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10分</w:t>
            </w:r>
          </w:p>
          <w:p>
            <w:pPr>
              <w:widowControl/>
              <w:jc w:val="center"/>
              <w:textAlignment w:val="center"/>
              <w:rPr>
                <w:rFonts w:ascii="宋体" w:hAnsi="宋体" w:cs="宋体"/>
                <w:color w:val="000000"/>
                <w:sz w:val="24"/>
              </w:rPr>
            </w:pPr>
            <w:r>
              <w:rPr>
                <w:rFonts w:hint="eastAsia" w:ascii="宋体" w:hAnsi="宋体" w:cs="宋体"/>
                <w:color w:val="000000"/>
                <w:sz w:val="24"/>
              </w:rPr>
              <w:t>获得社会与家长一致好评</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本部门按要求对2018年部门整体支出绩效评价情况开展自评，《宣汉县机关幼儿园部门2018年部门整体支出绩效评价报告》见附件。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本部门自行组织对XXX项目、XXX项目开展了绩效评价，《XXX项目2018年绩效评价报告》见附件。（非涉密部门均需公开部门整体支出评价报告，部门自行组织的绩效评价情况根据部门实际公开）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无</w:t>
      </w:r>
    </w:p>
    <w:p>
      <w:pPr>
        <w:numPr>
          <w:ilvl w:val="0"/>
          <w:numId w:val="6"/>
        </w:numPr>
        <w:spacing w:line="600" w:lineRule="exact"/>
        <w:ind w:firstLine="663" w:firstLineChars="150"/>
        <w:jc w:val="center"/>
        <w:outlineLvl w:val="0"/>
        <w:rPr>
          <w:rStyle w:val="24"/>
          <w:rFonts w:ascii="黑体" w:hAnsi="黑体" w:eastAsia="黑体"/>
          <w:b w:val="0"/>
        </w:rPr>
      </w:pPr>
      <w:bookmarkStart w:id="52" w:name="_Toc15396613"/>
      <w:bookmarkStart w:id="53"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2"/>
      <w:bookmarkEnd w:id="53"/>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Style w:val="24"/>
          <w:rFonts w:ascii="黑体" w:hAnsi="黑体" w:eastAsia="黑体"/>
          <w:b w:val="0"/>
        </w:rPr>
      </w:pPr>
      <w:r>
        <w:rPr>
          <w:rFonts w:hint="eastAsia" w:ascii="仿宋" w:hAnsi="仿宋" w:eastAsia="仿宋"/>
          <w:b/>
          <w:color w:val="000000"/>
          <w:sz w:val="32"/>
          <w:szCs w:val="32"/>
        </w:rPr>
        <w:t>（名词解释部分请根据各部门实际列支情况罗列，并根据本部门职责职能增减名词解释内容。）</w:t>
      </w:r>
      <w:bookmarkStart w:id="54" w:name="_Toc15377226"/>
      <w:r>
        <w:rPr>
          <w:rFonts w:ascii="宋体"/>
          <w:b/>
          <w:color w:val="000000"/>
          <w:sz w:val="44"/>
          <w:szCs w:val="44"/>
        </w:rPr>
        <w:br w:type="page"/>
      </w:r>
      <w:bookmarkStart w:id="55"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5"/>
    </w:p>
    <w:p>
      <w:pPr>
        <w:spacing w:line="600" w:lineRule="exact"/>
        <w:jc w:val="center"/>
        <w:outlineLvl w:val="0"/>
        <w:rPr>
          <w:rStyle w:val="24"/>
        </w:rPr>
      </w:pPr>
    </w:p>
    <w:p>
      <w:pPr>
        <w:pStyle w:val="3"/>
        <w:rPr>
          <w:rStyle w:val="24"/>
          <w:rFonts w:ascii="仿宋" w:hAnsi="仿宋" w:eastAsia="仿宋"/>
          <w:b w:val="0"/>
          <w:bCs w:val="0"/>
          <w:sz w:val="32"/>
          <w:szCs w:val="32"/>
        </w:rPr>
      </w:pPr>
      <w:bookmarkStart w:id="56" w:name="_Toc15396615"/>
      <w:r>
        <w:rPr>
          <w:rStyle w:val="24"/>
          <w:rFonts w:hint="eastAsia" w:ascii="仿宋" w:hAnsi="仿宋" w:eastAsia="仿宋"/>
          <w:b w:val="0"/>
          <w:bCs w:val="0"/>
          <w:sz w:val="32"/>
          <w:szCs w:val="32"/>
        </w:rPr>
        <w:t>附件1</w:t>
      </w:r>
      <w:bookmarkEnd w:id="56"/>
    </w:p>
    <w:p>
      <w:pPr>
        <w:spacing w:line="600" w:lineRule="exact"/>
        <w:jc w:val="center"/>
        <w:outlineLvl w:val="0"/>
        <w:rPr>
          <w:rFonts w:ascii="黑体" w:hAnsi="黑体" w:eastAsia="黑体" w:cs="方正小标宋简体"/>
          <w:sz w:val="36"/>
          <w:szCs w:val="36"/>
        </w:rPr>
      </w:pPr>
      <w:bookmarkStart w:id="57" w:name="_Toc15396616"/>
      <w:r>
        <w:rPr>
          <w:rFonts w:hint="eastAsia" w:ascii="黑体" w:hAnsi="黑体" w:eastAsia="黑体" w:cs="方正小标宋简体"/>
          <w:sz w:val="36"/>
          <w:szCs w:val="36"/>
        </w:rPr>
        <w:t>宣汉县机关幼儿园部门2018年部门整体支出绩效评价报告</w:t>
      </w:r>
      <w:bookmarkEnd w:id="5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left="420" w:leftChars="200"/>
        <w:rPr>
          <w:rFonts w:ascii="仿宋" w:hAnsi="仿宋" w:eastAsia="仿宋" w:cs="仿宋"/>
          <w:sz w:val="28"/>
          <w:szCs w:val="28"/>
        </w:rPr>
      </w:pPr>
      <w:r>
        <w:rPr>
          <w:rFonts w:hint="eastAsia" w:ascii="仿宋" w:hAnsi="仿宋" w:eastAsia="仿宋" w:cs="仿宋"/>
          <w:sz w:val="28"/>
          <w:szCs w:val="28"/>
        </w:rPr>
        <w:t>宣汉县机关幼儿园是宣汉县人社局下属事业单位。本年机构数1个，属财政全额拨款事业单位，执行事业会计制度，编制数33人，现有在职人员33人。。</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1.认真贯彻执行党和国家的有关法律法规、方针、政策，坚持民主管理，依法办园，执行上级主管部门的指示和决定。</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2.实行保育和教育相结合的原则，对幼儿实施体、智、德、美诸方面全面发展的教育，促进其身心和谐发展。为家长解除后顾之忧，热忱为家长服务。</w:t>
      </w:r>
    </w:p>
    <w:p>
      <w:pPr>
        <w:ind w:firstLine="560" w:firstLineChars="200"/>
        <w:rPr>
          <w:rFonts w:ascii="仿宋" w:hAnsi="仿宋" w:eastAsia="仿宋" w:cs="仿宋_GB2312"/>
          <w:sz w:val="32"/>
          <w:szCs w:val="32"/>
        </w:rPr>
      </w:pPr>
      <w:r>
        <w:rPr>
          <w:rFonts w:hint="eastAsia" w:ascii="仿宋" w:hAnsi="仿宋" w:eastAsia="仿宋" w:cs="仿宋"/>
          <w:sz w:val="28"/>
          <w:szCs w:val="28"/>
        </w:rPr>
        <w:t>3.尊重儿童的人格尊严和基本权利，尊重儿童身心发展的特点和规律，为儿童提供健康、丰富的生活和活动环境。合理组织幼儿一日生活活动和其它活动，促进幼儿和谐发展，全面实施素质教育。面向家长开展多种形式的早期教育宣传、指导等服务，促进家庭教育质量的不断提高。贯彻幼儿教育法规、传播科学教育理念、开展教育科学研究。</w:t>
      </w:r>
    </w:p>
    <w:p>
      <w:pPr>
        <w:spacing w:line="580" w:lineRule="exact"/>
        <w:ind w:firstLine="960" w:firstLineChars="3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人员概况。</w:t>
      </w:r>
    </w:p>
    <w:p>
      <w:pPr>
        <w:ind w:firstLine="560" w:firstLineChars="200"/>
        <w:rPr>
          <w:rFonts w:ascii="仿宋" w:hAnsi="仿宋" w:eastAsia="仿宋" w:cs="仿宋"/>
          <w:sz w:val="28"/>
          <w:szCs w:val="28"/>
        </w:rPr>
      </w:pPr>
      <w:r>
        <w:rPr>
          <w:rFonts w:hint="eastAsia" w:ascii="仿宋" w:hAnsi="仿宋" w:eastAsia="仿宋" w:cs="仿宋"/>
          <w:sz w:val="28"/>
          <w:szCs w:val="28"/>
        </w:rPr>
        <w:t>我园现有在职人员33人。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s="仿宋_GB2312"/>
          <w:sz w:val="32"/>
          <w:szCs w:val="32"/>
        </w:rPr>
        <w:t>。</w:t>
      </w:r>
    </w:p>
    <w:p>
      <w:pPr>
        <w:spacing w:line="580" w:lineRule="exact"/>
        <w:ind w:firstLine="560" w:firstLineChars="200"/>
        <w:rPr>
          <w:rFonts w:ascii="仿宋" w:hAnsi="仿宋" w:eastAsia="仿宋" w:cs="仿宋_GB2312"/>
          <w:sz w:val="32"/>
          <w:szCs w:val="32"/>
        </w:rPr>
      </w:pPr>
      <w:r>
        <w:rPr>
          <w:rFonts w:hint="eastAsia" w:ascii="仿宋_GB2312" w:eastAsia="仿宋_GB2312"/>
          <w:sz w:val="28"/>
          <w:szCs w:val="28"/>
        </w:rPr>
        <w:t>2018年我单位一般公共财政拨款收入672.90万元。其中：教育支出561.66万元，占总支出的83.47%、社会保障支出66.57万元，占支出的9.89%，医疗卫生16.14万元，占总支出的2.39%，住房保障支出28.53万元，占总支出的4.23%</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60" w:lineRule="exact"/>
        <w:ind w:firstLine="560" w:firstLineChars="200"/>
        <w:rPr>
          <w:rFonts w:ascii="仿宋" w:hAnsi="仿宋" w:eastAsia="仿宋" w:cs="仿宋_GB2312"/>
          <w:sz w:val="32"/>
          <w:szCs w:val="32"/>
        </w:rPr>
      </w:pPr>
      <w:r>
        <w:rPr>
          <w:rFonts w:hint="eastAsia" w:ascii="仿宋_GB2312" w:eastAsia="仿宋_GB2312"/>
          <w:sz w:val="28"/>
          <w:szCs w:val="28"/>
        </w:rPr>
        <w:t xml:space="preserve"> 2018年财政决算672.90万元，全年支出672.90万元。基本支出602.27万元，其中人员经费406.94万元，占基本支出的67.57%、日常公用经费195.33万元，占基本支出的32.43%；项目支出70.63万元。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560" w:firstLineChars="200"/>
        <w:rPr>
          <w:rFonts w:ascii="仿宋" w:hAnsi="仿宋" w:eastAsia="仿宋" w:cs="仿宋_GB2312"/>
          <w:sz w:val="32"/>
          <w:szCs w:val="32"/>
        </w:rPr>
      </w:pPr>
      <w:r>
        <w:rPr>
          <w:rFonts w:hint="eastAsia" w:ascii="仿宋" w:hAnsi="仿宋" w:eastAsia="仿宋" w:cs="仿宋"/>
          <w:sz w:val="28"/>
          <w:szCs w:val="28"/>
        </w:rPr>
        <w:t>绩效目标填报及时准确，为项目的实施提供了科学的决策依据，发挥了极积的社会效益和经济效益，预算执行情况良好，基本按序按时进度合理安排使用资金，6月末，我园预算执行达到了时间过半，预算执行过半；12月末我园预算执行达到全年预算数的100% ；全年预算执行进度合理，充分发挥了财政资金的社会效益。本年收支无结余，全年预算完成无违规记录。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sz w:val="28"/>
          <w:szCs w:val="28"/>
        </w:rPr>
        <w:t>我园2018年学前教育建档立卡贫困家庭幼儿免保教费资金，上期按照宣教科计[2018]2号文件要求人均700元，下期按照宣财教[2018]110号文件要求人均1200元的标准预</w:t>
      </w:r>
      <w:r>
        <w:rPr>
          <w:rFonts w:hint="eastAsia" w:ascii="仿宋" w:hAnsi="仿宋" w:eastAsia="仿宋" w:cs="仿宋"/>
          <w:color w:val="auto"/>
          <w:sz w:val="28"/>
          <w:szCs w:val="28"/>
        </w:rPr>
        <w:t>算分配</w:t>
      </w:r>
      <w:r>
        <w:rPr>
          <w:rFonts w:hint="eastAsia" w:ascii="仿宋" w:hAnsi="仿宋" w:eastAsia="仿宋" w:cs="仿宋"/>
          <w:color w:val="auto"/>
          <w:sz w:val="28"/>
          <w:szCs w:val="28"/>
          <w:lang w:val="en-US" w:eastAsia="zh-CN"/>
        </w:rPr>
        <w:t>0.76</w:t>
      </w:r>
      <w:r>
        <w:rPr>
          <w:rFonts w:hint="eastAsia" w:ascii="仿宋" w:hAnsi="仿宋" w:eastAsia="仿宋" w:cs="仿宋"/>
          <w:color w:val="auto"/>
          <w:sz w:val="28"/>
          <w:szCs w:val="28"/>
        </w:rPr>
        <w:t>万元。</w:t>
      </w:r>
    </w:p>
    <w:p>
      <w:pPr>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我园2018年学前教育幼儿学生免保教费按照幼儿人均300元的标准预算分配</w:t>
      </w:r>
      <w:r>
        <w:rPr>
          <w:rFonts w:hint="eastAsia" w:ascii="仿宋" w:hAnsi="仿宋" w:eastAsia="仿宋" w:cs="仿宋"/>
          <w:color w:val="auto"/>
          <w:sz w:val="28"/>
          <w:szCs w:val="28"/>
          <w:lang w:val="en-US" w:eastAsia="zh-CN"/>
        </w:rPr>
        <w:t>39.87</w:t>
      </w:r>
      <w:r>
        <w:rPr>
          <w:rFonts w:hint="eastAsia" w:ascii="仿宋" w:hAnsi="仿宋" w:eastAsia="仿宋" w:cs="仿宋"/>
          <w:color w:val="auto"/>
          <w:sz w:val="28"/>
          <w:szCs w:val="28"/>
        </w:rPr>
        <w:t>万元。</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我园2018年校舍维修专项资金，</w:t>
      </w:r>
      <w:bookmarkStart w:id="73" w:name="_GoBack"/>
      <w:bookmarkEnd w:id="73"/>
      <w:r>
        <w:rPr>
          <w:rFonts w:hint="eastAsia" w:ascii="仿宋" w:hAnsi="仿宋" w:eastAsia="仿宋" w:cs="仿宋"/>
          <w:sz w:val="28"/>
          <w:szCs w:val="28"/>
        </w:rPr>
        <w:t>根据学校维修内容预算分配30万元。</w:t>
      </w:r>
    </w:p>
    <w:p>
      <w:pPr>
        <w:spacing w:line="580" w:lineRule="exact"/>
        <w:ind w:firstLine="560" w:firstLineChars="200"/>
        <w:rPr>
          <w:rFonts w:ascii="仿宋" w:hAnsi="仿宋" w:eastAsia="仿宋" w:cs="仿宋_GB2312"/>
          <w:sz w:val="32"/>
          <w:szCs w:val="32"/>
        </w:rPr>
      </w:pPr>
      <w:r>
        <w:rPr>
          <w:rFonts w:hint="eastAsia" w:ascii="仿宋" w:hAnsi="仿宋" w:eastAsia="仿宋" w:cs="仿宋"/>
          <w:sz w:val="28"/>
          <w:szCs w:val="28"/>
        </w:rPr>
        <w:t>我园专项资金制定了专门的管理办法，包括资金账户设置、拨款计划编制、资金发放的审核以及相关资料的归类存档等。</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部门整体支出绩效情况：自评优良。我园重点岗位安全风险防范措施得当。预算执行情况良好，资金使用规范，最大限度地发挥了财政资金的经济效益和社会效益。</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评价指标体系有待分类细化，针对学校的评价指标具体化。我园制度还有待完善，特别是内控制度。项目资金管理人员有待进一步培训学习。</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改进建议。</w:t>
      </w:r>
    </w:p>
    <w:p>
      <w:pPr>
        <w:spacing w:line="560" w:lineRule="exact"/>
        <w:ind w:firstLine="560" w:firstLineChars="200"/>
        <w:rPr>
          <w:rFonts w:ascii="仿宋" w:hAnsi="仿宋" w:eastAsia="仿宋" w:cs="仿宋_GB2312"/>
          <w:sz w:val="32"/>
          <w:szCs w:val="32"/>
        </w:rPr>
      </w:pPr>
      <w:r>
        <w:rPr>
          <w:rFonts w:hint="eastAsia" w:ascii="仿宋" w:hAnsi="仿宋" w:eastAsia="仿宋" w:cs="仿宋"/>
          <w:sz w:val="28"/>
          <w:szCs w:val="28"/>
        </w:rPr>
        <w:t>希望加大学校财务人员专业知识的培训学习。</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58" w:name="_Toc15396617"/>
      <w:r>
        <w:rPr>
          <w:rStyle w:val="24"/>
          <w:rFonts w:hint="eastAsia" w:ascii="仿宋" w:hAnsi="仿宋" w:eastAsia="仿宋"/>
          <w:b w:val="0"/>
          <w:bCs w:val="0"/>
          <w:sz w:val="32"/>
          <w:szCs w:val="32"/>
        </w:rPr>
        <w:t>附件2</w:t>
      </w:r>
      <w:bookmarkEnd w:id="58"/>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4"/>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Fonts w:ascii="仿宋" w:hAnsi="仿宋" w:eastAsia="仿宋"/>
          <w:color w:val="00000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4"/>
    </w:p>
    <w:p>
      <w:pPr>
        <w:pStyle w:val="3"/>
        <w:rPr>
          <w:rFonts w:ascii="仿宋" w:hAnsi="仿宋" w:eastAsia="仿宋"/>
          <w:color w:val="000000"/>
        </w:rPr>
      </w:pPr>
      <w:bookmarkStart w:id="65"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134503B"/>
    <w:multiLevelType w:val="singleLevel"/>
    <w:tmpl w:val="1134503B"/>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26C7B717"/>
    <w:multiLevelType w:val="singleLevel"/>
    <w:tmpl w:val="26C7B717"/>
    <w:lvl w:ilvl="0" w:tentative="0">
      <w:start w:val="2"/>
      <w:numFmt w:val="chineseCounting"/>
      <w:suff w:val="nothing"/>
      <w:lvlText w:val="（%1）"/>
      <w:lvlJc w:val="left"/>
      <w:rPr>
        <w:rFonts w:hint="eastAsia"/>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50101"/>
    <w:rsid w:val="00050D4B"/>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A503C"/>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025F"/>
    <w:rsid w:val="00512FDA"/>
    <w:rsid w:val="00520DA0"/>
    <w:rsid w:val="00554E97"/>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28C"/>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452FC"/>
    <w:rsid w:val="00850625"/>
    <w:rsid w:val="00853718"/>
    <w:rsid w:val="00855221"/>
    <w:rsid w:val="00857244"/>
    <w:rsid w:val="00860645"/>
    <w:rsid w:val="00871F71"/>
    <w:rsid w:val="00885AF4"/>
    <w:rsid w:val="008939CD"/>
    <w:rsid w:val="008B768C"/>
    <w:rsid w:val="008C2929"/>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E0392"/>
    <w:rsid w:val="009E4C72"/>
    <w:rsid w:val="009F1185"/>
    <w:rsid w:val="009F18CD"/>
    <w:rsid w:val="009F2A13"/>
    <w:rsid w:val="00A04EB0"/>
    <w:rsid w:val="00A13CC1"/>
    <w:rsid w:val="00A16847"/>
    <w:rsid w:val="00A237D8"/>
    <w:rsid w:val="00A268C4"/>
    <w:rsid w:val="00A307CD"/>
    <w:rsid w:val="00A40A00"/>
    <w:rsid w:val="00A4142F"/>
    <w:rsid w:val="00A46056"/>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67DF4"/>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A761B"/>
    <w:rsid w:val="00FD3CC1"/>
    <w:rsid w:val="00FF1E02"/>
    <w:rsid w:val="00FF30B4"/>
    <w:rsid w:val="06F16BA6"/>
    <w:rsid w:val="10C055FF"/>
    <w:rsid w:val="16BB723D"/>
    <w:rsid w:val="240371BF"/>
    <w:rsid w:val="29FD04D3"/>
    <w:rsid w:val="31650E11"/>
    <w:rsid w:val="319F7F4E"/>
    <w:rsid w:val="54695A09"/>
    <w:rsid w:val="580E6932"/>
    <w:rsid w:val="58A63D58"/>
    <w:rsid w:val="59907255"/>
    <w:rsid w:val="5DD878DD"/>
    <w:rsid w:val="5F555A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18.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18.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18.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18.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18.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18.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8472222222222"/>
          <c:y val="0.119402985074627"/>
        </c:manualLayout>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650833333333333"/>
          <c:y val="0.241791044776119"/>
          <c:w val="0.836861111111111"/>
          <c:h val="0.586666666666667"/>
        </c:manualLayout>
      </c:layout>
      <c:barChart>
        <c:barDir val="col"/>
        <c:grouping val="clustered"/>
        <c:varyColors val="0"/>
        <c:ser>
          <c:idx val="0"/>
          <c:order val="0"/>
          <c:tx>
            <c:strRef>
              <c:f>Sheet2!$E$87</c:f>
              <c:strCache>
                <c:ptCount val="1"/>
                <c:pt idx="0">
                  <c:v>总体收支决算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Sheet2!$D$88:$D$89</c:f>
              <c:strCache>
                <c:ptCount val="2"/>
                <c:pt idx="0">
                  <c:v>2017年</c:v>
                </c:pt>
                <c:pt idx="1">
                  <c:v>2018年</c:v>
                </c:pt>
              </c:strCache>
            </c:strRef>
          </c:cat>
          <c:val>
            <c:numRef>
              <c:f>Sheet2!$E$88:$E$89</c:f>
              <c:numCache>
                <c:formatCode>General</c:formatCode>
                <c:ptCount val="2"/>
                <c:pt idx="0">
                  <c:v>588.43</c:v>
                </c:pt>
                <c:pt idx="1">
                  <c:v>672.9</c:v>
                </c:pt>
              </c:numCache>
            </c:numRef>
          </c:val>
        </c:ser>
        <c:dLbls>
          <c:showLegendKey val="0"/>
          <c:showVal val="1"/>
          <c:showCatName val="0"/>
          <c:showSerName val="0"/>
          <c:showPercent val="0"/>
          <c:showBubbleSize val="0"/>
        </c:dLbls>
        <c:gapWidth val="219"/>
        <c:overlap val="-27"/>
        <c:axId val="233241711"/>
        <c:axId val="233236303"/>
      </c:barChart>
      <c:catAx>
        <c:axId val="233241711"/>
        <c:scaling>
          <c:orientation val="minMax"/>
        </c:scaling>
        <c:delete val="0"/>
        <c:axPos val="b"/>
        <c:title>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236303"/>
        <c:crosses val="autoZero"/>
        <c:auto val="1"/>
        <c:lblAlgn val="ctr"/>
        <c:lblOffset val="100"/>
        <c:noMultiLvlLbl val="0"/>
      </c:catAx>
      <c:valAx>
        <c:axId val="2332363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单位：万元</a:t>
                </a:r>
                <a:endParaRPr lang="zh-CN" alt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241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rPr lang="zh-CN"/>
              <a:t>支出</a:t>
            </a:r>
            <a:r>
              <a:rPr lang="zh-CN" altLang="en-US"/>
              <a:t>决算</a:t>
            </a:r>
            <a:endParaRPr lang="zh-CN"/>
          </a:p>
        </c:rich>
      </c:tx>
      <c:layout/>
      <c:overlay val="0"/>
      <c:spPr>
        <a:noFill/>
        <a:ln>
          <a:noFill/>
        </a:ln>
        <a:effectLst/>
      </c:spPr>
    </c:title>
    <c:autoTitleDeleted val="0"/>
    <c:plotArea>
      <c:layout/>
      <c:pieChart>
        <c:varyColors val="1"/>
        <c:ser>
          <c:idx val="0"/>
          <c:order val="0"/>
          <c:tx>
            <c:strRef>
              <c:f>Sheet2!$E$94</c:f>
              <c:strCache>
                <c:ptCount val="1"/>
                <c:pt idx="0">
                  <c:v>收入额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extLst>
                <c:ext xmlns:c15="http://schemas.microsoft.com/office/drawing/2012/chart" uri="{CE6537A1-D6FC-4f65-9D91-7224C49458BB}"/>
              </c:extLst>
            </c:dLbl>
            <c:dLbl>
              <c:idx val="1"/>
              <c:layout>
                <c:manualLayout>
                  <c:x val="-0.0613136482939633"/>
                  <c:y val="0.038206919845475"/>
                </c:manualLayout>
              </c:layout>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192211286089239"/>
                  <c:y val="-0.011416619169252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218389982502187"/>
                  <c:y val="0.13258217052627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Sheet2!$D$95:$D$98</c:f>
              <c:strCache>
                <c:ptCount val="4"/>
                <c:pt idx="0">
                  <c:v>教育</c:v>
                </c:pt>
                <c:pt idx="1">
                  <c:v>社会保障</c:v>
                </c:pt>
                <c:pt idx="2">
                  <c:v>医疗卫生</c:v>
                </c:pt>
                <c:pt idx="3">
                  <c:v>住房保障</c:v>
                </c:pt>
              </c:strCache>
            </c:strRef>
          </c:cat>
          <c:val>
            <c:numRef>
              <c:f>Sheet2!$E$95:$E$98</c:f>
              <c:numCache>
                <c:formatCode>General</c:formatCode>
                <c:ptCount val="4"/>
                <c:pt idx="0">
                  <c:v>561.66</c:v>
                </c:pt>
                <c:pt idx="1">
                  <c:v>66.57</c:v>
                </c:pt>
                <c:pt idx="2">
                  <c:v>16.14</c:v>
                </c:pt>
                <c:pt idx="3">
                  <c:v>28.53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Sheet2!$E$192</c:f>
              <c:strCache>
                <c:ptCount val="1"/>
                <c:pt idx="0">
                  <c:v>支出性质和经济分类</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Sheet2!$D$193:$D$194</c:f>
              <c:strCache>
                <c:ptCount val="2"/>
                <c:pt idx="0">
                  <c:v>基本支出</c:v>
                </c:pt>
                <c:pt idx="1">
                  <c:v>项目支出</c:v>
                </c:pt>
              </c:strCache>
            </c:strRef>
          </c:cat>
          <c:val>
            <c:numRef>
              <c:f>Sheet2!$E$193:$E$194</c:f>
              <c:numCache>
                <c:formatCode>General</c:formatCode>
                <c:ptCount val="2"/>
                <c:pt idx="0">
                  <c:v>602.27</c:v>
                </c:pt>
                <c:pt idx="1">
                  <c:v>70.63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Sheet2!$E$176</c:f>
              <c:strCache>
                <c:ptCount val="1"/>
                <c:pt idx="0">
                  <c:v>功能分类</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1"/>
              <c:layout>
                <c:manualLayout>
                  <c:x val="-0.0679149168853894"/>
                  <c:y val="0.055455672207640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212211286089239"/>
                  <c:y val="-0.044163385826771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231486439195101"/>
                  <c:y val="0.030483741615631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Sheet2!$D$177:$D$180</c:f>
              <c:strCache>
                <c:ptCount val="4"/>
                <c:pt idx="0">
                  <c:v>教育</c:v>
                </c:pt>
                <c:pt idx="1">
                  <c:v>社会保障</c:v>
                </c:pt>
                <c:pt idx="2">
                  <c:v>医疗卫生</c:v>
                </c:pt>
                <c:pt idx="3">
                  <c:v>住房保障</c:v>
                </c:pt>
              </c:strCache>
            </c:strRef>
          </c:cat>
          <c:val>
            <c:numRef>
              <c:f>Sheet2!$E$177:$E$180</c:f>
              <c:numCache>
                <c:formatCode>General</c:formatCode>
                <c:ptCount val="4"/>
                <c:pt idx="0">
                  <c:v>561.66</c:v>
                </c:pt>
                <c:pt idx="1">
                  <c:v>66.57</c:v>
                </c:pt>
                <c:pt idx="2">
                  <c:v>16.14</c:v>
                </c:pt>
                <c:pt idx="3">
                  <c:v>28.53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Sheet2!$E$113</c:f>
              <c:strCache>
                <c:ptCount val="1"/>
                <c:pt idx="0">
                  <c:v>财政拨款收支决算</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Sheet2!$D$114:$D$115</c:f>
              <c:strCache>
                <c:ptCount val="2"/>
                <c:pt idx="0">
                  <c:v>2017年</c:v>
                </c:pt>
                <c:pt idx="1">
                  <c:v>2018年</c:v>
                </c:pt>
              </c:strCache>
            </c:strRef>
          </c:cat>
          <c:val>
            <c:numRef>
              <c:f>Sheet2!$E$114:$E$115</c:f>
              <c:numCache>
                <c:formatCode>General</c:formatCode>
                <c:ptCount val="2"/>
                <c:pt idx="0">
                  <c:v>588.44</c:v>
                </c:pt>
                <c:pt idx="1">
                  <c:v>672.9</c:v>
                </c:pt>
              </c:numCache>
            </c:numRef>
          </c:val>
        </c:ser>
        <c:dLbls>
          <c:showLegendKey val="0"/>
          <c:showVal val="1"/>
          <c:showCatName val="0"/>
          <c:showSerName val="0"/>
          <c:showPercent val="0"/>
          <c:showBubbleSize val="0"/>
        </c:dLbls>
        <c:gapWidth val="219"/>
        <c:overlap val="-27"/>
        <c:axId val="378860975"/>
        <c:axId val="378855567"/>
      </c:barChart>
      <c:catAx>
        <c:axId val="378860975"/>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年份</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855567"/>
        <c:crosses val="autoZero"/>
        <c:auto val="1"/>
        <c:lblAlgn val="ctr"/>
        <c:lblOffset val="100"/>
        <c:noMultiLvlLbl val="0"/>
      </c:catAx>
      <c:valAx>
        <c:axId val="378855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单位：万元</a:t>
                </a:r>
                <a:endParaRPr lang="zh-CN" alt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8609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Sheet2!$E$127</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Sheet2!$D$128:$D$129</c:f>
              <c:strCache>
                <c:ptCount val="2"/>
                <c:pt idx="0">
                  <c:v>2017年</c:v>
                </c:pt>
                <c:pt idx="1">
                  <c:v>2018年</c:v>
                </c:pt>
              </c:strCache>
            </c:strRef>
          </c:cat>
          <c:val>
            <c:numRef>
              <c:f>Sheet2!$E$128:$E$129</c:f>
              <c:numCache>
                <c:formatCode>General</c:formatCode>
                <c:ptCount val="2"/>
                <c:pt idx="0">
                  <c:v>588.44</c:v>
                </c:pt>
                <c:pt idx="1">
                  <c:v>672.9</c:v>
                </c:pt>
              </c:numCache>
            </c:numRef>
          </c:val>
        </c:ser>
        <c:dLbls>
          <c:showLegendKey val="0"/>
          <c:showVal val="1"/>
          <c:showCatName val="0"/>
          <c:showSerName val="0"/>
          <c:showPercent val="0"/>
          <c:showBubbleSize val="0"/>
        </c:dLbls>
        <c:gapWidth val="219"/>
        <c:overlap val="-27"/>
        <c:axId val="377203439"/>
        <c:axId val="377193871"/>
      </c:barChart>
      <c:catAx>
        <c:axId val="377203439"/>
        <c:scaling>
          <c:orientation val="minMax"/>
        </c:scaling>
        <c:delete val="0"/>
        <c:axPos val="b"/>
        <c:title>
          <c:tx>
            <c:rich>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年份</a:t>
                </a:r>
                <a:endParaRPr lang="zh-CN" alt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193871"/>
        <c:crosses val="autoZero"/>
        <c:auto val="1"/>
        <c:lblAlgn val="ctr"/>
        <c:lblOffset val="100"/>
        <c:noMultiLvlLbl val="0"/>
      </c:catAx>
      <c:valAx>
        <c:axId val="3771938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rPr lang="zh-CN" altLang="en-US"/>
                  <a:t>单位：万元</a:t>
                </a:r>
                <a:endParaRPr lang="zh-CN" alt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2034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91666666666667"/>
          <c:y val="0.0277777777777778"/>
        </c:manualLayout>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Sheet2!$E$145</c:f>
              <c:strCache>
                <c:ptCount val="1"/>
                <c:pt idx="0">
                  <c:v>一般公共预算财政拨款支出决算</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dLbl>
              <c:idx val="3"/>
              <c:layout>
                <c:manualLayout>
                  <c:x val="-0.00798928258967631"/>
                  <c:y val="-0.04469233012540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253865485564304"/>
                  <c:y val="0.00040244969378827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Sheet2!$D$146:$D$150</c:f>
              <c:strCache>
                <c:ptCount val="5"/>
                <c:pt idx="0">
                  <c:v>一般公共服务（类）</c:v>
                </c:pt>
                <c:pt idx="1">
                  <c:v>教育支出（类）</c:v>
                </c:pt>
                <c:pt idx="2">
                  <c:v>科学技术（类）</c:v>
                </c:pt>
                <c:pt idx="3">
                  <c:v>社会保障和就业（类）</c:v>
                </c:pt>
                <c:pt idx="4">
                  <c:v>其他支出</c:v>
                </c:pt>
              </c:strCache>
            </c:strRef>
          </c:cat>
          <c:val>
            <c:numRef>
              <c:f>Sheet2!$E$146:$E$150</c:f>
              <c:numCache>
                <c:formatCode>General</c:formatCode>
                <c:ptCount val="5"/>
                <c:pt idx="0">
                  <c:v>0</c:v>
                </c:pt>
                <c:pt idx="1">
                  <c:v>561.66</c:v>
                </c:pt>
                <c:pt idx="2">
                  <c:v>0</c:v>
                </c:pt>
                <c:pt idx="3">
                  <c:v>66.57</c:v>
                </c:pt>
                <c:pt idx="4">
                  <c:v>44.67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6D00F-3A86-4F3A-98C5-D5CE464CF2FD}">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26</Pages>
  <Words>1660</Words>
  <Characters>9467</Characters>
  <Lines>78</Lines>
  <Paragraphs>22</Paragraphs>
  <TotalTime>3</TotalTime>
  <ScaleCrop>false</ScaleCrop>
  <LinksUpToDate>false</LinksUpToDate>
  <CharactersWithSpaces>11105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开心就好</cp:lastModifiedBy>
  <cp:lastPrinted>2019-08-01T00:48:00Z</cp:lastPrinted>
  <dcterms:modified xsi:type="dcterms:W3CDTF">2019-09-02T14:15:50Z</dcterms:modified>
  <dc:title>四川省***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