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both"/>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bookmarkStart w:id="1" w:name="_Toc15396597"/>
      <w:bookmarkStart w:id="2" w:name="_Toc15396475"/>
      <w:bookmarkStart w:id="3" w:name="_Toc15378441"/>
      <w:bookmarkStart w:id="4" w:name="_Toc15377193"/>
      <w:bookmarkStart w:id="5" w:name="_Toc15377425"/>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598"/>
      <w:bookmarkStart w:id="7" w:name="_Toc15377426"/>
      <w:bookmarkStart w:id="8" w:name="_Toc15378442"/>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lang w:val="en-US" w:eastAsia="zh-CN"/>
        </w:rPr>
        <w:t>柏树镇人民政府部门</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宋体" w:eastAsia="方正小标宋简体"/>
          <w:color w:val="000000"/>
          <w:sz w:val="48"/>
          <w:szCs w:val="48"/>
          <w:lang w:val="en-US" w:eastAsia="zh-CN"/>
        </w:rPr>
      </w:pPr>
      <w:r>
        <w:rPr>
          <w:rFonts w:hint="eastAsia" w:ascii="方正小标宋简体" w:hAnsi="宋体" w:eastAsia="方正小标宋简体"/>
          <w:color w:val="000000"/>
          <w:sz w:val="72"/>
          <w:szCs w:val="72"/>
          <w:lang w:eastAsia="zh-CN"/>
        </w:rPr>
        <w:t>公开说明</w:t>
      </w:r>
    </w:p>
    <w:p>
      <w:pPr>
        <w:widowControl/>
        <w:jc w:val="center"/>
        <w:rPr>
          <w:rFonts w:hint="default" w:ascii="方正小标宋简体" w:hAnsi="宋体" w:eastAsia="方正小标宋简体"/>
          <w:color w:val="000000"/>
          <w:sz w:val="48"/>
          <w:szCs w:val="48"/>
          <w:lang w:val="en-US" w:eastAsia="zh-CN"/>
        </w:rPr>
      </w:pPr>
    </w:p>
    <w:p>
      <w:pPr>
        <w:widowControl/>
        <w:jc w:val="center"/>
        <w:rPr>
          <w:rFonts w:hint="default" w:ascii="方正小标宋简体" w:hAnsi="宋体" w:eastAsia="方正小标宋简体"/>
          <w:color w:val="000000"/>
          <w:sz w:val="48"/>
          <w:szCs w:val="48"/>
          <w:lang w:val="en-US" w:eastAsia="zh-CN"/>
        </w:rPr>
      </w:pPr>
    </w:p>
    <w:p>
      <w:pPr>
        <w:widowControl/>
        <w:jc w:val="center"/>
        <w:rPr>
          <w:rFonts w:hint="default" w:ascii="方正小标宋简体" w:hAnsi="宋体" w:eastAsia="方正小标宋简体"/>
          <w:color w:val="000000"/>
          <w:sz w:val="48"/>
          <w:szCs w:val="48"/>
          <w:lang w:val="en-US" w:eastAsia="zh-CN"/>
        </w:rPr>
      </w:pPr>
    </w:p>
    <w:p>
      <w:pPr>
        <w:widowControl/>
        <w:jc w:val="both"/>
        <w:rPr>
          <w:rFonts w:hint="default" w:ascii="方正小标宋简体" w:hAnsi="宋体" w:eastAsia="方正小标宋简体"/>
          <w:color w:val="000000"/>
          <w:sz w:val="48"/>
          <w:szCs w:val="48"/>
          <w:lang w:val="en-US" w:eastAsia="zh-CN"/>
        </w:rPr>
      </w:pPr>
    </w:p>
    <w:p>
      <w:pPr>
        <w:widowControl/>
        <w:jc w:val="center"/>
        <w:rPr>
          <w:rFonts w:hint="default" w:ascii="方正小标宋简体" w:hAnsi="宋体" w:eastAsia="方正小标宋简体"/>
          <w:color w:val="000000"/>
          <w:sz w:val="48"/>
          <w:szCs w:val="48"/>
          <w:lang w:val="en-US" w:eastAsia="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lang w:val="en-US" w:eastAsia="zh-CN"/>
        </w:rPr>
        <w:t>3</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default" w:eastAsia="仿宋"/>
          <w:sz w:val="28"/>
          <w:szCs w:val="28"/>
          <w:lang w:val="en-US" w:eastAsia="zh-CN"/>
        </w:rPr>
      </w:pPr>
      <w:r>
        <w:rPr>
          <w:rFonts w:hint="eastAsia" w:eastAsia="仿宋"/>
          <w:sz w:val="28"/>
          <w:szCs w:val="28"/>
          <w:lang w:val="en-US" w:eastAsia="zh-CN"/>
        </w:rPr>
        <w:t>十、预算绩效情况说明</w:t>
      </w:r>
      <w:r>
        <w:rPr>
          <w:rFonts w:ascii="仿宋" w:hAnsi="仿宋" w:eastAsia="仿宋"/>
          <w:sz w:val="28"/>
          <w:szCs w:val="28"/>
        </w:rPr>
        <w:tab/>
      </w:r>
      <w:r>
        <w:rPr>
          <w:rFonts w:hint="eastAsia" w:eastAsia="仿宋"/>
          <w:sz w:val="28"/>
          <w:szCs w:val="28"/>
          <w:lang w:val="en-US" w:eastAsia="zh-CN"/>
        </w:rPr>
        <w:t>16</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22</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楷体_GB2312" w:hAnsi="楷体_GB2312" w:eastAsia="楷体_GB2312" w:cs="楷体_GB2312"/>
          <w:bCs/>
          <w:color w:val="000000"/>
          <w:sz w:val="32"/>
          <w:szCs w:val="32"/>
        </w:rPr>
      </w:pPr>
      <w:bookmarkStart w:id="16" w:name="_Toc15377198"/>
      <w:bookmarkStart w:id="17" w:name="_Toc15378445"/>
      <w:r>
        <w:rPr>
          <w:rFonts w:hint="eastAsia" w:ascii="楷体_GB2312" w:hAnsi="楷体_GB2312" w:eastAsia="楷体_GB2312" w:cs="楷体_GB2312"/>
          <w:bCs/>
          <w:color w:val="000000"/>
          <w:sz w:val="32"/>
          <w:szCs w:val="32"/>
        </w:rPr>
        <w:t>（一）</w:t>
      </w:r>
      <w:r>
        <w:rPr>
          <w:rFonts w:hint="eastAsia" w:ascii="楷体_GB2312" w:hAnsi="楷体_GB2312" w:eastAsia="楷体_GB2312" w:cs="楷体_GB2312"/>
          <w:bCs/>
          <w:color w:val="000000"/>
          <w:sz w:val="32"/>
          <w:szCs w:val="32"/>
          <w:lang w:eastAsia="zh-CN"/>
        </w:rPr>
        <w:t>主要职能</w:t>
      </w:r>
      <w:r>
        <w:rPr>
          <w:rFonts w:hint="eastAsia" w:ascii="楷体_GB2312" w:hAnsi="楷体_GB2312" w:eastAsia="楷体_GB2312" w:cs="楷体_GB2312"/>
          <w:bCs/>
          <w:color w:val="000000"/>
          <w:sz w:val="32"/>
          <w:szCs w:val="32"/>
        </w:rPr>
        <w:t>。</w:t>
      </w:r>
      <w:bookmarkEnd w:id="16"/>
      <w:bookmarkEnd w:id="17"/>
    </w:p>
    <w:p>
      <w:pPr>
        <w:widowControl/>
        <w:spacing w:after="240" w:line="579" w:lineRule="exact"/>
        <w:ind w:firstLine="640" w:firstLineChars="200"/>
        <w:rPr>
          <w:rFonts w:ascii="仿宋_GB2312" w:hAnsi="宋体" w:eastAsia="仿宋_GB2312" w:cs="宋体"/>
          <w:kern w:val="0"/>
          <w:sz w:val="32"/>
          <w:szCs w:val="32"/>
        </w:rPr>
      </w:pPr>
      <w:bookmarkStart w:id="18" w:name="_Toc15378446"/>
      <w:bookmarkStart w:id="19" w:name="_Toc15377199"/>
      <w:r>
        <w:rPr>
          <w:rFonts w:hint="eastAsia" w:ascii="仿宋_GB2312" w:hAnsi="宋体" w:eastAsia="仿宋_GB2312" w:cs="宋体"/>
          <w:kern w:val="0"/>
          <w:sz w:val="32"/>
          <w:szCs w:val="32"/>
        </w:rPr>
        <w:t>按照“有所为，有所不为”的原则和发展社会主义民主政治、构建社会主义和谐社会的要求，切实把工作重点从直接抓催粮催款、催种催收、招商引资、生产经营等具体事务转移到对农户和各类经济主体进行政策宣传、示范引导、提供服务、营造发展环境、维护社会稳定和保障农民合法权益上来。目前镇政府主要职能是:</w:t>
      </w:r>
    </w:p>
    <w:p>
      <w:pPr>
        <w:widowControl/>
        <w:spacing w:after="240" w:line="579"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一是落实政策。宣传、落实好党的路线、方针、政策和国家的法律、法规，稳定农村基本经济制度，坚持依法行政，推进政务公开，加强对村民委员会的指导，提高、培育村民委员会自治能力。</w:t>
      </w:r>
    </w:p>
    <w:p>
      <w:pPr>
        <w:widowControl/>
        <w:spacing w:after="240" w:line="579"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是促进发展。科学制订发展规划，加强农村市场监督，搞活市场流通，推广农业技术，完善农业社会化服务体系，引导农民发展现代农业，调整产业结构，加强农村劳动力技能培训，引导农村劳动力转移和就业，不断提高社会主义新农村建设水平。</w:t>
      </w:r>
    </w:p>
    <w:p>
      <w:pPr>
        <w:widowControl/>
        <w:spacing w:after="240" w:line="579"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是维护稳定。要坚持“立党为公，执政为民”。要加强和巩固农村基层政权建设和民主法制建设，加强社会治安综合治理，加强对突发事件的预警和管理，建立、健全各种应急机制，开展农村扶贫和社会救助，切实保障农民合法权益，维护农村社会稳定。</w:t>
      </w:r>
    </w:p>
    <w:p>
      <w:pPr>
        <w:widowControl/>
        <w:spacing w:after="240" w:line="579"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是加强管理。加强民政、教育、科技、文化、卫生、人口和计划生育、安全生产、劳动保障、农林牧水和乡村规划等社会管理，加强社会主义精神文明建设，做好防灾减灾工作，加强环境保护，努力改善农村人居环境，不断提高农村人口素质和农民生活质量。</w:t>
      </w:r>
    </w:p>
    <w:p>
      <w:pPr>
        <w:widowControl/>
        <w:spacing w:after="240" w:line="579"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是提供服务。进一步发展和完善农业社会化服务体系，打造政务服务平台，主动为基层群众提供周到便捷的服务，引导各类协会和农村专业合作经济组织发展并充分发挥其作用，发展农村社会公益事业，加强农村基础设施建设，增加公共产品，提供政策、科技、市场信息和社会救济、救助服务，及时向上级党委、政府反映社情民意，进一步密切党和政府与人民群众的关系。</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widowControl/>
        <w:spacing w:after="240" w:line="579" w:lineRule="exact"/>
        <w:ind w:firstLine="640" w:firstLineChars="200"/>
        <w:rPr>
          <w:rFonts w:hint="default" w:ascii="仿宋_GB2312" w:hAnsi="宋体" w:eastAsia="仿宋_GB2312" w:cs="宋体"/>
          <w:kern w:val="0"/>
          <w:sz w:val="32"/>
          <w:szCs w:val="32"/>
          <w:lang w:val="en-US" w:eastAsia="zh-CN"/>
        </w:rPr>
      </w:pPr>
      <w:bookmarkStart w:id="20" w:name="_Toc15396601"/>
      <w:bookmarkStart w:id="21" w:name="_Toc15377200"/>
      <w:r>
        <w:rPr>
          <w:rFonts w:hint="eastAsia" w:ascii="仿宋_GB2312" w:hAnsi="宋体" w:eastAsia="仿宋_GB2312" w:cs="宋体"/>
          <w:kern w:val="0"/>
          <w:sz w:val="32"/>
          <w:szCs w:val="32"/>
        </w:rPr>
        <w:t xml:space="preserve">1.脱贫攻坚工作， </w:t>
      </w:r>
      <w:r>
        <w:rPr>
          <w:rFonts w:hint="eastAsia" w:ascii="仿宋_GB2312" w:hAnsi="宋体" w:eastAsia="仿宋_GB2312" w:cs="宋体"/>
          <w:kern w:val="0"/>
          <w:sz w:val="32"/>
          <w:szCs w:val="32"/>
          <w:lang w:eastAsia="zh-CN"/>
        </w:rPr>
        <w:t>柏树镇共有建档立卡贫困户</w:t>
      </w:r>
      <w:r>
        <w:rPr>
          <w:rFonts w:hint="eastAsia" w:ascii="仿宋_GB2312" w:hAnsi="宋体" w:eastAsia="仿宋_GB2312" w:cs="宋体"/>
          <w:kern w:val="0"/>
          <w:sz w:val="32"/>
          <w:szCs w:val="32"/>
          <w:lang w:val="en-US" w:eastAsia="zh-CN"/>
        </w:rPr>
        <w:t>1027</w:t>
      </w:r>
      <w:r>
        <w:rPr>
          <w:rFonts w:hint="eastAsia" w:ascii="仿宋_GB2312" w:hAnsi="宋体" w:eastAsia="仿宋_GB2312" w:cs="宋体"/>
          <w:kern w:val="0"/>
          <w:sz w:val="32"/>
          <w:szCs w:val="32"/>
          <w:lang w:eastAsia="zh-CN"/>
        </w:rPr>
        <w:t>户</w:t>
      </w:r>
      <w:r>
        <w:rPr>
          <w:rFonts w:hint="eastAsia" w:ascii="仿宋_GB2312" w:hAnsi="宋体" w:eastAsia="仿宋_GB2312" w:cs="宋体"/>
          <w:kern w:val="0"/>
          <w:sz w:val="32"/>
          <w:szCs w:val="32"/>
          <w:lang w:val="en-US" w:eastAsia="zh-CN"/>
        </w:rPr>
        <w:t xml:space="preserve"> 3329人，截止2018年底，已脱贫959户3097人，未脱贫68户232人，全县“整县脱贫摘帽”打下了坚实的基础。</w:t>
      </w:r>
    </w:p>
    <w:p>
      <w:pPr>
        <w:widowControl/>
        <w:spacing w:after="240" w:line="579"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2.易地扶贫搬迁安置工作，201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年柏树镇共完成石板梁、太坪寨、左右场、水磨村、三河坝村</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个村</w:t>
      </w:r>
      <w:r>
        <w:rPr>
          <w:rFonts w:hint="eastAsia" w:ascii="仿宋_GB2312" w:hAnsi="宋体" w:eastAsia="仿宋_GB2312" w:cs="宋体"/>
          <w:kern w:val="0"/>
          <w:sz w:val="32"/>
          <w:szCs w:val="32"/>
          <w:lang w:val="en-US" w:eastAsia="zh-CN"/>
        </w:rPr>
        <w:t>79</w:t>
      </w:r>
      <w:r>
        <w:rPr>
          <w:rFonts w:hint="eastAsia" w:ascii="仿宋_GB2312" w:hAnsi="宋体" w:eastAsia="仿宋_GB2312" w:cs="宋体"/>
          <w:kern w:val="0"/>
          <w:sz w:val="32"/>
          <w:szCs w:val="32"/>
        </w:rPr>
        <w:t>户</w:t>
      </w:r>
      <w:r>
        <w:rPr>
          <w:rFonts w:hint="eastAsia" w:ascii="仿宋_GB2312" w:hAnsi="宋体" w:eastAsia="仿宋_GB2312" w:cs="宋体"/>
          <w:kern w:val="0"/>
          <w:sz w:val="32"/>
          <w:szCs w:val="32"/>
          <w:lang w:val="en-US" w:eastAsia="zh-CN"/>
        </w:rPr>
        <w:t>265</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662.5</w:t>
      </w:r>
      <w:r>
        <w:rPr>
          <w:rFonts w:hint="eastAsia" w:ascii="仿宋_GB2312" w:hAnsi="宋体" w:eastAsia="仿宋_GB2312" w:cs="宋体"/>
          <w:kern w:val="0"/>
          <w:sz w:val="32"/>
          <w:szCs w:val="32"/>
        </w:rPr>
        <w:t>万元的易地扶贫搬迁安置住房建设工作，入住率达98%。</w:t>
      </w:r>
    </w:p>
    <w:p>
      <w:pPr>
        <w:widowControl/>
        <w:spacing w:after="240" w:line="579"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3.涉农项目资金使用情况，201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年上级下达我镇涉农项目资金</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个村</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个项目</w:t>
      </w:r>
      <w:r>
        <w:rPr>
          <w:rFonts w:hint="eastAsia" w:ascii="仿宋_GB2312" w:hAnsi="宋体" w:eastAsia="仿宋_GB2312" w:cs="宋体"/>
          <w:kern w:val="0"/>
          <w:sz w:val="32"/>
          <w:szCs w:val="32"/>
          <w:lang w:val="en-US" w:eastAsia="zh-CN"/>
        </w:rPr>
        <w:t>42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其中：贫困户到户养殖补助资金</w:t>
      </w:r>
      <w:r>
        <w:rPr>
          <w:rFonts w:hint="eastAsia" w:ascii="仿宋_GB2312" w:hAnsi="宋体" w:eastAsia="仿宋_GB2312" w:cs="宋体"/>
          <w:kern w:val="0"/>
          <w:sz w:val="32"/>
          <w:szCs w:val="32"/>
          <w:lang w:val="en-US" w:eastAsia="zh-CN"/>
        </w:rPr>
        <w:t>20万元，贫困户饮水入户补助资金10万元，贫困户入户路建设资金10万元。</w:t>
      </w:r>
    </w:p>
    <w:p>
      <w:pPr>
        <w:pStyle w:val="3"/>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柏树镇人民政府属财政一级预算单位，共</w:t>
      </w:r>
      <w:r>
        <w:rPr>
          <w:rFonts w:hint="eastAsia" w:ascii="仿宋" w:hAnsi="仿宋" w:eastAsia="仿宋"/>
          <w:sz w:val="32"/>
          <w:szCs w:val="32"/>
          <w:lang w:eastAsia="zh-CN"/>
        </w:rPr>
        <w:t>两</w:t>
      </w:r>
      <w:r>
        <w:rPr>
          <w:rFonts w:hint="eastAsia" w:ascii="仿宋" w:hAnsi="仿宋" w:eastAsia="仿宋"/>
          <w:sz w:val="32"/>
          <w:szCs w:val="32"/>
        </w:rPr>
        <w:t>个部门，其中行政单位1个</w:t>
      </w:r>
      <w:r>
        <w:rPr>
          <w:rFonts w:hint="eastAsia" w:ascii="仿宋" w:hAnsi="仿宋" w:eastAsia="仿宋"/>
          <w:sz w:val="32"/>
          <w:szCs w:val="32"/>
          <w:lang w:eastAsia="zh-CN"/>
        </w:rPr>
        <w:t>，</w:t>
      </w:r>
      <w:r>
        <w:rPr>
          <w:rFonts w:hint="eastAsia" w:ascii="仿宋" w:hAnsi="仿宋" w:eastAsia="仿宋"/>
          <w:sz w:val="32"/>
          <w:szCs w:val="32"/>
        </w:rPr>
        <w:t>其他事业单位1个。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柏树镇</w:t>
      </w:r>
      <w:r>
        <w:rPr>
          <w:rFonts w:hint="eastAsia" w:ascii="仿宋" w:hAnsi="仿宋" w:eastAsia="仿宋"/>
          <w:color w:val="000000"/>
          <w:sz w:val="32"/>
          <w:szCs w:val="32"/>
        </w:rPr>
        <w:t>2018年度部门决算编制范围的预算单位包括：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77433"/>
      <w:bookmarkStart w:id="23" w:name="_Toc15377202"/>
      <w:bookmarkStart w:id="24" w:name="_Toc15306276"/>
      <w:bookmarkStart w:id="25" w:name="_Toc15378449"/>
      <w:r>
        <w:rPr>
          <w:rFonts w:hint="eastAsia" w:ascii="仿宋" w:hAnsi="仿宋" w:eastAsia="仿宋"/>
          <w:color w:val="000000"/>
          <w:sz w:val="32"/>
          <w:szCs w:val="32"/>
          <w:lang w:eastAsia="zh-CN"/>
        </w:rPr>
        <w:t>柏树镇人民政府</w:t>
      </w:r>
      <w:bookmarkEnd w:id="22"/>
      <w:bookmarkEnd w:id="23"/>
      <w:bookmarkEnd w:id="24"/>
      <w:bookmarkEnd w:id="25"/>
    </w:p>
    <w:p>
      <w:pPr>
        <w:pStyle w:val="5"/>
        <w:numPr>
          <w:ilvl w:val="0"/>
          <w:numId w:val="1"/>
        </w:numPr>
        <w:adjustRightInd w:val="0"/>
        <w:snapToGrid w:val="0"/>
        <w:spacing w:before="93" w:line="600" w:lineRule="exact"/>
        <w:outlineLvl w:val="2"/>
        <w:rPr>
          <w:rFonts w:ascii="仿宋" w:hAnsi="仿宋" w:eastAsia="仿宋"/>
          <w:color w:val="000000"/>
          <w:kern w:val="0"/>
          <w:sz w:val="32"/>
          <w:szCs w:val="32"/>
        </w:rPr>
      </w:pPr>
      <w:r>
        <w:rPr>
          <w:rFonts w:hint="eastAsia" w:ascii="仿宋" w:hAnsi="仿宋" w:eastAsia="仿宋"/>
          <w:color w:val="000000"/>
          <w:sz w:val="32"/>
          <w:szCs w:val="32"/>
          <w:lang w:eastAsia="zh-CN"/>
        </w:rPr>
        <w:t>柏树镇便民服务中心</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6"/>
      <w:bookmarkEnd w:id="27"/>
    </w:p>
    <w:p/>
    <w:p>
      <w:pPr>
        <w:pStyle w:val="23"/>
        <w:numPr>
          <w:ilvl w:val="0"/>
          <w:numId w:val="2"/>
        </w:numPr>
        <w:spacing w:line="600" w:lineRule="exact"/>
        <w:ind w:firstLineChars="0"/>
        <w:outlineLvl w:val="1"/>
        <w:rPr>
          <w:rStyle w:val="25"/>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1052.64</w:t>
      </w:r>
      <w:r>
        <w:rPr>
          <w:rFonts w:hint="eastAsia" w:ascii="仿宋" w:hAnsi="仿宋" w:eastAsia="仿宋"/>
          <w:color w:val="000000"/>
          <w:sz w:val="32"/>
          <w:szCs w:val="32"/>
        </w:rPr>
        <w:t>万元。与2017年</w:t>
      </w:r>
      <w:r>
        <w:rPr>
          <w:rFonts w:hint="eastAsia" w:ascii="仿宋" w:hAnsi="仿宋" w:eastAsia="仿宋" w:cs="仿宋"/>
          <w:sz w:val="32"/>
          <w:szCs w:val="32"/>
          <w:lang w:val="en-US" w:eastAsia="zh-CN"/>
        </w:rPr>
        <w:t>1303.01万元</w:t>
      </w:r>
      <w:r>
        <w:rPr>
          <w:rFonts w:hint="eastAsia" w:ascii="仿宋" w:hAnsi="仿宋" w:eastAsia="仿宋"/>
          <w:color w:val="000000"/>
          <w:sz w:val="32"/>
          <w:szCs w:val="32"/>
        </w:rPr>
        <w:t>相比，收、支总计各减少</w:t>
      </w:r>
      <w:r>
        <w:rPr>
          <w:rFonts w:hint="eastAsia" w:ascii="仿宋" w:hAnsi="仿宋" w:eastAsia="仿宋"/>
          <w:color w:val="000000"/>
          <w:sz w:val="32"/>
          <w:szCs w:val="32"/>
          <w:lang w:val="en-US" w:eastAsia="zh-CN"/>
        </w:rPr>
        <w:t>250.37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19.21</w:t>
      </w:r>
      <w:r>
        <w:rPr>
          <w:rFonts w:ascii="仿宋" w:hAnsi="仿宋" w:eastAsia="仿宋"/>
          <w:color w:val="000000"/>
          <w:sz w:val="32"/>
          <w:szCs w:val="32"/>
        </w:rPr>
        <w:t>%</w:t>
      </w:r>
      <w:r>
        <w:rPr>
          <w:rFonts w:hint="eastAsia" w:ascii="仿宋" w:hAnsi="仿宋" w:eastAsia="仿宋"/>
          <w:color w:val="000000"/>
          <w:sz w:val="32"/>
          <w:szCs w:val="32"/>
        </w:rPr>
        <w:t>。主要变动原因是行政事业类项目中农林水支出</w:t>
      </w:r>
      <w:r>
        <w:rPr>
          <w:rFonts w:hint="eastAsia" w:ascii="仿宋" w:hAnsi="仿宋" w:eastAsia="仿宋"/>
          <w:color w:val="000000"/>
          <w:sz w:val="32"/>
          <w:szCs w:val="32"/>
          <w:lang w:val="en-US" w:eastAsia="zh-CN"/>
        </w:rPr>
        <w:t>325.22</w:t>
      </w:r>
      <w:r>
        <w:rPr>
          <w:rFonts w:hint="eastAsia" w:ascii="仿宋" w:hAnsi="仿宋" w:eastAsia="仿宋"/>
          <w:color w:val="000000"/>
          <w:sz w:val="32"/>
          <w:szCs w:val="32"/>
        </w:rPr>
        <w:t>万元比上年</w:t>
      </w:r>
      <w:r>
        <w:rPr>
          <w:rFonts w:hint="eastAsia" w:ascii="仿宋" w:hAnsi="仿宋" w:eastAsia="仿宋"/>
          <w:color w:val="000000"/>
          <w:sz w:val="32"/>
          <w:szCs w:val="32"/>
          <w:lang w:val="en-US" w:eastAsia="zh-CN"/>
        </w:rPr>
        <w:t>410.01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84.79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了</w:t>
      </w:r>
      <w:r>
        <w:rPr>
          <w:rFonts w:hint="eastAsia" w:ascii="仿宋" w:hAnsi="仿宋" w:eastAsia="仿宋"/>
          <w:color w:val="000000"/>
          <w:sz w:val="32"/>
          <w:szCs w:val="32"/>
          <w:lang w:val="en-US" w:eastAsia="zh-CN"/>
        </w:rPr>
        <w:t>63.32</w:t>
      </w:r>
      <w:r>
        <w:rPr>
          <w:rFonts w:hint="eastAsia" w:ascii="仿宋" w:hAnsi="仿宋" w:eastAsia="仿宋"/>
          <w:color w:val="000000"/>
          <w:sz w:val="32"/>
          <w:szCs w:val="32"/>
        </w:rPr>
        <w:t>%。</w:t>
      </w:r>
      <w:r>
        <w:rPr>
          <w:rFonts w:hint="eastAsia" w:ascii="仿宋" w:hAnsi="仿宋" w:eastAsia="仿宋"/>
          <w:color w:val="000000"/>
          <w:sz w:val="32"/>
          <w:szCs w:val="32"/>
          <w:lang w:eastAsia="zh-CN"/>
        </w:rPr>
        <w:t>城乡社区支出</w:t>
      </w:r>
      <w:r>
        <w:rPr>
          <w:rFonts w:hint="eastAsia" w:ascii="仿宋" w:hAnsi="仿宋" w:eastAsia="仿宋"/>
          <w:color w:val="000000"/>
          <w:sz w:val="32"/>
          <w:szCs w:val="32"/>
          <w:lang w:val="en-US" w:eastAsia="zh-CN"/>
        </w:rPr>
        <w:t>129.88万元，比上年354.07万元减少224.19万元，</w:t>
      </w:r>
      <w:r>
        <w:rPr>
          <w:rFonts w:hint="eastAsia" w:ascii="仿宋" w:hAnsi="仿宋" w:eastAsia="仿宋"/>
          <w:color w:val="000000"/>
          <w:sz w:val="32"/>
          <w:szCs w:val="32"/>
        </w:rPr>
        <w:t>减少了</w:t>
      </w:r>
      <w:r>
        <w:rPr>
          <w:rFonts w:hint="eastAsia" w:ascii="仿宋" w:hAnsi="仿宋" w:eastAsia="仿宋"/>
          <w:color w:val="000000"/>
          <w:sz w:val="32"/>
          <w:szCs w:val="32"/>
          <w:lang w:val="en-US" w:eastAsia="zh-CN"/>
        </w:rPr>
        <w:t>172.61</w:t>
      </w:r>
      <w:r>
        <w:rPr>
          <w:rFonts w:hint="eastAsia" w:ascii="仿宋" w:hAnsi="仿宋" w:eastAsia="仿宋"/>
          <w:color w:val="000000"/>
          <w:sz w:val="32"/>
          <w:szCs w:val="32"/>
        </w:rPr>
        <w:t>%。</w:t>
      </w:r>
    </w:p>
    <w:p>
      <w:pPr>
        <w:rPr>
          <w:rFonts w:hint="eastAsia"/>
          <w:lang w:eastAsia="zh-CN"/>
        </w:rPr>
      </w:pPr>
    </w:p>
    <w:p>
      <w:pPr>
        <w:rPr>
          <w:rFonts w:hint="eastAsia"/>
          <w:lang w:eastAsia="zh-CN"/>
        </w:rPr>
      </w:pPr>
      <w:r>
        <w:drawing>
          <wp:inline distT="0" distB="0" distL="114300" distR="114300">
            <wp:extent cx="5271135" cy="31883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135" cy="3188335"/>
                    </a:xfrm>
                    <a:prstGeom prst="rect">
                      <a:avLst/>
                    </a:prstGeom>
                    <a:noFill/>
                    <a:ln>
                      <a:noFill/>
                    </a:ln>
                  </pic:spPr>
                </pic:pic>
              </a:graphicData>
            </a:graphic>
          </wp:inline>
        </w:drawing>
      </w:r>
    </w:p>
    <w:p>
      <w:pPr>
        <w:rPr>
          <w:rFonts w:hint="eastAsia"/>
          <w:lang w:eastAsia="zh-CN"/>
        </w:rPr>
      </w:pPr>
    </w:p>
    <w:p>
      <w:pPr>
        <w:pStyle w:val="23"/>
        <w:numPr>
          <w:ilvl w:val="0"/>
          <w:numId w:val="2"/>
        </w:numPr>
        <w:spacing w:line="600" w:lineRule="exact"/>
        <w:ind w:firstLineChars="0"/>
        <w:outlineLvl w:val="1"/>
        <w:rPr>
          <w:rStyle w:val="25"/>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1052.64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932.17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88.56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120.47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11.44</w:t>
      </w:r>
      <w:r>
        <w:rPr>
          <w:rFonts w:ascii="仿宋" w:hAnsi="仿宋" w:eastAsia="仿宋"/>
          <w:color w:val="000000"/>
          <w:sz w:val="32"/>
          <w:szCs w:val="32"/>
        </w:rPr>
        <w:t>%</w:t>
      </w:r>
      <w:r>
        <w:rPr>
          <w:rFonts w:hint="eastAsia" w:ascii="仿宋" w:hAnsi="仿宋" w:eastAsia="仿宋"/>
          <w:color w:val="000000"/>
          <w:sz w:val="32"/>
          <w:szCs w:val="32"/>
          <w:lang w:eastAsia="zh-CN"/>
        </w:rPr>
        <w:t>。</w:t>
      </w:r>
    </w:p>
    <w:p>
      <w:r>
        <w:drawing>
          <wp:inline distT="0" distB="0" distL="114300" distR="114300">
            <wp:extent cx="5273040" cy="3457575"/>
            <wp:effectExtent l="4445" t="4445" r="1841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rPr>
          <w:rFonts w:hint="eastAsia" w:ascii="仿宋" w:hAnsi="仿宋" w:eastAsia="仿宋"/>
          <w:color w:val="000000"/>
          <w:sz w:val="32"/>
          <w:szCs w:val="32"/>
          <w:shd w:val="pct10" w:color="auto" w:fill="FFFFFF"/>
          <w:lang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1052.64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670.60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382.04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36.3</w:t>
      </w:r>
      <w:r>
        <w:rPr>
          <w:rFonts w:ascii="仿宋" w:hAnsi="仿宋" w:eastAsia="仿宋"/>
          <w:color w:val="000000"/>
          <w:sz w:val="32"/>
          <w:szCs w:val="32"/>
        </w:rPr>
        <w:t>%</w:t>
      </w:r>
      <w:r>
        <w:rPr>
          <w:rFonts w:hint="eastAsia" w:ascii="仿宋" w:hAnsi="仿宋" w:eastAsia="仿宋"/>
          <w:color w:val="000000"/>
          <w:sz w:val="32"/>
          <w:szCs w:val="32"/>
          <w:lang w:eastAsia="zh-CN"/>
        </w:rPr>
        <w:t>。</w:t>
      </w:r>
    </w:p>
    <w:p>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1052.64</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7年相比，财政拨款收、支总计各减少</w:t>
      </w:r>
      <w:r>
        <w:rPr>
          <w:rFonts w:hint="eastAsia" w:ascii="仿宋" w:hAnsi="仿宋" w:eastAsia="仿宋"/>
          <w:color w:val="000000"/>
          <w:sz w:val="32"/>
          <w:szCs w:val="32"/>
          <w:lang w:val="en-US" w:eastAsia="zh-CN"/>
        </w:rPr>
        <w:t>250.37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19.21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农林水支出和城乡社区支出相较于</w:t>
      </w:r>
      <w:r>
        <w:rPr>
          <w:rFonts w:hint="eastAsia" w:ascii="仿宋" w:hAnsi="仿宋" w:eastAsia="仿宋"/>
          <w:color w:val="000000"/>
          <w:sz w:val="32"/>
          <w:szCs w:val="32"/>
          <w:lang w:val="en-US" w:eastAsia="zh-CN"/>
        </w:rPr>
        <w:t>2017年来说，这两个方面的支出大幅减少，特别是城乡水支出下降超过150个百分点。</w:t>
      </w:r>
    </w:p>
    <w:p>
      <w:pPr>
        <w:rPr>
          <w:rFonts w:hint="eastAsia"/>
        </w:rPr>
      </w:pPr>
      <w:r>
        <w:drawing>
          <wp:inline distT="0" distB="0" distL="114300" distR="114300">
            <wp:extent cx="5121910" cy="2319655"/>
            <wp:effectExtent l="5080" t="4445" r="16510" b="1905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932.17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88.56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w:t>
      </w:r>
      <w:r>
        <w:rPr>
          <w:rFonts w:hint="eastAsia" w:ascii="仿宋" w:hAnsi="仿宋" w:eastAsia="仿宋"/>
          <w:color w:val="000000"/>
          <w:sz w:val="32"/>
          <w:szCs w:val="32"/>
          <w:lang w:val="en-US" w:eastAsia="zh-CN"/>
        </w:rPr>
        <w:t>36.43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3.76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城乡社区支出大幅减少。</w:t>
      </w:r>
    </w:p>
    <w:p>
      <w:pPr>
        <w:rPr>
          <w:rFonts w:ascii="仿宋" w:hAnsi="仿宋" w:eastAsia="仿宋"/>
          <w:color w:val="000000" w:themeColor="text1"/>
          <w:sz w:val="32"/>
          <w:szCs w:val="32"/>
          <w14:textFill>
            <w14:solidFill>
              <w14:schemeClr w14:val="tx1"/>
            </w14:solidFill>
          </w14:textFill>
        </w:rPr>
      </w:pPr>
      <w:r>
        <w:drawing>
          <wp:inline distT="0" distB="0" distL="114300" distR="114300">
            <wp:extent cx="5111115" cy="2616200"/>
            <wp:effectExtent l="4445" t="4445" r="8890" b="825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932.17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422.26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45.29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57.22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6.14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25.43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2.73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城乡社区支出</w:t>
      </w:r>
      <w:r>
        <w:rPr>
          <w:rFonts w:hint="eastAsia" w:ascii="仿宋" w:hAnsi="仿宋" w:eastAsia="仿宋"/>
          <w:color w:val="000000" w:themeColor="text1"/>
          <w:sz w:val="32"/>
          <w:szCs w:val="32"/>
          <w:lang w:val="en-US" w:eastAsia="zh-CN"/>
          <w14:textFill>
            <w14:solidFill>
              <w14:schemeClr w14:val="tx1"/>
            </w14:solidFill>
          </w14:textFill>
        </w:rPr>
        <w:t>25.42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2.73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农林水</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325.22</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34.89%</w:t>
      </w:r>
      <w:r>
        <w:rPr>
          <w:rFonts w:hint="eastAsia" w:ascii="仿宋" w:hAnsi="仿宋" w:eastAsia="仿宋"/>
          <w:color w:val="000000" w:themeColor="text1"/>
          <w:sz w:val="32"/>
          <w:szCs w:val="32"/>
          <w:lang w:eastAsia="zh-CN"/>
          <w14:textFill>
            <w14:solidFill>
              <w14:schemeClr w14:val="tx1"/>
            </w14:solidFill>
          </w14:textFill>
        </w:rPr>
        <w:t>；商品服务员等支出</w:t>
      </w:r>
      <w:r>
        <w:rPr>
          <w:rFonts w:hint="eastAsia" w:ascii="仿宋" w:hAnsi="仿宋" w:eastAsia="仿宋"/>
          <w:color w:val="000000" w:themeColor="text1"/>
          <w:sz w:val="32"/>
          <w:szCs w:val="32"/>
          <w:lang w:val="en-US" w:eastAsia="zh-CN"/>
          <w14:textFill>
            <w14:solidFill>
              <w14:schemeClr w14:val="tx1"/>
            </w14:solidFill>
          </w14:textFill>
        </w:rPr>
        <w:t>50.00万元，占5.36%；</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26.62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2.86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r>
        <w:drawing>
          <wp:inline distT="0" distB="0" distL="114300" distR="114300">
            <wp:extent cx="5273675" cy="3660140"/>
            <wp:effectExtent l="4445" t="4445" r="17780" b="1206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7444"/>
      <w:bookmarkStart w:id="43" w:name="_Toc15378460"/>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932.17万元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numPr>
          <w:ilvl w:val="0"/>
          <w:numId w:val="3"/>
        </w:num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一般公共服务（类）</w:t>
      </w:r>
    </w:p>
    <w:p>
      <w:pPr>
        <w:numPr>
          <w:ilvl w:val="0"/>
          <w:numId w:val="4"/>
        </w:numPr>
        <w:spacing w:line="600" w:lineRule="exact"/>
        <w:ind w:firstLine="643" w:firstLineChars="200"/>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政府办公厅（室）及相关机构事务（款）</w:t>
      </w:r>
    </w:p>
    <w:p>
      <w:pPr>
        <w:numPr>
          <w:ilvl w:val="0"/>
          <w:numId w:val="0"/>
        </w:numPr>
        <w:spacing w:line="600" w:lineRule="exact"/>
        <w:ind w:firstLine="964" w:firstLineChars="3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①行政运行（项）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255.23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964" w:firstLineChars="3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②一般行政管理事务（项）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87.36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964" w:firstLineChars="300"/>
        <w:rPr>
          <w:rStyle w:val="14"/>
          <w:rFonts w:hint="eastAsia" w:ascii="仿宋" w:hAnsi="仿宋" w:eastAsia="仿宋"/>
          <w:b w:val="0"/>
          <w:bCs/>
          <w:color w:val="000000"/>
          <w:sz w:val="32"/>
          <w:szCs w:val="32"/>
          <w:lang w:eastAsia="zh-CN"/>
        </w:rPr>
      </w:pPr>
      <w:r>
        <w:rPr>
          <w:rStyle w:val="14"/>
          <w:rFonts w:hint="eastAsia" w:ascii="仿宋" w:hAnsi="仿宋" w:eastAsia="仿宋"/>
          <w:b/>
          <w:bCs w:val="0"/>
          <w:color w:val="000000"/>
          <w:sz w:val="32"/>
          <w:szCs w:val="32"/>
          <w:lang w:eastAsia="zh-CN"/>
        </w:rPr>
        <w:t>③其他政府办公厅（室）及相关机构事务支出（项）：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54.62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4"/>
        </w:numPr>
        <w:spacing w:line="600" w:lineRule="exact"/>
        <w:ind w:left="0" w:leftChars="0"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
          <w:bCs w:val="0"/>
          <w:color w:val="000000"/>
          <w:sz w:val="32"/>
          <w:szCs w:val="32"/>
          <w:lang w:eastAsia="zh-CN"/>
        </w:rPr>
        <w:t>财政事务（款）其他财政事务支出（项）：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4"/>
        </w:numPr>
        <w:spacing w:line="600" w:lineRule="exact"/>
        <w:ind w:left="0" w:leftChars="0" w:firstLine="643" w:firstLineChars="200"/>
        <w:rPr>
          <w:rStyle w:val="14"/>
          <w:rFonts w:hint="default" w:ascii="仿宋" w:hAnsi="仿宋" w:eastAsia="仿宋"/>
          <w:b/>
          <w:bCs w:val="0"/>
          <w:color w:val="000000"/>
          <w:sz w:val="32"/>
          <w:szCs w:val="32"/>
          <w:lang w:val="en-US" w:eastAsia="zh-CN"/>
        </w:rPr>
      </w:pPr>
      <w:r>
        <w:rPr>
          <w:rStyle w:val="14"/>
          <w:rFonts w:hint="default" w:ascii="仿宋" w:hAnsi="仿宋" w:eastAsia="仿宋"/>
          <w:b/>
          <w:bCs w:val="0"/>
          <w:color w:val="000000"/>
          <w:sz w:val="32"/>
          <w:szCs w:val="32"/>
          <w:lang w:val="en-US" w:eastAsia="zh-CN"/>
        </w:rPr>
        <w:t>纪检监察事务</w:t>
      </w:r>
      <w:r>
        <w:rPr>
          <w:rStyle w:val="14"/>
          <w:rFonts w:hint="eastAsia" w:ascii="仿宋" w:hAnsi="仿宋" w:eastAsia="仿宋"/>
          <w:b/>
          <w:bCs w:val="0"/>
          <w:color w:val="000000"/>
          <w:sz w:val="32"/>
          <w:szCs w:val="32"/>
          <w:lang w:val="en-US" w:eastAsia="zh-CN"/>
        </w:rPr>
        <w:t>（款）</w:t>
      </w:r>
    </w:p>
    <w:p>
      <w:pPr>
        <w:numPr>
          <w:ilvl w:val="0"/>
          <w:numId w:val="0"/>
        </w:numPr>
        <w:spacing w:line="600" w:lineRule="exact"/>
        <w:ind w:leftChars="200"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①派驻派出机构</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2.06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leftChars="200"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②其他纪检监察事务支出</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4"/>
        </w:numPr>
        <w:spacing w:line="600" w:lineRule="exact"/>
        <w:ind w:left="0" w:leftChars="0"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
          <w:bCs w:val="0"/>
          <w:color w:val="000000"/>
          <w:sz w:val="32"/>
          <w:szCs w:val="32"/>
          <w:lang w:val="en-US" w:eastAsia="zh-CN"/>
        </w:rPr>
        <w:t>组织事务（款）其他组织事务支出（项）：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4.98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4"/>
        </w:numPr>
        <w:spacing w:line="600" w:lineRule="exact"/>
        <w:ind w:left="0" w:leftChars="0" w:firstLine="643" w:firstLineChars="200"/>
        <w:rPr>
          <w:rStyle w:val="14"/>
          <w:rFonts w:hint="default" w:ascii="仿宋" w:hAnsi="仿宋" w:eastAsia="仿宋"/>
          <w:b/>
          <w:bCs w:val="0"/>
          <w:color w:val="000000"/>
          <w:sz w:val="32"/>
          <w:szCs w:val="32"/>
          <w:lang w:val="en-US" w:eastAsia="zh-CN"/>
        </w:rPr>
      </w:pPr>
      <w:r>
        <w:rPr>
          <w:rStyle w:val="14"/>
          <w:rFonts w:hint="default" w:ascii="仿宋" w:hAnsi="仿宋" w:eastAsia="仿宋"/>
          <w:b/>
          <w:bCs w:val="0"/>
          <w:color w:val="000000"/>
          <w:sz w:val="32"/>
          <w:szCs w:val="32"/>
          <w:lang w:val="en-US" w:eastAsia="zh-CN"/>
        </w:rPr>
        <w:t>其他一般公共服务支出</w:t>
      </w:r>
      <w:r>
        <w:rPr>
          <w:rStyle w:val="14"/>
          <w:rFonts w:hint="eastAsia" w:ascii="仿宋" w:hAnsi="仿宋" w:eastAsia="仿宋"/>
          <w:b/>
          <w:bCs w:val="0"/>
          <w:color w:val="000000"/>
          <w:sz w:val="32"/>
          <w:szCs w:val="32"/>
          <w:lang w:val="en-US" w:eastAsia="zh-CN"/>
        </w:rPr>
        <w:t>（款）其他一般公共服务支出（项）：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leftChars="200" w:firstLine="321" w:firstLineChars="100"/>
        <w:rPr>
          <w:rStyle w:val="14"/>
          <w:rFonts w:hint="eastAsia" w:ascii="仿宋" w:hAnsi="仿宋" w:eastAsia="仿宋"/>
          <w:bCs/>
          <w:color w:val="000000"/>
          <w:sz w:val="32"/>
          <w:szCs w:val="32"/>
          <w:lang w:eastAsia="zh-CN"/>
        </w:rPr>
      </w:pPr>
      <w:r>
        <w:rPr>
          <w:rStyle w:val="14"/>
          <w:rFonts w:hint="eastAsia" w:ascii="仿宋" w:hAnsi="仿宋" w:eastAsia="仿宋"/>
          <w:bCs/>
          <w:color w:val="000000"/>
          <w:sz w:val="32"/>
          <w:szCs w:val="32"/>
          <w:lang w:val="en-US" w:eastAsia="zh-CN"/>
        </w:rPr>
        <w:t>2.</w:t>
      </w:r>
      <w:r>
        <w:rPr>
          <w:rStyle w:val="14"/>
          <w:rFonts w:hint="eastAsia" w:ascii="仿宋" w:hAnsi="仿宋" w:eastAsia="仿宋"/>
          <w:bCs/>
          <w:color w:val="000000"/>
          <w:sz w:val="32"/>
          <w:szCs w:val="32"/>
        </w:rPr>
        <w:t>社会保障和就业支出</w:t>
      </w:r>
      <w:r>
        <w:rPr>
          <w:rStyle w:val="14"/>
          <w:rFonts w:hint="eastAsia" w:ascii="仿宋" w:hAnsi="仿宋" w:eastAsia="仿宋"/>
          <w:bCs/>
          <w:color w:val="000000"/>
          <w:sz w:val="32"/>
          <w:szCs w:val="32"/>
          <w:lang w:eastAsia="zh-CN"/>
        </w:rPr>
        <w:t>（类）</w:t>
      </w:r>
    </w:p>
    <w:p>
      <w:pPr>
        <w:numPr>
          <w:ilvl w:val="0"/>
          <w:numId w:val="0"/>
        </w:numPr>
        <w:spacing w:line="600" w:lineRule="exact"/>
        <w:ind w:leftChars="200" w:firstLine="321" w:firstLineChars="100"/>
        <w:rPr>
          <w:rFonts w:hint="eastAsia" w:ascii="仿宋" w:hAnsi="仿宋" w:eastAsia="仿宋"/>
          <w:b/>
          <w:color w:val="000000"/>
          <w:sz w:val="32"/>
          <w:szCs w:val="32"/>
          <w:lang w:eastAsia="zh-CN"/>
        </w:rPr>
      </w:pPr>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1</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行政事业单位离退休</w:t>
      </w:r>
      <w:r>
        <w:rPr>
          <w:rFonts w:hint="eastAsia" w:ascii="仿宋" w:hAnsi="仿宋" w:eastAsia="仿宋"/>
          <w:b/>
          <w:color w:val="000000"/>
          <w:sz w:val="32"/>
          <w:szCs w:val="32"/>
          <w:lang w:eastAsia="zh-CN"/>
        </w:rPr>
        <w:t>（款）</w:t>
      </w:r>
    </w:p>
    <w:p>
      <w:pPr>
        <w:numPr>
          <w:ilvl w:val="0"/>
          <w:numId w:val="0"/>
        </w:numPr>
        <w:spacing w:line="600" w:lineRule="exact"/>
        <w:ind w:leftChars="20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①机关事业单位基本养老保险缴费支出</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42.78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leftChars="20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②机关事业单位职业年金缴费支出</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bCs w:val="0"/>
          <w:color w:val="000000"/>
          <w:sz w:val="32"/>
          <w:szCs w:val="32"/>
          <w:lang w:val="en-US" w:eastAsia="zh-CN"/>
        </w:rPr>
      </w:pPr>
      <w:r>
        <w:rPr>
          <w:rStyle w:val="14"/>
          <w:rFonts w:hint="eastAsia" w:ascii="仿宋" w:hAnsi="仿宋" w:eastAsia="仿宋"/>
          <w:b/>
          <w:bCs w:val="0"/>
          <w:color w:val="000000"/>
          <w:sz w:val="32"/>
          <w:szCs w:val="32"/>
          <w:lang w:eastAsia="zh-CN"/>
        </w:rPr>
        <w:t>（</w:t>
      </w:r>
      <w:r>
        <w:rPr>
          <w:rStyle w:val="14"/>
          <w:rFonts w:hint="eastAsia" w:ascii="仿宋" w:hAnsi="仿宋" w:eastAsia="仿宋"/>
          <w:b/>
          <w:bCs w:val="0"/>
          <w:color w:val="000000"/>
          <w:sz w:val="32"/>
          <w:szCs w:val="32"/>
          <w:lang w:val="en-US" w:eastAsia="zh-CN"/>
        </w:rPr>
        <w:t>2</w:t>
      </w:r>
      <w:r>
        <w:rPr>
          <w:rStyle w:val="14"/>
          <w:rFonts w:hint="eastAsia" w:ascii="仿宋" w:hAnsi="仿宋" w:eastAsia="仿宋"/>
          <w:b/>
          <w:bCs w:val="0"/>
          <w:color w:val="000000"/>
          <w:sz w:val="32"/>
          <w:szCs w:val="32"/>
          <w:lang w:eastAsia="zh-CN"/>
        </w:rPr>
        <w:t>）抚恤（款）伤残抚恤（项）：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12.84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Cs/>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医疗卫生与计划生育支出（类）</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lang w:eastAsia="zh-CN"/>
        </w:rPr>
        <w:t>）公共卫生</w:t>
      </w:r>
      <w:r>
        <w:rPr>
          <w:rStyle w:val="14"/>
          <w:rFonts w:hint="eastAsia" w:ascii="仿宋" w:hAnsi="仿宋" w:eastAsia="仿宋"/>
          <w:bCs/>
          <w:color w:val="000000"/>
          <w:sz w:val="32"/>
          <w:szCs w:val="32"/>
        </w:rPr>
        <w:t>（款）重大公共卫生专项（项）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6.17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
          <w:bCs w:val="0"/>
          <w:color w:val="000000"/>
          <w:sz w:val="32"/>
          <w:szCs w:val="32"/>
          <w:lang w:eastAsia="zh-CN"/>
        </w:rPr>
      </w:pPr>
      <w:r>
        <w:rPr>
          <w:rStyle w:val="14"/>
          <w:rFonts w:hint="eastAsia" w:ascii="仿宋" w:hAnsi="仿宋" w:eastAsia="仿宋"/>
          <w:b/>
          <w:bCs w:val="0"/>
          <w:color w:val="000000"/>
          <w:sz w:val="32"/>
          <w:szCs w:val="32"/>
          <w:lang w:eastAsia="zh-CN"/>
        </w:rPr>
        <w:t>（</w:t>
      </w:r>
      <w:r>
        <w:rPr>
          <w:rStyle w:val="14"/>
          <w:rFonts w:hint="eastAsia" w:ascii="仿宋" w:hAnsi="仿宋" w:eastAsia="仿宋"/>
          <w:b/>
          <w:bCs w:val="0"/>
          <w:color w:val="000000"/>
          <w:sz w:val="32"/>
          <w:szCs w:val="32"/>
          <w:lang w:val="en-US" w:eastAsia="zh-CN"/>
        </w:rPr>
        <w:t>2</w:t>
      </w:r>
      <w:r>
        <w:rPr>
          <w:rStyle w:val="14"/>
          <w:rFonts w:hint="eastAsia" w:ascii="仿宋" w:hAnsi="仿宋" w:eastAsia="仿宋"/>
          <w:b/>
          <w:bCs w:val="0"/>
          <w:color w:val="000000"/>
          <w:sz w:val="32"/>
          <w:szCs w:val="32"/>
          <w:lang w:eastAsia="zh-CN"/>
        </w:rPr>
        <w:t>）行政事业单位医疗（款）</w:t>
      </w:r>
    </w:p>
    <w:p>
      <w:pPr>
        <w:spacing w:line="600" w:lineRule="exact"/>
        <w:ind w:firstLine="1285" w:firstLineChars="4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①行政单位医疗</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12.15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964" w:firstLineChars="3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②事业单位医疗</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964" w:firstLineChars="300"/>
        <w:rPr>
          <w:rStyle w:val="14"/>
          <w:rFonts w:hint="eastAsia" w:ascii="仿宋" w:hAnsi="仿宋" w:eastAsia="仿宋"/>
          <w:b w:val="0"/>
          <w:bCs/>
          <w:color w:val="000000"/>
          <w:sz w:val="32"/>
          <w:szCs w:val="32"/>
        </w:rPr>
      </w:pPr>
      <w:r>
        <w:rPr>
          <w:rStyle w:val="14"/>
          <w:rFonts w:hint="eastAsia" w:ascii="仿宋" w:hAnsi="仿宋" w:eastAsia="仿宋"/>
          <w:b/>
          <w:bCs w:val="0"/>
          <w:color w:val="000000"/>
          <w:sz w:val="32"/>
          <w:szCs w:val="32"/>
          <w:lang w:eastAsia="zh-CN"/>
        </w:rPr>
        <w:t>③公务员医疗补助（项）：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4.28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964" w:firstLineChars="300"/>
        <w:rPr>
          <w:rStyle w:val="14"/>
          <w:rFonts w:hint="eastAsia" w:ascii="仿宋" w:hAnsi="仿宋" w:eastAsia="仿宋"/>
          <w:b/>
          <w:bCs w:val="0"/>
          <w:color w:val="000000"/>
          <w:sz w:val="32"/>
          <w:szCs w:val="32"/>
          <w:lang w:eastAsia="zh-CN"/>
        </w:rPr>
      </w:pPr>
      <w:r>
        <w:rPr>
          <w:rStyle w:val="14"/>
          <w:rFonts w:hint="eastAsia" w:ascii="仿宋" w:hAnsi="仿宋" w:eastAsia="仿宋"/>
          <w:b/>
          <w:bCs w:val="0"/>
          <w:color w:val="000000"/>
          <w:sz w:val="32"/>
          <w:szCs w:val="32"/>
          <w:lang w:eastAsia="zh-CN"/>
        </w:rPr>
        <w:t>④其他行政事业单位医疗支出（项）：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0.19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hint="eastAsia" w:ascii="仿宋" w:hAnsi="仿宋" w:eastAsia="仿宋"/>
          <w:bCs/>
          <w:color w:val="000000"/>
          <w:sz w:val="32"/>
          <w:szCs w:val="32"/>
        </w:rPr>
        <w:t>城乡社区支出（类）城乡社区管理事务（款</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rPr>
        <w:t>其</w:t>
      </w:r>
      <w:r>
        <w:rPr>
          <w:rStyle w:val="14"/>
          <w:rFonts w:hint="eastAsia" w:ascii="仿宋" w:hAnsi="仿宋" w:eastAsia="仿宋"/>
          <w:bCs/>
          <w:color w:val="000000"/>
          <w:sz w:val="32"/>
          <w:szCs w:val="32"/>
          <w:lang w:eastAsia="zh-CN"/>
        </w:rPr>
        <w:t>他</w:t>
      </w:r>
      <w:r>
        <w:rPr>
          <w:rStyle w:val="14"/>
          <w:rFonts w:hint="eastAsia" w:ascii="仿宋" w:hAnsi="仿宋" w:eastAsia="仿宋"/>
          <w:bCs/>
          <w:color w:val="000000"/>
          <w:sz w:val="32"/>
          <w:szCs w:val="32"/>
        </w:rPr>
        <w:t>城乡社区管理事务支出（项）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25.42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Cs/>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农林水支出（类）</w:t>
      </w:r>
    </w:p>
    <w:p>
      <w:pPr>
        <w:spacing w:line="600" w:lineRule="exact"/>
        <w:ind w:firstLine="643" w:firstLineChars="200"/>
        <w:rPr>
          <w:rStyle w:val="14"/>
          <w:rFonts w:hint="eastAsia" w:ascii="仿宋" w:hAnsi="仿宋" w:eastAsia="仿宋"/>
          <w:bCs/>
          <w:color w:val="000000"/>
          <w:sz w:val="32"/>
          <w:szCs w:val="32"/>
        </w:rPr>
      </w:pP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rPr>
        <w:t>农业（款）</w:t>
      </w:r>
    </w:p>
    <w:p>
      <w:pPr>
        <w:spacing w:line="600" w:lineRule="exact"/>
        <w:ind w:firstLine="964" w:firstLineChars="3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①农业组织化与产业化经营（项）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964" w:firstLineChars="3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②农村道路建设</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5"/>
        </w:numPr>
        <w:spacing w:line="600" w:lineRule="exact"/>
        <w:ind w:firstLine="643" w:firstLineChars="200"/>
        <w:rPr>
          <w:rStyle w:val="14"/>
          <w:rFonts w:hint="eastAsia" w:ascii="仿宋" w:hAnsi="仿宋" w:eastAsia="仿宋"/>
          <w:b/>
          <w:bCs w:val="0"/>
          <w:color w:val="000000"/>
          <w:sz w:val="32"/>
          <w:szCs w:val="32"/>
          <w:lang w:eastAsia="zh-CN"/>
        </w:rPr>
      </w:pPr>
      <w:r>
        <w:rPr>
          <w:rStyle w:val="14"/>
          <w:rFonts w:hint="eastAsia" w:ascii="仿宋" w:hAnsi="仿宋" w:eastAsia="仿宋"/>
          <w:b/>
          <w:bCs w:val="0"/>
          <w:color w:val="000000"/>
          <w:sz w:val="32"/>
          <w:szCs w:val="32"/>
          <w:lang w:eastAsia="zh-CN"/>
        </w:rPr>
        <w:t>水利（款）</w:t>
      </w:r>
    </w:p>
    <w:p>
      <w:pPr>
        <w:numPr>
          <w:ilvl w:val="0"/>
          <w:numId w:val="0"/>
        </w:numPr>
        <w:spacing w:line="600" w:lineRule="exact"/>
        <w:ind w:firstLine="964" w:firstLineChars="3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①农田水利</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964" w:firstLineChars="3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②农村人畜饮水</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
          <w:bCs w:val="0"/>
          <w:color w:val="000000"/>
          <w:sz w:val="32"/>
          <w:szCs w:val="32"/>
          <w:lang w:eastAsia="zh-CN"/>
        </w:rPr>
        <w:t>（</w:t>
      </w:r>
      <w:r>
        <w:rPr>
          <w:rStyle w:val="14"/>
          <w:rFonts w:hint="eastAsia" w:ascii="仿宋" w:hAnsi="仿宋" w:eastAsia="仿宋"/>
          <w:b/>
          <w:bCs w:val="0"/>
          <w:color w:val="000000"/>
          <w:sz w:val="32"/>
          <w:szCs w:val="32"/>
          <w:lang w:val="en-US" w:eastAsia="zh-CN"/>
        </w:rPr>
        <w:t>3</w:t>
      </w:r>
      <w:r>
        <w:rPr>
          <w:rStyle w:val="14"/>
          <w:rFonts w:hint="eastAsia" w:ascii="仿宋" w:hAnsi="仿宋" w:eastAsia="仿宋"/>
          <w:b/>
          <w:bCs w:val="0"/>
          <w:color w:val="000000"/>
          <w:sz w:val="32"/>
          <w:szCs w:val="32"/>
          <w:lang w:eastAsia="zh-CN"/>
        </w:rPr>
        <w:t>）扶贫（款）其他扶贫支出（项）：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leftChars="200" w:firstLine="321" w:firstLineChars="100"/>
        <w:rPr>
          <w:rStyle w:val="14"/>
          <w:rFonts w:hint="eastAsia" w:ascii="仿宋" w:hAnsi="仿宋" w:eastAsia="仿宋"/>
          <w:b/>
          <w:bCs w:val="0"/>
          <w:color w:val="000000"/>
          <w:sz w:val="32"/>
          <w:szCs w:val="32"/>
          <w:lang w:eastAsia="zh-CN"/>
        </w:rPr>
      </w:pPr>
      <w:r>
        <w:rPr>
          <w:rStyle w:val="14"/>
          <w:rFonts w:hint="eastAsia" w:ascii="仿宋" w:hAnsi="仿宋" w:eastAsia="仿宋"/>
          <w:b/>
          <w:bCs w:val="0"/>
          <w:color w:val="000000"/>
          <w:sz w:val="32"/>
          <w:szCs w:val="32"/>
          <w:lang w:eastAsia="zh-CN"/>
        </w:rPr>
        <w:t>（</w:t>
      </w:r>
      <w:r>
        <w:rPr>
          <w:rStyle w:val="14"/>
          <w:rFonts w:hint="eastAsia" w:ascii="仿宋" w:hAnsi="仿宋" w:eastAsia="仿宋"/>
          <w:b/>
          <w:bCs w:val="0"/>
          <w:color w:val="000000"/>
          <w:sz w:val="32"/>
          <w:szCs w:val="32"/>
          <w:lang w:val="en-US" w:eastAsia="zh-CN"/>
        </w:rPr>
        <w:t>4</w:t>
      </w:r>
      <w:r>
        <w:rPr>
          <w:rStyle w:val="14"/>
          <w:rFonts w:hint="eastAsia" w:ascii="仿宋" w:hAnsi="仿宋" w:eastAsia="仿宋"/>
          <w:b/>
          <w:bCs w:val="0"/>
          <w:color w:val="000000"/>
          <w:sz w:val="32"/>
          <w:szCs w:val="32"/>
          <w:lang w:eastAsia="zh-CN"/>
        </w:rPr>
        <w:t>）农村综合改革（款）</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①对村民委员会和村党支部的补助</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232.22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②对村集体经济组织的补助</w:t>
      </w:r>
      <w:r>
        <w:rPr>
          <w:rStyle w:val="14"/>
          <w:rFonts w:hint="eastAsia" w:ascii="仿宋" w:hAnsi="仿宋" w:eastAsia="仿宋"/>
          <w:bCs/>
          <w:color w:val="000000"/>
          <w:sz w:val="32"/>
          <w:szCs w:val="32"/>
          <w:lang w:eastAsia="zh-CN"/>
        </w:rPr>
        <w:t>（项）：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6"/>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商业服务业等支出（类）旅游业管理与服务支出（款）其他旅游业管理与服务支出（项）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6"/>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住房保障支出（类）住房改革支出（款）住房公积金（项）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26.63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25"/>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670.60</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506.76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163.84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（数据来源财决</w:t>
      </w:r>
      <w:r>
        <w:rPr>
          <w:rFonts w:ascii="仿宋" w:hAnsi="仿宋" w:eastAsia="仿宋"/>
          <w:b/>
          <w:color w:val="000000" w:themeColor="text1"/>
          <w:sz w:val="32"/>
          <w:szCs w:val="32"/>
          <w14:textFill>
            <w14:solidFill>
              <w14:schemeClr w14:val="tx1"/>
            </w14:solidFill>
          </w14:textFill>
        </w:rPr>
        <w:t>0</w:t>
      </w:r>
      <w:r>
        <w:rPr>
          <w:rFonts w:hint="eastAsia" w:ascii="仿宋" w:hAnsi="仿宋" w:eastAsia="仿宋"/>
          <w:b/>
          <w:color w:val="000000" w:themeColor="text1"/>
          <w:sz w:val="32"/>
          <w:szCs w:val="32"/>
          <w14:textFill>
            <w14:solidFill>
              <w14:schemeClr w14:val="tx1"/>
            </w14:solidFill>
          </w14:textFill>
        </w:rPr>
        <w:t>7表，根据本部门实际支出情况罗列全部经济分类科目。）</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8年“三公”经费财政拨款支出决算中，公务接待费支出决算</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rPr>
          <w:rFonts w:hint="eastAsia"/>
        </w:rPr>
      </w:pPr>
      <w:r>
        <w:drawing>
          <wp:inline distT="0" distB="0" distL="114300" distR="114300">
            <wp:extent cx="4572000" cy="2743200"/>
            <wp:effectExtent l="4445" t="4445" r="14605" b="1460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30.43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脱贫攻坚、迎检支出增加</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342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1714</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hint="eastAsia" w:ascii="黑体" w:eastAsia="黑体"/>
          <w:color w:val="000000"/>
          <w:sz w:val="32"/>
          <w:szCs w:val="32"/>
        </w:rPr>
      </w:pPr>
      <w:bookmarkStart w:id="50" w:name="_Toc15396610"/>
      <w:bookmarkStart w:id="51"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hint="default" w:ascii="仿宋_GB2312" w:eastAsia="仿宋_GB2312"/>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120.47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其中：  征地和拆迁补偿支出</w:t>
      </w:r>
      <w:r>
        <w:rPr>
          <w:rFonts w:hint="eastAsia" w:ascii="仿宋_GB2312" w:eastAsia="仿宋_GB2312"/>
          <w:color w:val="000000"/>
          <w:sz w:val="32"/>
          <w:szCs w:val="32"/>
          <w:lang w:val="en-US" w:eastAsia="zh-CN"/>
        </w:rPr>
        <w:t>26万元，占4.98%；农村基础设施建设支出24.63万元，占20.44%；其他国有土地使用权出让收入安排的支出53.84万元，占44.69%；用于社会福利的彩票公益金支出16万元，占13.28%。</w:t>
      </w:r>
    </w:p>
    <w:p>
      <w:pPr>
        <w:spacing w:line="600" w:lineRule="exact"/>
        <w:ind w:firstLine="640"/>
        <w:rPr>
          <w:rFonts w:ascii="仿宋_GB2312" w:eastAsia="仿宋_GB2312"/>
          <w:color w:val="000000"/>
          <w:sz w:val="32"/>
          <w:szCs w:val="32"/>
        </w:rPr>
      </w:pPr>
    </w:p>
    <w:p>
      <w:pPr>
        <w:numPr>
          <w:ilvl w:val="0"/>
          <w:numId w:val="7"/>
        </w:numPr>
        <w:spacing w:line="600" w:lineRule="exact"/>
        <w:ind w:firstLine="640"/>
        <w:outlineLvl w:val="1"/>
        <w:rPr>
          <w:rStyle w:val="25"/>
          <w:rFonts w:ascii="黑体" w:hAnsi="黑体" w:eastAsia="黑体"/>
          <w:b w:val="0"/>
        </w:rPr>
      </w:pPr>
      <w:bookmarkStart w:id="52" w:name="_Toc15377219"/>
      <w:bookmarkStart w:id="53" w:name="_Toc15396611"/>
      <w:r>
        <w:rPr>
          <w:rStyle w:val="25"/>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8"/>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9"/>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柏树镇</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eastAsia="zh-CN"/>
        </w:rPr>
        <w:t>关工委、武装专项经费、道路安全管理、人大代表活动经费、财政专项经费、纪检专项经费、党建专项经费等</w:t>
      </w:r>
      <w:r>
        <w:rPr>
          <w:rFonts w:hint="eastAsia" w:ascii="仿宋_GB2312" w:hAnsi="仿宋_GB2312" w:eastAsia="仿宋_GB2312" w:cs="仿宋_GB2312"/>
          <w:sz w:val="32"/>
          <w:szCs w:val="32"/>
          <w:lang w:val="en-US" w:eastAsia="zh-CN"/>
        </w:rPr>
        <w:t>41个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w:t>
      </w:r>
      <w:r>
        <w:rPr>
          <w:rFonts w:hint="eastAsia" w:ascii="仿宋_GB2312" w:hAnsi="仿宋_GB2312" w:eastAsia="仿宋_GB2312" w:cs="仿宋_GB2312"/>
          <w:sz w:val="32"/>
          <w:szCs w:val="32"/>
          <w:lang w:eastAsia="zh-CN"/>
        </w:rPr>
        <w:t>项目按年初计划进行实施，方便了群众的生产生活，解决了群众饮水、出行难等问题，达到项目绩效的预期目标</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基础设施</w:t>
      </w:r>
      <w:r>
        <w:rPr>
          <w:rFonts w:hint="eastAsia" w:ascii="仿宋_GB2312" w:hAnsi="仿宋_GB2312" w:eastAsia="仿宋_GB2312" w:cs="仿宋_GB2312"/>
          <w:sz w:val="32"/>
          <w:szCs w:val="32"/>
        </w:rPr>
        <w:t>项目绩效评价，从评价情况来看</w:t>
      </w:r>
      <w:r>
        <w:rPr>
          <w:rFonts w:hint="eastAsia" w:ascii="仿宋_GB2312" w:hAnsi="仿宋_GB2312" w:eastAsia="仿宋_GB2312" w:cs="仿宋_GB2312"/>
          <w:sz w:val="32"/>
          <w:szCs w:val="32"/>
          <w:lang w:eastAsia="zh-CN"/>
        </w:rPr>
        <w:t>群众满意度较高，充分发挥了项目资金的效益作用。</w:t>
      </w:r>
    </w:p>
    <w:p>
      <w:pPr>
        <w:numPr>
          <w:ilvl w:val="0"/>
          <w:numId w:val="9"/>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仿宋_GB2312" w:eastAsia="仿宋_GB2312" w:cs="仿宋_GB2312"/>
          <w:sz w:val="32"/>
          <w:szCs w:val="32"/>
          <w:lang w:eastAsia="zh-CN"/>
        </w:rPr>
        <w:t>一般公共服务支出</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19个项目</w:t>
      </w:r>
      <w:r>
        <w:rPr>
          <w:rFonts w:hint="eastAsia" w:ascii="仿宋_GB2312" w:hAnsi="仿宋_GB2312" w:eastAsia="仿宋_GB2312" w:cs="仿宋_GB2312"/>
          <w:sz w:val="32"/>
          <w:szCs w:val="32"/>
          <w:lang w:eastAsia="zh-CN"/>
        </w:rPr>
        <w:t>、“医疗卫生与计划生育支出”</w:t>
      </w:r>
      <w:r>
        <w:rPr>
          <w:rFonts w:hint="eastAsia" w:ascii="仿宋_GB2312" w:hAnsi="仿宋_GB2312" w:eastAsia="仿宋_GB2312" w:cs="仿宋_GB2312"/>
          <w:sz w:val="32"/>
          <w:szCs w:val="32"/>
          <w:lang w:val="en-US" w:eastAsia="zh-CN"/>
        </w:rPr>
        <w:t>1个项目</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1个项目、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8个项目</w:t>
      </w:r>
      <w:r>
        <w:rPr>
          <w:rFonts w:hint="eastAsia" w:ascii="仿宋_GB2312" w:hAnsi="仿宋_GB2312" w:eastAsia="仿宋_GB2312" w:cs="仿宋_GB2312"/>
          <w:sz w:val="32"/>
          <w:szCs w:val="32"/>
          <w:lang w:eastAsia="zh-CN"/>
        </w:rPr>
        <w:t>、“商业服务等支出”</w:t>
      </w:r>
      <w:r>
        <w:rPr>
          <w:rFonts w:hint="eastAsia" w:ascii="仿宋_GB2312" w:hAnsi="仿宋_GB2312" w:eastAsia="仿宋_GB2312" w:cs="仿宋_GB2312"/>
          <w:sz w:val="32"/>
          <w:szCs w:val="32"/>
          <w:lang w:val="en-US" w:eastAsia="zh-CN"/>
        </w:rPr>
        <w:t>1个项目</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11个项目</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个项目绩效目标</w:t>
      </w:r>
      <w:r>
        <w:rPr>
          <w:rFonts w:hint="eastAsia" w:ascii="仿宋_GB2312" w:hAnsi="仿宋_GB2312" w:eastAsia="仿宋_GB2312" w:cs="仿宋_GB2312"/>
          <w:sz w:val="32"/>
          <w:szCs w:val="32"/>
          <w:lang w:eastAsia="zh-CN"/>
        </w:rPr>
        <w:t>全部完成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柏树镇</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382.043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382.043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并对农林水项目支出的</w:t>
      </w:r>
      <w:r>
        <w:rPr>
          <w:rFonts w:hint="eastAsia" w:ascii="仿宋_GB2312" w:hAnsi="仿宋_GB2312" w:eastAsia="仿宋_GB2312" w:cs="仿宋_GB2312"/>
          <w:sz w:val="32"/>
          <w:szCs w:val="32"/>
          <w:lang w:val="en-US" w:eastAsia="zh-CN"/>
        </w:rPr>
        <w:t>8个</w:t>
      </w:r>
      <w:r>
        <w:rPr>
          <w:rFonts w:hint="eastAsia" w:ascii="仿宋_GB2312" w:hAnsi="仿宋_GB2312" w:eastAsia="仿宋_GB2312" w:cs="仿宋_GB2312"/>
          <w:sz w:val="32"/>
          <w:szCs w:val="32"/>
          <w:lang w:eastAsia="zh-CN"/>
        </w:rPr>
        <w:t>项目进行了公开公示。</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月潭村饮水工程</w:t>
      </w:r>
      <w:r>
        <w:rPr>
          <w:rFonts w:hint="eastAsia" w:ascii="仿宋_GB2312" w:hAnsi="仿宋_GB2312" w:eastAsia="仿宋_GB2312" w:cs="仿宋_GB2312"/>
          <w:sz w:val="32"/>
          <w:szCs w:val="32"/>
        </w:rPr>
        <w:t>绩效目标完成情况</w:t>
      </w:r>
      <w:r>
        <w:rPr>
          <w:rFonts w:hint="eastAsia" w:ascii="仿宋_GB2312" w:hAnsi="仿宋_GB2312" w:eastAsia="仿宋_GB2312" w:cs="仿宋_GB2312"/>
          <w:sz w:val="32"/>
          <w:szCs w:val="32"/>
          <w:lang w:eastAsia="zh-CN"/>
        </w:rPr>
        <w:t>，月潭村饮水工程</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解决了群众饮水困难问题，提高了群众的满意度，促进了农村社会稳定。</w:t>
      </w:r>
    </w:p>
    <w:tbl>
      <w:tblPr>
        <w:tblStyle w:val="12"/>
        <w:tblpPr w:leftFromText="180" w:rightFromText="180" w:vertAnchor="text" w:horzAnchor="page" w:tblpXSpec="center" w:tblpY="423"/>
        <w:tblOverlap w:val="never"/>
        <w:tblW w:w="8794" w:type="dxa"/>
        <w:tblInd w:w="0" w:type="dxa"/>
        <w:tblLayout w:type="fixed"/>
        <w:tblCellMar>
          <w:top w:w="0" w:type="dxa"/>
          <w:left w:w="0" w:type="dxa"/>
          <w:bottom w:w="0" w:type="dxa"/>
          <w:right w:w="0" w:type="dxa"/>
        </w:tblCellMar>
      </w:tblPr>
      <w:tblGrid>
        <w:gridCol w:w="488"/>
        <w:gridCol w:w="1050"/>
        <w:gridCol w:w="1333"/>
        <w:gridCol w:w="1923"/>
        <w:gridCol w:w="2417"/>
        <w:gridCol w:w="1583"/>
      </w:tblGrid>
      <w:tr>
        <w:tblPrEx>
          <w:tblLayout w:type="fixed"/>
          <w:tblCellMar>
            <w:top w:w="0" w:type="dxa"/>
            <w:left w:w="0" w:type="dxa"/>
            <w:bottom w:w="0" w:type="dxa"/>
            <w:right w:w="0" w:type="dxa"/>
          </w:tblCellMar>
        </w:tblPrEx>
        <w:trPr>
          <w:trHeight w:val="1034" w:hRule="atLeast"/>
        </w:trPr>
        <w:tc>
          <w:tcPr>
            <w:tcW w:w="8794"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483" w:hRule="atLeast"/>
        </w:trPr>
        <w:tc>
          <w:tcPr>
            <w:tcW w:w="287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592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柏树镇月潭村饮水工程</w:t>
            </w:r>
          </w:p>
        </w:tc>
      </w:tr>
      <w:tr>
        <w:tblPrEx>
          <w:tblLayout w:type="fixed"/>
          <w:tblCellMar>
            <w:top w:w="0" w:type="dxa"/>
            <w:left w:w="0" w:type="dxa"/>
            <w:bottom w:w="0" w:type="dxa"/>
            <w:right w:w="0" w:type="dxa"/>
          </w:tblCellMar>
        </w:tblPrEx>
        <w:trPr>
          <w:trHeight w:val="517" w:hRule="atLeast"/>
        </w:trPr>
        <w:tc>
          <w:tcPr>
            <w:tcW w:w="287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592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柏树镇月潭村</w:t>
            </w:r>
          </w:p>
        </w:tc>
      </w:tr>
      <w:tr>
        <w:tblPrEx>
          <w:tblLayout w:type="fixed"/>
          <w:tblCellMar>
            <w:top w:w="0" w:type="dxa"/>
            <w:left w:w="0" w:type="dxa"/>
            <w:bottom w:w="0" w:type="dxa"/>
            <w:right w:w="0" w:type="dxa"/>
          </w:tblCellMar>
        </w:tblPrEx>
        <w:trPr>
          <w:trHeight w:val="650" w:hRule="atLeast"/>
        </w:trPr>
        <w:tc>
          <w:tcPr>
            <w:tcW w:w="4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15万元</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15万元</w:t>
            </w:r>
          </w:p>
        </w:tc>
      </w:tr>
      <w:tr>
        <w:tblPrEx>
          <w:tblLayout w:type="fixed"/>
          <w:tblCellMar>
            <w:top w:w="0" w:type="dxa"/>
            <w:left w:w="0" w:type="dxa"/>
            <w:bottom w:w="0" w:type="dxa"/>
            <w:right w:w="0" w:type="dxa"/>
          </w:tblCellMar>
        </w:tblPrEx>
        <w:trPr>
          <w:trHeight w:val="550"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15万元</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15万元</w:t>
            </w:r>
          </w:p>
        </w:tc>
      </w:tr>
      <w:tr>
        <w:tblPrEx>
          <w:tblLayout w:type="fixed"/>
          <w:tblCellMar>
            <w:top w:w="0" w:type="dxa"/>
            <w:left w:w="0" w:type="dxa"/>
            <w:bottom w:w="0" w:type="dxa"/>
            <w:right w:w="0" w:type="dxa"/>
          </w:tblCellMar>
        </w:tblPrEx>
        <w:trPr>
          <w:trHeight w:val="1511"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598" w:hRule="atLeast"/>
        </w:trPr>
        <w:tc>
          <w:tcPr>
            <w:tcW w:w="4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3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0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3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解决</w:t>
            </w:r>
            <w:r>
              <w:rPr>
                <w:rFonts w:hint="eastAsia" w:ascii="宋体" w:hAnsi="宋体" w:cs="宋体"/>
                <w:color w:val="000000"/>
                <w:sz w:val="24"/>
                <w:lang w:val="en-US" w:eastAsia="zh-CN"/>
              </w:rPr>
              <w:t>3社105户268人饮水困难问题</w:t>
            </w:r>
          </w:p>
        </w:tc>
        <w:tc>
          <w:tcPr>
            <w:tcW w:w="40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已解决</w:t>
            </w:r>
            <w:r>
              <w:rPr>
                <w:rFonts w:hint="eastAsia" w:ascii="宋体" w:hAnsi="宋体" w:cs="宋体"/>
                <w:color w:val="000000"/>
                <w:sz w:val="24"/>
                <w:lang w:val="en-US" w:eastAsia="zh-CN"/>
              </w:rPr>
              <w:t>108户275人饮水困难问题</w:t>
            </w:r>
          </w:p>
        </w:tc>
      </w:tr>
      <w:tr>
        <w:tblPrEx>
          <w:tblLayout w:type="fixed"/>
          <w:tblCellMar>
            <w:top w:w="0" w:type="dxa"/>
            <w:left w:w="0" w:type="dxa"/>
            <w:bottom w:w="0" w:type="dxa"/>
            <w:right w:w="0" w:type="dxa"/>
          </w:tblCellMar>
        </w:tblPrEx>
        <w:trPr>
          <w:trHeight w:val="1042" w:hRule="atLeast"/>
        </w:trPr>
        <w:tc>
          <w:tcPr>
            <w:tcW w:w="4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3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13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105户</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268人</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108户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275人</w:t>
            </w:r>
          </w:p>
        </w:tc>
      </w:tr>
      <w:tr>
        <w:tblPrEx>
          <w:tblLayout w:type="fixed"/>
          <w:tblCellMar>
            <w:top w:w="0" w:type="dxa"/>
            <w:left w:w="0" w:type="dxa"/>
            <w:bottom w:w="0" w:type="dxa"/>
            <w:right w:w="0" w:type="dxa"/>
          </w:tblCellMar>
        </w:tblPrEx>
        <w:trPr>
          <w:trHeight w:val="1297"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13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饮用水标准</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饮用水标准</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饮用水标准</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color w:val="000000"/>
                <w:sz w:val="24"/>
                <w:lang w:eastAsia="zh-CN"/>
              </w:rPr>
              <w:t>饮用水标准</w:t>
            </w:r>
          </w:p>
        </w:tc>
      </w:tr>
      <w:tr>
        <w:tblPrEx>
          <w:tblLayout w:type="fixed"/>
          <w:tblCellMar>
            <w:top w:w="0" w:type="dxa"/>
            <w:left w:w="0" w:type="dxa"/>
            <w:bottom w:w="0" w:type="dxa"/>
            <w:right w:w="0" w:type="dxa"/>
          </w:tblCellMar>
        </w:tblPrEx>
        <w:trPr>
          <w:trHeight w:val="1042"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bidi="ar"/>
              </w:rPr>
              <w:t>时效指标</w:t>
            </w:r>
          </w:p>
        </w:tc>
        <w:tc>
          <w:tcPr>
            <w:tcW w:w="13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2018年12月底</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2018年12月底</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2018年11月30日</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2018年11月30日</w:t>
            </w:r>
          </w:p>
        </w:tc>
      </w:tr>
      <w:tr>
        <w:tblPrEx>
          <w:tblLayout w:type="fixed"/>
          <w:tblCellMar>
            <w:top w:w="0" w:type="dxa"/>
            <w:left w:w="0" w:type="dxa"/>
            <w:bottom w:w="0" w:type="dxa"/>
            <w:right w:w="0" w:type="dxa"/>
          </w:tblCellMar>
        </w:tblPrEx>
        <w:trPr>
          <w:trHeight w:val="1297"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3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改善人畜饮水困难</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改善人畜饮水困难</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已改善人畜饮水困难</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已改善人畜饮水困难</w:t>
            </w:r>
          </w:p>
        </w:tc>
      </w:tr>
      <w:tr>
        <w:tblPrEx>
          <w:tblLayout w:type="fixed"/>
          <w:tblCellMar>
            <w:top w:w="0" w:type="dxa"/>
            <w:left w:w="0" w:type="dxa"/>
            <w:bottom w:w="0" w:type="dxa"/>
            <w:right w:w="0" w:type="dxa"/>
          </w:tblCellMar>
        </w:tblPrEx>
        <w:trPr>
          <w:trHeight w:val="1297"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3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3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受益群众</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w:t>
            </w:r>
          </w:p>
        </w:tc>
        <w:tc>
          <w:tcPr>
            <w:tcW w:w="19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受益群众</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大于</w:t>
            </w:r>
            <w:r>
              <w:rPr>
                <w:rFonts w:hint="eastAsia" w:ascii="宋体" w:hAnsi="宋体" w:cs="宋体"/>
                <w:color w:val="000000"/>
                <w:sz w:val="24"/>
                <w:lang w:val="en-US" w:eastAsia="zh-CN"/>
              </w:rPr>
              <w:t>90%</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r>
    </w:tbl>
    <w:p>
      <w:pPr>
        <w:rPr>
          <w:rFonts w:ascii="Calibri" w:hAnsi="Calibri"/>
        </w:rPr>
      </w:pPr>
    </w:p>
    <w:p>
      <w:pPr>
        <w:numPr>
          <w:ilvl w:val="0"/>
          <w:numId w:val="0"/>
        </w:numPr>
        <w:spacing w:line="580" w:lineRule="exact"/>
        <w:rPr>
          <w:rFonts w:ascii="仿宋" w:hAnsi="仿宋" w:eastAsia="仿宋" w:cs="仿宋_GB2312"/>
          <w:sz w:val="32"/>
          <w:szCs w:val="32"/>
        </w:rPr>
      </w:pPr>
      <w:r>
        <w:rPr>
          <w:rFonts w:hint="eastAsia" w:ascii="仿宋" w:hAnsi="仿宋" w:eastAsia="仿宋" w:cs="楷体_GB2312"/>
          <w:b/>
          <w:bCs/>
          <w:sz w:val="32"/>
          <w:szCs w:val="32"/>
          <w:lang w:eastAsia="zh-CN"/>
        </w:rPr>
        <w:t>（三）</w:t>
      </w: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柏树镇</w:t>
      </w:r>
      <w:r>
        <w:rPr>
          <w:rFonts w:hint="eastAsia" w:ascii="仿宋_GB2312" w:hAnsi="仿宋_GB2312" w:eastAsia="仿宋_GB2312" w:cs="仿宋_GB2312"/>
          <w:sz w:val="32"/>
          <w:szCs w:val="32"/>
        </w:rPr>
        <w:t>按要求对2018年部门整体支出绩效评价情况开展自评，《</w:t>
      </w:r>
      <w:r>
        <w:rPr>
          <w:rFonts w:hint="eastAsia" w:ascii="仿宋_GB2312" w:hAnsi="仿宋_GB2312" w:eastAsia="仿宋_GB2312" w:cs="仿宋_GB2312"/>
          <w:sz w:val="32"/>
          <w:szCs w:val="32"/>
          <w:lang w:eastAsia="zh-CN"/>
        </w:rPr>
        <w:t>柏树镇</w:t>
      </w:r>
      <w:r>
        <w:rPr>
          <w:rFonts w:hint="eastAsia" w:ascii="仿宋_GB2312" w:hAnsi="仿宋_GB2312" w:eastAsia="仿宋_GB2312" w:cs="仿宋_GB2312"/>
          <w:sz w:val="32"/>
          <w:szCs w:val="32"/>
        </w:rPr>
        <w:t>部门2018年部门整体支出绩效评价报告》见附件。</w:t>
      </w:r>
    </w:p>
    <w:p>
      <w:pPr>
        <w:spacing w:line="600" w:lineRule="exact"/>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柏树镇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163.84</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3.62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2.26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脱贫攻坚支出增加。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柏树镇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柏树镇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ascii="仿宋_GB2312" w:eastAsia="仿宋_GB2312"/>
          <w:b/>
          <w:color w:val="000000"/>
          <w:sz w:val="32"/>
          <w:szCs w:val="32"/>
        </w:rPr>
        <w:br w:type="page"/>
      </w:r>
    </w:p>
    <w:p>
      <w:pPr>
        <w:numPr>
          <w:ilvl w:val="0"/>
          <w:numId w:val="10"/>
        </w:numPr>
        <w:spacing w:line="600" w:lineRule="exact"/>
        <w:ind w:firstLine="663" w:firstLineChars="150"/>
        <w:jc w:val="center"/>
        <w:outlineLvl w:val="0"/>
        <w:rPr>
          <w:rStyle w:val="24"/>
          <w:rFonts w:ascii="黑体" w:hAnsi="黑体" w:eastAsia="黑体"/>
          <w:b w:val="0"/>
        </w:rPr>
      </w:pPr>
      <w:bookmarkStart w:id="59" w:name="_Toc15377225"/>
      <w:bookmarkStart w:id="60"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9.201一般公共服务支出：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sz w:val="32"/>
          <w:szCs w:val="32"/>
          <w:lang w:eastAsia="zh-CN"/>
        </w:rPr>
      </w:pPr>
      <w:r>
        <w:rPr>
          <w:rFonts w:hint="eastAsia" w:ascii="仿宋_GB2312" w:eastAsia="仿宋_GB2312"/>
          <w:color w:val="000000"/>
          <w:sz w:val="32"/>
          <w:szCs w:val="32"/>
        </w:rPr>
        <w:t>（1）20103</w:t>
      </w:r>
      <w:r>
        <w:rPr>
          <w:rFonts w:hint="eastAsia" w:ascii="仿宋_GB2312" w:eastAsia="仿宋_GB2312"/>
          <w:sz w:val="32"/>
          <w:szCs w:val="32"/>
        </w:rPr>
        <w:t>政府办公厅（室）及相关机构事务：2010301行政运行；2010302一般行政管理事务；2010399其他政府办公厅（室）及相关机构事务支出</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lang w:val="en-US" w:eastAsia="zh-CN"/>
        </w:rPr>
        <w:t>20106财政事务：2010699其他财政事务支出；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（3）20111纪检监察事务：2011105派驻派出机构；2011199其他纪检监察事务支出；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（4）20132组织事务：2013299其他组织事务支出；</w:t>
      </w:r>
    </w:p>
    <w:p>
      <w:pPr>
        <w:keepNext w:val="0"/>
        <w:keepLines w:val="0"/>
        <w:pageBreakBefore w:val="0"/>
        <w:kinsoku/>
        <w:wordWrap/>
        <w:overflowPunct/>
        <w:topLinePunct w:val="0"/>
        <w:bidi w:val="0"/>
        <w:spacing w:line="579"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（5）20199其他一般公共服务支出：2019999其他一般公共服务支出；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.208社会保障和就业支出：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20805行政事业单位离退休：2080501</w:t>
      </w:r>
      <w:r>
        <w:rPr>
          <w:rFonts w:hint="eastAsia" w:ascii="仿宋_GB2312" w:eastAsia="仿宋_GB2312"/>
          <w:sz w:val="32"/>
          <w:szCs w:val="32"/>
        </w:rPr>
        <w:t>归口管理的行政单位离退休；2080505机关事业单位基本养老保险缴费支出。</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（2）20808抚恤：2080802伤残抚恤；                 </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11</w:t>
      </w:r>
      <w:r>
        <w:rPr>
          <w:rFonts w:hint="eastAsia" w:ascii="仿宋_GB2312" w:eastAsia="仿宋_GB2312"/>
          <w:color w:val="000000"/>
          <w:sz w:val="32"/>
          <w:szCs w:val="32"/>
        </w:rPr>
        <w:t>.210医疗卫生与计划生育支出：</w:t>
      </w:r>
    </w:p>
    <w:p>
      <w:pPr>
        <w:keepNext w:val="0"/>
        <w:keepLines w:val="0"/>
        <w:pageBreakBefore w:val="0"/>
        <w:kinsoku/>
        <w:wordWrap/>
        <w:overflowPunct/>
        <w:topLinePunct w:val="0"/>
        <w:bidi w:val="0"/>
        <w:spacing w:line="579"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21004公共卫生；2100409重大公共卫生专项</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21011行政事业单位医疗：2101101行政单位医疗；</w:t>
      </w:r>
      <w:r>
        <w:rPr>
          <w:rFonts w:hint="eastAsia" w:ascii="仿宋_GB2312" w:eastAsia="仿宋_GB2312"/>
          <w:color w:val="000000"/>
          <w:sz w:val="32"/>
          <w:szCs w:val="32"/>
          <w:lang w:val="en-US" w:eastAsia="zh-CN"/>
        </w:rPr>
        <w:t>2101102事业单位医疗；</w:t>
      </w:r>
      <w:r>
        <w:rPr>
          <w:rFonts w:hint="eastAsia" w:ascii="仿宋_GB2312" w:eastAsia="仿宋_GB2312"/>
          <w:color w:val="000000"/>
          <w:sz w:val="32"/>
          <w:szCs w:val="32"/>
        </w:rPr>
        <w:t>2101103公务员医疗补助；2101199其他行政事业单位医疗支出。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.212城乡社区支出：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21201城乡社区管理事务：2120199其他城乡社区管理事务支出</w:t>
      </w:r>
    </w:p>
    <w:p>
      <w:pPr>
        <w:keepNext w:val="0"/>
        <w:keepLines w:val="0"/>
        <w:pageBreakBefore w:val="0"/>
        <w:kinsoku/>
        <w:wordWrap/>
        <w:overflowPunct/>
        <w:topLinePunct w:val="0"/>
        <w:bidi w:val="0"/>
        <w:spacing w:line="579"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（2）21208国有土地使用权出让收入及对应专项债务收入安排的支出：2120801征地和拆迁补偿支出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.213农林水支出：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21301农业：2130124农业组织化与产业化经营；2130142农村道理建设</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（2）21303水利：2310316农田水利；2130335农村人畜饮水</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（3）21305扶贫：2310599其他扶贫支出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（4）23107农村综合改革：2130705对村民委员会和村党支部的补助；2130706对集体经济组织的补助</w:t>
      </w:r>
    </w:p>
    <w:p>
      <w:pPr>
        <w:keepNext w:val="0"/>
        <w:keepLines w:val="0"/>
        <w:pageBreakBefore w:val="0"/>
        <w:kinsoku/>
        <w:wordWrap/>
        <w:overflowPunct/>
        <w:topLinePunct w:val="0"/>
        <w:bidi w:val="0"/>
        <w:spacing w:line="579"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14.216商业服务业等支出：21605旅游业管理于服务支出：2160599其他旅游业管理于服务支出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.221住房保障支出：</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22102住房改革支出：2210201住房公积金。</w:t>
      </w:r>
    </w:p>
    <w:p>
      <w:pPr>
        <w:keepNext w:val="0"/>
        <w:keepLines w:val="0"/>
        <w:pageBreakBefore w:val="0"/>
        <w:numPr>
          <w:ilvl w:val="0"/>
          <w:numId w:val="11"/>
        </w:numPr>
        <w:kinsoku/>
        <w:wordWrap/>
        <w:overflowPunct/>
        <w:topLinePunct w:val="0"/>
        <w:bidi w:val="0"/>
        <w:spacing w:line="579"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其他支出：</w:t>
      </w:r>
    </w:p>
    <w:p>
      <w:pPr>
        <w:keepNext w:val="0"/>
        <w:keepLines w:val="0"/>
        <w:pageBreakBefore w:val="0"/>
        <w:numPr>
          <w:ilvl w:val="0"/>
          <w:numId w:val="0"/>
        </w:numPr>
        <w:kinsoku/>
        <w:wordWrap/>
        <w:overflowPunct/>
        <w:topLinePunct w:val="0"/>
        <w:bidi w:val="0"/>
        <w:spacing w:line="579" w:lineRule="exact"/>
        <w:ind w:firstLine="64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（1）22904其他政府基金及对应专项债务收入安排的支出：2290400其他政府基金及对应专项债务收入安排的支出</w:t>
      </w:r>
    </w:p>
    <w:p>
      <w:pPr>
        <w:keepNext w:val="0"/>
        <w:keepLines w:val="0"/>
        <w:pageBreakBefore w:val="0"/>
        <w:numPr>
          <w:ilvl w:val="0"/>
          <w:numId w:val="0"/>
        </w:numPr>
        <w:kinsoku/>
        <w:wordWrap/>
        <w:overflowPunct/>
        <w:topLinePunct w:val="0"/>
        <w:bidi w:val="0"/>
        <w:spacing w:line="579" w:lineRule="exact"/>
        <w:ind w:firstLine="64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（2）22960彩票公益金及对应专项债务收入安排的支出：2296002用于社会福利的彩票公益金支出。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79" w:name="_GoBack"/>
      <w:bookmarkEnd w:id="79"/>
      <w:bookmarkStart w:id="61" w:name="_Toc15396614"/>
      <w:bookmarkStart w:id="62"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61"/>
    </w:p>
    <w:p>
      <w:pPr>
        <w:spacing w:line="600" w:lineRule="exact"/>
        <w:jc w:val="center"/>
        <w:outlineLvl w:val="0"/>
        <w:rPr>
          <w:rStyle w:val="24"/>
        </w:rPr>
      </w:pPr>
    </w:p>
    <w:p>
      <w:pPr>
        <w:pStyle w:val="3"/>
        <w:rPr>
          <w:rStyle w:val="24"/>
          <w:rFonts w:ascii="仿宋" w:hAnsi="仿宋" w:eastAsia="仿宋"/>
          <w:b w:val="0"/>
          <w:bCs w:val="0"/>
          <w:sz w:val="32"/>
          <w:szCs w:val="32"/>
        </w:rPr>
      </w:pPr>
      <w:bookmarkStart w:id="63" w:name="_Toc15396615"/>
      <w:r>
        <w:rPr>
          <w:rStyle w:val="24"/>
          <w:rFonts w:hint="eastAsia" w:ascii="仿宋" w:hAnsi="仿宋" w:eastAsia="仿宋"/>
          <w:b w:val="0"/>
          <w:bCs w:val="0"/>
          <w:sz w:val="32"/>
          <w:szCs w:val="32"/>
        </w:rPr>
        <w:t>附件1</w:t>
      </w:r>
      <w:bookmarkEnd w:id="63"/>
    </w:p>
    <w:p>
      <w:pPr>
        <w:spacing w:line="600" w:lineRule="exact"/>
        <w:jc w:val="center"/>
        <w:outlineLvl w:val="0"/>
        <w:rPr>
          <w:rFonts w:ascii="黑体" w:hAnsi="黑体" w:eastAsia="黑体" w:cs="方正小标宋简体"/>
          <w:sz w:val="36"/>
          <w:szCs w:val="36"/>
        </w:rPr>
      </w:pPr>
      <w:bookmarkStart w:id="64" w:name="_Toc15396616"/>
      <w:r>
        <w:rPr>
          <w:rFonts w:hint="eastAsia" w:ascii="黑体" w:hAnsi="黑体" w:eastAsia="黑体" w:cs="方正小标宋简体"/>
          <w:sz w:val="36"/>
          <w:szCs w:val="36"/>
          <w:lang w:eastAsia="zh-CN"/>
        </w:rPr>
        <w:t>柏树镇</w:t>
      </w:r>
      <w:r>
        <w:rPr>
          <w:rFonts w:hint="eastAsia" w:ascii="黑体" w:hAnsi="黑体" w:eastAsia="黑体" w:cs="方正小标宋简体"/>
          <w:sz w:val="36"/>
          <w:szCs w:val="36"/>
        </w:rPr>
        <w:t>2018年部门整体支出绩效评价报告</w:t>
      </w:r>
      <w:bookmarkEnd w:id="64"/>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960" w:firstLineChars="300"/>
        <w:rPr>
          <w:rFonts w:ascii="仿宋" w:hAnsi="仿宋" w:eastAsia="仿宋" w:cs="仿宋_GB2312"/>
          <w:sz w:val="32"/>
          <w:szCs w:val="32"/>
        </w:rPr>
      </w:pPr>
      <w:r>
        <w:rPr>
          <w:rFonts w:hint="eastAsia" w:ascii="仿宋" w:hAnsi="仿宋" w:eastAsia="仿宋" w:cs="仿宋_GB2312"/>
          <w:sz w:val="32"/>
          <w:szCs w:val="32"/>
          <w:lang w:eastAsia="zh-CN"/>
        </w:rPr>
        <w:t>宣汉县柏树镇地处宣汉县城</w:t>
      </w:r>
      <w:r>
        <w:rPr>
          <w:rFonts w:hint="eastAsia" w:ascii="仿宋" w:hAnsi="仿宋" w:eastAsia="仿宋" w:cs="仿宋_GB2312"/>
          <w:sz w:val="32"/>
          <w:szCs w:val="32"/>
          <w:lang w:val="en-US" w:eastAsia="zh-CN"/>
        </w:rPr>
        <w:t>30余公里的</w:t>
      </w:r>
      <w:r>
        <w:rPr>
          <w:rFonts w:hint="eastAsia" w:ascii="仿宋" w:hAnsi="仿宋" w:eastAsia="仿宋" w:cs="仿宋_GB2312"/>
          <w:sz w:val="32"/>
          <w:szCs w:val="32"/>
          <w:lang w:eastAsia="zh-CN"/>
        </w:rPr>
        <w:t>西南部，是四县交接处，北邻宣汉县七里乡、庙安乡、天宝乡</w:t>
      </w:r>
      <w:r>
        <w:rPr>
          <w:rFonts w:hint="eastAsia" w:ascii="仿宋" w:hAnsi="仿宋" w:eastAsia="仿宋" w:cs="仿宋_GB2312"/>
          <w:sz w:val="32"/>
          <w:szCs w:val="32"/>
          <w:lang w:val="en-US" w:eastAsia="zh-CN"/>
        </w:rPr>
        <w:t>，东邻开江县，西靠达州市通川区，南接达州市达川区，是附近的交通枢纽，</w:t>
      </w:r>
      <w:r>
        <w:rPr>
          <w:rFonts w:hint="eastAsia" w:ascii="仿宋" w:hAnsi="仿宋" w:eastAsia="仿宋" w:cs="仿宋_GB2312"/>
          <w:sz w:val="32"/>
          <w:szCs w:val="32"/>
          <w:lang w:eastAsia="zh-CN"/>
        </w:rPr>
        <w:t>辖区内还有国家森林公园观音山景区，</w:t>
      </w:r>
      <w:r>
        <w:rPr>
          <w:rFonts w:hint="default" w:ascii="仿宋" w:hAnsi="仿宋" w:eastAsia="仿宋" w:cs="仿宋_GB2312"/>
          <w:sz w:val="32"/>
          <w:szCs w:val="32"/>
          <w:lang w:eastAsia="zh-CN"/>
        </w:rPr>
        <w:t>全镇辖</w:t>
      </w:r>
      <w:r>
        <w:rPr>
          <w:rFonts w:hint="eastAsia" w:ascii="仿宋" w:hAnsi="仿宋" w:eastAsia="仿宋" w:cs="仿宋_GB2312"/>
          <w:sz w:val="32"/>
          <w:szCs w:val="32"/>
          <w:lang w:val="en-US" w:eastAsia="zh-CN"/>
        </w:rPr>
        <w:t>1</w:t>
      </w:r>
      <w:r>
        <w:rPr>
          <w:rFonts w:hint="default" w:ascii="仿宋" w:hAnsi="仿宋" w:eastAsia="仿宋" w:cs="仿宋_GB2312"/>
          <w:sz w:val="32"/>
          <w:szCs w:val="32"/>
          <w:lang w:eastAsia="zh-CN"/>
        </w:rPr>
        <w:t>个</w:t>
      </w:r>
      <w:r>
        <w:rPr>
          <w:rFonts w:hint="eastAsia" w:ascii="仿宋" w:hAnsi="仿宋" w:eastAsia="仿宋" w:cs="仿宋_GB2312"/>
          <w:sz w:val="32"/>
          <w:szCs w:val="32"/>
          <w:lang w:eastAsia="zh-CN"/>
        </w:rPr>
        <w:t>居民</w:t>
      </w:r>
      <w:r>
        <w:rPr>
          <w:rFonts w:hint="default" w:ascii="仿宋" w:hAnsi="仿宋" w:eastAsia="仿宋" w:cs="仿宋_GB2312"/>
          <w:sz w:val="32"/>
          <w:szCs w:val="32"/>
          <w:lang w:eastAsia="zh-CN"/>
        </w:rPr>
        <w:t>委会和</w:t>
      </w:r>
      <w:r>
        <w:rPr>
          <w:rFonts w:hint="eastAsia" w:ascii="仿宋" w:hAnsi="仿宋" w:eastAsia="仿宋" w:cs="仿宋_GB2312"/>
          <w:sz w:val="32"/>
          <w:szCs w:val="32"/>
          <w:lang w:val="en-US" w:eastAsia="zh-CN"/>
        </w:rPr>
        <w:t>11</w:t>
      </w:r>
      <w:r>
        <w:rPr>
          <w:rFonts w:hint="default" w:ascii="仿宋" w:hAnsi="仿宋" w:eastAsia="仿宋" w:cs="仿宋_GB2312"/>
          <w:sz w:val="32"/>
          <w:szCs w:val="32"/>
          <w:lang w:eastAsia="zh-CN"/>
        </w:rPr>
        <w:t>个村委会</w:t>
      </w:r>
      <w:r>
        <w:rPr>
          <w:rFonts w:hint="default" w:ascii="仿宋" w:hAnsi="仿宋" w:eastAsia="仿宋" w:cs="仿宋_GB2312"/>
          <w:sz w:val="32"/>
          <w:szCs w:val="32"/>
          <w:lang w:val="en-US" w:eastAsia="zh-CN"/>
        </w:rPr>
        <w:t>，</w:t>
      </w:r>
      <w:r>
        <w:rPr>
          <w:rFonts w:hint="eastAsia" w:ascii="仿宋" w:hAnsi="仿宋" w:eastAsia="仿宋" w:cs="仿宋_GB2312"/>
          <w:sz w:val="32"/>
          <w:szCs w:val="32"/>
          <w:lang w:val="en-US" w:eastAsia="zh-CN"/>
        </w:rPr>
        <w:t>共计2万多人。</w:t>
      </w:r>
    </w:p>
    <w:p>
      <w:pPr>
        <w:numPr>
          <w:ilvl w:val="0"/>
          <w:numId w:val="12"/>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（1）执行本级人民代表大会的决议和上级国家行政机关的决定和命令，发布决定和命令；</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(2）执行本行政区域内的经济和社会发展计划、预算，管理本行政区域内的经济、教育、科学、文化、卫生、体育事业和财政、民政、公安、司法行政、计划生育等行政工作；</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(3）保护社会主义的全民所有的财产和劳动群众集体所有的财产，保护公民私人所有的合法财产，维护社会秩序，保障公民的人身权利、民主权利和其他权利；</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(4）保护各种经济组织的合法权益；</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(5）保障少数民族的权利和尊重少数民族的风俗习惯；</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(6）保障宪法和法律赋予妇女的男女平等、同工同酬和婚姻自由等各项权利；</w:t>
      </w:r>
    </w:p>
    <w:p>
      <w:pPr>
        <w:numPr>
          <w:ilvl w:val="0"/>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(7）办理上级人民政府交办的其他事项。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960" w:firstLineChars="300"/>
        <w:rPr>
          <w:rFonts w:ascii="仿宋" w:hAnsi="仿宋" w:eastAsia="仿宋" w:cs="仿宋_GB2312"/>
          <w:sz w:val="32"/>
          <w:szCs w:val="32"/>
        </w:rPr>
      </w:pPr>
      <w:r>
        <w:rPr>
          <w:rFonts w:hint="eastAsia" w:ascii="仿宋" w:hAnsi="仿宋" w:eastAsia="仿宋" w:cs="仿宋_GB2312"/>
          <w:sz w:val="32"/>
          <w:szCs w:val="32"/>
          <w:lang w:eastAsia="zh-CN"/>
        </w:rPr>
        <w:t>柏树镇人民</w:t>
      </w:r>
      <w:r>
        <w:rPr>
          <w:rFonts w:hint="eastAsia" w:ascii="仿宋" w:hAnsi="仿宋" w:eastAsia="仿宋" w:cs="仿宋_GB2312"/>
          <w:sz w:val="32"/>
          <w:szCs w:val="32"/>
        </w:rPr>
        <w:t>政府</w:t>
      </w:r>
      <w:r>
        <w:rPr>
          <w:rFonts w:hint="eastAsia" w:ascii="仿宋" w:hAnsi="仿宋" w:eastAsia="仿宋" w:cs="仿宋_GB2312"/>
          <w:sz w:val="32"/>
          <w:szCs w:val="32"/>
          <w:lang w:eastAsia="zh-CN"/>
        </w:rPr>
        <w:t>现有职工</w:t>
      </w:r>
      <w:r>
        <w:rPr>
          <w:rFonts w:hint="eastAsia" w:ascii="仿宋" w:hAnsi="仿宋" w:eastAsia="仿宋" w:cs="仿宋_GB2312"/>
          <w:sz w:val="32"/>
          <w:szCs w:val="32"/>
          <w:lang w:val="en-US" w:eastAsia="zh-CN"/>
        </w:rPr>
        <w:t>36</w:t>
      </w:r>
      <w:r>
        <w:rPr>
          <w:rFonts w:hint="eastAsia" w:ascii="仿宋" w:hAnsi="仿宋" w:eastAsia="仿宋" w:cs="仿宋_GB2312"/>
          <w:sz w:val="32"/>
          <w:szCs w:val="32"/>
        </w:rPr>
        <w:t>人，事业编制</w:t>
      </w:r>
      <w:r>
        <w:rPr>
          <w:rFonts w:hint="eastAsia" w:ascii="仿宋" w:hAnsi="仿宋" w:eastAsia="仿宋" w:cs="仿宋_GB2312"/>
          <w:sz w:val="32"/>
          <w:szCs w:val="32"/>
          <w:lang w:val="en-US" w:eastAsia="zh-CN"/>
        </w:rPr>
        <w:t>9人</w:t>
      </w:r>
      <w:r>
        <w:rPr>
          <w:rFonts w:hint="eastAsia" w:ascii="仿宋" w:hAnsi="仿宋" w:eastAsia="仿宋" w:cs="仿宋_GB2312"/>
          <w:sz w:val="32"/>
          <w:szCs w:val="32"/>
        </w:rPr>
        <w:t>，</w:t>
      </w:r>
      <w:r>
        <w:rPr>
          <w:rFonts w:hint="eastAsia" w:ascii="仿宋" w:hAnsi="仿宋" w:eastAsia="仿宋" w:cs="仿宋_GB2312"/>
          <w:sz w:val="32"/>
          <w:szCs w:val="32"/>
          <w:lang w:eastAsia="zh-CN"/>
        </w:rPr>
        <w:t>行政编制</w:t>
      </w:r>
      <w:r>
        <w:rPr>
          <w:rFonts w:hint="eastAsia" w:ascii="仿宋" w:hAnsi="仿宋" w:eastAsia="仿宋" w:cs="仿宋_GB2312"/>
          <w:sz w:val="32"/>
          <w:szCs w:val="32"/>
          <w:lang w:val="en-US" w:eastAsia="zh-CN"/>
        </w:rPr>
        <w:t>27人</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（一）部门财政资金收入情况。</w:t>
      </w:r>
    </w:p>
    <w:p>
      <w:pPr>
        <w:spacing w:line="58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2018年我</w:t>
      </w:r>
      <w:r>
        <w:rPr>
          <w:rFonts w:hint="eastAsia" w:ascii="仿宋" w:hAnsi="仿宋" w:eastAsia="仿宋" w:cs="仿宋"/>
          <w:sz w:val="32"/>
          <w:szCs w:val="32"/>
          <w:lang w:eastAsia="zh-CN"/>
        </w:rPr>
        <w:t>镇财政拨款</w:t>
      </w:r>
      <w:r>
        <w:rPr>
          <w:rFonts w:hint="eastAsia" w:ascii="仿宋" w:hAnsi="仿宋" w:eastAsia="仿宋" w:cs="仿宋"/>
          <w:sz w:val="32"/>
          <w:szCs w:val="32"/>
        </w:rPr>
        <w:t>收入</w:t>
      </w:r>
      <w:r>
        <w:rPr>
          <w:rFonts w:hint="eastAsia" w:ascii="仿宋" w:hAnsi="仿宋" w:eastAsia="仿宋" w:cs="仿宋"/>
          <w:sz w:val="32"/>
          <w:szCs w:val="32"/>
          <w:lang w:val="en-US" w:eastAsia="zh-CN"/>
        </w:rPr>
        <w:t>1052.64万</w:t>
      </w:r>
      <w:r>
        <w:rPr>
          <w:rFonts w:hint="eastAsia" w:ascii="仿宋" w:hAnsi="仿宋" w:eastAsia="仿宋" w:cs="仿宋"/>
          <w:sz w:val="32"/>
          <w:szCs w:val="32"/>
        </w:rPr>
        <w:t>元，其中：</w:t>
      </w:r>
      <w:r>
        <w:rPr>
          <w:rFonts w:hint="eastAsia" w:ascii="仿宋" w:hAnsi="仿宋" w:eastAsia="仿宋" w:cs="仿宋"/>
          <w:sz w:val="32"/>
          <w:szCs w:val="32"/>
          <w:lang w:eastAsia="zh-CN"/>
        </w:rPr>
        <w:t>一</w:t>
      </w:r>
      <w:r>
        <w:rPr>
          <w:rFonts w:hint="eastAsia" w:ascii="仿宋" w:hAnsi="仿宋" w:eastAsia="仿宋" w:cs="仿宋"/>
          <w:sz w:val="32"/>
          <w:szCs w:val="32"/>
        </w:rPr>
        <w:t>般公共预算财政拨款</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932.18</w:t>
      </w:r>
      <w:r>
        <w:rPr>
          <w:rFonts w:hint="eastAsia" w:ascii="仿宋" w:hAnsi="仿宋" w:eastAsia="仿宋" w:cs="仿宋"/>
          <w:sz w:val="32"/>
          <w:szCs w:val="32"/>
        </w:rPr>
        <w:t>万元，政府性基金预算财政拨款</w:t>
      </w:r>
      <w:r>
        <w:rPr>
          <w:rFonts w:hint="eastAsia" w:ascii="仿宋" w:hAnsi="仿宋" w:eastAsia="仿宋" w:cs="仿宋"/>
          <w:sz w:val="32"/>
          <w:szCs w:val="32"/>
          <w:lang w:val="en-US" w:eastAsia="zh-CN"/>
        </w:rPr>
        <w:t>120.46</w:t>
      </w:r>
      <w:r>
        <w:rPr>
          <w:rFonts w:hint="eastAsia" w:ascii="仿宋" w:hAnsi="仿宋" w:eastAsia="仿宋" w:cs="仿宋"/>
          <w:sz w:val="32"/>
          <w:szCs w:val="32"/>
        </w:rPr>
        <w:t>万元。</w:t>
      </w:r>
    </w:p>
    <w:p>
      <w:pPr>
        <w:numPr>
          <w:ilvl w:val="0"/>
          <w:numId w:val="0"/>
        </w:numPr>
        <w:spacing w:line="580" w:lineRule="exact"/>
        <w:ind w:leftChars="200"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部门财政资金支出情况。</w:t>
      </w:r>
    </w:p>
    <w:p>
      <w:pPr>
        <w:keepNext w:val="0"/>
        <w:keepLines w:val="0"/>
        <w:pageBreakBefore w:val="0"/>
        <w:widowControl w:val="0"/>
        <w:numPr>
          <w:ilvl w:val="0"/>
          <w:numId w:val="0"/>
        </w:numPr>
        <w:kinsoku/>
        <w:wordWrap/>
        <w:overflowPunct/>
        <w:topLinePunct w:val="0"/>
        <w:autoSpaceDE/>
        <w:autoSpaceDN/>
        <w:bidi w:val="0"/>
        <w:adjustRightInd/>
        <w:spacing w:line="579"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000000"/>
          <w:kern w:val="0"/>
          <w:sz w:val="32"/>
          <w:szCs w:val="32"/>
          <w:shd w:val="clear" w:color="auto" w:fill="FFFFFF"/>
          <w:lang w:val="en-US" w:eastAsia="zh-CN"/>
        </w:rPr>
        <w:t>2018年我镇支出合计1052.64万元，其中：工资福利支出327.46万元，商品和服务支出255.06万元、对个人和家庭的补助支出为199.65万元，资本性支出270.47万元。</w:t>
      </w:r>
    </w:p>
    <w:p>
      <w:pPr>
        <w:keepNext w:val="0"/>
        <w:keepLines w:val="0"/>
        <w:pageBreakBefore w:val="0"/>
        <w:widowControl w:val="0"/>
        <w:numPr>
          <w:ilvl w:val="0"/>
          <w:numId w:val="13"/>
        </w:numPr>
        <w:kinsoku/>
        <w:wordWrap/>
        <w:overflowPunct/>
        <w:topLinePunct w:val="0"/>
        <w:autoSpaceDE/>
        <w:autoSpaceDN/>
        <w:bidi w:val="0"/>
        <w:adjustRightInd/>
        <w:spacing w:line="579" w:lineRule="atLeast"/>
        <w:ind w:firstLine="960" w:firstLineChars="3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工资福利支出</w:t>
      </w:r>
      <w:r>
        <w:rPr>
          <w:rFonts w:hint="eastAsia" w:ascii="仿宋" w:hAnsi="仿宋" w:eastAsia="仿宋" w:cs="仿宋"/>
          <w:color w:val="auto"/>
          <w:sz w:val="32"/>
          <w:szCs w:val="32"/>
          <w:lang w:val="en-US" w:eastAsia="zh-CN"/>
        </w:rPr>
        <w:t>327.46</w:t>
      </w:r>
      <w:r>
        <w:rPr>
          <w:rFonts w:hint="eastAsia" w:ascii="仿宋" w:hAnsi="仿宋" w:eastAsia="仿宋" w:cs="仿宋"/>
          <w:color w:val="auto"/>
          <w:sz w:val="32"/>
          <w:szCs w:val="32"/>
        </w:rPr>
        <w:t>万元，其中：基本工资为</w:t>
      </w:r>
      <w:r>
        <w:rPr>
          <w:rFonts w:hint="eastAsia" w:ascii="仿宋" w:hAnsi="仿宋" w:eastAsia="仿宋" w:cs="仿宋"/>
          <w:color w:val="auto"/>
          <w:sz w:val="32"/>
          <w:szCs w:val="32"/>
          <w:lang w:val="en-US" w:eastAsia="zh-CN"/>
        </w:rPr>
        <w:t>121.50</w:t>
      </w:r>
      <w:r>
        <w:rPr>
          <w:rFonts w:hint="eastAsia" w:ascii="仿宋" w:hAnsi="仿宋" w:eastAsia="仿宋" w:cs="仿宋"/>
          <w:color w:val="auto"/>
          <w:sz w:val="32"/>
          <w:szCs w:val="32"/>
        </w:rPr>
        <w:t>万元，津贴补贴为</w:t>
      </w:r>
      <w:r>
        <w:rPr>
          <w:rFonts w:hint="eastAsia" w:ascii="仿宋" w:hAnsi="仿宋" w:eastAsia="仿宋" w:cs="仿宋"/>
          <w:color w:val="auto"/>
          <w:sz w:val="32"/>
          <w:szCs w:val="32"/>
          <w:lang w:val="en-US" w:eastAsia="zh-CN"/>
        </w:rPr>
        <w:t>91.20</w:t>
      </w:r>
      <w:r>
        <w:rPr>
          <w:rFonts w:hint="eastAsia" w:ascii="仿宋" w:hAnsi="仿宋" w:eastAsia="仿宋" w:cs="仿宋"/>
          <w:color w:val="auto"/>
          <w:sz w:val="32"/>
          <w:szCs w:val="32"/>
        </w:rPr>
        <w:t>万元，奖金</w:t>
      </w:r>
      <w:r>
        <w:rPr>
          <w:rFonts w:hint="eastAsia" w:ascii="仿宋" w:hAnsi="仿宋" w:eastAsia="仿宋" w:cs="仿宋"/>
          <w:color w:val="auto"/>
          <w:sz w:val="32"/>
          <w:szCs w:val="32"/>
          <w:lang w:val="en-US" w:eastAsia="zh-CN"/>
        </w:rPr>
        <w:t>7.48</w:t>
      </w:r>
      <w:r>
        <w:rPr>
          <w:rFonts w:hint="eastAsia" w:ascii="仿宋" w:hAnsi="仿宋" w:eastAsia="仿宋" w:cs="仿宋"/>
          <w:color w:val="auto"/>
          <w:sz w:val="32"/>
          <w:szCs w:val="32"/>
        </w:rPr>
        <w:t>万元，绩效工资</w:t>
      </w:r>
      <w:r>
        <w:rPr>
          <w:rFonts w:hint="eastAsia" w:ascii="仿宋" w:hAnsi="仿宋" w:eastAsia="仿宋" w:cs="仿宋"/>
          <w:color w:val="auto"/>
          <w:sz w:val="32"/>
          <w:szCs w:val="32"/>
          <w:lang w:val="en-US" w:eastAsia="zh-CN"/>
        </w:rPr>
        <w:t>15.15</w:t>
      </w:r>
      <w:r>
        <w:rPr>
          <w:rFonts w:hint="eastAsia" w:ascii="仿宋" w:hAnsi="仿宋" w:eastAsia="仿宋" w:cs="仿宋"/>
          <w:color w:val="auto"/>
          <w:sz w:val="32"/>
          <w:szCs w:val="32"/>
        </w:rPr>
        <w:t>万元，在职职工养老保险</w:t>
      </w:r>
      <w:r>
        <w:rPr>
          <w:rFonts w:hint="eastAsia" w:ascii="仿宋" w:hAnsi="仿宋" w:eastAsia="仿宋" w:cs="仿宋"/>
          <w:color w:val="auto"/>
          <w:sz w:val="32"/>
          <w:szCs w:val="32"/>
          <w:lang w:val="en-US" w:eastAsia="zh-CN"/>
        </w:rPr>
        <w:t>42.78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职业年金</w:t>
      </w:r>
      <w:r>
        <w:rPr>
          <w:rFonts w:hint="eastAsia" w:ascii="仿宋" w:hAnsi="仿宋" w:eastAsia="仿宋" w:cs="仿宋"/>
          <w:color w:val="auto"/>
          <w:sz w:val="32"/>
          <w:szCs w:val="32"/>
        </w:rPr>
        <w:t>缴费</w:t>
      </w:r>
      <w:r>
        <w:rPr>
          <w:rFonts w:hint="eastAsia" w:ascii="仿宋" w:hAnsi="仿宋" w:eastAsia="仿宋" w:cs="仿宋"/>
          <w:color w:val="auto"/>
          <w:sz w:val="32"/>
          <w:szCs w:val="32"/>
          <w:lang w:val="en-US" w:eastAsia="zh-CN"/>
        </w:rPr>
        <w:t>1.60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其他社会保障费</w:t>
      </w:r>
      <w:r>
        <w:rPr>
          <w:rFonts w:hint="eastAsia" w:ascii="仿宋" w:hAnsi="仿宋" w:eastAsia="仿宋" w:cs="仿宋"/>
          <w:color w:val="auto"/>
          <w:sz w:val="32"/>
          <w:szCs w:val="32"/>
          <w:lang w:val="en-US" w:eastAsia="zh-CN"/>
        </w:rPr>
        <w:t>1.87万元，</w:t>
      </w:r>
      <w:r>
        <w:rPr>
          <w:rFonts w:hint="eastAsia" w:ascii="仿宋" w:hAnsi="仿宋" w:eastAsia="仿宋" w:cs="仿宋"/>
          <w:color w:val="auto"/>
          <w:sz w:val="32"/>
          <w:szCs w:val="32"/>
        </w:rPr>
        <w:t>住房公积金</w:t>
      </w:r>
      <w:r>
        <w:rPr>
          <w:rFonts w:hint="eastAsia" w:ascii="仿宋" w:hAnsi="仿宋" w:eastAsia="仿宋" w:cs="仿宋"/>
          <w:color w:val="auto"/>
          <w:sz w:val="32"/>
          <w:szCs w:val="32"/>
          <w:lang w:val="en-US" w:eastAsia="zh-CN"/>
        </w:rPr>
        <w:t>26.63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，医疗费</w:t>
      </w:r>
      <w:r>
        <w:rPr>
          <w:rFonts w:hint="eastAsia" w:ascii="仿宋" w:hAnsi="仿宋" w:eastAsia="仿宋" w:cs="仿宋"/>
          <w:color w:val="auto"/>
          <w:sz w:val="32"/>
          <w:szCs w:val="32"/>
          <w:lang w:val="en-US" w:eastAsia="zh-CN"/>
        </w:rPr>
        <w:t>19.26万元</w:t>
      </w:r>
      <w:r>
        <w:rPr>
          <w:rFonts w:hint="eastAsia" w:ascii="仿宋" w:hAnsi="仿宋" w:eastAsia="仿宋" w:cs="仿宋"/>
          <w:color w:val="auto"/>
          <w:sz w:val="32"/>
          <w:szCs w:val="32"/>
        </w:rPr>
        <w:t>。</w:t>
      </w:r>
    </w:p>
    <w:p>
      <w:pPr>
        <w:keepNext w:val="0"/>
        <w:keepLines w:val="0"/>
        <w:pageBreakBefore w:val="0"/>
        <w:widowControl w:val="0"/>
        <w:numPr>
          <w:ilvl w:val="0"/>
          <w:numId w:val="13"/>
        </w:numPr>
        <w:kinsoku/>
        <w:wordWrap/>
        <w:overflowPunct/>
        <w:topLinePunct w:val="0"/>
        <w:autoSpaceDE/>
        <w:autoSpaceDN/>
        <w:bidi w:val="0"/>
        <w:adjustRightInd/>
        <w:spacing w:line="579" w:lineRule="atLeast"/>
        <w:ind w:left="0" w:leftChars="0" w:firstLine="960" w:firstLineChars="3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商品和服务支出为</w:t>
      </w:r>
      <w:r>
        <w:rPr>
          <w:rFonts w:hint="eastAsia" w:ascii="仿宋" w:hAnsi="仿宋" w:eastAsia="仿宋" w:cs="仿宋"/>
          <w:color w:val="auto"/>
          <w:sz w:val="32"/>
          <w:szCs w:val="32"/>
          <w:lang w:val="en-US" w:eastAsia="zh-CN"/>
        </w:rPr>
        <w:t>255.06</w:t>
      </w:r>
      <w:r>
        <w:rPr>
          <w:rFonts w:hint="eastAsia" w:ascii="仿宋" w:hAnsi="仿宋" w:eastAsia="仿宋" w:cs="仿宋"/>
          <w:color w:val="auto"/>
          <w:sz w:val="32"/>
          <w:szCs w:val="32"/>
        </w:rPr>
        <w:t>万元，其中：</w:t>
      </w:r>
      <w:r>
        <w:rPr>
          <w:rFonts w:hint="eastAsia" w:ascii="仿宋" w:hAnsi="仿宋" w:eastAsia="仿宋" w:cs="仿宋"/>
          <w:color w:val="auto"/>
          <w:sz w:val="32"/>
          <w:szCs w:val="32"/>
          <w:lang w:eastAsia="zh-CN"/>
        </w:rPr>
        <w:t>办公费</w:t>
      </w:r>
      <w:r>
        <w:rPr>
          <w:rFonts w:hint="eastAsia" w:ascii="仿宋" w:hAnsi="仿宋" w:eastAsia="仿宋" w:cs="仿宋"/>
          <w:color w:val="auto"/>
          <w:sz w:val="32"/>
          <w:szCs w:val="32"/>
          <w:lang w:val="en-US" w:eastAsia="zh-CN"/>
        </w:rPr>
        <w:t xml:space="preserve">173.65万元，水费1.5万元，电费3万元，差旅费26.50万元，培训费3.48万元，会议费5万元，公务接待费6万元，公会经费2.05万元，劳务费3万元，其他交通费用30.89万元。   </w:t>
      </w:r>
    </w:p>
    <w:p>
      <w:pPr>
        <w:keepNext w:val="0"/>
        <w:keepLines w:val="0"/>
        <w:pageBreakBefore w:val="0"/>
        <w:widowControl w:val="0"/>
        <w:numPr>
          <w:ilvl w:val="0"/>
          <w:numId w:val="13"/>
        </w:numPr>
        <w:kinsoku/>
        <w:wordWrap/>
        <w:overflowPunct/>
        <w:topLinePunct w:val="0"/>
        <w:autoSpaceDE/>
        <w:autoSpaceDN/>
        <w:bidi w:val="0"/>
        <w:adjustRightInd/>
        <w:spacing w:line="579" w:lineRule="atLeast"/>
        <w:ind w:left="0" w:leftChars="0" w:firstLine="960" w:firstLineChars="3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对个人和家庭的补助支出为199.65万元，其中：抚恤金12.84万元，生活补助186.81万元。</w:t>
      </w:r>
    </w:p>
    <w:p>
      <w:pPr>
        <w:keepNext w:val="0"/>
        <w:keepLines w:val="0"/>
        <w:pageBreakBefore w:val="0"/>
        <w:widowControl w:val="0"/>
        <w:numPr>
          <w:ilvl w:val="0"/>
          <w:numId w:val="13"/>
        </w:numPr>
        <w:kinsoku/>
        <w:wordWrap/>
        <w:overflowPunct/>
        <w:topLinePunct w:val="0"/>
        <w:autoSpaceDE/>
        <w:autoSpaceDN/>
        <w:bidi w:val="0"/>
        <w:adjustRightInd/>
        <w:spacing w:line="579" w:lineRule="atLeast"/>
        <w:ind w:left="0" w:leftChars="0" w:firstLine="960" w:firstLineChars="300"/>
        <w:textAlignment w:val="auto"/>
        <w:rPr>
          <w:rFonts w:ascii="仿宋" w:hAnsi="仿宋" w:eastAsia="仿宋" w:cs="仿宋_GB2312"/>
          <w:sz w:val="32"/>
          <w:szCs w:val="32"/>
        </w:rPr>
      </w:pPr>
      <w:r>
        <w:rPr>
          <w:rFonts w:hint="eastAsia" w:ascii="仿宋" w:hAnsi="仿宋" w:eastAsia="仿宋" w:cs="仿宋"/>
          <w:color w:val="auto"/>
          <w:sz w:val="32"/>
          <w:szCs w:val="32"/>
          <w:lang w:val="en-US" w:eastAsia="zh-CN"/>
        </w:rPr>
        <w:t>资本性支出270.47万元，其中：办公设备购置3万元，基础设施建设241.47万元，土地补偿26万元。</w:t>
      </w:r>
      <w:r>
        <w:rPr>
          <w:rFonts w:hint="eastAsia" w:ascii="仿宋_GB2312" w:eastAsia="仿宋_GB2312"/>
          <w:color w:val="auto"/>
          <w:sz w:val="32"/>
          <w:szCs w:val="32"/>
          <w:lang w:val="en-US" w:eastAsia="zh-CN"/>
        </w:rPr>
        <w:t xml:space="preserve">        </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2018年柏树镇制定了</w:t>
      </w:r>
      <w:r>
        <w:rPr>
          <w:rFonts w:ascii="仿宋" w:hAnsi="仿宋" w:eastAsia="仿宋" w:cs="仿宋_GB2312"/>
          <w:sz w:val="32"/>
          <w:szCs w:val="32"/>
        </w:rPr>
        <w:t>绩效目标、</w:t>
      </w:r>
      <w:r>
        <w:rPr>
          <w:rFonts w:hint="eastAsia" w:ascii="仿宋" w:hAnsi="仿宋" w:eastAsia="仿宋" w:cs="仿宋_GB2312"/>
          <w:sz w:val="32"/>
          <w:szCs w:val="32"/>
          <w:lang w:eastAsia="zh-CN"/>
        </w:rPr>
        <w:t>并按质按量完成目标</w:t>
      </w:r>
      <w:r>
        <w:rPr>
          <w:rFonts w:ascii="仿宋" w:hAnsi="仿宋" w:eastAsia="仿宋" w:cs="仿宋_GB2312"/>
          <w:sz w:val="32"/>
          <w:szCs w:val="32"/>
        </w:rPr>
        <w:t>、预算编制准确、支出控制</w:t>
      </w:r>
      <w:r>
        <w:rPr>
          <w:rFonts w:hint="eastAsia" w:ascii="仿宋" w:hAnsi="仿宋" w:eastAsia="仿宋" w:cs="仿宋_GB2312"/>
          <w:sz w:val="32"/>
          <w:szCs w:val="32"/>
          <w:lang w:eastAsia="zh-CN"/>
        </w:rPr>
        <w:t>到位</w:t>
      </w:r>
      <w:r>
        <w:rPr>
          <w:rFonts w:ascii="仿宋" w:hAnsi="仿宋" w:eastAsia="仿宋" w:cs="仿宋_GB2312"/>
          <w:sz w:val="32"/>
          <w:szCs w:val="32"/>
        </w:rPr>
        <w:t>、预算动态调整</w:t>
      </w:r>
      <w:r>
        <w:rPr>
          <w:rFonts w:hint="eastAsia" w:ascii="仿宋" w:hAnsi="仿宋" w:eastAsia="仿宋" w:cs="仿宋_GB2312"/>
          <w:sz w:val="32"/>
          <w:szCs w:val="32"/>
          <w:lang w:eastAsia="zh-CN"/>
        </w:rPr>
        <w:t>及时</w:t>
      </w:r>
      <w:r>
        <w:rPr>
          <w:rFonts w:ascii="仿宋" w:hAnsi="仿宋" w:eastAsia="仿宋" w:cs="仿宋_GB2312"/>
          <w:sz w:val="32"/>
          <w:szCs w:val="32"/>
        </w:rPr>
        <w:t>、</w:t>
      </w:r>
      <w:r>
        <w:rPr>
          <w:rFonts w:hint="eastAsia" w:ascii="仿宋" w:hAnsi="仿宋" w:eastAsia="仿宋" w:cs="仿宋_GB2312"/>
          <w:sz w:val="32"/>
          <w:szCs w:val="32"/>
          <w:lang w:eastAsia="zh-CN"/>
        </w:rPr>
        <w:t>按既定方案执行</w:t>
      </w:r>
      <w:r>
        <w:rPr>
          <w:rFonts w:ascii="仿宋" w:hAnsi="仿宋" w:eastAsia="仿宋" w:cs="仿宋_GB2312"/>
          <w:sz w:val="32"/>
          <w:szCs w:val="32"/>
        </w:rPr>
        <w:t>进度、预算</w:t>
      </w:r>
      <w:r>
        <w:rPr>
          <w:rFonts w:hint="eastAsia" w:ascii="仿宋" w:hAnsi="仿宋" w:eastAsia="仿宋" w:cs="仿宋_GB2312"/>
          <w:sz w:val="32"/>
          <w:szCs w:val="32"/>
          <w:lang w:eastAsia="zh-CN"/>
        </w:rPr>
        <w:t>与决算基本持平，没发现</w:t>
      </w:r>
      <w:r>
        <w:rPr>
          <w:rFonts w:ascii="仿宋" w:hAnsi="仿宋" w:eastAsia="仿宋" w:cs="仿宋_GB2312"/>
          <w:sz w:val="32"/>
          <w:szCs w:val="32"/>
        </w:rPr>
        <w:t>违规</w:t>
      </w:r>
      <w:r>
        <w:rPr>
          <w:rFonts w:hint="eastAsia" w:ascii="仿宋" w:hAnsi="仿宋" w:eastAsia="仿宋" w:cs="仿宋_GB2312"/>
          <w:sz w:val="32"/>
          <w:szCs w:val="32"/>
          <w:lang w:eastAsia="zh-CN"/>
        </w:rPr>
        <w:t>违法，不按规定办事的现象</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对于</w:t>
      </w:r>
      <w:r>
        <w:rPr>
          <w:rFonts w:ascii="仿宋" w:hAnsi="仿宋" w:eastAsia="仿宋" w:cs="仿宋_GB2312"/>
          <w:sz w:val="32"/>
          <w:szCs w:val="32"/>
        </w:rPr>
        <w:t>专项预算</w:t>
      </w:r>
      <w:r>
        <w:rPr>
          <w:rFonts w:hint="eastAsia" w:ascii="仿宋" w:hAnsi="仿宋" w:eastAsia="仿宋" w:cs="仿宋_GB2312"/>
          <w:sz w:val="32"/>
          <w:szCs w:val="32"/>
          <w:lang w:eastAsia="zh-CN"/>
        </w:rPr>
        <w:t>我镇安排专人管理，专人负责，做到了规范和科学管理，</w:t>
      </w:r>
      <w:r>
        <w:rPr>
          <w:rFonts w:ascii="仿宋" w:hAnsi="仿宋" w:eastAsia="仿宋" w:cs="仿宋_GB2312"/>
          <w:sz w:val="32"/>
          <w:szCs w:val="32"/>
        </w:rPr>
        <w:t>项目程序</w:t>
      </w:r>
      <w:r>
        <w:rPr>
          <w:rFonts w:hint="eastAsia" w:ascii="仿宋" w:hAnsi="仿宋" w:eastAsia="仿宋" w:cs="仿宋_GB2312"/>
          <w:sz w:val="32"/>
          <w:szCs w:val="32"/>
          <w:lang w:eastAsia="zh-CN"/>
        </w:rPr>
        <w:t>严谨</w:t>
      </w:r>
      <w:r>
        <w:rPr>
          <w:rFonts w:ascii="仿宋" w:hAnsi="仿宋" w:eastAsia="仿宋" w:cs="仿宋_GB2312"/>
          <w:sz w:val="32"/>
          <w:szCs w:val="32"/>
        </w:rPr>
        <w:t>严密、规划合理、结果</w:t>
      </w:r>
      <w:r>
        <w:rPr>
          <w:rFonts w:hint="eastAsia" w:ascii="仿宋" w:hAnsi="仿宋" w:eastAsia="仿宋" w:cs="仿宋_GB2312"/>
          <w:sz w:val="32"/>
          <w:szCs w:val="32"/>
          <w:lang w:eastAsia="zh-CN"/>
        </w:rPr>
        <w:t>合理</w:t>
      </w:r>
      <w:r>
        <w:rPr>
          <w:rFonts w:ascii="仿宋" w:hAnsi="仿宋" w:eastAsia="仿宋" w:cs="仿宋_GB2312"/>
          <w:sz w:val="32"/>
          <w:szCs w:val="32"/>
        </w:rPr>
        <w:t>、分配科学、分配及时、专项预算绩效目标完成</w:t>
      </w:r>
      <w:r>
        <w:rPr>
          <w:rFonts w:hint="eastAsia" w:ascii="仿宋" w:hAnsi="仿宋" w:eastAsia="仿宋" w:cs="仿宋_GB2312"/>
          <w:sz w:val="32"/>
          <w:szCs w:val="32"/>
          <w:lang w:eastAsia="zh-CN"/>
        </w:rPr>
        <w:t>与预算基本符合</w:t>
      </w:r>
      <w:r>
        <w:rPr>
          <w:rFonts w:ascii="仿宋" w:hAnsi="仿宋" w:eastAsia="仿宋" w:cs="仿宋_GB2312"/>
          <w:sz w:val="32"/>
          <w:szCs w:val="32"/>
        </w:rPr>
        <w:t>、实施绩效、</w:t>
      </w:r>
      <w:r>
        <w:rPr>
          <w:rFonts w:hint="eastAsia" w:ascii="仿宋" w:hAnsi="仿宋" w:eastAsia="仿宋" w:cs="仿宋_GB2312"/>
          <w:sz w:val="32"/>
          <w:szCs w:val="32"/>
          <w:lang w:eastAsia="zh-CN"/>
        </w:rPr>
        <w:t>没有违法</w:t>
      </w:r>
      <w:r>
        <w:rPr>
          <w:rFonts w:ascii="仿宋" w:hAnsi="仿宋" w:eastAsia="仿宋" w:cs="仿宋_GB2312"/>
          <w:sz w:val="32"/>
          <w:szCs w:val="32"/>
        </w:rPr>
        <w:t>违规情况。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960" w:firstLineChars="300"/>
        <w:rPr>
          <w:rFonts w:ascii="仿宋" w:hAnsi="仿宋" w:eastAsia="仿宋" w:cs="仿宋_GB2312"/>
          <w:sz w:val="32"/>
          <w:szCs w:val="32"/>
        </w:rPr>
      </w:pPr>
      <w:r>
        <w:rPr>
          <w:rFonts w:hint="eastAsia" w:ascii="仿宋" w:hAnsi="仿宋" w:eastAsia="仿宋" w:cs="仿宋_GB2312"/>
          <w:sz w:val="32"/>
          <w:szCs w:val="32"/>
          <w:lang w:eastAsia="zh-CN"/>
        </w:rPr>
        <w:t>柏树镇</w:t>
      </w:r>
      <w:r>
        <w:rPr>
          <w:rFonts w:hint="eastAsia" w:ascii="仿宋" w:hAnsi="仿宋" w:eastAsia="仿宋" w:cs="仿宋_GB2312"/>
          <w:sz w:val="32"/>
          <w:szCs w:val="32"/>
        </w:rPr>
        <w:t>在财政预算</w:t>
      </w:r>
      <w:r>
        <w:rPr>
          <w:rFonts w:hint="eastAsia" w:ascii="仿宋" w:hAnsi="仿宋" w:eastAsia="仿宋" w:cs="仿宋_GB2312"/>
          <w:sz w:val="32"/>
          <w:szCs w:val="32"/>
          <w:lang w:eastAsia="zh-CN"/>
        </w:rPr>
        <w:t>收入</w:t>
      </w:r>
      <w:r>
        <w:rPr>
          <w:rFonts w:hint="eastAsia" w:ascii="仿宋" w:hAnsi="仿宋" w:eastAsia="仿宋" w:cs="仿宋_GB2312"/>
          <w:sz w:val="32"/>
          <w:szCs w:val="32"/>
        </w:rPr>
        <w:t>及支出方面，严格执行财</w:t>
      </w:r>
      <w:r>
        <w:rPr>
          <w:rFonts w:hint="eastAsia" w:ascii="仿宋" w:hAnsi="仿宋" w:eastAsia="仿宋" w:cs="仿宋_GB2312"/>
          <w:sz w:val="32"/>
          <w:szCs w:val="32"/>
          <w:lang w:eastAsia="zh-CN"/>
        </w:rPr>
        <w:t>务</w:t>
      </w:r>
      <w:r>
        <w:rPr>
          <w:rFonts w:hint="eastAsia" w:ascii="仿宋" w:hAnsi="仿宋" w:eastAsia="仿宋" w:cs="仿宋_GB2312"/>
          <w:sz w:val="32"/>
          <w:szCs w:val="32"/>
        </w:rPr>
        <w:t>管理制度，进行跟踪检查，做到支出按进度拨款，财政资金落到实处，发挥了财政资金的效益。</w:t>
      </w:r>
    </w:p>
    <w:p>
      <w:pPr>
        <w:numPr>
          <w:ilvl w:val="0"/>
          <w:numId w:val="12"/>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存在问题。</w:t>
      </w:r>
    </w:p>
    <w:p>
      <w:pPr>
        <w:numPr>
          <w:ilvl w:val="0"/>
          <w:numId w:val="0"/>
        </w:numPr>
        <w:spacing w:line="580" w:lineRule="exact"/>
        <w:ind w:leftChars="200"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个别预算资金支出的资料还存在佐证资料不足，资料装订、归档不规范</w:t>
      </w:r>
      <w:r>
        <w:rPr>
          <w:rFonts w:hint="eastAsia" w:ascii="仿宋" w:hAnsi="仿宋" w:eastAsia="仿宋" w:cs="仿宋_GB2312"/>
          <w:sz w:val="32"/>
          <w:szCs w:val="32"/>
          <w:lang w:val="en-US" w:eastAsia="zh-CN"/>
        </w:rPr>
        <w:t>。</w:t>
      </w:r>
    </w:p>
    <w:p>
      <w:pPr>
        <w:numPr>
          <w:ilvl w:val="0"/>
          <w:numId w:val="12"/>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改进建议。</w:t>
      </w:r>
    </w:p>
    <w:p>
      <w:pPr>
        <w:numPr>
          <w:ilvl w:val="0"/>
          <w:numId w:val="0"/>
        </w:numPr>
        <w:spacing w:line="580" w:lineRule="exact"/>
        <w:ind w:leftChars="200"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必须要提高思想，高度重视，深刻反思，马上对自查中发现的问题进行有针对性的整改，同时要加强业务技能学习，提高相关人员的业务能力，完善资料，补齐佐证材料，做到规范、规矩、规定。此外，还要汲取教训，总结经验，避免类似问题再次出现。</w:t>
      </w:r>
    </w:p>
    <w:p>
      <w:pPr>
        <w:numPr>
          <w:ilvl w:val="0"/>
          <w:numId w:val="0"/>
        </w:numPr>
        <w:spacing w:line="580" w:lineRule="exact"/>
        <w:ind w:leftChars="20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黑体" w:hAnsi="黑体" w:eastAsia="黑体"/>
          <w:b w:val="0"/>
        </w:rPr>
      </w:pPr>
      <w:bookmarkStart w:id="65"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2"/>
      <w:bookmarkEnd w:id="6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6"/>
    </w:p>
    <w:p>
      <w:pPr>
        <w:pStyle w:val="3"/>
        <w:rPr>
          <w:rFonts w:ascii="仿宋" w:hAnsi="仿宋" w:eastAsia="仿宋"/>
          <w:color w:val="000000"/>
        </w:rPr>
      </w:pPr>
      <w:bookmarkStart w:id="67"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7"/>
    </w:p>
    <w:p>
      <w:pPr>
        <w:pStyle w:val="3"/>
        <w:rPr>
          <w:rFonts w:ascii="仿宋" w:hAnsi="仿宋" w:eastAsia="仿宋"/>
          <w:color w:val="000000"/>
        </w:rPr>
      </w:pPr>
      <w:bookmarkStart w:id="6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8"/>
    </w:p>
    <w:p>
      <w:pPr>
        <w:pStyle w:val="3"/>
        <w:rPr>
          <w:rFonts w:ascii="仿宋" w:hAnsi="仿宋" w:eastAsia="仿宋"/>
          <w:b w:val="0"/>
          <w:color w:val="000000"/>
        </w:rPr>
      </w:pPr>
      <w:bookmarkStart w:id="6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9"/>
    </w:p>
    <w:p>
      <w:pPr>
        <w:pStyle w:val="3"/>
        <w:rPr>
          <w:rFonts w:ascii="仿宋" w:hAnsi="仿宋" w:eastAsia="仿宋"/>
          <w:color w:val="000000"/>
        </w:rPr>
      </w:pPr>
      <w:bookmarkStart w:id="7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70"/>
    </w:p>
    <w:p>
      <w:pPr>
        <w:pStyle w:val="3"/>
        <w:rPr>
          <w:rFonts w:ascii="仿宋" w:hAnsi="仿宋" w:eastAsia="仿宋"/>
          <w:color w:val="000000"/>
        </w:rPr>
      </w:pPr>
      <w:bookmarkStart w:id="71"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1"/>
    </w:p>
    <w:p>
      <w:pPr>
        <w:pStyle w:val="3"/>
        <w:rPr>
          <w:rFonts w:ascii="仿宋" w:hAnsi="仿宋" w:eastAsia="仿宋"/>
          <w:color w:val="000000"/>
        </w:rPr>
      </w:pPr>
      <w:bookmarkStart w:id="7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2"/>
    </w:p>
    <w:p>
      <w:pPr>
        <w:pStyle w:val="3"/>
        <w:rPr>
          <w:rFonts w:ascii="仿宋" w:hAnsi="仿宋" w:eastAsia="仿宋"/>
          <w:color w:val="000000"/>
        </w:rPr>
      </w:pPr>
      <w:bookmarkStart w:id="7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3"/>
    </w:p>
    <w:p>
      <w:pPr>
        <w:pStyle w:val="3"/>
        <w:rPr>
          <w:rFonts w:ascii="仿宋" w:hAnsi="仿宋" w:eastAsia="仿宋"/>
          <w:color w:val="000000"/>
        </w:rPr>
      </w:pPr>
      <w:bookmarkStart w:id="7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4"/>
    </w:p>
    <w:p>
      <w:pPr>
        <w:pStyle w:val="3"/>
        <w:rPr>
          <w:rFonts w:ascii="仿宋" w:hAnsi="仿宋" w:eastAsia="仿宋"/>
          <w:color w:val="000000"/>
        </w:rPr>
      </w:pPr>
      <w:bookmarkStart w:id="7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5"/>
    </w:p>
    <w:p>
      <w:pPr>
        <w:pStyle w:val="3"/>
        <w:rPr>
          <w:rFonts w:ascii="仿宋" w:hAnsi="仿宋" w:eastAsia="仿宋"/>
          <w:color w:val="000000"/>
        </w:rPr>
      </w:pPr>
      <w:bookmarkStart w:id="7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6"/>
    </w:p>
    <w:p>
      <w:pPr>
        <w:pStyle w:val="3"/>
        <w:rPr>
          <w:rFonts w:ascii="仿宋" w:hAnsi="仿宋" w:eastAsia="仿宋"/>
          <w:color w:val="000000"/>
        </w:rPr>
      </w:pPr>
      <w:bookmarkStart w:id="7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7"/>
    </w:p>
    <w:p>
      <w:pPr>
        <w:pStyle w:val="3"/>
        <w:rPr>
          <w:rFonts w:ascii="仿宋" w:hAnsi="仿宋" w:eastAsia="仿宋"/>
          <w:color w:val="000000" w:themeColor="text1"/>
          <w14:textFill>
            <w14:solidFill>
              <w14:schemeClr w14:val="tx1"/>
            </w14:solidFill>
          </w14:textFill>
        </w:rPr>
      </w:pPr>
      <w:bookmarkStart w:id="7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8"/>
    </w:p>
    <w:sectPr>
      <w:type w:val="continuous"/>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7224E"/>
    <w:multiLevelType w:val="singleLevel"/>
    <w:tmpl w:val="B2F7224E"/>
    <w:lvl w:ilvl="0" w:tentative="0">
      <w:start w:val="6"/>
      <w:numFmt w:val="decimal"/>
      <w:lvlText w:val="%1."/>
      <w:lvlJc w:val="left"/>
      <w:pPr>
        <w:tabs>
          <w:tab w:val="left" w:pos="312"/>
        </w:tabs>
      </w:pPr>
    </w:lvl>
  </w:abstractNum>
  <w:abstractNum w:abstractNumId="1">
    <w:nsid w:val="C2F17F55"/>
    <w:multiLevelType w:val="singleLevel"/>
    <w:tmpl w:val="C2F17F55"/>
    <w:lvl w:ilvl="0" w:tentative="0">
      <w:start w:val="1"/>
      <w:numFmt w:val="decimal"/>
      <w:lvlText w:val="%1."/>
      <w:lvlJc w:val="left"/>
      <w:pPr>
        <w:tabs>
          <w:tab w:val="left" w:pos="312"/>
        </w:tabs>
      </w:pPr>
    </w:lvl>
  </w:abstractNum>
  <w:abstractNum w:abstractNumId="2">
    <w:nsid w:val="CDD86C1D"/>
    <w:multiLevelType w:val="singleLevel"/>
    <w:tmpl w:val="CDD86C1D"/>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E75DBC25"/>
    <w:multiLevelType w:val="singleLevel"/>
    <w:tmpl w:val="E75DBC25"/>
    <w:lvl w:ilvl="0" w:tentative="0">
      <w:start w:val="16"/>
      <w:numFmt w:val="decimal"/>
      <w:lvlText w:val="%1."/>
      <w:lvlJc w:val="left"/>
      <w:pPr>
        <w:tabs>
          <w:tab w:val="left" w:pos="312"/>
        </w:tabs>
      </w:pPr>
    </w:lvl>
  </w:abstractNum>
  <w:abstractNum w:abstractNumId="6">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7">
    <w:nsid w:val="10E76082"/>
    <w:multiLevelType w:val="singleLevel"/>
    <w:tmpl w:val="10E76082"/>
    <w:lvl w:ilvl="0" w:tentative="0">
      <w:start w:val="1"/>
      <w:numFmt w:val="decimal"/>
      <w:suff w:val="nothing"/>
      <w:lvlText w:val="%1、"/>
      <w:lvlJc w:val="left"/>
    </w:lvl>
  </w:abstractNum>
  <w:abstractNum w:abstractNumId="8">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0">
    <w:nsid w:val="408D9E03"/>
    <w:multiLevelType w:val="singleLevel"/>
    <w:tmpl w:val="408D9E03"/>
    <w:lvl w:ilvl="0" w:tentative="0">
      <w:start w:val="1"/>
      <w:numFmt w:val="decimal"/>
      <w:suff w:val="nothing"/>
      <w:lvlText w:val="（%1）"/>
      <w:lvlJc w:val="left"/>
    </w:lvl>
  </w:abstractNum>
  <w:abstractNum w:abstractNumId="11">
    <w:nsid w:val="52118CFC"/>
    <w:multiLevelType w:val="singleLevel"/>
    <w:tmpl w:val="52118CFC"/>
    <w:lvl w:ilvl="0" w:tentative="0">
      <w:start w:val="2"/>
      <w:numFmt w:val="decimal"/>
      <w:suff w:val="nothing"/>
      <w:lvlText w:val="（%1）"/>
      <w:lvlJc w:val="left"/>
    </w:lvl>
  </w:abstractNum>
  <w:abstractNum w:abstractNumId="12">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12"/>
  </w:num>
  <w:num w:numId="2">
    <w:abstractNumId w:val="8"/>
  </w:num>
  <w:num w:numId="3">
    <w:abstractNumId w:val="1"/>
  </w:num>
  <w:num w:numId="4">
    <w:abstractNumId w:val="10"/>
  </w:num>
  <w:num w:numId="5">
    <w:abstractNumId w:val="11"/>
  </w:num>
  <w:num w:numId="6">
    <w:abstractNumId w:val="0"/>
  </w:num>
  <w:num w:numId="7">
    <w:abstractNumId w:val="3"/>
  </w:num>
  <w:num w:numId="8">
    <w:abstractNumId w:val="9"/>
  </w:num>
  <w:num w:numId="9">
    <w:abstractNumId w:val="6"/>
  </w:num>
  <w:num w:numId="10">
    <w:abstractNumId w:val="4"/>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22744A8"/>
    <w:rsid w:val="023E0746"/>
    <w:rsid w:val="027761EB"/>
    <w:rsid w:val="05615AE6"/>
    <w:rsid w:val="060C06EB"/>
    <w:rsid w:val="07684355"/>
    <w:rsid w:val="10C055FF"/>
    <w:rsid w:val="138255AC"/>
    <w:rsid w:val="14F670AE"/>
    <w:rsid w:val="168207F7"/>
    <w:rsid w:val="168A49C6"/>
    <w:rsid w:val="16BB723D"/>
    <w:rsid w:val="1AF17440"/>
    <w:rsid w:val="1FD23984"/>
    <w:rsid w:val="1FFC38BF"/>
    <w:rsid w:val="219D1977"/>
    <w:rsid w:val="21A97DD1"/>
    <w:rsid w:val="2227107A"/>
    <w:rsid w:val="23466688"/>
    <w:rsid w:val="240371BF"/>
    <w:rsid w:val="24986D07"/>
    <w:rsid w:val="26305895"/>
    <w:rsid w:val="26E47185"/>
    <w:rsid w:val="29FD04D3"/>
    <w:rsid w:val="2B1A2F6C"/>
    <w:rsid w:val="2D3554EE"/>
    <w:rsid w:val="2F56252A"/>
    <w:rsid w:val="2FD823F0"/>
    <w:rsid w:val="31650E11"/>
    <w:rsid w:val="319F7F4E"/>
    <w:rsid w:val="342424D6"/>
    <w:rsid w:val="3444133D"/>
    <w:rsid w:val="35204681"/>
    <w:rsid w:val="35EE3DCB"/>
    <w:rsid w:val="37AF1492"/>
    <w:rsid w:val="3A5720BE"/>
    <w:rsid w:val="3AE37F45"/>
    <w:rsid w:val="3CFD5AEA"/>
    <w:rsid w:val="3D1A4BAA"/>
    <w:rsid w:val="3ECC700D"/>
    <w:rsid w:val="3F1C5B1A"/>
    <w:rsid w:val="448D6747"/>
    <w:rsid w:val="450F41F2"/>
    <w:rsid w:val="451C50B9"/>
    <w:rsid w:val="478337AC"/>
    <w:rsid w:val="47EF3340"/>
    <w:rsid w:val="48855965"/>
    <w:rsid w:val="48970462"/>
    <w:rsid w:val="4B190583"/>
    <w:rsid w:val="4C9A15B1"/>
    <w:rsid w:val="512863D2"/>
    <w:rsid w:val="53AB30EA"/>
    <w:rsid w:val="54450E22"/>
    <w:rsid w:val="556C4D1F"/>
    <w:rsid w:val="56515DE0"/>
    <w:rsid w:val="588B2FCC"/>
    <w:rsid w:val="5BAB4B59"/>
    <w:rsid w:val="5D734C61"/>
    <w:rsid w:val="5DEC3C56"/>
    <w:rsid w:val="5EE12A2B"/>
    <w:rsid w:val="5FFD1DFC"/>
    <w:rsid w:val="60A127A8"/>
    <w:rsid w:val="62766A9B"/>
    <w:rsid w:val="62D642C1"/>
    <w:rsid w:val="63F8624C"/>
    <w:rsid w:val="656E2FC2"/>
    <w:rsid w:val="682A6954"/>
    <w:rsid w:val="6AC46057"/>
    <w:rsid w:val="6B0968AC"/>
    <w:rsid w:val="6BA1150E"/>
    <w:rsid w:val="6C3964D9"/>
    <w:rsid w:val="6D1A7BC4"/>
    <w:rsid w:val="6DD92528"/>
    <w:rsid w:val="6E4D2B14"/>
    <w:rsid w:val="6F937F23"/>
    <w:rsid w:val="71A00CF0"/>
    <w:rsid w:val="738B6221"/>
    <w:rsid w:val="73964812"/>
    <w:rsid w:val="76797078"/>
    <w:rsid w:val="76AF6C7D"/>
    <w:rsid w:val="78AD7C97"/>
    <w:rsid w:val="79CB260F"/>
    <w:rsid w:val="7AD176A0"/>
    <w:rsid w:val="7B4D7B4A"/>
    <w:rsid w:val="7E0114B7"/>
    <w:rsid w:val="7F1341B1"/>
    <w:rsid w:val="7F243050"/>
    <w:rsid w:val="7F2A2703"/>
    <w:rsid w:val="7FC128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收入决算结构图（单位：万元）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[工作簿1]Sheet1!$A$1:$A$2</c:f>
              <c:strCache>
                <c:ptCount val="2"/>
                <c:pt idx="0">
                  <c:v>一般公共预算财政拨款收入</c:v>
                </c:pt>
                <c:pt idx="1">
                  <c:v>政府性基金预算财政拨款收入</c:v>
                </c:pt>
              </c:strCache>
            </c:strRef>
          </c:cat>
          <c:val>
            <c:numRef>
              <c:f>[工作簿1]Sheet1!$B$1:$B$2</c:f>
              <c:numCache>
                <c:formatCode>General</c:formatCode>
                <c:ptCount val="2"/>
                <c:pt idx="0">
                  <c:v>932.17</c:v>
                </c:pt>
                <c:pt idx="1">
                  <c:v>120.47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支出决算结构图（万元）</a:t>
            </a:r>
          </a:p>
        </c:rich>
      </c:tx>
      <c:layout>
        <c:manualLayout>
          <c:xMode val="edge"/>
          <c:yMode val="edge"/>
          <c:x val="0.02625"/>
          <c:y val="0.0381944444444444"/>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ctr"/>
              <c:showLegendKey val="0"/>
              <c:showVal val="1"/>
              <c:showCatName val="0"/>
              <c:showSerName val="0"/>
              <c:showPercent val="0"/>
              <c:showBubbleSize val="0"/>
              <c:extLst>
                <c:ext xmlns:c15="http://schemas.microsoft.com/office/drawing/2012/chart" uri="{CE6537A1-D6FC-4f65-9D91-7224C49458BB}"/>
              </c:extLst>
            </c:dLbl>
            <c:dLbl>
              <c:idx val="1"/>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[工作簿1]Sheet1!$A$1:$A$2</c:f>
              <c:strCache>
                <c:ptCount val="2"/>
                <c:pt idx="0">
                  <c:v>基本支出</c:v>
                </c:pt>
                <c:pt idx="1">
                  <c:v>项目支出</c:v>
                </c:pt>
              </c:strCache>
            </c:strRef>
          </c:cat>
          <c:val>
            <c:numRef>
              <c:f>[工作簿1]Sheet1!$B$1:$B$2</c:f>
              <c:numCache>
                <c:formatCode>General</c:formatCode>
                <c:ptCount val="2"/>
                <c:pt idx="0">
                  <c:v>670.6</c:v>
                </c:pt>
                <c:pt idx="1">
                  <c:v>382.04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86180555555556"/>
          <c:y val="0.83958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0" vertOverflow="ellipsis" vert="horz" wrap="square" anchor="ctr" anchorCtr="1"/>
          <a:lstStyle/>
          <a:p>
            <a:pPr defTabSz="914400">
              <a:defRPr lang="zh-CN" sz="1200" b="0" i="0" u="none" strike="noStrike" kern="1200" spc="0" baseline="0">
                <a:solidFill>
                  <a:srgbClr val="0070C0"/>
                </a:solidFill>
                <a:latin typeface="+mn-lt"/>
                <a:ea typeface="+mn-ea"/>
                <a:cs typeface="+mn-cs"/>
              </a:defRPr>
            </a:pPr>
            <a:r>
              <a:rPr sz="1200">
                <a:solidFill>
                  <a:srgbClr val="0070C0"/>
                </a:solidFill>
              </a:rPr>
              <a:t>财政拨款收、支决算总计变动情况</a:t>
            </a:r>
            <a:endParaRPr sz="1200">
              <a:solidFill>
                <a:srgbClr val="0070C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[工作簿1]Sheet1!$A$1:$A$2</c:f>
              <c:strCache>
                <c:ptCount val="2"/>
                <c:pt idx="0">
                  <c:v>2018年</c:v>
                </c:pt>
                <c:pt idx="1">
                  <c:v>2017年</c:v>
                </c:pt>
              </c:strCache>
            </c:strRef>
          </c:cat>
          <c:val>
            <c:numRef>
              <c:f>[工作簿1]Sheet1!$B$1:$B$2</c:f>
              <c:numCache>
                <c:formatCode>General</c:formatCode>
                <c:ptCount val="2"/>
                <c:pt idx="0">
                  <c:v>1052.64</c:v>
                </c:pt>
                <c:pt idx="1">
                  <c:v>1303.01</c:v>
                </c:pt>
              </c:numCache>
            </c:numRef>
          </c:val>
        </c:ser>
        <c:dLbls>
          <c:showLegendKey val="0"/>
          <c:showVal val="1"/>
          <c:showCatName val="0"/>
          <c:showSerName val="0"/>
          <c:showPercent val="0"/>
          <c:showBubbleSize val="0"/>
        </c:dLbls>
        <c:gapWidth val="219"/>
        <c:overlap val="-27"/>
        <c:axId val="472934773"/>
        <c:axId val="525766237"/>
      </c:barChart>
      <c:catAx>
        <c:axId val="4729347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766237"/>
        <c:crosses val="autoZero"/>
        <c:auto val="1"/>
        <c:lblAlgn val="ctr"/>
        <c:lblOffset val="100"/>
        <c:noMultiLvlLbl val="0"/>
      </c:catAx>
      <c:valAx>
        <c:axId val="52576623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9347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0" vertOverflow="ellipsis" vert="horz" wrap="square" anchor="ctr" anchorCtr="1"/>
          <a:lstStyle/>
          <a:p>
            <a:pPr defTabSz="914400">
              <a:defRPr lang="zh-CN" sz="1400" b="0" i="0" u="none" strike="noStrike" kern="1200" spc="0" baseline="0">
                <a:solidFill>
                  <a:srgbClr val="FF0000"/>
                </a:solidFill>
                <a:latin typeface="+mn-lt"/>
                <a:ea typeface="+mn-ea"/>
                <a:cs typeface="+mn-cs"/>
              </a:defRPr>
            </a:pPr>
            <a:r>
              <a:rPr>
                <a:solidFill>
                  <a:srgbClr val="FF0000"/>
                </a:solidFill>
              </a:rPr>
              <a:t>一般公共预算财政拨款支出决算变动情况</a:t>
            </a:r>
            <a:endParaRPr>
              <a:solidFill>
                <a:srgbClr val="FF0000"/>
              </a:solidFill>
            </a:endParaRPr>
          </a:p>
        </c:rich>
      </c:tx>
      <c:layout>
        <c:manualLayout>
          <c:xMode val="edge"/>
          <c:yMode val="edge"/>
          <c:x val="0.0693055555555556"/>
          <c:y val="0.0208333333333333"/>
        </c:manualLayout>
      </c:layout>
      <c:overlay val="0"/>
      <c:spPr>
        <a:noFill/>
        <a:ln>
          <a:noFill/>
        </a:ln>
        <a:effectLst/>
      </c:spPr>
    </c:title>
    <c:autoTitleDeleted val="0"/>
    <c:plotArea>
      <c:layout/>
      <c:barChart>
        <c:barDir val="col"/>
        <c:grouping val="clustered"/>
        <c:varyColors val="0"/>
        <c:ser>
          <c:idx val="0"/>
          <c:order val="0"/>
          <c:spPr>
            <a:gradFill>
              <a:gsLst>
                <a:gs pos="0">
                  <a:srgbClr val="007BD3"/>
                </a:gs>
                <a:gs pos="100000">
                  <a:srgbClr val="034373"/>
                </a:gs>
              </a:gsLst>
              <a:lin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[工作簿1]Sheet1!$A$1:$A$2</c:f>
              <c:strCache>
                <c:ptCount val="2"/>
                <c:pt idx="0">
                  <c:v>2018年</c:v>
                </c:pt>
                <c:pt idx="1">
                  <c:v>2017年</c:v>
                </c:pt>
              </c:strCache>
            </c:strRef>
          </c:cat>
          <c:val>
            <c:numRef>
              <c:f>[工作簿1]Sheet1!$B$1:$B$2</c:f>
              <c:numCache>
                <c:formatCode>General</c:formatCode>
                <c:ptCount val="2"/>
                <c:pt idx="0">
                  <c:v>932.17</c:v>
                </c:pt>
                <c:pt idx="1">
                  <c:v>968.6</c:v>
                </c:pt>
              </c:numCache>
            </c:numRef>
          </c:val>
        </c:ser>
        <c:dLbls>
          <c:showLegendKey val="0"/>
          <c:showVal val="1"/>
          <c:showCatName val="0"/>
          <c:showSerName val="0"/>
          <c:showPercent val="0"/>
          <c:showBubbleSize val="0"/>
        </c:dLbls>
        <c:gapWidth val="219"/>
        <c:overlap val="0"/>
        <c:axId val="472934773"/>
        <c:axId val="525766237"/>
      </c:barChart>
      <c:catAx>
        <c:axId val="472934773"/>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manualLayout>
              <c:xMode val="edge"/>
              <c:yMode val="edge"/>
              <c:x val="0.877680555555555"/>
              <c:y val="0.838888888888889"/>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766237"/>
        <c:crosses val="autoZero"/>
        <c:auto val="1"/>
        <c:lblAlgn val="ctr"/>
        <c:lblOffset val="100"/>
        <c:noMultiLvlLbl val="0"/>
      </c:catAx>
      <c:valAx>
        <c:axId val="52576623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t" anchorCtr="0"/>
              <a:lstStyle/>
              <a:p>
                <a:pPr defTabSz="914400">
                  <a:defRPr lang="zh-CN" sz="1000" b="0" i="0" u="none" strike="noStrike" kern="1200" baseline="0">
                    <a:solidFill>
                      <a:schemeClr val="tx1">
                        <a:lumMod val="65000"/>
                        <a:lumOff val="35000"/>
                      </a:schemeClr>
                    </a:solidFill>
                    <a:latin typeface="+mn-lt"/>
                    <a:ea typeface="+mn-ea"/>
                    <a:cs typeface="+mn-cs"/>
                  </a:defRPr>
                </a:pPr>
                <a:r>
                  <a:t>金额（万元）</a:t>
                </a:r>
              </a:p>
            </c:rich>
          </c:tx>
          <c:layout>
            <c:manualLayout>
              <c:xMode val="edge"/>
              <c:yMode val="edge"/>
              <c:x val="0.0263888888888889"/>
              <c:y val="0.15861111111111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9347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一般公共预算财政拨款支出决算结构（单位：万元）</a:t>
            </a:r>
          </a:p>
        </c:rich>
      </c:tx>
      <c:layout>
        <c:manualLayout>
          <c:xMode val="edge"/>
          <c:yMode val="edge"/>
          <c:x val="0.0456944444444444"/>
          <c:y val="0.0293312475557294"/>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[工作簿1]Sheet1!$A$1:$A$7</c:f>
              <c:strCache>
                <c:ptCount val="7"/>
                <c:pt idx="0">
                  <c:v>一般公共服务（类）支出</c:v>
                </c:pt>
                <c:pt idx="1">
                  <c:v>社会保障和就业（类）支出</c:v>
                </c:pt>
                <c:pt idx="2">
                  <c:v>医疗卫生支出</c:v>
                </c:pt>
                <c:pt idx="3">
                  <c:v>城乡社区支出</c:v>
                </c:pt>
                <c:pt idx="4">
                  <c:v>农林水支出</c:v>
                </c:pt>
                <c:pt idx="5">
                  <c:v>商品服务员等支出</c:v>
                </c:pt>
                <c:pt idx="6">
                  <c:v>住房保障支出</c:v>
                </c:pt>
              </c:strCache>
            </c:strRef>
          </c:cat>
          <c:val>
            <c:numRef>
              <c:f>[工作簿1]Sheet1!$B$1:$B$7</c:f>
              <c:numCache>
                <c:formatCode>General</c:formatCode>
                <c:ptCount val="7"/>
                <c:pt idx="0">
                  <c:v>422.26</c:v>
                </c:pt>
                <c:pt idx="1">
                  <c:v>57.22</c:v>
                </c:pt>
                <c:pt idx="2">
                  <c:v>25.43</c:v>
                </c:pt>
                <c:pt idx="3">
                  <c:v>25.42</c:v>
                </c:pt>
                <c:pt idx="4">
                  <c:v>325.22</c:v>
                </c:pt>
                <c:pt idx="5">
                  <c:v>50</c:v>
                </c:pt>
                <c:pt idx="6">
                  <c:v>26.62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t>三公</a:t>
            </a:r>
            <a:r>
              <a:rPr lang="en-US" altLang="zh-CN"/>
              <a:t>”</a:t>
            </a:r>
            <a:r>
              <a:rPr altLang="en-US"/>
              <a:t>经费财政拨款支出结构图（单位</a:t>
            </a:r>
            <a:r>
              <a:rPr lang="en-US" altLang="zh-CN"/>
              <a:t>:</a:t>
            </a:r>
            <a:r>
              <a:rPr altLang="en-US"/>
              <a:t>万元）</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0624939983027787"/>
                  <c:y val="-0.22054403784952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600"/>
                      <a:t>6</a:t>
                    </a:r>
                    <a:endParaRPr sz="1600"/>
                  </a:p>
                </c:rich>
              </c:tx>
              <c:dLblPos val="bestFit"/>
              <c:showLegendKey val="0"/>
              <c:showVal val="1"/>
              <c:showCatName val="0"/>
              <c:showSerName val="0"/>
              <c:showPercent val="0"/>
              <c:showBubbleSize val="0"/>
              <c:extLst>
                <c:ext xmlns:c15="http://schemas.microsoft.com/office/drawing/2012/chart" uri="{CE6537A1-D6FC-4f65-9D91-7224C49458BB}">
                  <c15:layout>
                    <c:manualLayout>
                      <c:w val="0.0848611111111111"/>
                      <c:h val="0.103703703703704"/>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[工作簿2]Sheet1!$A$1:$A$2</c:f>
              <c:strCache>
                <c:ptCount val="2"/>
                <c:pt idx="0">
                  <c:v>公务接待费</c:v>
                </c:pt>
              </c:strCache>
            </c:strRef>
          </c:cat>
          <c:val>
            <c:numRef>
              <c:f>[工作簿2]Sheet1!$B$1:$B$2</c:f>
              <c:numCache>
                <c:formatCode>General</c:formatCode>
                <c:ptCount val="2"/>
                <c:pt idx="0">
                  <c:v>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2</TotalTime>
  <ScaleCrop>false</ScaleCrop>
  <LinksUpToDate>false</LinksUpToDate>
  <CharactersWithSpaces>9641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2019-09-04T08:10:00Z</cp:lastPrinted>
  <dcterms:modified xsi:type="dcterms:W3CDTF">2019-09-05T03:03:57Z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