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宣汉县南坪乡人民政府</w:t>
      </w:r>
    </w:p>
    <w:p>
      <w:pPr>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2017年部门决算编制说明</w:t>
      </w:r>
    </w:p>
    <w:p>
      <w:pPr>
        <w:spacing w:line="600" w:lineRule="exact"/>
        <w:jc w:val="center"/>
        <w:rPr>
          <w:rFonts w:ascii="宋体" w:hAnsi="宋体"/>
          <w:b/>
          <w:color w:val="000000"/>
          <w:sz w:val="44"/>
          <w:szCs w:val="44"/>
        </w:rPr>
      </w:pP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一、基本职能及主要工作</w:t>
      </w:r>
    </w:p>
    <w:p>
      <w:pPr>
        <w:pStyle w:val="2"/>
        <w:adjustRightInd w:val="0"/>
        <w:snapToGrid w:val="0"/>
        <w:spacing w:before="93" w:line="579" w:lineRule="exact"/>
        <w:ind w:firstLine="672" w:firstLineChars="210"/>
        <w:rPr>
          <w:rFonts w:ascii="楷体_GB2312" w:eastAsia="楷体_GB2312"/>
          <w:bCs/>
          <w:color w:val="000000"/>
          <w:sz w:val="32"/>
          <w:szCs w:val="32"/>
        </w:rPr>
      </w:pPr>
      <w:r>
        <w:rPr>
          <w:rFonts w:hint="eastAsia" w:ascii="楷体_GB2312" w:eastAsia="楷体_GB2312"/>
          <w:bCs/>
          <w:color w:val="000000"/>
          <w:sz w:val="32"/>
          <w:szCs w:val="32"/>
        </w:rPr>
        <w:t>（一）主要职能。</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有所为，有所不为”的原则和发展社会主义民主政治、构建社会主义和谐社会的要求，切实把工作重点从直接抓催粮催款、催种催收、招商引资、生产经营等具体事务转移到对农户和各类经济主体进行政策宣传、示范引导、提供服务、营造发展环境、维护社会稳定和保障农民合法权益上来。目前镇政府主要职能是:</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一是落实政策。宣传、落实好党的路线、方针、政策和国家的法律、法规，稳定农村基本经济制度，坚持依法行政，推进政务公开，加强对村民委员会的指导，提高、培育村民委员会自治能力。</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是促进发展。科学制订发展规划，加强农村市场监督，搞活市场流通，推广农业技术，完善农业社会化服务体系，引导农民发展现代农业，调整产业结构，加强农村劳动力技能培训，引导农村劳动力转移和就业，不断提高社会主义新农村建设水平。</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是提供服务。进一步发展和完善农业社会化服务体系，打造政务服务平台，主动为基层群众提供周到便捷的服务，引导各类协会和农村专业合作经济组织发展并充分发挥其作用，发展农村社会公益事业，加强农村基础设施建设，增加公共产品，提供政策、科技、市场信息和社会救济、救助服务，及时向上级党委、政府反映社情民意，进一步密切党和政府与人民群众的关系。</w:t>
      </w:r>
    </w:p>
    <w:p>
      <w:pPr>
        <w:widowControl/>
        <w:spacing w:after="240" w:line="579" w:lineRule="exact"/>
        <w:ind w:firstLine="640" w:firstLineChars="200"/>
        <w:jc w:val="left"/>
        <w:rPr>
          <w:rFonts w:ascii="楷体_GB2312" w:eastAsia="楷体_GB2312"/>
          <w:bCs/>
          <w:color w:val="000000"/>
          <w:sz w:val="32"/>
          <w:szCs w:val="32"/>
        </w:rPr>
      </w:pPr>
      <w:r>
        <w:rPr>
          <w:rFonts w:hint="eastAsia" w:ascii="楷体_GB2312" w:eastAsia="楷体_GB2312"/>
          <w:bCs/>
          <w:color w:val="000000"/>
          <w:sz w:val="32"/>
          <w:szCs w:val="32"/>
        </w:rPr>
        <w:t>（二）2017年重点工作完成情况。</w:t>
      </w: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1.脱贫攻坚工作， 2017年南坪乡已完成一个贫困村的脱贫任务，截止2017年全乡3个贫困村已有1个村脱贫，2017年全乡共完成贫困户脱贫122户447人。</w:t>
      </w:r>
    </w:p>
    <w:p>
      <w:pPr>
        <w:widowControl/>
        <w:spacing w:after="240" w:line="579" w:lineRule="exact"/>
        <w:ind w:firstLine="640" w:firstLineChars="200"/>
        <w:jc w:val="left"/>
        <w:rPr>
          <w:rFonts w:ascii="仿宋_GB2312" w:hAnsi="宋体" w:eastAsia="仿宋_GB2312" w:cs="宋体"/>
          <w:kern w:val="0"/>
          <w:sz w:val="32"/>
          <w:szCs w:val="32"/>
        </w:rPr>
      </w:pPr>
    </w:p>
    <w:p>
      <w:pPr>
        <w:widowControl/>
        <w:spacing w:after="240" w:line="579"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2.涉农项目资金使用情况，2017年上级下达我乡涉农项目资金5个村（社区）10个项目454.1万元，项目已全部竣工并验收。</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二、部门概况</w:t>
      </w:r>
    </w:p>
    <w:p>
      <w:pPr>
        <w:pStyle w:val="2"/>
        <w:adjustRightInd w:val="0"/>
        <w:snapToGrid w:val="0"/>
        <w:spacing w:before="93" w:line="600" w:lineRule="exact"/>
        <w:ind w:firstLine="672" w:firstLineChars="210"/>
        <w:rPr>
          <w:color w:val="000000"/>
          <w:sz w:val="32"/>
          <w:szCs w:val="32"/>
        </w:rPr>
      </w:pPr>
      <w:r>
        <w:rPr>
          <w:rFonts w:hint="eastAsia"/>
          <w:color w:val="000000"/>
          <w:sz w:val="32"/>
          <w:szCs w:val="32"/>
        </w:rPr>
        <w:t>南坪乡人民政府属财政一级预算单位，共三个部门，其中乡级行政单位（乡人民政府）1个，参照公务员法管理的事业单位（镇财政所）</w:t>
      </w:r>
      <w:r>
        <w:rPr>
          <w:rFonts w:hint="eastAsia"/>
          <w:bCs/>
          <w:color w:val="000000"/>
          <w:sz w:val="32"/>
          <w:szCs w:val="32"/>
        </w:rPr>
        <w:t>1</w:t>
      </w:r>
      <w:r>
        <w:rPr>
          <w:rFonts w:hint="eastAsia"/>
          <w:color w:val="000000"/>
          <w:sz w:val="32"/>
          <w:szCs w:val="32"/>
        </w:rPr>
        <w:t>个，其他事业单位（便民中心）1个。</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三、收支决算总体情况说明</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2017年南坪乡本年收入合计684.05万元，其中：</w:t>
      </w:r>
      <w:r>
        <w:rPr>
          <w:rFonts w:hint="eastAsia" w:ascii="仿宋_GB2312" w:eastAsia="仿宋_GB2312"/>
          <w:sz w:val="32"/>
          <w:szCs w:val="32"/>
        </w:rPr>
        <w:t xml:space="preserve">一般公共预算财政拨款收入463.03万元，占67.69%；政府性基金预算财政拨款收入221万元，占32.31%。 </w:t>
      </w:r>
    </w:p>
    <w:p>
      <w:pPr>
        <w:spacing w:line="600" w:lineRule="exact"/>
        <w:ind w:firstLine="640" w:firstLineChars="200"/>
        <w:jc w:val="left"/>
        <w:rPr>
          <w:rFonts w:ascii="仿宋_GB2312" w:eastAsia="仿宋_GB2312"/>
          <w:color w:val="000000"/>
          <w:sz w:val="32"/>
          <w:szCs w:val="32"/>
        </w:rPr>
      </w:pPr>
    </w:p>
    <w:p>
      <w:pPr>
        <w:jc w:val="center"/>
      </w:pP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2017年南坪乡本年支出合计684.05万元，其中：基本支出378.14万元，占55.27%；项目支出305.91万元，占44.73%.</w:t>
      </w:r>
    </w:p>
    <w:p/>
    <w:p>
      <w:pPr>
        <w:spacing w:line="600" w:lineRule="exact"/>
        <w:ind w:firstLine="640" w:firstLineChars="200"/>
        <w:rPr>
          <w:rFonts w:ascii="仿宋_GB2312" w:eastAsia="仿宋_GB2312"/>
          <w:color w:val="000000"/>
          <w:sz w:val="32"/>
          <w:szCs w:val="32"/>
        </w:rPr>
      </w:pPr>
      <w:r>
        <w:rPr>
          <w:rFonts w:hint="eastAsia" w:ascii="黑体" w:eastAsia="黑体"/>
          <w:color w:val="000000"/>
          <w:sz w:val="32"/>
          <w:szCs w:val="32"/>
        </w:rPr>
        <w:t>四、财政拨款收入支出决算总体情况说明</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2017年度财政拨款收、支总计684.05万元。与2016年654.61万元相比，财政拨款收、支总计各增加29.44万元，增长4.3%。</w:t>
      </w:r>
    </w:p>
    <w:p>
      <w:pPr>
        <w:spacing w:line="600" w:lineRule="exact"/>
        <w:ind w:firstLine="640" w:firstLineChars="200"/>
        <w:rPr>
          <w:rFonts w:ascii="仿宋_GB2312" w:eastAsia="仿宋_GB2312"/>
          <w:color w:val="000000"/>
          <w:sz w:val="32"/>
          <w:szCs w:val="32"/>
        </w:rPr>
      </w:pPr>
    </w:p>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五、一般公共预算财政拨款支出决算情况说明</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2017年度一般公共预算财政拨款支出463.06万元，占本年支出合计的67.69%。与2016年相比，一般公共预算财政拨款减少654.61万元，下降70.73%。</w:t>
      </w:r>
    </w:p>
    <w:p>
      <w:pPr>
        <w:spacing w:line="600" w:lineRule="exact"/>
        <w:ind w:firstLine="640" w:firstLineChars="200"/>
        <w:rPr>
          <w:rFonts w:ascii="仿宋_GB2312" w:eastAsia="仿宋_GB2312"/>
          <w:color w:val="000000"/>
          <w:sz w:val="32"/>
          <w:szCs w:val="32"/>
        </w:rPr>
      </w:pPr>
    </w:p>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（二）一般公共预算财政拨款支出决算结构情况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2017年一般公共预算财政拨款支出463.05万元，主要用于以下方面:一般公共服务支出245.62万元，占53.04%；公共安全支出1.58万元，占0.003%；文化体育与传媒支出6.6万元，占1.42%；社会保障和就业支出31.27万元，占6.75%；医疗卫生支出10.59万元，占2.28%；城乡社区支出35.1万元，占7.58%；农林水支出117.03万元，占25.27%；住房保障支出15.26万元，占3.29%。</w:t>
      </w:r>
    </w:p>
    <w:p>
      <w:pPr>
        <w:spacing w:line="600" w:lineRule="exact"/>
        <w:ind w:firstLine="640"/>
        <w:rPr>
          <w:rFonts w:ascii="仿宋_GB2312" w:eastAsia="仿宋_GB2312"/>
          <w:color w:val="000000"/>
          <w:sz w:val="32"/>
          <w:szCs w:val="32"/>
        </w:rPr>
      </w:pPr>
    </w:p>
    <w:p/>
    <w:p>
      <w:pPr>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（三）一般公共预算财政拨款支出决算具体情况</w:t>
      </w:r>
    </w:p>
    <w:tbl>
      <w:tblPr>
        <w:tblStyle w:val="8"/>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FFFFFF"/>
          </w:tcPr>
          <w:tbl>
            <w:tblPr>
              <w:tblStyle w:val="8"/>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jc w:val="center"/>
              </w:trPr>
              <w:tc>
                <w:tcPr>
                  <w:tcW w:w="12000" w:type="dxa"/>
                  <w:shd w:val="clear" w:color="auto" w:fill="FFFFFF"/>
                </w:tcPr>
                <w:tbl>
                  <w:tblPr>
                    <w:tblStyle w:val="8"/>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Pr>
                      <w:p>
                        <w:pPr>
                          <w:widowControl/>
                          <w:jc w:val="left"/>
                          <w:rPr>
                            <w:rFonts w:ascii="宋体" w:hAnsi="宋体" w:cs="宋体"/>
                            <w:color w:val="000000"/>
                            <w:kern w:val="0"/>
                            <w:szCs w:val="21"/>
                          </w:rPr>
                        </w:pPr>
                      </w:p>
                    </w:tc>
                  </w:tr>
                </w:tbl>
                <w:p>
                  <w:pPr>
                    <w:widowControl/>
                    <w:jc w:val="left"/>
                    <w:rPr>
                      <w:rFonts w:ascii="宋体" w:hAnsi="宋体" w:cs="宋体"/>
                      <w:color w:val="000000"/>
                      <w:kern w:val="0"/>
                      <w:szCs w:val="21"/>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vAlign w:val="center"/>
                </w:tcPr>
                <w:p>
                  <w:pPr>
                    <w:widowControl/>
                    <w:jc w:val="left"/>
                    <w:rPr>
                      <w:rFonts w:ascii="宋体" w:hAnsi="宋体" w:cs="宋体"/>
                      <w:color w:val="000000"/>
                      <w:kern w:val="0"/>
                      <w:sz w:val="8"/>
                      <w:szCs w:val="21"/>
                    </w:rPr>
                  </w:pPr>
                </w:p>
              </w:tc>
            </w:tr>
          </w:tbl>
          <w:p>
            <w:pPr>
              <w:widowControl/>
              <w:jc w:val="center"/>
              <w:rPr>
                <w:rFonts w:ascii="宋体" w:hAnsi="宋体" w:cs="宋体"/>
                <w:color w:val="000000"/>
                <w:kern w:val="0"/>
                <w:szCs w:val="21"/>
              </w:rPr>
            </w:pPr>
          </w:p>
        </w:tc>
      </w:tr>
      <w:tr>
        <w:tblPrEx>
          <w:tblLayout w:type="fixed"/>
          <w:tblCellMar>
            <w:top w:w="0" w:type="dxa"/>
            <w:left w:w="0" w:type="dxa"/>
            <w:bottom w:w="0" w:type="dxa"/>
            <w:right w:w="0" w:type="dxa"/>
          </w:tblCellMar>
        </w:tblPrEx>
        <w:trPr>
          <w:tblCellSpacing w:w="0" w:type="dxa"/>
        </w:trPr>
        <w:tc>
          <w:tcPr>
            <w:tcW w:w="8306" w:type="dxa"/>
            <w:shd w:val="clear" w:color="auto" w:fill="FFFFFF"/>
          </w:tcPr>
          <w:p>
            <w:pPr>
              <w:widowControl/>
              <w:jc w:val="left"/>
              <w:rPr>
                <w:rFonts w:ascii="宋体" w:hAnsi="宋体" w:cs="宋体"/>
                <w:color w:val="000000"/>
                <w:kern w:val="0"/>
                <w:szCs w:val="21"/>
              </w:rPr>
            </w:pPr>
          </w:p>
        </w:tc>
      </w:tr>
    </w:tbl>
    <w:p>
      <w:pPr>
        <w:pStyle w:val="14"/>
        <w:numPr>
          <w:ilvl w:val="0"/>
          <w:numId w:val="1"/>
        </w:numPr>
        <w:spacing w:line="600" w:lineRule="exact"/>
        <w:ind w:firstLineChars="0"/>
        <w:rPr>
          <w:rStyle w:val="7"/>
          <w:rFonts w:ascii="仿宋_GB2312" w:eastAsia="仿宋_GB2312"/>
          <w:color w:val="000000"/>
          <w:sz w:val="32"/>
          <w:szCs w:val="32"/>
        </w:rPr>
      </w:pPr>
      <w:r>
        <w:rPr>
          <w:rStyle w:val="7"/>
          <w:rFonts w:hint="eastAsia" w:ascii="仿宋_GB2312" w:eastAsia="仿宋_GB2312"/>
          <w:color w:val="000000"/>
          <w:sz w:val="32"/>
          <w:szCs w:val="32"/>
        </w:rPr>
        <w:t>一般公共服务支出245.62万元:</w:t>
      </w:r>
    </w:p>
    <w:p>
      <w:pPr>
        <w:spacing w:line="600" w:lineRule="exact"/>
        <w:ind w:firstLine="640" w:firstLineChars="200"/>
        <w:rPr>
          <w:rStyle w:val="7"/>
          <w:rFonts w:ascii="仿宋_GB2312" w:eastAsia="仿宋_GB2312"/>
          <w:b w:val="0"/>
          <w:color w:val="000000"/>
          <w:sz w:val="32"/>
          <w:szCs w:val="32"/>
        </w:rPr>
      </w:pPr>
      <w:r>
        <w:rPr>
          <w:rStyle w:val="7"/>
          <w:rFonts w:hint="eastAsia" w:ascii="仿宋_GB2312" w:eastAsia="仿宋_GB2312"/>
          <w:b w:val="0"/>
          <w:color w:val="000000"/>
          <w:sz w:val="32"/>
          <w:szCs w:val="32"/>
        </w:rPr>
        <w:t>（1）政府办公厅及相关机构事务支出233.75万元：其中：</w:t>
      </w:r>
    </w:p>
    <w:p>
      <w:pPr>
        <w:spacing w:line="600" w:lineRule="exact"/>
        <w:ind w:firstLine="640" w:firstLineChars="200"/>
        <w:rPr>
          <w:rStyle w:val="7"/>
          <w:rFonts w:ascii="仿宋_GB2312" w:eastAsia="仿宋_GB2312"/>
          <w:b w:val="0"/>
          <w:color w:val="000000"/>
          <w:sz w:val="32"/>
          <w:szCs w:val="32"/>
        </w:rPr>
      </w:pPr>
      <w:r>
        <w:rPr>
          <w:rStyle w:val="7"/>
          <w:rFonts w:hint="eastAsia" w:ascii="仿宋_GB2312" w:eastAsia="仿宋_GB2312"/>
          <w:b w:val="0"/>
          <w:color w:val="000000"/>
          <w:sz w:val="32"/>
          <w:szCs w:val="32"/>
        </w:rPr>
        <w:t>一是行政运行支出决算为197.93万元，完成预算100%</w:t>
      </w:r>
    </w:p>
    <w:p>
      <w:pPr>
        <w:spacing w:line="600" w:lineRule="exact"/>
        <w:ind w:firstLine="640" w:firstLineChars="200"/>
        <w:rPr>
          <w:rStyle w:val="7"/>
          <w:rFonts w:ascii="仿宋_GB2312" w:eastAsia="仿宋_GB2312"/>
          <w:b w:val="0"/>
          <w:color w:val="000000"/>
          <w:sz w:val="32"/>
          <w:szCs w:val="32"/>
        </w:rPr>
      </w:pPr>
      <w:r>
        <w:rPr>
          <w:rStyle w:val="7"/>
          <w:rFonts w:hint="eastAsia" w:ascii="仿宋_GB2312" w:eastAsia="仿宋_GB2312"/>
          <w:b w:val="0"/>
          <w:color w:val="000000"/>
          <w:sz w:val="32"/>
          <w:szCs w:val="32"/>
        </w:rPr>
        <w:t>二是一般行政管理事务支出5万元，完成预算100%.</w:t>
      </w:r>
    </w:p>
    <w:p>
      <w:pPr>
        <w:spacing w:line="600" w:lineRule="exact"/>
        <w:ind w:firstLine="640" w:firstLineChars="200"/>
        <w:rPr>
          <w:rStyle w:val="7"/>
          <w:rFonts w:ascii="仿宋_GB2312" w:eastAsia="仿宋_GB2312"/>
          <w:color w:val="000000"/>
          <w:sz w:val="32"/>
          <w:szCs w:val="32"/>
        </w:rPr>
      </w:pPr>
      <w:r>
        <w:rPr>
          <w:rStyle w:val="7"/>
          <w:rFonts w:hint="eastAsia" w:ascii="仿宋_GB2312" w:eastAsia="仿宋_GB2312"/>
          <w:b w:val="0"/>
          <w:color w:val="000000"/>
          <w:sz w:val="32"/>
          <w:szCs w:val="32"/>
        </w:rPr>
        <w:t>三是其他政府办公厅事务支出30.82万元；完成预算100%，决算数等于预算数；</w:t>
      </w:r>
    </w:p>
    <w:p>
      <w:pPr>
        <w:spacing w:line="600" w:lineRule="exact"/>
        <w:ind w:left="643"/>
        <w:rPr>
          <w:rStyle w:val="7"/>
          <w:rFonts w:ascii="仿宋_GB2312" w:eastAsia="仿宋_GB2312"/>
          <w:b w:val="0"/>
          <w:color w:val="000000"/>
          <w:sz w:val="32"/>
          <w:szCs w:val="32"/>
        </w:rPr>
      </w:pPr>
      <w:r>
        <w:rPr>
          <w:rStyle w:val="7"/>
          <w:rFonts w:hint="eastAsia" w:ascii="仿宋_GB2312" w:eastAsia="仿宋_GB2312"/>
          <w:b w:val="0"/>
          <w:color w:val="000000"/>
          <w:sz w:val="32"/>
          <w:szCs w:val="32"/>
        </w:rPr>
        <w:t>（2）财政事务支出1.5万元，完成预算100%，系县财政调整预算追加村级代理记账专项工作经费；</w:t>
      </w:r>
    </w:p>
    <w:p>
      <w:pPr>
        <w:spacing w:line="600" w:lineRule="exact"/>
        <w:ind w:left="643"/>
        <w:rPr>
          <w:rStyle w:val="7"/>
          <w:rFonts w:ascii="仿宋_GB2312" w:eastAsia="仿宋_GB2312"/>
          <w:b w:val="0"/>
          <w:color w:val="000000"/>
          <w:sz w:val="32"/>
          <w:szCs w:val="32"/>
        </w:rPr>
      </w:pPr>
      <w:r>
        <w:rPr>
          <w:rStyle w:val="7"/>
          <w:rFonts w:hint="eastAsia" w:ascii="仿宋_GB2312" w:eastAsia="仿宋_GB2312"/>
          <w:b w:val="0"/>
          <w:color w:val="000000"/>
          <w:sz w:val="32"/>
          <w:szCs w:val="32"/>
        </w:rPr>
        <w:t>（3）纪检监察事务支出2.86万元，完成预算100%，系县财政调整预算追加纪检监察办案经费补助；</w:t>
      </w:r>
    </w:p>
    <w:p>
      <w:pPr>
        <w:spacing w:line="600" w:lineRule="exact"/>
        <w:ind w:left="643"/>
        <w:rPr>
          <w:rFonts w:ascii="仿宋_GB2312" w:eastAsia="仿宋_GB2312"/>
          <w:bCs/>
          <w:color w:val="000000"/>
          <w:sz w:val="32"/>
          <w:szCs w:val="32"/>
        </w:rPr>
      </w:pPr>
      <w:r>
        <w:rPr>
          <w:rStyle w:val="7"/>
          <w:rFonts w:hint="eastAsia" w:ascii="仿宋_GB2312" w:eastAsia="仿宋_GB2312"/>
          <w:b w:val="0"/>
          <w:color w:val="000000"/>
          <w:sz w:val="32"/>
          <w:szCs w:val="32"/>
        </w:rPr>
        <w:t>（4）其他一般公共服务支出7.5万元，完成预算100%，</w:t>
      </w:r>
    </w:p>
    <w:p>
      <w:pPr>
        <w:spacing w:line="600" w:lineRule="exact"/>
        <w:ind w:firstLine="643" w:firstLineChars="200"/>
        <w:rPr>
          <w:rStyle w:val="7"/>
          <w:rFonts w:ascii="仿宋_GB2312" w:eastAsia="仿宋_GB2312"/>
          <w:b w:val="0"/>
          <w:color w:val="000000"/>
          <w:sz w:val="32"/>
          <w:szCs w:val="32"/>
        </w:rPr>
      </w:pPr>
      <w:r>
        <w:rPr>
          <w:rStyle w:val="7"/>
          <w:rFonts w:hint="eastAsia" w:ascii="仿宋_GB2312" w:eastAsia="仿宋_GB2312"/>
          <w:color w:val="000000"/>
          <w:sz w:val="32"/>
          <w:szCs w:val="32"/>
        </w:rPr>
        <w:t>2.公共安全支出:</w:t>
      </w:r>
      <w:r>
        <w:rPr>
          <w:rStyle w:val="7"/>
          <w:rFonts w:hint="eastAsia" w:ascii="仿宋_GB2312" w:eastAsia="仿宋_GB2312"/>
          <w:b w:val="0"/>
          <w:color w:val="000000"/>
          <w:sz w:val="32"/>
          <w:szCs w:val="32"/>
        </w:rPr>
        <w:t xml:space="preserve"> 支出决算为1.58万元，完成预算100%。</w:t>
      </w:r>
    </w:p>
    <w:p>
      <w:pPr>
        <w:spacing w:line="600" w:lineRule="exact"/>
        <w:ind w:firstLine="643" w:firstLineChars="200"/>
        <w:rPr>
          <w:rFonts w:ascii="仿宋_GB2312" w:eastAsia="仿宋_GB2312"/>
          <w:bCs/>
          <w:color w:val="000000"/>
          <w:sz w:val="32"/>
          <w:szCs w:val="32"/>
        </w:rPr>
      </w:pPr>
      <w:r>
        <w:rPr>
          <w:rStyle w:val="7"/>
          <w:rFonts w:hint="eastAsia" w:ascii="仿宋_GB2312" w:eastAsia="仿宋_GB2312"/>
          <w:color w:val="000000"/>
          <w:sz w:val="32"/>
          <w:szCs w:val="32"/>
        </w:rPr>
        <w:t>3.文化体育与传媒支出:</w:t>
      </w:r>
      <w:r>
        <w:rPr>
          <w:rStyle w:val="7"/>
          <w:rFonts w:hint="eastAsia" w:ascii="仿宋_GB2312" w:eastAsia="仿宋_GB2312"/>
          <w:b w:val="0"/>
          <w:color w:val="000000"/>
          <w:sz w:val="32"/>
          <w:szCs w:val="32"/>
        </w:rPr>
        <w:t xml:space="preserve"> 支出决算为6.6万元，完成预算100%。</w:t>
      </w:r>
    </w:p>
    <w:p>
      <w:pPr>
        <w:spacing w:line="600" w:lineRule="exact"/>
        <w:ind w:firstLine="643" w:firstLineChars="200"/>
        <w:rPr>
          <w:rFonts w:ascii="仿宋_GB2312" w:eastAsia="仿宋_GB2312"/>
          <w:b/>
          <w:color w:val="000000"/>
          <w:sz w:val="32"/>
          <w:szCs w:val="32"/>
        </w:rPr>
      </w:pPr>
      <w:r>
        <w:rPr>
          <w:rStyle w:val="7"/>
          <w:rFonts w:hint="eastAsia" w:ascii="仿宋_GB2312" w:eastAsia="仿宋_GB2312"/>
          <w:color w:val="000000"/>
          <w:sz w:val="32"/>
          <w:szCs w:val="32"/>
        </w:rPr>
        <w:t>4.社会保障和就业支出:</w:t>
      </w:r>
      <w:r>
        <w:rPr>
          <w:rStyle w:val="7"/>
          <w:rFonts w:hint="eastAsia" w:ascii="仿宋_GB2312" w:eastAsia="仿宋_GB2312"/>
          <w:b w:val="0"/>
          <w:color w:val="000000"/>
          <w:sz w:val="32"/>
          <w:szCs w:val="32"/>
        </w:rPr>
        <w:t xml:space="preserve"> 支出决算为31.27万元，完成预算100%，</w:t>
      </w:r>
    </w:p>
    <w:p>
      <w:pPr>
        <w:spacing w:line="600" w:lineRule="exact"/>
        <w:ind w:firstLine="643" w:firstLineChars="200"/>
        <w:rPr>
          <w:rFonts w:ascii="仿宋_GB2312" w:eastAsia="仿宋_GB2312"/>
          <w:b/>
          <w:color w:val="000000"/>
          <w:sz w:val="32"/>
          <w:szCs w:val="32"/>
        </w:rPr>
      </w:pPr>
      <w:r>
        <w:rPr>
          <w:rStyle w:val="7"/>
          <w:rFonts w:hint="eastAsia" w:ascii="仿宋_GB2312" w:eastAsia="仿宋_GB2312"/>
          <w:color w:val="000000"/>
          <w:sz w:val="32"/>
          <w:szCs w:val="32"/>
        </w:rPr>
        <w:t>5.医疗卫生与计划生育支出:</w:t>
      </w:r>
      <w:r>
        <w:rPr>
          <w:rStyle w:val="7"/>
          <w:rFonts w:hint="eastAsia" w:ascii="仿宋_GB2312" w:eastAsia="仿宋_GB2312"/>
          <w:b w:val="0"/>
          <w:color w:val="000000"/>
          <w:sz w:val="32"/>
          <w:szCs w:val="32"/>
        </w:rPr>
        <w:t>支出决算为10.59万元，完成预算100%。</w:t>
      </w:r>
      <w:r>
        <w:rPr>
          <w:rFonts w:ascii="仿宋_GB2312" w:eastAsia="仿宋_GB2312"/>
          <w:b/>
          <w:color w:val="000000"/>
          <w:sz w:val="32"/>
          <w:szCs w:val="32"/>
        </w:rPr>
        <w:t xml:space="preserve"> </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2.城乡社区支出：</w:t>
      </w:r>
      <w:r>
        <w:rPr>
          <w:rFonts w:hint="eastAsia" w:ascii="仿宋_GB2312" w:eastAsia="仿宋_GB2312"/>
          <w:color w:val="000000"/>
          <w:sz w:val="32"/>
          <w:szCs w:val="32"/>
        </w:rPr>
        <w:t>支出决算为35.1万元，完成预算100%。</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7.农林水支出：</w:t>
      </w:r>
      <w:r>
        <w:rPr>
          <w:rFonts w:hint="eastAsia" w:ascii="仿宋_GB2312" w:eastAsia="仿宋_GB2312"/>
          <w:color w:val="000000"/>
          <w:sz w:val="32"/>
          <w:szCs w:val="32"/>
        </w:rPr>
        <w:t>支出决算为117.1万元，完成预算100%，决算数大于预算数的主要原因是调整预算增加了：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（1）农业支出增加63.4万元，其中：</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一是农业行业业务管理支出，政策性农业保险工作经费1.1万元；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二是防灾减灾支出2万元；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三是农业其他支出，12.5万元；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（2）水利支出增加20万元；</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（3）农业综合开发支出增加6万元，</w:t>
      </w:r>
    </w:p>
    <w:p>
      <w:pPr>
        <w:spacing w:line="600" w:lineRule="exact"/>
        <w:rPr>
          <w:rFonts w:ascii="黑体" w:eastAsia="黑体"/>
          <w:color w:val="000000"/>
          <w:sz w:val="32"/>
          <w:szCs w:val="32"/>
        </w:rPr>
      </w:pPr>
      <w:r>
        <w:rPr>
          <w:rFonts w:hint="eastAsia" w:ascii="黑体" w:eastAsia="黑体"/>
          <w:color w:val="000000"/>
          <w:sz w:val="32"/>
          <w:szCs w:val="32"/>
        </w:rPr>
        <w:t>六、一般公共预算财政拨款基本支出决算情况说明</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2017年度一般公共预算财政拨款基本支出463.05万元，其中：</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人员经费274.55万元，主要包括：基本工资支出79.04万元、津贴补贴46.13万元、奖金4.01万元、绩效工资6.91万元、机关事业单位基本养老保险缴费26.84万元、其他社会保障缴费11.65万元、生活补助49.87万元、奖励金34.84万元、住房公积金15.26万元、。</w:t>
      </w:r>
      <w:r>
        <w:rPr>
          <w:rFonts w:hint="eastAsia" w:ascii="仿宋_GB2312" w:eastAsia="仿宋_GB2312"/>
          <w:color w:val="000000"/>
          <w:sz w:val="32"/>
          <w:szCs w:val="32"/>
        </w:rPr>
        <w:br w:type="textWrapping"/>
      </w:r>
      <w:r>
        <w:rPr>
          <w:rFonts w:hint="eastAsia" w:ascii="仿宋_GB2312" w:eastAsia="仿宋_GB2312"/>
          <w:color w:val="000000"/>
          <w:sz w:val="32"/>
          <w:szCs w:val="32"/>
        </w:rPr>
        <w:t>　　公用经费103.58万元，主要包括：办公费103.23万元、水费0.8万元、电费3.84万元、邮电费3.48万元、差旅费4.5万元、培训费0.65万元、公务接待费3.5万元、工会经费1.24万元、其他交通费13.56万元、其他商品和服务支出0.2万元。</w:t>
      </w:r>
    </w:p>
    <w:p>
      <w:pPr>
        <w:spacing w:line="600" w:lineRule="exact"/>
        <w:ind w:firstLine="640"/>
        <w:rPr>
          <w:rFonts w:ascii="黑体" w:eastAsia="黑体"/>
          <w:color w:val="000000"/>
          <w:sz w:val="32"/>
          <w:szCs w:val="32"/>
        </w:rPr>
      </w:pPr>
      <w:r>
        <w:rPr>
          <w:rFonts w:hint="eastAsia" w:ascii="黑体" w:eastAsia="黑体"/>
          <w:color w:val="000000"/>
          <w:sz w:val="32"/>
          <w:szCs w:val="32"/>
        </w:rPr>
        <w:t>七、“三公”经费财政拨款支出决算情况说明</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（一）“三公”经费财政拨款支出决算总体情况说明</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2017年度“三公”经费财政拨款支出决算为3.5万元，完成预算80%，决算数小于预算数的主要原因是严格执行中央八项规定后，公务接待费用降低了。</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（二）“三公”经费财政拨款支出决算具体情况说明</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2017年度“三公”经费财政拨款支出决算中，因公出国境没有支出；公务用车费用因无公车，所以无公务用车费用；公务接待费支出决算3.5万元，占年初预算的80%。</w:t>
      </w:r>
    </w:p>
    <w:p>
      <w:pPr>
        <w:spacing w:line="600" w:lineRule="exact"/>
        <w:ind w:firstLine="640"/>
        <w:rPr>
          <w:rFonts w:ascii="黑体" w:hAnsi="黑体" w:eastAsia="黑体"/>
          <w:color w:val="000000"/>
          <w:sz w:val="32"/>
          <w:szCs w:val="32"/>
        </w:rPr>
      </w:pPr>
      <w:r>
        <w:rPr>
          <w:rFonts w:hint="eastAsia" w:ascii="黑体" w:hAnsi="黑体" w:eastAsia="黑体"/>
          <w:color w:val="000000"/>
          <w:sz w:val="32"/>
          <w:szCs w:val="32"/>
        </w:rPr>
        <w:t>八、政府性基金预算支出决算情况说明</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2017年度政府性基金预算拨款支出221万元。其具体项目是：用于国有土地使用权出让收入安排的支出项目221万元；</w:t>
      </w:r>
    </w:p>
    <w:p>
      <w:pPr>
        <w:spacing w:line="600" w:lineRule="exact"/>
        <w:ind w:firstLine="640"/>
        <w:rPr>
          <w:rFonts w:hint="eastAsia" w:ascii="黑体" w:eastAsia="黑体"/>
          <w:color w:val="000000"/>
          <w:sz w:val="32"/>
          <w:szCs w:val="32"/>
        </w:rPr>
      </w:pPr>
      <w:r>
        <w:rPr>
          <w:rFonts w:hint="eastAsia" w:ascii="黑体" w:eastAsia="黑体"/>
          <w:color w:val="000000"/>
          <w:sz w:val="32"/>
          <w:szCs w:val="32"/>
        </w:rPr>
        <w:t>九、国有资本经营预算支出决算情况说明</w:t>
      </w:r>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2017年度国有资本经营预算拨款支出0万元。</w:t>
      </w:r>
    </w:p>
    <w:p>
      <w:pPr>
        <w:spacing w:line="600" w:lineRule="exact"/>
        <w:ind w:firstLine="640"/>
        <w:rPr>
          <w:rFonts w:ascii="仿宋_GB2312" w:eastAsia="仿宋_GB2312"/>
          <w:color w:val="000000"/>
          <w:sz w:val="32"/>
          <w:szCs w:val="32"/>
        </w:rPr>
      </w:pP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十、其他重要事项的情况说明</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（一）机关运行经费支出情况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2017年度，南坪乡机关运行经费支出197.93万元，比2016年增加144.24万元，增长27.12%，其主要原因是人员经费支出增加47.45万元，主要是正常调资增加及目标考核增加等因数，日常公用经费支出增加38.26万元，主要是增加交通补贴及正常办公人头经费增加等因数。</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（二）政府采购支出情况</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2017年度，</w:t>
      </w:r>
      <w:r>
        <w:rPr>
          <w:rFonts w:hint="eastAsia" w:ascii="仿宋_GB2312" w:eastAsia="仿宋_GB2312"/>
          <w:color w:val="000000"/>
          <w:sz w:val="32"/>
          <w:szCs w:val="32"/>
          <w:lang w:eastAsia="zh-CN"/>
        </w:rPr>
        <w:t>南坪乡</w:t>
      </w:r>
      <w:r>
        <w:rPr>
          <w:rFonts w:hint="eastAsia" w:ascii="仿宋_GB2312" w:eastAsia="仿宋_GB2312"/>
          <w:color w:val="000000"/>
          <w:sz w:val="32"/>
          <w:szCs w:val="32"/>
        </w:rPr>
        <w:t>人民政府政府采购支出总额0万元。</w:t>
      </w: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（三）国有资产占有使用情况</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截至2017年12月31日，</w:t>
      </w:r>
      <w:r>
        <w:rPr>
          <w:rFonts w:hint="eastAsia" w:ascii="仿宋_GB2312" w:eastAsia="仿宋_GB2312"/>
          <w:color w:val="000000"/>
          <w:sz w:val="32"/>
          <w:szCs w:val="32"/>
          <w:lang w:eastAsia="zh-CN"/>
        </w:rPr>
        <w:t>南坪乡</w:t>
      </w:r>
      <w:bookmarkStart w:id="0" w:name="_GoBack"/>
      <w:bookmarkEnd w:id="0"/>
      <w:r>
        <w:rPr>
          <w:rFonts w:hint="eastAsia" w:ascii="仿宋_GB2312" w:eastAsia="仿宋_GB2312"/>
          <w:color w:val="000000"/>
          <w:sz w:val="32"/>
          <w:szCs w:val="32"/>
        </w:rPr>
        <w:t>人民政府共有车辆0辆；单价50万元以上通用设备0台（套），单价100万元以上专用设备0台（套）。</w:t>
      </w:r>
    </w:p>
    <w:p>
      <w:pPr>
        <w:spacing w:line="600" w:lineRule="exact"/>
        <w:ind w:firstLine="640" w:firstLineChars="200"/>
        <w:rPr>
          <w:rFonts w:ascii="仿宋_GB2312" w:eastAsia="仿宋_GB2312"/>
          <w:color w:val="000000"/>
          <w:sz w:val="32"/>
          <w:szCs w:val="32"/>
        </w:rPr>
      </w:pPr>
    </w:p>
    <w:p>
      <w:pPr>
        <w:autoSpaceDE w:val="0"/>
        <w:autoSpaceDN w:val="0"/>
        <w:adjustRightInd w:val="0"/>
        <w:spacing w:line="600" w:lineRule="exact"/>
        <w:ind w:firstLine="643" w:firstLineChars="200"/>
        <w:jc w:val="left"/>
        <w:rPr>
          <w:rFonts w:ascii="仿宋_GB2312" w:eastAsia="仿宋_GB2312"/>
          <w:b/>
          <w:color w:val="000000"/>
          <w:sz w:val="32"/>
          <w:szCs w:val="32"/>
        </w:rPr>
      </w:pPr>
      <w:r>
        <w:rPr>
          <w:rFonts w:hint="eastAsia" w:ascii="仿宋_GB2312" w:eastAsia="仿宋_GB2312"/>
          <w:b/>
          <w:color w:val="000000"/>
          <w:sz w:val="32"/>
          <w:szCs w:val="32"/>
        </w:rPr>
        <w:t>（二）预算绩效情况</w:t>
      </w:r>
    </w:p>
    <w:p>
      <w:pPr>
        <w:spacing w:line="600" w:lineRule="atLeast"/>
        <w:ind w:firstLine="640" w:firstLineChars="200"/>
        <w:rPr>
          <w:rFonts w:ascii="仿宋_GB2312" w:eastAsia="仿宋_GB2312"/>
          <w:color w:val="000000"/>
          <w:sz w:val="32"/>
          <w:szCs w:val="32"/>
        </w:rPr>
      </w:pP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1.部门整体支出绩效自评开展情况。</w:t>
      </w:r>
    </w:p>
    <w:p>
      <w:pPr>
        <w:spacing w:line="600" w:lineRule="atLeast"/>
        <w:ind w:firstLine="640" w:firstLineChars="200"/>
        <w:rPr>
          <w:rFonts w:ascii="仿宋_GB2312" w:eastAsia="仿宋_GB2312"/>
          <w:color w:val="000000"/>
          <w:sz w:val="32"/>
          <w:szCs w:val="32"/>
        </w:rPr>
      </w:pPr>
      <w:r>
        <w:rPr>
          <w:rFonts w:hint="eastAsia" w:ascii="仿宋_GB2312" w:eastAsia="仿宋_GB2312"/>
          <w:color w:val="000000"/>
          <w:sz w:val="32"/>
          <w:szCs w:val="32"/>
        </w:rPr>
        <w:t>按照预算绩效管理要求，本部门对2017年整体支出开展绩效自评，自评得分95分，存在的问题：一是关于专项资金分配时限问题，不清楚省级及中央专项预算分配时限；二是中期评估执行不到位；三是预算执行进度监控力度不大。下一步改进措施：一是进一步了解省级及中央专项资金的分配时限；二是加强中期评估力度；三是加大对预算执行的监控力度。</w:t>
      </w:r>
    </w:p>
    <w:p>
      <w:pP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2017年部门整体支出绩效评价得分表</w:t>
      </w:r>
    </w:p>
    <w:tbl>
      <w:tblPr>
        <w:tblStyle w:val="8"/>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评价结果应用（3分）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231" w:hRule="atLeast"/>
        </w:trPr>
        <w:tc>
          <w:tcPr>
            <w:tcW w:w="170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Layout w:type="fixed"/>
          <w:tblCellMar>
            <w:top w:w="0" w:type="dxa"/>
            <w:left w:w="108" w:type="dxa"/>
            <w:bottom w:w="0" w:type="dxa"/>
            <w:right w:w="108" w:type="dxa"/>
          </w:tblCellMar>
        </w:tblPrEx>
        <w:trPr>
          <w:trHeight w:val="180"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240"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科技（制度、方法、机制等）创新（5分）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2268" w:type="dxa"/>
            <w:vMerge w:val="continue"/>
            <w:tcBorders>
              <w:left w:val="single" w:color="auto" w:sz="4" w:space="0"/>
              <w:right w:val="single" w:color="auto" w:sz="4" w:space="0"/>
            </w:tcBorders>
            <w:vAlign w:val="center"/>
          </w:tcPr>
          <w:p>
            <w:pPr>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r>
    </w:tbl>
    <w:p>
      <w:pPr>
        <w:spacing w:line="600" w:lineRule="atLeas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黑体" w:eastAsia="黑体"/>
          <w:color w:val="000000"/>
          <w:sz w:val="32"/>
          <w:szCs w:val="32"/>
        </w:rPr>
      </w:pPr>
      <w:r>
        <w:rPr>
          <w:rFonts w:hint="eastAsia" w:ascii="黑体" w:eastAsia="黑体"/>
          <w:color w:val="000000"/>
          <w:sz w:val="32"/>
          <w:szCs w:val="32"/>
        </w:rPr>
        <w:t>十、名词解释</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4.其他收入：指单位取得的除上述收入以外的各项收入。主要是利息收入等。 </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10.项目支出：指在基本支出之外为完成特定行政任务和事业发展目标所发生的支出。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11.经营支出：指事业单位在专业业务活动及其辅助活动之外开展非独立核算经营活动发生的支出。</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3"/>
        <w:spacing w:line="560" w:lineRule="exact"/>
        <w:ind w:firstLine="640" w:firstLineChars="200"/>
        <w:rPr>
          <w:rFonts w:ascii="仿宋_GB2312" w:eastAsia="仿宋_GB2312"/>
          <w:sz w:val="32"/>
          <w:szCs w:val="32"/>
        </w:rPr>
      </w:pPr>
      <w:r>
        <w:rPr>
          <w:rFonts w:hint="eastAsia" w:ascii="仿宋_GB2312" w:eastAsia="仿宋_GB2312"/>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
    <w:p/>
    <w:p>
      <w:pPr>
        <w:ind w:firstLine="4320" w:firstLineChars="1350"/>
        <w:rPr>
          <w:rFonts w:ascii="仿宋_GB2312" w:eastAsia="仿宋_GB2312"/>
          <w:sz w:val="32"/>
          <w:szCs w:val="32"/>
        </w:rPr>
      </w:pPr>
      <w:r>
        <w:rPr>
          <w:rFonts w:hint="eastAsia" w:ascii="仿宋_GB2312" w:eastAsia="仿宋_GB2312"/>
          <w:sz w:val="32"/>
          <w:szCs w:val="32"/>
        </w:rPr>
        <w:t>宣汉县南坪乡人民政府</w:t>
      </w:r>
    </w:p>
    <w:p>
      <w:pPr>
        <w:ind w:firstLine="4800" w:firstLineChars="1500"/>
        <w:rPr>
          <w:rFonts w:ascii="仿宋_GB2312" w:eastAsia="仿宋_GB2312"/>
          <w:sz w:val="32"/>
          <w:szCs w:val="32"/>
        </w:rPr>
      </w:pPr>
      <w:r>
        <w:rPr>
          <w:rFonts w:hint="eastAsia" w:ascii="仿宋_GB2312" w:eastAsia="仿宋_GB2312"/>
          <w:sz w:val="32"/>
          <w:szCs w:val="32"/>
        </w:rPr>
        <w:t>2018年9月6日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0989"/>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11</w:t>
            </w:r>
            <w:r>
              <w:rPr>
                <w:b/>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552ED"/>
    <w:multiLevelType w:val="multilevel"/>
    <w:tmpl w:val="7C3552ED"/>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4B0B"/>
    <w:rsid w:val="00016BFC"/>
    <w:rsid w:val="00047FF1"/>
    <w:rsid w:val="00056164"/>
    <w:rsid w:val="00091257"/>
    <w:rsid w:val="00095341"/>
    <w:rsid w:val="000C49BE"/>
    <w:rsid w:val="000F263C"/>
    <w:rsid w:val="000F4E74"/>
    <w:rsid w:val="00131F22"/>
    <w:rsid w:val="00170EE4"/>
    <w:rsid w:val="0017274A"/>
    <w:rsid w:val="0019165E"/>
    <w:rsid w:val="0019481B"/>
    <w:rsid w:val="00197367"/>
    <w:rsid w:val="001B13BE"/>
    <w:rsid w:val="001D4582"/>
    <w:rsid w:val="00215399"/>
    <w:rsid w:val="00216EA5"/>
    <w:rsid w:val="00242D99"/>
    <w:rsid w:val="00244EBB"/>
    <w:rsid w:val="00260D72"/>
    <w:rsid w:val="0028310C"/>
    <w:rsid w:val="0028680E"/>
    <w:rsid w:val="002B7FEF"/>
    <w:rsid w:val="002C49A3"/>
    <w:rsid w:val="002C5DA9"/>
    <w:rsid w:val="00333096"/>
    <w:rsid w:val="00374EA9"/>
    <w:rsid w:val="003C3284"/>
    <w:rsid w:val="003F40B7"/>
    <w:rsid w:val="003F5BE6"/>
    <w:rsid w:val="00424D25"/>
    <w:rsid w:val="004450A5"/>
    <w:rsid w:val="004567B6"/>
    <w:rsid w:val="004800EA"/>
    <w:rsid w:val="00495EAF"/>
    <w:rsid w:val="004A2F1B"/>
    <w:rsid w:val="004A4F62"/>
    <w:rsid w:val="004C6D7E"/>
    <w:rsid w:val="0052068D"/>
    <w:rsid w:val="005453EF"/>
    <w:rsid w:val="00591E9D"/>
    <w:rsid w:val="005A5234"/>
    <w:rsid w:val="00603EC9"/>
    <w:rsid w:val="006102F0"/>
    <w:rsid w:val="00611C50"/>
    <w:rsid w:val="006216FB"/>
    <w:rsid w:val="00621FF3"/>
    <w:rsid w:val="006338BA"/>
    <w:rsid w:val="00635DDC"/>
    <w:rsid w:val="00650345"/>
    <w:rsid w:val="0067218B"/>
    <w:rsid w:val="00681CA0"/>
    <w:rsid w:val="00687EDC"/>
    <w:rsid w:val="00691C36"/>
    <w:rsid w:val="0069342B"/>
    <w:rsid w:val="006A1908"/>
    <w:rsid w:val="006C5CC0"/>
    <w:rsid w:val="006C6B8C"/>
    <w:rsid w:val="006D3ABE"/>
    <w:rsid w:val="006E765C"/>
    <w:rsid w:val="00727BC7"/>
    <w:rsid w:val="00733BF5"/>
    <w:rsid w:val="007341D3"/>
    <w:rsid w:val="00761CE2"/>
    <w:rsid w:val="00782FF0"/>
    <w:rsid w:val="00794E87"/>
    <w:rsid w:val="00795ACE"/>
    <w:rsid w:val="007C2B92"/>
    <w:rsid w:val="007C3C82"/>
    <w:rsid w:val="008018A2"/>
    <w:rsid w:val="008301EF"/>
    <w:rsid w:val="00841AB8"/>
    <w:rsid w:val="00847F4E"/>
    <w:rsid w:val="00866EB2"/>
    <w:rsid w:val="00896B99"/>
    <w:rsid w:val="008B51E4"/>
    <w:rsid w:val="008F0C16"/>
    <w:rsid w:val="00913BE2"/>
    <w:rsid w:val="00920F9F"/>
    <w:rsid w:val="0092332D"/>
    <w:rsid w:val="009643D1"/>
    <w:rsid w:val="00973603"/>
    <w:rsid w:val="009A44E1"/>
    <w:rsid w:val="009A5DD5"/>
    <w:rsid w:val="009A7468"/>
    <w:rsid w:val="009D0B76"/>
    <w:rsid w:val="009E60F1"/>
    <w:rsid w:val="00A222DD"/>
    <w:rsid w:val="00A24A67"/>
    <w:rsid w:val="00A3580A"/>
    <w:rsid w:val="00A469A2"/>
    <w:rsid w:val="00A73A7C"/>
    <w:rsid w:val="00A83897"/>
    <w:rsid w:val="00AB1484"/>
    <w:rsid w:val="00AF71DC"/>
    <w:rsid w:val="00B81054"/>
    <w:rsid w:val="00B85C5D"/>
    <w:rsid w:val="00BA0DD3"/>
    <w:rsid w:val="00BB7606"/>
    <w:rsid w:val="00BC26B2"/>
    <w:rsid w:val="00BE5C18"/>
    <w:rsid w:val="00BF1655"/>
    <w:rsid w:val="00C01F22"/>
    <w:rsid w:val="00C14007"/>
    <w:rsid w:val="00C157FB"/>
    <w:rsid w:val="00C25712"/>
    <w:rsid w:val="00C41BFA"/>
    <w:rsid w:val="00C77D77"/>
    <w:rsid w:val="00C87D52"/>
    <w:rsid w:val="00C95D0C"/>
    <w:rsid w:val="00CB19B6"/>
    <w:rsid w:val="00CE1300"/>
    <w:rsid w:val="00CE3D19"/>
    <w:rsid w:val="00CE424B"/>
    <w:rsid w:val="00D24B0B"/>
    <w:rsid w:val="00D5767B"/>
    <w:rsid w:val="00D627F0"/>
    <w:rsid w:val="00D660AC"/>
    <w:rsid w:val="00D77CF2"/>
    <w:rsid w:val="00D835DC"/>
    <w:rsid w:val="00D9307C"/>
    <w:rsid w:val="00DB524F"/>
    <w:rsid w:val="00DD3B76"/>
    <w:rsid w:val="00E11092"/>
    <w:rsid w:val="00E23648"/>
    <w:rsid w:val="00ED2650"/>
    <w:rsid w:val="00EF7D65"/>
    <w:rsid w:val="00F03CA3"/>
    <w:rsid w:val="00F06EC0"/>
    <w:rsid w:val="00F07BED"/>
    <w:rsid w:val="00F17B2D"/>
    <w:rsid w:val="00F31D7B"/>
    <w:rsid w:val="00F40728"/>
    <w:rsid w:val="00F67153"/>
    <w:rsid w:val="00F67895"/>
    <w:rsid w:val="00FB02A3"/>
    <w:rsid w:val="00FE02D3"/>
    <w:rsid w:val="00FE5456"/>
    <w:rsid w:val="00FE6727"/>
    <w:rsid w:val="00FF171B"/>
    <w:rsid w:val="182F3ADA"/>
    <w:rsid w:val="2CF15168"/>
    <w:rsid w:val="56B3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pPr>
      <w:spacing w:beforeLines="30"/>
    </w:pPr>
    <w:rPr>
      <w:rFonts w:ascii="仿宋_GB2312" w:eastAsia="仿宋_GB2312"/>
      <w:kern w:val="0"/>
      <w:sz w:val="30"/>
    </w:rPr>
  </w:style>
  <w:style w:type="paragraph" w:styleId="3">
    <w:name w:val="Balloon Text"/>
    <w:basedOn w:val="1"/>
    <w:link w:val="9"/>
    <w:semiHidden/>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qFormat/>
    <w:uiPriority w:val="22"/>
    <w:rPr>
      <w:b/>
      <w:bCs/>
    </w:rPr>
  </w:style>
  <w:style w:type="character" w:customStyle="1" w:styleId="9">
    <w:name w:val="批注框文本 Char"/>
    <w:basedOn w:val="6"/>
    <w:link w:val="3"/>
    <w:semiHidden/>
    <w:qFormat/>
    <w:uiPriority w:val="99"/>
    <w:rPr>
      <w:sz w:val="18"/>
      <w:szCs w:val="18"/>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正文文本 Char"/>
    <w:basedOn w:val="6"/>
    <w:link w:val="2"/>
    <w:qFormat/>
    <w:uiPriority w:val="0"/>
    <w:rPr>
      <w:rFonts w:ascii="仿宋_GB2312" w:hAnsi="Times New Roman" w:eastAsia="仿宋_GB2312" w:cs="Times New Roman"/>
      <w:kern w:val="0"/>
      <w:sz w:val="30"/>
      <w:szCs w:val="24"/>
    </w:rPr>
  </w:style>
  <w:style w:type="paragraph" w:customStyle="1" w:styleId="1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745</Words>
  <Characters>4253</Characters>
  <Lines>35</Lines>
  <Paragraphs>9</Paragraphs>
  <TotalTime>2</TotalTime>
  <ScaleCrop>false</ScaleCrop>
  <LinksUpToDate>false</LinksUpToDate>
  <CharactersWithSpaces>4989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2018-09-07T04:52:00Z</dcterms:created>
  <dc:creator>Administrator</dc:creator>
  <cp:lastModifiedBy>summer</cp:lastModifiedBy>
  <dcterms:modified xsi:type="dcterms:W3CDTF">2019-03-18T09:18:20Z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