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6B8" w:rsidRDefault="00262D5C">
      <w:pPr>
        <w:spacing w:line="600" w:lineRule="exact"/>
        <w:jc w:val="center"/>
        <w:rPr>
          <w:rFonts w:ascii="宋体" w:hAnsi="宋体" w:cs="宋体"/>
          <w:color w:val="000000"/>
          <w:sz w:val="44"/>
          <w:szCs w:val="44"/>
        </w:rPr>
      </w:pPr>
      <w:r>
        <w:rPr>
          <w:rFonts w:ascii="宋体" w:hAnsi="宋体" w:cs="宋体" w:hint="eastAsia"/>
          <w:color w:val="000000"/>
          <w:sz w:val="44"/>
          <w:szCs w:val="44"/>
        </w:rPr>
        <w:t>宣汉县</w:t>
      </w:r>
      <w:r w:rsidR="008D5FE4">
        <w:rPr>
          <w:rFonts w:ascii="宋体" w:hAnsi="宋体" w:cs="宋体" w:hint="eastAsia"/>
          <w:color w:val="000000"/>
          <w:sz w:val="44"/>
          <w:szCs w:val="44"/>
        </w:rPr>
        <w:t>厂溪镇初级中学</w:t>
      </w:r>
    </w:p>
    <w:p w:rsidR="004746B8" w:rsidRDefault="00262D5C">
      <w:pPr>
        <w:spacing w:line="600" w:lineRule="exact"/>
        <w:jc w:val="center"/>
        <w:rPr>
          <w:rFonts w:ascii="宋体" w:hAnsi="宋体" w:cs="宋体"/>
          <w:color w:val="000000"/>
          <w:sz w:val="44"/>
          <w:szCs w:val="44"/>
        </w:rPr>
      </w:pPr>
      <w:r>
        <w:rPr>
          <w:rFonts w:ascii="宋体" w:hAnsi="宋体" w:cs="宋体" w:hint="eastAsia"/>
          <w:color w:val="000000"/>
          <w:sz w:val="44"/>
          <w:szCs w:val="44"/>
        </w:rPr>
        <w:t>2017年</w:t>
      </w:r>
      <w:r>
        <w:rPr>
          <w:rFonts w:ascii="宋体" w:hAnsi="宋体" w:cs="宋体" w:hint="eastAsia"/>
          <w:sz w:val="44"/>
          <w:szCs w:val="44"/>
        </w:rPr>
        <w:t>部门</w:t>
      </w:r>
      <w:r>
        <w:rPr>
          <w:rFonts w:ascii="宋体" w:hAnsi="宋体" w:cs="宋体" w:hint="eastAsia"/>
          <w:color w:val="000000"/>
          <w:sz w:val="44"/>
          <w:szCs w:val="44"/>
        </w:rPr>
        <w:t xml:space="preserve">决算编制说明 </w:t>
      </w:r>
    </w:p>
    <w:p w:rsidR="004746B8" w:rsidRDefault="004746B8">
      <w:pPr>
        <w:spacing w:line="600" w:lineRule="exact"/>
        <w:jc w:val="center"/>
        <w:rPr>
          <w:rFonts w:ascii="宋体"/>
          <w:b/>
          <w:color w:val="000000"/>
          <w:sz w:val="44"/>
          <w:szCs w:val="44"/>
        </w:rPr>
      </w:pPr>
    </w:p>
    <w:p w:rsidR="004746B8" w:rsidRDefault="00262D5C">
      <w:pPr>
        <w:spacing w:line="600" w:lineRule="exact"/>
        <w:rPr>
          <w:rFonts w:ascii="黑体" w:eastAsia="黑体"/>
          <w:color w:val="000000"/>
          <w:sz w:val="32"/>
          <w:szCs w:val="32"/>
        </w:rPr>
      </w:pPr>
      <w:r>
        <w:rPr>
          <w:rFonts w:ascii="黑体" w:eastAsia="黑体" w:hint="eastAsia"/>
          <w:color w:val="000000"/>
          <w:sz w:val="32"/>
          <w:szCs w:val="32"/>
        </w:rPr>
        <w:t>一、基本职能及主要工作</w:t>
      </w:r>
    </w:p>
    <w:p w:rsidR="004746B8" w:rsidRDefault="00262D5C">
      <w:pPr>
        <w:pStyle w:val="a6"/>
        <w:widowControl/>
        <w:spacing w:line="19" w:lineRule="atLeast"/>
        <w:rPr>
          <w:rFonts w:ascii="仿宋_GB2312" w:eastAsia="仿宋_GB2312"/>
          <w:bCs/>
          <w:color w:val="000000"/>
          <w:sz w:val="32"/>
          <w:szCs w:val="32"/>
        </w:rPr>
      </w:pPr>
      <w:r>
        <w:rPr>
          <w:rFonts w:ascii="仿宋_GB2312" w:eastAsia="仿宋_GB2312" w:hint="eastAsia"/>
          <w:bCs/>
          <w:color w:val="000000"/>
          <w:sz w:val="32"/>
          <w:szCs w:val="32"/>
        </w:rPr>
        <w:t>（一）主要职能：全面贯彻国家教育方针，培养学生的创新精神与实践能力，使之成为社会主义事业的建设者和接班人。我校</w:t>
      </w:r>
      <w:r>
        <w:rPr>
          <w:rFonts w:ascii="仿宋_GB2312" w:eastAsia="仿宋_GB2312" w:hAnsi="仿宋" w:hint="eastAsia"/>
          <w:sz w:val="32"/>
          <w:szCs w:val="32"/>
        </w:rPr>
        <w:t>负责</w:t>
      </w:r>
      <w:r w:rsidR="008D5FE4">
        <w:rPr>
          <w:rFonts w:ascii="仿宋_GB2312" w:eastAsia="仿宋_GB2312" w:hAnsi="仿宋" w:hint="eastAsia"/>
          <w:sz w:val="32"/>
          <w:szCs w:val="32"/>
        </w:rPr>
        <w:t>厂溪</w:t>
      </w:r>
      <w:r>
        <w:rPr>
          <w:rFonts w:ascii="仿宋_GB2312" w:eastAsia="仿宋_GB2312" w:hAnsi="仿宋" w:hint="eastAsia"/>
          <w:sz w:val="32"/>
          <w:szCs w:val="32"/>
        </w:rPr>
        <w:t>辖区3万</w:t>
      </w:r>
      <w:r w:rsidR="008D5FE4">
        <w:rPr>
          <w:rFonts w:ascii="仿宋_GB2312" w:eastAsia="仿宋_GB2312" w:hAnsi="仿宋" w:hint="eastAsia"/>
          <w:sz w:val="32"/>
          <w:szCs w:val="32"/>
        </w:rPr>
        <w:t>余</w:t>
      </w:r>
      <w:r>
        <w:rPr>
          <w:rFonts w:ascii="仿宋_GB2312" w:eastAsia="仿宋_GB2312" w:hAnsi="仿宋" w:hint="eastAsia"/>
          <w:sz w:val="32"/>
          <w:szCs w:val="32"/>
        </w:rPr>
        <w:t>人口的义务教育的</w:t>
      </w:r>
      <w:r w:rsidR="008D5FE4">
        <w:rPr>
          <w:rFonts w:ascii="仿宋_GB2312" w:eastAsia="仿宋_GB2312" w:hAnsi="仿宋" w:hint="eastAsia"/>
          <w:sz w:val="32"/>
          <w:szCs w:val="32"/>
        </w:rPr>
        <w:t>中</w:t>
      </w:r>
      <w:r>
        <w:rPr>
          <w:rFonts w:ascii="仿宋_GB2312" w:eastAsia="仿宋_GB2312" w:hAnsi="仿宋" w:hint="eastAsia"/>
          <w:sz w:val="32"/>
          <w:szCs w:val="32"/>
        </w:rPr>
        <w:t>学学历教育</w:t>
      </w:r>
      <w:r>
        <w:rPr>
          <w:rFonts w:ascii="仿宋_GB2312" w:eastAsia="仿宋_GB2312" w:hint="eastAsia"/>
          <w:bCs/>
          <w:color w:val="000000"/>
          <w:sz w:val="32"/>
          <w:szCs w:val="32"/>
        </w:rPr>
        <w:t>。</w:t>
      </w:r>
    </w:p>
    <w:p w:rsidR="004746B8" w:rsidRDefault="00262D5C">
      <w:pPr>
        <w:pStyle w:val="a3"/>
        <w:adjustRightInd w:val="0"/>
        <w:snapToGrid w:val="0"/>
        <w:spacing w:before="93" w:line="600" w:lineRule="exact"/>
        <w:rPr>
          <w:bCs/>
          <w:color w:val="000000"/>
          <w:sz w:val="32"/>
          <w:szCs w:val="32"/>
        </w:rPr>
      </w:pPr>
      <w:r>
        <w:rPr>
          <w:rFonts w:hint="eastAsia"/>
          <w:bCs/>
          <w:color w:val="000000"/>
          <w:sz w:val="32"/>
          <w:szCs w:val="32"/>
        </w:rPr>
        <w:t>（二）</w:t>
      </w:r>
      <w:r>
        <w:rPr>
          <w:bCs/>
          <w:color w:val="000000"/>
          <w:sz w:val="32"/>
          <w:szCs w:val="32"/>
        </w:rPr>
        <w:t>201</w:t>
      </w:r>
      <w:r>
        <w:rPr>
          <w:rFonts w:hint="eastAsia"/>
          <w:bCs/>
          <w:color w:val="000000"/>
          <w:sz w:val="32"/>
          <w:szCs w:val="32"/>
        </w:rPr>
        <w:t>7年重点工作完成情况。</w:t>
      </w:r>
    </w:p>
    <w:p w:rsidR="004746B8" w:rsidRDefault="00262D5C">
      <w:pPr>
        <w:pStyle w:val="a3"/>
        <w:adjustRightInd w:val="0"/>
        <w:snapToGrid w:val="0"/>
        <w:spacing w:before="93" w:line="600" w:lineRule="exact"/>
        <w:ind w:firstLineChars="200" w:firstLine="640"/>
        <w:rPr>
          <w:bCs/>
          <w:color w:val="000000"/>
          <w:sz w:val="32"/>
          <w:szCs w:val="32"/>
        </w:rPr>
      </w:pPr>
      <w:r>
        <w:rPr>
          <w:rFonts w:hAnsi="仿宋" w:hint="eastAsia"/>
          <w:sz w:val="32"/>
          <w:szCs w:val="32"/>
        </w:rPr>
        <w:t>按照教科局的年初工作安排，在当地党委、政府的领导下学校制定了年初工作计划。按计划实施本年度工作，完成了年初工作任务。</w:t>
      </w:r>
      <w:r>
        <w:rPr>
          <w:rFonts w:hint="eastAsia"/>
          <w:bCs/>
          <w:color w:val="000000"/>
          <w:sz w:val="32"/>
          <w:szCs w:val="32"/>
        </w:rPr>
        <w:t>学校始终坚持以邓小平理论、“三个代表”重要思想和科学发展观为指导，按照县教科局党组的统一要求，结合党的群众路线教育实践活动和“三严三实”活动要求，扎实做好了学校党风廉政建设工作，坚持质量立校，优化教育行风，推进特色教育，继续深入学习新课程标准，推进课程改革，学校各项工作均取得了新的突破，</w:t>
      </w:r>
      <w:r w:rsidR="008D5FE4">
        <w:rPr>
          <w:rFonts w:hint="eastAsia"/>
          <w:bCs/>
          <w:color w:val="000000"/>
          <w:sz w:val="32"/>
          <w:szCs w:val="32"/>
        </w:rPr>
        <w:t>九</w:t>
      </w:r>
      <w:r>
        <w:rPr>
          <w:rFonts w:hint="eastAsia"/>
          <w:bCs/>
          <w:color w:val="000000"/>
          <w:sz w:val="32"/>
          <w:szCs w:val="32"/>
        </w:rPr>
        <w:t>年级毕业检测名列前茅。圆满地完成了各项工作任务。</w:t>
      </w:r>
    </w:p>
    <w:p w:rsidR="004746B8" w:rsidRDefault="00262D5C">
      <w:pPr>
        <w:spacing w:line="600" w:lineRule="exact"/>
        <w:ind w:firstLineChars="200" w:firstLine="640"/>
        <w:rPr>
          <w:rFonts w:ascii="黑体" w:eastAsia="黑体"/>
          <w:color w:val="000000"/>
          <w:sz w:val="32"/>
          <w:szCs w:val="32"/>
        </w:rPr>
      </w:pPr>
      <w:r>
        <w:rPr>
          <w:rFonts w:ascii="黑体" w:eastAsia="黑体" w:hint="eastAsia"/>
          <w:color w:val="000000"/>
          <w:sz w:val="32"/>
          <w:szCs w:val="32"/>
        </w:rPr>
        <w:t>二、机构人员情况</w:t>
      </w:r>
    </w:p>
    <w:p w:rsidR="004746B8" w:rsidRDefault="00262D5C">
      <w:pPr>
        <w:snapToGrid w:val="0"/>
        <w:spacing w:line="588" w:lineRule="exact"/>
        <w:ind w:firstLineChars="200" w:firstLine="640"/>
        <w:rPr>
          <w:rFonts w:ascii="仿宋_GB2312" w:eastAsia="仿宋_GB2312" w:hAnsi="仿宋"/>
          <w:sz w:val="32"/>
          <w:szCs w:val="32"/>
        </w:rPr>
      </w:pPr>
      <w:r>
        <w:rPr>
          <w:rFonts w:ascii="仿宋_GB2312" w:eastAsia="仿宋_GB2312" w:hAnsi="仿宋" w:hint="eastAsia"/>
          <w:sz w:val="32"/>
          <w:szCs w:val="32"/>
        </w:rPr>
        <w:t>学校编制</w:t>
      </w:r>
      <w:r w:rsidR="008D5FE4">
        <w:rPr>
          <w:rFonts w:ascii="仿宋_GB2312" w:eastAsia="仿宋_GB2312" w:hAnsi="仿宋" w:hint="eastAsia"/>
          <w:sz w:val="32"/>
          <w:szCs w:val="32"/>
        </w:rPr>
        <w:t>47</w:t>
      </w:r>
      <w:r>
        <w:rPr>
          <w:rFonts w:ascii="仿宋_GB2312" w:eastAsia="仿宋_GB2312" w:hAnsi="仿宋" w:hint="eastAsia"/>
          <w:sz w:val="32"/>
          <w:szCs w:val="32"/>
        </w:rPr>
        <w:t>人，学校年末学生人数</w:t>
      </w:r>
      <w:r w:rsidR="008D5FE4">
        <w:rPr>
          <w:rFonts w:ascii="仿宋_GB2312" w:eastAsia="仿宋_GB2312" w:hAnsi="仿宋" w:hint="eastAsia"/>
          <w:sz w:val="32"/>
          <w:szCs w:val="32"/>
        </w:rPr>
        <w:t>842</w:t>
      </w:r>
      <w:r>
        <w:rPr>
          <w:rFonts w:ascii="仿宋_GB2312" w:eastAsia="仿宋_GB2312" w:hAnsi="仿宋" w:hint="eastAsia"/>
          <w:sz w:val="32"/>
          <w:szCs w:val="32"/>
        </w:rPr>
        <w:t>人，实有教职工</w:t>
      </w:r>
      <w:r w:rsidR="008D5FE4">
        <w:rPr>
          <w:rFonts w:ascii="仿宋_GB2312" w:eastAsia="仿宋_GB2312" w:hAnsi="仿宋" w:hint="eastAsia"/>
          <w:sz w:val="32"/>
          <w:szCs w:val="32"/>
        </w:rPr>
        <w:t>49</w:t>
      </w:r>
      <w:r>
        <w:rPr>
          <w:rFonts w:ascii="仿宋_GB2312" w:eastAsia="仿宋_GB2312" w:hAnsi="仿宋" w:hint="eastAsia"/>
          <w:sz w:val="32"/>
          <w:szCs w:val="32"/>
        </w:rPr>
        <w:t>人，代课</w:t>
      </w:r>
      <w:r w:rsidR="008D5FE4">
        <w:rPr>
          <w:rFonts w:ascii="仿宋_GB2312" w:eastAsia="仿宋_GB2312" w:hAnsi="仿宋" w:hint="eastAsia"/>
          <w:sz w:val="32"/>
          <w:szCs w:val="32"/>
        </w:rPr>
        <w:t>4</w:t>
      </w:r>
      <w:r>
        <w:rPr>
          <w:rFonts w:ascii="仿宋_GB2312" w:eastAsia="仿宋_GB2312" w:hAnsi="仿宋" w:hint="eastAsia"/>
          <w:sz w:val="32"/>
          <w:szCs w:val="32"/>
        </w:rPr>
        <w:t>人。学校校长</w:t>
      </w:r>
      <w:r w:rsidR="008D5FE4">
        <w:rPr>
          <w:rFonts w:ascii="仿宋_GB2312" w:eastAsia="仿宋_GB2312" w:hAnsi="仿宋" w:hint="eastAsia"/>
          <w:sz w:val="32"/>
          <w:szCs w:val="32"/>
        </w:rPr>
        <w:t>于延康</w:t>
      </w:r>
      <w:r>
        <w:rPr>
          <w:rFonts w:ascii="仿宋_GB2312" w:eastAsia="仿宋_GB2312" w:hAnsi="仿宋" w:hint="eastAsia"/>
          <w:sz w:val="32"/>
          <w:szCs w:val="32"/>
        </w:rPr>
        <w:t>，副校长</w:t>
      </w:r>
      <w:r w:rsidR="008D5FE4">
        <w:rPr>
          <w:rFonts w:ascii="仿宋_GB2312" w:eastAsia="仿宋_GB2312" w:hAnsi="仿宋" w:hint="eastAsia"/>
          <w:sz w:val="32"/>
          <w:szCs w:val="32"/>
        </w:rPr>
        <w:t>二</w:t>
      </w:r>
      <w:r>
        <w:rPr>
          <w:rFonts w:ascii="仿宋_GB2312" w:eastAsia="仿宋_GB2312" w:hAnsi="仿宋" w:hint="eastAsia"/>
          <w:sz w:val="32"/>
          <w:szCs w:val="32"/>
        </w:rPr>
        <w:t>名：</w:t>
      </w:r>
      <w:r w:rsidR="008D5FE4">
        <w:rPr>
          <w:rFonts w:ascii="仿宋_GB2312" w:eastAsia="仿宋_GB2312" w:hAnsi="仿宋" w:hint="eastAsia"/>
          <w:sz w:val="32"/>
          <w:szCs w:val="32"/>
        </w:rPr>
        <w:t>李吉勇</w:t>
      </w:r>
      <w:r>
        <w:rPr>
          <w:rFonts w:ascii="仿宋_GB2312" w:eastAsia="仿宋_GB2312" w:hAnsi="仿宋" w:hint="eastAsia"/>
          <w:sz w:val="32"/>
          <w:szCs w:val="32"/>
        </w:rPr>
        <w:t>、</w:t>
      </w:r>
      <w:r w:rsidR="008D5FE4">
        <w:rPr>
          <w:rFonts w:ascii="仿宋_GB2312" w:eastAsia="仿宋_GB2312" w:hAnsi="仿宋" w:hint="eastAsia"/>
          <w:sz w:val="32"/>
          <w:szCs w:val="32"/>
        </w:rPr>
        <w:t>张国碧</w:t>
      </w:r>
      <w:r>
        <w:rPr>
          <w:rFonts w:ascii="仿宋_GB2312" w:eastAsia="仿宋_GB2312" w:hAnsi="仿宋" w:hint="eastAsia"/>
          <w:sz w:val="32"/>
          <w:szCs w:val="32"/>
        </w:rPr>
        <w:t>，中层有教务正副主任各1人，办公室负责人1人，总务处主任1人，安办主任1人。</w:t>
      </w:r>
    </w:p>
    <w:p w:rsidR="004746B8" w:rsidRDefault="006D706F">
      <w:pPr>
        <w:snapToGrid w:val="0"/>
        <w:spacing w:line="588" w:lineRule="exact"/>
        <w:rPr>
          <w:rFonts w:ascii="仿宋_GB2312" w:eastAsia="仿宋_GB2312" w:hAnsi="仿宋"/>
          <w:sz w:val="32"/>
          <w:szCs w:val="32"/>
        </w:rPr>
      </w:pPr>
      <w:r>
        <w:rPr>
          <w:noProof/>
        </w:rPr>
        <w:lastRenderedPageBreak/>
        <w:drawing>
          <wp:anchor distT="0" distB="889" distL="114300" distR="114300" simplePos="0" relativeHeight="251654656" behindDoc="0" locked="0" layoutInCell="1" allowOverlap="1">
            <wp:simplePos x="0" y="0"/>
            <wp:positionH relativeFrom="column">
              <wp:posOffset>1247140</wp:posOffset>
            </wp:positionH>
            <wp:positionV relativeFrom="paragraph">
              <wp:posOffset>1911985</wp:posOffset>
            </wp:positionV>
            <wp:extent cx="3576955" cy="2877185"/>
            <wp:effectExtent l="0" t="0" r="1905" b="0"/>
            <wp:wrapTopAndBottom/>
            <wp:docPr id="9" name="对象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4746B8" w:rsidRDefault="00262D5C">
      <w:pPr>
        <w:spacing w:line="600" w:lineRule="exact"/>
        <w:ind w:firstLineChars="200" w:firstLine="640"/>
        <w:rPr>
          <w:rFonts w:ascii="黑体" w:eastAsia="黑体"/>
          <w:color w:val="000000"/>
          <w:sz w:val="32"/>
          <w:szCs w:val="32"/>
        </w:rPr>
      </w:pPr>
      <w:r>
        <w:rPr>
          <w:rFonts w:ascii="黑体" w:eastAsia="黑体" w:hint="eastAsia"/>
          <w:color w:val="000000"/>
          <w:sz w:val="32"/>
          <w:szCs w:val="32"/>
        </w:rPr>
        <w:t>三、收支决算总体情况</w:t>
      </w:r>
    </w:p>
    <w:p w:rsidR="004746B8" w:rsidRDefault="00262D5C" w:rsidP="006D706F">
      <w:pPr>
        <w:snapToGrid w:val="0"/>
        <w:spacing w:line="588"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2017年</w:t>
      </w:r>
      <w:r w:rsidR="008D5FE4">
        <w:rPr>
          <w:rFonts w:ascii="仿宋_GB2312" w:eastAsia="仿宋_GB2312" w:hint="eastAsia"/>
          <w:color w:val="000000"/>
          <w:sz w:val="32"/>
          <w:szCs w:val="32"/>
        </w:rPr>
        <w:t>厂溪镇初级中学</w:t>
      </w:r>
      <w:r>
        <w:rPr>
          <w:rFonts w:ascii="仿宋_GB2312" w:eastAsia="仿宋_GB2312" w:hint="eastAsia"/>
          <w:color w:val="000000"/>
          <w:sz w:val="32"/>
          <w:szCs w:val="32"/>
        </w:rPr>
        <w:t>本年</w:t>
      </w:r>
      <w:r>
        <w:rPr>
          <w:rFonts w:ascii="仿宋_GB2312" w:eastAsia="仿宋_GB2312" w:hAnsi="仿宋" w:hint="eastAsia"/>
          <w:sz w:val="32"/>
          <w:szCs w:val="32"/>
        </w:rPr>
        <w:t>收入总额</w:t>
      </w:r>
      <w:r w:rsidR="008D5FE4">
        <w:rPr>
          <w:rFonts w:ascii="仿宋_GB2312" w:eastAsia="仿宋_GB2312" w:hAnsi="仿宋" w:hint="eastAsia"/>
          <w:sz w:val="32"/>
          <w:szCs w:val="32"/>
        </w:rPr>
        <w:t>927.52</w:t>
      </w:r>
      <w:r>
        <w:rPr>
          <w:rFonts w:ascii="仿宋_GB2312" w:eastAsia="仿宋_GB2312" w:hAnsi="仿宋" w:hint="eastAsia"/>
          <w:sz w:val="32"/>
          <w:szCs w:val="32"/>
        </w:rPr>
        <w:t>万元，其中，公共财政补助拨款</w:t>
      </w:r>
      <w:r w:rsidR="008D5FE4">
        <w:rPr>
          <w:rFonts w:ascii="仿宋_GB2312" w:eastAsia="仿宋_GB2312" w:hAnsi="仿宋" w:hint="eastAsia"/>
          <w:sz w:val="32"/>
          <w:szCs w:val="32"/>
        </w:rPr>
        <w:t>927.52</w:t>
      </w:r>
      <w:r>
        <w:rPr>
          <w:rFonts w:ascii="仿宋_GB2312" w:eastAsia="仿宋_GB2312" w:hAnsi="仿宋" w:hint="eastAsia"/>
          <w:sz w:val="32"/>
          <w:szCs w:val="32"/>
        </w:rPr>
        <w:t>万元，</w:t>
      </w:r>
      <w:r>
        <w:rPr>
          <w:rFonts w:ascii="仿宋_GB2312" w:eastAsia="仿宋_GB2312" w:hint="eastAsia"/>
          <w:color w:val="000000"/>
          <w:sz w:val="32"/>
          <w:szCs w:val="32"/>
        </w:rPr>
        <w:t>占100</w:t>
      </w:r>
      <w:r>
        <w:rPr>
          <w:rFonts w:ascii="仿宋_GB2312" w:eastAsia="仿宋_GB2312"/>
          <w:color w:val="000000"/>
          <w:sz w:val="32"/>
          <w:szCs w:val="32"/>
        </w:rPr>
        <w:t>%</w:t>
      </w:r>
      <w:r>
        <w:rPr>
          <w:rFonts w:ascii="仿宋_GB2312" w:eastAsia="仿宋_GB2312" w:hint="eastAsia"/>
          <w:color w:val="000000"/>
          <w:sz w:val="32"/>
          <w:szCs w:val="32"/>
        </w:rPr>
        <w:t>；事业收入</w:t>
      </w:r>
      <w:r>
        <w:rPr>
          <w:rFonts w:ascii="仿宋_GB2312" w:eastAsia="仿宋_GB2312" w:hAnsi="仿宋" w:hint="eastAsia"/>
          <w:sz w:val="32"/>
          <w:szCs w:val="32"/>
        </w:rPr>
        <w:t>0元。</w:t>
      </w:r>
      <w:r>
        <w:rPr>
          <w:rFonts w:ascii="仿宋_GB2312" w:eastAsia="仿宋_GB2312" w:hint="eastAsia"/>
          <w:color w:val="000000"/>
          <w:sz w:val="32"/>
          <w:szCs w:val="32"/>
        </w:rPr>
        <w:t>（饼状图）</w:t>
      </w:r>
    </w:p>
    <w:p w:rsidR="004746B8" w:rsidRDefault="00262D5C" w:rsidP="008D5FE4">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2017年</w:t>
      </w:r>
      <w:r w:rsidR="008D5FE4">
        <w:rPr>
          <w:rFonts w:ascii="仿宋_GB2312" w:eastAsia="仿宋_GB2312" w:hint="eastAsia"/>
          <w:color w:val="000000"/>
          <w:sz w:val="32"/>
          <w:szCs w:val="32"/>
        </w:rPr>
        <w:t>厂溪镇初级中学</w:t>
      </w:r>
      <w:r>
        <w:rPr>
          <w:rFonts w:ascii="仿宋_GB2312" w:eastAsia="仿宋_GB2312" w:hint="eastAsia"/>
          <w:color w:val="000000"/>
          <w:sz w:val="32"/>
          <w:szCs w:val="32"/>
        </w:rPr>
        <w:t>本年支出</w:t>
      </w:r>
      <w:r>
        <w:rPr>
          <w:rFonts w:ascii="仿宋_GB2312" w:eastAsia="仿宋_GB2312" w:hAnsi="仿宋" w:hint="eastAsia"/>
          <w:sz w:val="32"/>
          <w:szCs w:val="32"/>
        </w:rPr>
        <w:t>总额</w:t>
      </w:r>
      <w:r w:rsidR="008D5FE4">
        <w:rPr>
          <w:rFonts w:ascii="仿宋_GB2312" w:eastAsia="仿宋_GB2312" w:hAnsi="仿宋" w:hint="eastAsia"/>
          <w:sz w:val="32"/>
          <w:szCs w:val="32"/>
        </w:rPr>
        <w:t>927.52</w:t>
      </w:r>
      <w:r>
        <w:rPr>
          <w:rFonts w:ascii="仿宋_GB2312" w:eastAsia="仿宋_GB2312" w:hAnsi="仿宋" w:hint="eastAsia"/>
          <w:sz w:val="32"/>
          <w:szCs w:val="32"/>
        </w:rPr>
        <w:t>万元</w:t>
      </w:r>
      <w:r>
        <w:rPr>
          <w:rFonts w:ascii="仿宋_GB2312" w:eastAsia="仿宋_GB2312" w:hint="eastAsia"/>
          <w:color w:val="000000"/>
          <w:sz w:val="32"/>
          <w:szCs w:val="32"/>
        </w:rPr>
        <w:t>，其中：基本支出</w:t>
      </w:r>
      <w:r w:rsidR="008D5FE4">
        <w:rPr>
          <w:rFonts w:ascii="仿宋_GB2312" w:eastAsia="仿宋_GB2312" w:hint="eastAsia"/>
          <w:color w:val="000000"/>
          <w:sz w:val="32"/>
          <w:szCs w:val="32"/>
        </w:rPr>
        <w:t>784.4</w:t>
      </w:r>
      <w:r>
        <w:rPr>
          <w:rFonts w:ascii="仿宋_GB2312" w:eastAsia="仿宋_GB2312" w:hint="eastAsia"/>
          <w:color w:val="000000"/>
          <w:sz w:val="32"/>
          <w:szCs w:val="32"/>
        </w:rPr>
        <w:t>4万元，占84.</w:t>
      </w:r>
      <w:r w:rsidR="008D5FE4">
        <w:rPr>
          <w:rFonts w:ascii="仿宋_GB2312" w:eastAsia="仿宋_GB2312" w:hint="eastAsia"/>
          <w:color w:val="000000"/>
          <w:sz w:val="32"/>
          <w:szCs w:val="32"/>
        </w:rPr>
        <w:t>57</w:t>
      </w:r>
      <w:r>
        <w:rPr>
          <w:rFonts w:ascii="仿宋_GB2312" w:eastAsia="仿宋_GB2312"/>
          <w:color w:val="000000"/>
          <w:sz w:val="32"/>
          <w:szCs w:val="32"/>
        </w:rPr>
        <w:t>%</w:t>
      </w:r>
      <w:r>
        <w:rPr>
          <w:rFonts w:ascii="仿宋_GB2312" w:eastAsia="仿宋_GB2312" w:hint="eastAsia"/>
          <w:color w:val="000000"/>
          <w:sz w:val="32"/>
          <w:szCs w:val="32"/>
        </w:rPr>
        <w:t>；项目支出</w:t>
      </w:r>
      <w:r w:rsidR="008D5FE4">
        <w:rPr>
          <w:rFonts w:ascii="仿宋_GB2312" w:eastAsia="仿宋_GB2312" w:hint="eastAsia"/>
          <w:color w:val="000000"/>
          <w:sz w:val="32"/>
          <w:szCs w:val="32"/>
        </w:rPr>
        <w:t>143.11</w:t>
      </w:r>
      <w:r>
        <w:rPr>
          <w:rFonts w:ascii="仿宋_GB2312" w:eastAsia="仿宋_GB2312" w:hint="eastAsia"/>
          <w:color w:val="000000"/>
          <w:sz w:val="32"/>
          <w:szCs w:val="32"/>
        </w:rPr>
        <w:t>万元，占15.</w:t>
      </w:r>
      <w:r w:rsidR="008D5FE4">
        <w:rPr>
          <w:rFonts w:ascii="仿宋_GB2312" w:eastAsia="仿宋_GB2312" w:hint="eastAsia"/>
          <w:color w:val="000000"/>
          <w:sz w:val="32"/>
          <w:szCs w:val="32"/>
        </w:rPr>
        <w:t>43</w:t>
      </w:r>
      <w:r>
        <w:rPr>
          <w:rFonts w:ascii="仿宋_GB2312" w:eastAsia="仿宋_GB2312"/>
          <w:color w:val="000000"/>
          <w:sz w:val="32"/>
          <w:szCs w:val="32"/>
        </w:rPr>
        <w:t>%</w:t>
      </w:r>
      <w:r>
        <w:rPr>
          <w:rFonts w:ascii="仿宋_GB2312" w:eastAsia="仿宋_GB2312" w:hint="eastAsia"/>
          <w:color w:val="000000"/>
          <w:sz w:val="32"/>
          <w:szCs w:val="32"/>
        </w:rPr>
        <w:t>。（饼状图）</w:t>
      </w:r>
    </w:p>
    <w:p w:rsidR="004746B8" w:rsidRDefault="00870863" w:rsidP="009F15BA">
      <w:pPr>
        <w:spacing w:line="600" w:lineRule="exact"/>
        <w:ind w:firstLineChars="200" w:firstLine="420"/>
        <w:rPr>
          <w:rFonts w:ascii="仿宋_GB2312" w:eastAsia="仿宋_GB2312"/>
          <w:color w:val="000000"/>
          <w:sz w:val="32"/>
          <w:szCs w:val="32"/>
        </w:rPr>
      </w:pPr>
      <w:r w:rsidRPr="0087086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81.9pt;margin-top:-621.6pt;width:281.4pt;height:214.3pt;z-index:251655680;visibility:visible">
            <v:imagedata r:id="rId9" o:title=""/>
            <w10:wrap type="topAndBottom"/>
          </v:shape>
          <o:OLEObject Type="Embed" ProgID="Excel.Sheet.8" ShapeID="_x0000_s1032" DrawAspect="Content" ObjectID="_1597751329" r:id="rId10">
            <o:FieldCodes>\s</o:FieldCodes>
          </o:OLEObject>
        </w:pict>
      </w:r>
      <w:r w:rsidR="00262D5C">
        <w:rPr>
          <w:rFonts w:ascii="黑体" w:eastAsia="黑体" w:hint="eastAsia"/>
          <w:color w:val="000000"/>
          <w:sz w:val="32"/>
          <w:szCs w:val="32"/>
        </w:rPr>
        <w:t>四、财政拨款收支决算情况</w:t>
      </w:r>
    </w:p>
    <w:p w:rsidR="004746B8" w:rsidRDefault="00262D5C">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宣汉县</w:t>
      </w:r>
      <w:r w:rsidR="008D5FE4">
        <w:rPr>
          <w:rFonts w:ascii="仿宋_GB2312" w:eastAsia="仿宋_GB2312" w:hint="eastAsia"/>
          <w:color w:val="000000"/>
          <w:sz w:val="32"/>
          <w:szCs w:val="32"/>
        </w:rPr>
        <w:t>厂溪镇初级中学</w:t>
      </w:r>
      <w:r>
        <w:rPr>
          <w:rFonts w:ascii="仿宋_GB2312" w:eastAsia="仿宋_GB2312"/>
          <w:color w:val="000000"/>
          <w:sz w:val="32"/>
          <w:szCs w:val="32"/>
        </w:rPr>
        <w:t>201</w:t>
      </w:r>
      <w:r>
        <w:rPr>
          <w:rFonts w:ascii="仿宋_GB2312" w:eastAsia="仿宋_GB2312" w:hint="eastAsia"/>
          <w:color w:val="000000"/>
          <w:sz w:val="32"/>
          <w:szCs w:val="32"/>
        </w:rPr>
        <w:t>7年度财政拨款收支总决算</w:t>
      </w:r>
      <w:r w:rsidR="008D5FE4">
        <w:rPr>
          <w:rFonts w:ascii="仿宋_GB2312" w:eastAsia="仿宋_GB2312" w:hint="eastAsia"/>
          <w:color w:val="000000"/>
          <w:sz w:val="32"/>
          <w:szCs w:val="32"/>
        </w:rPr>
        <w:lastRenderedPageBreak/>
        <w:t>927.52</w:t>
      </w:r>
      <w:r>
        <w:rPr>
          <w:rFonts w:ascii="仿宋_GB2312" w:eastAsia="仿宋_GB2312" w:hint="eastAsia"/>
          <w:color w:val="000000"/>
          <w:sz w:val="32"/>
          <w:szCs w:val="32"/>
        </w:rPr>
        <w:t>万元。与</w:t>
      </w:r>
      <w:r>
        <w:rPr>
          <w:rFonts w:ascii="仿宋_GB2312" w:eastAsia="仿宋_GB2312"/>
          <w:color w:val="000000"/>
          <w:sz w:val="32"/>
          <w:szCs w:val="32"/>
        </w:rPr>
        <w:t>201</w:t>
      </w:r>
      <w:r>
        <w:rPr>
          <w:rFonts w:ascii="仿宋_GB2312" w:eastAsia="仿宋_GB2312" w:hint="eastAsia"/>
          <w:color w:val="000000"/>
          <w:sz w:val="32"/>
          <w:szCs w:val="32"/>
        </w:rPr>
        <w:t>6年相比，财政拨款收、支总计各减少</w:t>
      </w:r>
      <w:r w:rsidR="008D5FE4">
        <w:rPr>
          <w:rFonts w:ascii="仿宋_GB2312" w:eastAsia="仿宋_GB2312" w:hint="eastAsia"/>
          <w:color w:val="000000"/>
          <w:sz w:val="32"/>
          <w:szCs w:val="32"/>
        </w:rPr>
        <w:t>33.64</w:t>
      </w:r>
      <w:r>
        <w:rPr>
          <w:rFonts w:ascii="仿宋_GB2312" w:eastAsia="仿宋_GB2312" w:hint="eastAsia"/>
          <w:color w:val="000000"/>
          <w:sz w:val="32"/>
          <w:szCs w:val="32"/>
        </w:rPr>
        <w:t>万元，下降3.63</w:t>
      </w:r>
      <w:r>
        <w:rPr>
          <w:rFonts w:ascii="仿宋_GB2312" w:eastAsia="仿宋_GB2312"/>
          <w:color w:val="000000"/>
          <w:sz w:val="32"/>
          <w:szCs w:val="32"/>
        </w:rPr>
        <w:t>%</w:t>
      </w:r>
      <w:r>
        <w:rPr>
          <w:rFonts w:ascii="仿宋_GB2312" w:eastAsia="仿宋_GB2312" w:hint="eastAsia"/>
          <w:color w:val="000000"/>
          <w:sz w:val="32"/>
          <w:szCs w:val="32"/>
        </w:rPr>
        <w:t>。（柱状图）</w:t>
      </w:r>
    </w:p>
    <w:p w:rsidR="004746B8" w:rsidRDefault="00870863">
      <w:pPr>
        <w:spacing w:line="600" w:lineRule="exact"/>
        <w:ind w:firstLineChars="200" w:firstLine="640"/>
        <w:rPr>
          <w:rFonts w:ascii="仿宋_GB2312" w:eastAsia="仿宋_GB2312"/>
          <w:b/>
          <w:i/>
          <w:color w:val="404040"/>
          <w:sz w:val="32"/>
          <w:szCs w:val="32"/>
        </w:rPr>
      </w:pPr>
      <w:r w:rsidRPr="00870863">
        <w:rPr>
          <w:sz w:val="32"/>
        </w:rPr>
        <w:pict>
          <v:shapetype id="_x0000_t32" coordsize="21600,21600" o:spt="32" o:oned="t" path="m,l21600,21600e" filled="f">
            <v:path arrowok="t" fillok="f" o:connecttype="none"/>
            <o:lock v:ext="edit" shapetype="t"/>
          </v:shapetype>
          <v:shape id="_x0000_s1026" type="#_x0000_t32" style="position:absolute;left:0;text-align:left;margin-left:466.8pt;margin-top:27.55pt;width:1in;height:1in;z-index:251660800" o:gfxdata="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5aMS/bAAAACwEAAA8AAAAAAAAAAQAgAAAA&#10;IgAAAGRycy9kb3ducmV2LnhtbFBLAQIUABQAAAAIAIdO4kC5oJgmCAIAAMIDAAAOAAAAAAAAAAEA&#10;IAAAACoBAABkcnMvZTJvRG9jLnhtbFBLBQYAAAAABgAGAFkBAACkBQAAAAA=&#10;" strokecolor="#4a7ebb">
            <v:stroke endarrow="open"/>
          </v:shape>
        </w:pict>
      </w:r>
      <w:r w:rsidRPr="00870863">
        <w:rPr>
          <w:sz w:val="32"/>
        </w:rPr>
        <w:pict>
          <v:shapetype id="_x0000_t202" coordsize="21600,21600" o:spt="202" path="m,l,21600r21600,l21600,xe">
            <v:stroke joinstyle="miter"/>
            <v:path gradientshapeok="t" o:connecttype="rect"/>
          </v:shapetype>
          <v:shape id="_x0000_s1027" type="#_x0000_t202" style="position:absolute;left:0;text-align:left;margin-left:262.85pt;margin-top:34.55pt;width:87.3pt;height:31.85pt;z-index:251658752" o:gfxdata="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&#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HX4PVAAAACgEAAA8AAAAAAAAAAQAgAAAAIgAAAGRy&#10;cy9kb3ducmV2LnhtbFBLAQIUABQAAAAIAIdO4kC6KSsbQQIAAE8EAAAOAAAAAAAAAAEAIAAAACQB&#10;AABkcnMvZTJvRG9jLnhtbFBLBQYAAAAABgAGAFkBAADXBQAAAAA=&#10;" stroked="f" strokeweight=".5pt">
            <v:textbox>
              <w:txbxContent>
                <w:p w:rsidR="004746B8" w:rsidRDefault="00262D5C">
                  <w:pPr>
                    <w:rPr>
                      <w:color w:val="FF0000"/>
                    </w:rPr>
                  </w:pPr>
                  <w:r>
                    <w:rPr>
                      <w:rFonts w:hint="eastAsia"/>
                      <w:color w:val="FF0000"/>
                    </w:rPr>
                    <w:t>下降</w:t>
                  </w:r>
                  <w:r>
                    <w:rPr>
                      <w:rFonts w:hint="eastAsia"/>
                      <w:color w:val="FF0000"/>
                    </w:rPr>
                    <w:t>3.63%</w:t>
                  </w:r>
                </w:p>
              </w:txbxContent>
            </v:textbox>
            <w10:wrap type="topAndBottom"/>
          </v:shape>
        </w:pict>
      </w:r>
      <w:r w:rsidR="006D706F">
        <w:rPr>
          <w:noProof/>
        </w:rPr>
        <w:drawing>
          <wp:anchor distT="0" distB="0" distL="114300" distR="114300" simplePos="0" relativeHeight="251659776" behindDoc="0" locked="0" layoutInCell="1" allowOverlap="1">
            <wp:simplePos x="0" y="0"/>
            <wp:positionH relativeFrom="column">
              <wp:posOffset>687705</wp:posOffset>
            </wp:positionH>
            <wp:positionV relativeFrom="paragraph">
              <wp:posOffset>111760</wp:posOffset>
            </wp:positionV>
            <wp:extent cx="4017010" cy="2731135"/>
            <wp:effectExtent l="1905" t="0" r="0" b="1905"/>
            <wp:wrapTopAndBottom/>
            <wp:docPr id="7" name="对象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262D5C">
        <w:rPr>
          <w:rFonts w:ascii="仿宋_GB2312" w:eastAsia="仿宋_GB2312" w:hint="eastAsia"/>
          <w:b/>
          <w:i/>
          <w:color w:val="404040"/>
          <w:sz w:val="32"/>
          <w:szCs w:val="32"/>
        </w:rPr>
        <w:t>（数据来源财决</w:t>
      </w:r>
      <w:r w:rsidR="00262D5C">
        <w:rPr>
          <w:rFonts w:ascii="仿宋_GB2312" w:eastAsia="仿宋_GB2312"/>
          <w:b/>
          <w:i/>
          <w:color w:val="404040"/>
          <w:sz w:val="32"/>
          <w:szCs w:val="32"/>
        </w:rPr>
        <w:t>Z01-1</w:t>
      </w:r>
      <w:r w:rsidR="00262D5C">
        <w:rPr>
          <w:rFonts w:ascii="仿宋_GB2312" w:eastAsia="仿宋_GB2312" w:hint="eastAsia"/>
          <w:b/>
          <w:i/>
          <w:color w:val="404040"/>
          <w:sz w:val="32"/>
          <w:szCs w:val="32"/>
        </w:rPr>
        <w:t>表，口径为“总计”数）</w:t>
      </w:r>
    </w:p>
    <w:p w:rsidR="004746B8" w:rsidRDefault="00262D5C">
      <w:pPr>
        <w:spacing w:line="600" w:lineRule="exact"/>
        <w:ind w:firstLineChars="200" w:firstLine="640"/>
        <w:rPr>
          <w:rFonts w:ascii="黑体" w:eastAsia="黑体"/>
          <w:color w:val="000000"/>
          <w:sz w:val="32"/>
          <w:szCs w:val="32"/>
        </w:rPr>
      </w:pPr>
      <w:r>
        <w:rPr>
          <w:rFonts w:ascii="黑体" w:eastAsia="黑体" w:hint="eastAsia"/>
          <w:color w:val="000000"/>
          <w:sz w:val="32"/>
          <w:szCs w:val="32"/>
        </w:rPr>
        <w:t>五、一般公共预算财政拨款支出决算情况</w:t>
      </w:r>
    </w:p>
    <w:p w:rsidR="004746B8" w:rsidRDefault="00262D5C">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（一）一般公共预算财政拨款支出决算总体情况</w:t>
      </w:r>
    </w:p>
    <w:p w:rsidR="004746B8" w:rsidRDefault="00262D5C">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宣汉县</w:t>
      </w:r>
      <w:r w:rsidR="008D5FE4">
        <w:rPr>
          <w:rFonts w:ascii="仿宋_GB2312" w:eastAsia="仿宋_GB2312" w:hint="eastAsia"/>
          <w:color w:val="000000"/>
          <w:sz w:val="32"/>
          <w:szCs w:val="32"/>
        </w:rPr>
        <w:t>厂溪镇初级中学</w:t>
      </w:r>
      <w:r>
        <w:rPr>
          <w:rFonts w:ascii="仿宋_GB2312" w:eastAsia="仿宋_GB2312"/>
          <w:color w:val="000000"/>
          <w:sz w:val="32"/>
          <w:szCs w:val="32"/>
        </w:rPr>
        <w:t>201</w:t>
      </w:r>
      <w:r>
        <w:rPr>
          <w:rFonts w:ascii="仿宋_GB2312" w:eastAsia="仿宋_GB2312" w:hint="eastAsia"/>
          <w:color w:val="000000"/>
          <w:sz w:val="32"/>
          <w:szCs w:val="32"/>
        </w:rPr>
        <w:t>7年度一般公共预算财政拨款支出</w:t>
      </w:r>
      <w:r w:rsidR="008D5FE4">
        <w:rPr>
          <w:rFonts w:ascii="仿宋_GB2312" w:eastAsia="仿宋_GB2312" w:hAnsi="仿宋" w:hint="eastAsia"/>
          <w:sz w:val="32"/>
          <w:szCs w:val="32"/>
        </w:rPr>
        <w:t>927.52</w:t>
      </w:r>
      <w:r>
        <w:rPr>
          <w:rFonts w:ascii="仿宋_GB2312" w:eastAsia="仿宋_GB2312" w:hint="eastAsia"/>
          <w:color w:val="000000"/>
          <w:sz w:val="32"/>
          <w:szCs w:val="32"/>
        </w:rPr>
        <w:t>万元，占本年支出合计的</w:t>
      </w:r>
      <w:r w:rsidR="008D5FE4">
        <w:rPr>
          <w:rFonts w:ascii="仿宋_GB2312" w:eastAsia="仿宋_GB2312" w:hint="eastAsia"/>
          <w:color w:val="000000"/>
          <w:sz w:val="32"/>
          <w:szCs w:val="32"/>
        </w:rPr>
        <w:t>100</w:t>
      </w:r>
      <w:r>
        <w:rPr>
          <w:rFonts w:ascii="仿宋_GB2312" w:eastAsia="仿宋_GB2312"/>
          <w:color w:val="000000"/>
          <w:sz w:val="32"/>
          <w:szCs w:val="32"/>
        </w:rPr>
        <w:t>%</w:t>
      </w:r>
      <w:r>
        <w:rPr>
          <w:rFonts w:ascii="仿宋_GB2312" w:eastAsia="仿宋_GB2312" w:hint="eastAsia"/>
          <w:color w:val="000000"/>
          <w:sz w:val="32"/>
          <w:szCs w:val="32"/>
        </w:rPr>
        <w:t>。与</w:t>
      </w:r>
      <w:r>
        <w:rPr>
          <w:rFonts w:ascii="仿宋_GB2312" w:eastAsia="仿宋_GB2312"/>
          <w:color w:val="000000"/>
          <w:sz w:val="32"/>
          <w:szCs w:val="32"/>
        </w:rPr>
        <w:t>201</w:t>
      </w:r>
      <w:r>
        <w:rPr>
          <w:rFonts w:ascii="仿宋_GB2312" w:eastAsia="仿宋_GB2312" w:hint="eastAsia"/>
          <w:color w:val="000000"/>
          <w:sz w:val="32"/>
          <w:szCs w:val="32"/>
        </w:rPr>
        <w:t>6年相比，一般公共预算财政拨款减少</w:t>
      </w:r>
      <w:r w:rsidR="008D5FE4">
        <w:rPr>
          <w:rFonts w:ascii="仿宋_GB2312" w:eastAsia="仿宋_GB2312" w:hint="eastAsia"/>
          <w:color w:val="000000"/>
          <w:sz w:val="32"/>
          <w:szCs w:val="32"/>
        </w:rPr>
        <w:t>33.64</w:t>
      </w:r>
      <w:r>
        <w:rPr>
          <w:rFonts w:ascii="仿宋_GB2312" w:eastAsia="仿宋_GB2312" w:hint="eastAsia"/>
          <w:color w:val="000000"/>
          <w:sz w:val="32"/>
          <w:szCs w:val="32"/>
        </w:rPr>
        <w:t>万元，下降3.63</w:t>
      </w:r>
      <w:r>
        <w:rPr>
          <w:rFonts w:ascii="仿宋_GB2312" w:eastAsia="仿宋_GB2312"/>
          <w:color w:val="000000"/>
          <w:sz w:val="32"/>
          <w:szCs w:val="32"/>
        </w:rPr>
        <w:t>%</w:t>
      </w:r>
      <w:r>
        <w:rPr>
          <w:rFonts w:ascii="仿宋_GB2312" w:eastAsia="仿宋_GB2312" w:hint="eastAsia"/>
          <w:color w:val="000000"/>
          <w:sz w:val="32"/>
          <w:szCs w:val="32"/>
        </w:rPr>
        <w:t>。</w:t>
      </w:r>
    </w:p>
    <w:p w:rsidR="004746B8" w:rsidRDefault="00262D5C">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（二）一般公共预算财政拨款支出决算结构情况</w:t>
      </w:r>
    </w:p>
    <w:p w:rsidR="004746B8" w:rsidRDefault="00262D5C">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宣汉县</w:t>
      </w:r>
      <w:r w:rsidR="008D5FE4">
        <w:rPr>
          <w:rFonts w:ascii="仿宋_GB2312" w:eastAsia="仿宋_GB2312" w:hint="eastAsia"/>
          <w:color w:val="000000"/>
          <w:sz w:val="32"/>
          <w:szCs w:val="32"/>
        </w:rPr>
        <w:t>厂溪镇初级中学</w:t>
      </w:r>
      <w:r>
        <w:rPr>
          <w:rFonts w:ascii="仿宋_GB2312" w:eastAsia="仿宋_GB2312"/>
          <w:color w:val="000000"/>
          <w:sz w:val="32"/>
          <w:szCs w:val="32"/>
        </w:rPr>
        <w:t>201</w:t>
      </w:r>
      <w:r>
        <w:rPr>
          <w:rFonts w:ascii="仿宋_GB2312" w:eastAsia="仿宋_GB2312" w:hint="eastAsia"/>
          <w:color w:val="000000"/>
          <w:sz w:val="32"/>
          <w:szCs w:val="32"/>
        </w:rPr>
        <w:t>7年一般公共预算财政拨款支出</w:t>
      </w:r>
      <w:r w:rsidR="008D5FE4">
        <w:rPr>
          <w:rFonts w:ascii="仿宋_GB2312" w:eastAsia="仿宋_GB2312" w:hAnsi="仿宋" w:hint="eastAsia"/>
          <w:sz w:val="32"/>
          <w:szCs w:val="32"/>
        </w:rPr>
        <w:t>927.52</w:t>
      </w:r>
      <w:r>
        <w:rPr>
          <w:rFonts w:ascii="仿宋_GB2312" w:eastAsia="仿宋_GB2312" w:hint="eastAsia"/>
          <w:color w:val="000000"/>
          <w:sz w:val="32"/>
          <w:szCs w:val="32"/>
        </w:rPr>
        <w:t>万元，主要用于以下方面</w:t>
      </w:r>
      <w:r>
        <w:rPr>
          <w:rFonts w:ascii="仿宋_GB2312" w:eastAsia="仿宋_GB2312"/>
          <w:color w:val="000000"/>
          <w:sz w:val="32"/>
          <w:szCs w:val="32"/>
        </w:rPr>
        <w:t>:</w:t>
      </w:r>
      <w:r>
        <w:rPr>
          <w:rFonts w:ascii="仿宋_GB2312" w:eastAsia="仿宋_GB2312" w:hint="eastAsia"/>
          <w:color w:val="000000"/>
          <w:sz w:val="32"/>
          <w:szCs w:val="32"/>
        </w:rPr>
        <w:t>一般公共服务支出0万元；教育支出</w:t>
      </w:r>
      <w:r w:rsidR="008D5FE4">
        <w:rPr>
          <w:rFonts w:ascii="仿宋_GB2312" w:eastAsia="仿宋_GB2312" w:hint="eastAsia"/>
          <w:color w:val="000000"/>
          <w:sz w:val="32"/>
          <w:szCs w:val="32"/>
        </w:rPr>
        <w:t>781.26</w:t>
      </w:r>
      <w:r>
        <w:rPr>
          <w:rFonts w:ascii="仿宋_GB2312" w:eastAsia="仿宋_GB2312" w:hint="eastAsia"/>
          <w:color w:val="000000"/>
          <w:sz w:val="32"/>
          <w:szCs w:val="32"/>
        </w:rPr>
        <w:t>万元，占8</w:t>
      </w:r>
      <w:r w:rsidR="008D5FE4">
        <w:rPr>
          <w:rFonts w:ascii="仿宋_GB2312" w:eastAsia="仿宋_GB2312" w:hint="eastAsia"/>
          <w:color w:val="000000"/>
          <w:sz w:val="32"/>
          <w:szCs w:val="32"/>
        </w:rPr>
        <w:t>4.23</w:t>
      </w:r>
      <w:r>
        <w:rPr>
          <w:rFonts w:ascii="仿宋_GB2312" w:eastAsia="仿宋_GB2312"/>
          <w:color w:val="000000"/>
          <w:sz w:val="32"/>
          <w:szCs w:val="32"/>
        </w:rPr>
        <w:t>%</w:t>
      </w:r>
      <w:r>
        <w:rPr>
          <w:rFonts w:ascii="仿宋_GB2312" w:eastAsia="仿宋_GB2312" w:hint="eastAsia"/>
          <w:color w:val="000000"/>
          <w:sz w:val="32"/>
          <w:szCs w:val="32"/>
        </w:rPr>
        <w:t>；社会保障和就业支出</w:t>
      </w:r>
      <w:r w:rsidR="008D5FE4">
        <w:rPr>
          <w:rFonts w:ascii="仿宋_GB2312" w:eastAsia="仿宋_GB2312" w:hint="eastAsia"/>
          <w:color w:val="000000"/>
          <w:sz w:val="32"/>
          <w:szCs w:val="32"/>
        </w:rPr>
        <w:t>77.92</w:t>
      </w:r>
      <w:r>
        <w:rPr>
          <w:rFonts w:ascii="仿宋_GB2312" w:eastAsia="仿宋_GB2312" w:hint="eastAsia"/>
          <w:color w:val="000000"/>
          <w:sz w:val="32"/>
          <w:szCs w:val="32"/>
        </w:rPr>
        <w:t>万元，</w:t>
      </w:r>
      <w:r>
        <w:rPr>
          <w:rFonts w:ascii="仿宋_GB2312" w:eastAsia="仿宋_GB2312" w:hint="eastAsia"/>
          <w:sz w:val="32"/>
          <w:szCs w:val="32"/>
        </w:rPr>
        <w:t>占</w:t>
      </w:r>
      <w:r w:rsidR="008D5FE4">
        <w:rPr>
          <w:rFonts w:ascii="仿宋_GB2312" w:eastAsia="仿宋_GB2312" w:hint="eastAsia"/>
          <w:sz w:val="32"/>
          <w:szCs w:val="32"/>
        </w:rPr>
        <w:t>8.4</w:t>
      </w:r>
      <w:r>
        <w:rPr>
          <w:rFonts w:ascii="仿宋_GB2312" w:eastAsia="仿宋_GB2312"/>
          <w:sz w:val="32"/>
          <w:szCs w:val="32"/>
        </w:rPr>
        <w:t>%</w:t>
      </w:r>
      <w:r>
        <w:rPr>
          <w:rFonts w:ascii="仿宋_GB2312" w:eastAsia="仿宋_GB2312" w:hint="eastAsia"/>
          <w:sz w:val="32"/>
          <w:szCs w:val="32"/>
        </w:rPr>
        <w:t>；医</w:t>
      </w:r>
      <w:r>
        <w:rPr>
          <w:rFonts w:ascii="仿宋_GB2312" w:eastAsia="仿宋_GB2312" w:hint="eastAsia"/>
          <w:color w:val="000000"/>
          <w:sz w:val="32"/>
          <w:szCs w:val="32"/>
        </w:rPr>
        <w:t>疗卫生支出</w:t>
      </w:r>
      <w:r w:rsidR="008D5FE4">
        <w:rPr>
          <w:rFonts w:ascii="仿宋_GB2312" w:eastAsia="仿宋_GB2312" w:hint="eastAsia"/>
          <w:color w:val="000000"/>
          <w:sz w:val="32"/>
          <w:szCs w:val="32"/>
        </w:rPr>
        <w:t>24.38</w:t>
      </w:r>
      <w:r>
        <w:rPr>
          <w:rFonts w:ascii="仿宋_GB2312" w:eastAsia="仿宋_GB2312" w:hint="eastAsia"/>
          <w:color w:val="000000"/>
          <w:sz w:val="32"/>
          <w:szCs w:val="32"/>
        </w:rPr>
        <w:t>万元，占2.6</w:t>
      </w:r>
      <w:r w:rsidR="00447EDC">
        <w:rPr>
          <w:rFonts w:ascii="仿宋_GB2312" w:eastAsia="仿宋_GB2312" w:hint="eastAsia"/>
          <w:color w:val="000000"/>
          <w:sz w:val="32"/>
          <w:szCs w:val="32"/>
        </w:rPr>
        <w:t>3</w:t>
      </w:r>
      <w:r>
        <w:rPr>
          <w:rFonts w:ascii="仿宋_GB2312" w:eastAsia="仿宋_GB2312"/>
          <w:color w:val="000000"/>
          <w:sz w:val="32"/>
          <w:szCs w:val="32"/>
        </w:rPr>
        <w:t>%</w:t>
      </w:r>
      <w:r>
        <w:rPr>
          <w:rFonts w:ascii="仿宋_GB2312" w:eastAsia="仿宋_GB2312" w:hint="eastAsia"/>
          <w:color w:val="000000"/>
          <w:sz w:val="32"/>
          <w:szCs w:val="32"/>
        </w:rPr>
        <w:t>；住房保障支出</w:t>
      </w:r>
      <w:r w:rsidR="008D5FE4">
        <w:rPr>
          <w:rFonts w:ascii="仿宋_GB2312" w:eastAsia="仿宋_GB2312" w:hint="eastAsia"/>
          <w:color w:val="000000"/>
          <w:sz w:val="32"/>
          <w:szCs w:val="32"/>
        </w:rPr>
        <w:t>43.95</w:t>
      </w:r>
      <w:r>
        <w:rPr>
          <w:rFonts w:ascii="仿宋_GB2312" w:eastAsia="仿宋_GB2312" w:hint="eastAsia"/>
          <w:color w:val="000000"/>
          <w:sz w:val="32"/>
          <w:szCs w:val="32"/>
        </w:rPr>
        <w:t>万元，占4.7</w:t>
      </w:r>
      <w:r w:rsidR="00447EDC">
        <w:rPr>
          <w:rFonts w:ascii="仿宋_GB2312" w:eastAsia="仿宋_GB2312" w:hint="eastAsia"/>
          <w:color w:val="000000"/>
          <w:sz w:val="32"/>
          <w:szCs w:val="32"/>
        </w:rPr>
        <w:t>4</w:t>
      </w:r>
      <w:r>
        <w:rPr>
          <w:rFonts w:ascii="仿宋_GB2312" w:eastAsia="仿宋_GB2312"/>
          <w:color w:val="000000"/>
          <w:sz w:val="32"/>
          <w:szCs w:val="32"/>
        </w:rPr>
        <w:t>%</w:t>
      </w:r>
      <w:r>
        <w:rPr>
          <w:rFonts w:ascii="仿宋_GB2312" w:eastAsia="仿宋_GB2312" w:hint="eastAsia"/>
          <w:color w:val="000000"/>
          <w:sz w:val="32"/>
          <w:szCs w:val="32"/>
        </w:rPr>
        <w:t>。（饼状图）</w:t>
      </w:r>
    </w:p>
    <w:p w:rsidR="004746B8" w:rsidRDefault="006D706F" w:rsidP="009F15BA">
      <w:pPr>
        <w:spacing w:line="600" w:lineRule="exact"/>
        <w:ind w:firstLineChars="200" w:firstLine="420"/>
        <w:rPr>
          <w:rFonts w:ascii="仿宋_GB2312" w:eastAsia="仿宋_GB2312"/>
          <w:i/>
          <w:color w:val="404040"/>
          <w:sz w:val="32"/>
          <w:szCs w:val="32"/>
        </w:rPr>
      </w:pPr>
      <w:r>
        <w:rPr>
          <w:noProof/>
        </w:rPr>
        <w:lastRenderedPageBreak/>
        <w:drawing>
          <wp:anchor distT="0" distB="1651" distL="114300" distR="114300" simplePos="0" relativeHeight="251656704" behindDoc="0" locked="0" layoutInCell="1" allowOverlap="1">
            <wp:simplePos x="0" y="0"/>
            <wp:positionH relativeFrom="column">
              <wp:posOffset>542925</wp:posOffset>
            </wp:positionH>
            <wp:positionV relativeFrom="paragraph">
              <wp:posOffset>112395</wp:posOffset>
            </wp:positionV>
            <wp:extent cx="4480560" cy="3413760"/>
            <wp:effectExtent l="0" t="635" r="635" b="0"/>
            <wp:wrapTopAndBottom/>
            <wp:docPr id="6" name="对象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262D5C">
        <w:rPr>
          <w:rFonts w:ascii="仿宋_GB2312" w:eastAsia="仿宋_GB2312" w:hint="eastAsia"/>
          <w:b/>
          <w:i/>
          <w:color w:val="404040"/>
          <w:sz w:val="32"/>
          <w:szCs w:val="32"/>
        </w:rPr>
        <w:t>（罗列全部功能分类科目，至类级）</w:t>
      </w:r>
    </w:p>
    <w:p w:rsidR="004746B8" w:rsidRDefault="00262D5C">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（三）一般公共预算财政拨款支出决算具体情况</w:t>
      </w:r>
    </w:p>
    <w:p w:rsidR="004746B8" w:rsidRDefault="00262D5C">
      <w:pPr>
        <w:numPr>
          <w:ilvl w:val="0"/>
          <w:numId w:val="1"/>
        </w:numPr>
        <w:spacing w:line="600" w:lineRule="exact"/>
        <w:ind w:firstLineChars="200" w:firstLine="643"/>
        <w:rPr>
          <w:rFonts w:ascii="仿宋_GB2312" w:eastAsia="仿宋_GB2312"/>
          <w:color w:val="000000"/>
          <w:sz w:val="32"/>
          <w:szCs w:val="32"/>
        </w:rPr>
      </w:pPr>
      <w:r>
        <w:rPr>
          <w:rStyle w:val="a7"/>
          <w:rFonts w:ascii="仿宋_GB2312" w:eastAsia="仿宋_GB2312" w:hint="eastAsia"/>
          <w:bCs/>
          <w:color w:val="000000"/>
          <w:sz w:val="32"/>
          <w:szCs w:val="32"/>
        </w:rPr>
        <w:t>一般公共服务（类）205（款）0202项）</w:t>
      </w:r>
      <w:r>
        <w:rPr>
          <w:rStyle w:val="a7"/>
          <w:rFonts w:ascii="仿宋_GB2312" w:eastAsia="仿宋_GB2312"/>
          <w:bCs/>
          <w:color w:val="000000"/>
          <w:sz w:val="32"/>
          <w:szCs w:val="32"/>
        </w:rPr>
        <w:t>:</w:t>
      </w:r>
      <w:r>
        <w:rPr>
          <w:rFonts w:ascii="仿宋_GB2312" w:eastAsia="仿宋_GB2312"/>
          <w:color w:val="000000"/>
          <w:sz w:val="32"/>
          <w:szCs w:val="32"/>
        </w:rPr>
        <w:t>201</w:t>
      </w:r>
      <w:r>
        <w:rPr>
          <w:rFonts w:ascii="仿宋_GB2312" w:eastAsia="仿宋_GB2312" w:hint="eastAsia"/>
          <w:color w:val="000000"/>
          <w:sz w:val="32"/>
          <w:szCs w:val="32"/>
        </w:rPr>
        <w:t>7年决算数为</w:t>
      </w:r>
      <w:r w:rsidR="00447EDC">
        <w:rPr>
          <w:rFonts w:ascii="仿宋_GB2312" w:eastAsia="仿宋_GB2312" w:hint="eastAsia"/>
          <w:color w:val="000000"/>
          <w:sz w:val="32"/>
          <w:szCs w:val="32"/>
        </w:rPr>
        <w:t>781.26</w:t>
      </w:r>
      <w:r>
        <w:rPr>
          <w:rFonts w:ascii="仿宋_GB2312" w:eastAsia="仿宋_GB2312" w:hint="eastAsia"/>
          <w:color w:val="000000"/>
          <w:sz w:val="32"/>
          <w:szCs w:val="32"/>
        </w:rPr>
        <w:t>万元，完成预算100</w:t>
      </w:r>
      <w:r>
        <w:rPr>
          <w:rFonts w:ascii="仿宋_GB2312" w:eastAsia="仿宋_GB2312"/>
          <w:color w:val="000000"/>
          <w:sz w:val="32"/>
          <w:szCs w:val="32"/>
        </w:rPr>
        <w:t>%</w:t>
      </w:r>
      <w:r>
        <w:rPr>
          <w:rFonts w:ascii="仿宋_GB2312" w:eastAsia="仿宋_GB2312" w:hint="eastAsia"/>
          <w:color w:val="000000"/>
          <w:sz w:val="32"/>
          <w:szCs w:val="32"/>
        </w:rPr>
        <w:t>。</w:t>
      </w:r>
    </w:p>
    <w:p w:rsidR="004746B8" w:rsidRDefault="00262D5C">
      <w:pPr>
        <w:numPr>
          <w:ilvl w:val="0"/>
          <w:numId w:val="1"/>
        </w:numPr>
        <w:spacing w:line="600" w:lineRule="exact"/>
        <w:ind w:firstLineChars="200" w:firstLine="643"/>
        <w:rPr>
          <w:rFonts w:ascii="仿宋_GB2312" w:eastAsia="仿宋_GB2312"/>
          <w:color w:val="000000"/>
          <w:sz w:val="32"/>
          <w:szCs w:val="32"/>
        </w:rPr>
      </w:pPr>
      <w:r>
        <w:rPr>
          <w:rStyle w:val="a7"/>
          <w:rFonts w:ascii="仿宋_GB2312" w:eastAsia="仿宋_GB2312" w:hint="eastAsia"/>
          <w:bCs/>
          <w:color w:val="000000"/>
          <w:sz w:val="32"/>
          <w:szCs w:val="32"/>
        </w:rPr>
        <w:t>教育（类）205（款）0202（项）</w:t>
      </w:r>
      <w:r>
        <w:rPr>
          <w:rStyle w:val="a7"/>
          <w:rFonts w:ascii="仿宋_GB2312" w:eastAsia="仿宋_GB2312"/>
          <w:bCs/>
          <w:color w:val="000000"/>
          <w:sz w:val="32"/>
          <w:szCs w:val="32"/>
        </w:rPr>
        <w:t>:</w:t>
      </w:r>
      <w:r>
        <w:rPr>
          <w:rFonts w:ascii="仿宋_GB2312" w:eastAsia="仿宋_GB2312"/>
          <w:color w:val="000000"/>
          <w:sz w:val="32"/>
          <w:szCs w:val="32"/>
        </w:rPr>
        <w:t>201</w:t>
      </w:r>
      <w:r>
        <w:rPr>
          <w:rFonts w:ascii="仿宋_GB2312" w:eastAsia="仿宋_GB2312" w:hint="eastAsia"/>
          <w:color w:val="000000"/>
          <w:sz w:val="32"/>
          <w:szCs w:val="32"/>
        </w:rPr>
        <w:t>7年决算数为</w:t>
      </w:r>
      <w:r w:rsidR="00447EDC">
        <w:rPr>
          <w:rFonts w:ascii="仿宋_GB2312" w:eastAsia="仿宋_GB2312" w:hint="eastAsia"/>
          <w:color w:val="000000"/>
          <w:sz w:val="32"/>
          <w:szCs w:val="32"/>
        </w:rPr>
        <w:t>781.26</w:t>
      </w:r>
      <w:r>
        <w:rPr>
          <w:rFonts w:ascii="仿宋_GB2312" w:eastAsia="仿宋_GB2312" w:hint="eastAsia"/>
          <w:color w:val="000000"/>
          <w:sz w:val="32"/>
          <w:szCs w:val="32"/>
        </w:rPr>
        <w:t>万元，完成预算100</w:t>
      </w:r>
      <w:r>
        <w:rPr>
          <w:rFonts w:ascii="仿宋_GB2312" w:eastAsia="仿宋_GB2312"/>
          <w:color w:val="000000"/>
          <w:sz w:val="32"/>
          <w:szCs w:val="32"/>
        </w:rPr>
        <w:t>%</w:t>
      </w:r>
      <w:r>
        <w:rPr>
          <w:rFonts w:ascii="仿宋_GB2312" w:eastAsia="仿宋_GB2312" w:hint="eastAsia"/>
          <w:color w:val="000000"/>
          <w:sz w:val="32"/>
          <w:szCs w:val="32"/>
        </w:rPr>
        <w:t>。</w:t>
      </w:r>
    </w:p>
    <w:p w:rsidR="004746B8" w:rsidRDefault="00262D5C">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3</w:t>
      </w:r>
      <w:r>
        <w:rPr>
          <w:rStyle w:val="a7"/>
          <w:rFonts w:ascii="仿宋_GB2312" w:eastAsia="仿宋_GB2312"/>
          <w:bCs/>
          <w:color w:val="000000"/>
          <w:sz w:val="32"/>
          <w:szCs w:val="32"/>
        </w:rPr>
        <w:t>.</w:t>
      </w:r>
      <w:r>
        <w:rPr>
          <w:rStyle w:val="a7"/>
          <w:rFonts w:ascii="仿宋_GB2312" w:eastAsia="仿宋_GB2312" w:hint="eastAsia"/>
          <w:bCs/>
          <w:color w:val="000000"/>
          <w:sz w:val="32"/>
          <w:szCs w:val="32"/>
        </w:rPr>
        <w:t>社会保障和就业（类）208（款）0502（项）</w:t>
      </w:r>
      <w:r>
        <w:rPr>
          <w:rStyle w:val="a7"/>
          <w:rFonts w:ascii="仿宋_GB2312" w:eastAsia="仿宋_GB2312"/>
          <w:bCs/>
          <w:color w:val="000000"/>
          <w:sz w:val="32"/>
          <w:szCs w:val="32"/>
        </w:rPr>
        <w:t>:</w:t>
      </w:r>
      <w:r>
        <w:rPr>
          <w:rFonts w:ascii="仿宋_GB2312" w:eastAsia="仿宋_GB2312"/>
          <w:color w:val="000000"/>
          <w:sz w:val="32"/>
          <w:szCs w:val="32"/>
        </w:rPr>
        <w:t>201</w:t>
      </w:r>
      <w:r>
        <w:rPr>
          <w:rFonts w:ascii="仿宋_GB2312" w:eastAsia="仿宋_GB2312" w:hint="eastAsia"/>
          <w:color w:val="000000"/>
          <w:sz w:val="32"/>
          <w:szCs w:val="32"/>
        </w:rPr>
        <w:t>7年决算数为</w:t>
      </w:r>
      <w:r w:rsidR="00447EDC">
        <w:rPr>
          <w:rFonts w:ascii="仿宋_GB2312" w:eastAsia="仿宋_GB2312" w:hint="eastAsia"/>
          <w:color w:val="000000"/>
          <w:sz w:val="32"/>
          <w:szCs w:val="32"/>
        </w:rPr>
        <w:t>77.92万</w:t>
      </w:r>
      <w:r>
        <w:rPr>
          <w:rFonts w:ascii="仿宋_GB2312" w:eastAsia="仿宋_GB2312" w:hint="eastAsia"/>
          <w:color w:val="000000"/>
          <w:sz w:val="32"/>
          <w:szCs w:val="32"/>
        </w:rPr>
        <w:t>元，完成预算100</w:t>
      </w:r>
      <w:r>
        <w:rPr>
          <w:rFonts w:ascii="仿宋_GB2312" w:eastAsia="仿宋_GB2312"/>
          <w:color w:val="000000"/>
          <w:sz w:val="32"/>
          <w:szCs w:val="32"/>
        </w:rPr>
        <w:t>%</w:t>
      </w:r>
      <w:r>
        <w:rPr>
          <w:rFonts w:ascii="仿宋_GB2312" w:eastAsia="仿宋_GB2312" w:hint="eastAsia"/>
          <w:color w:val="000000"/>
          <w:sz w:val="32"/>
          <w:szCs w:val="32"/>
        </w:rPr>
        <w:t>。</w:t>
      </w:r>
      <w:r>
        <w:rPr>
          <w:rFonts w:ascii="仿宋_GB2312" w:eastAsia="仿宋_GB2312"/>
          <w:color w:val="000000"/>
          <w:sz w:val="32"/>
          <w:szCs w:val="32"/>
        </w:rPr>
        <w:br/>
      </w:r>
      <w:r>
        <w:rPr>
          <w:rFonts w:ascii="仿宋_GB2312" w:eastAsia="仿宋_GB2312" w:hint="eastAsia"/>
          <w:color w:val="000000"/>
          <w:sz w:val="32"/>
          <w:szCs w:val="32"/>
        </w:rPr>
        <w:t xml:space="preserve">　  4</w:t>
      </w:r>
      <w:r>
        <w:rPr>
          <w:rStyle w:val="a7"/>
          <w:rFonts w:ascii="仿宋_GB2312" w:eastAsia="仿宋_GB2312"/>
          <w:bCs/>
          <w:color w:val="000000"/>
          <w:sz w:val="32"/>
          <w:szCs w:val="32"/>
        </w:rPr>
        <w:t>.</w:t>
      </w:r>
      <w:r>
        <w:rPr>
          <w:rStyle w:val="a7"/>
          <w:rFonts w:ascii="仿宋_GB2312" w:eastAsia="仿宋_GB2312" w:hint="eastAsia"/>
          <w:bCs/>
          <w:color w:val="000000"/>
          <w:sz w:val="32"/>
          <w:szCs w:val="32"/>
        </w:rPr>
        <w:t>医疗卫生与计划生育（类）210（款）0502（项）</w:t>
      </w:r>
      <w:r>
        <w:rPr>
          <w:rStyle w:val="a7"/>
          <w:rFonts w:ascii="仿宋_GB2312" w:eastAsia="仿宋_GB2312"/>
          <w:bCs/>
          <w:color w:val="000000"/>
          <w:sz w:val="32"/>
          <w:szCs w:val="32"/>
        </w:rPr>
        <w:t>:</w:t>
      </w:r>
      <w:r>
        <w:rPr>
          <w:rFonts w:ascii="仿宋_GB2312" w:eastAsia="仿宋_GB2312"/>
          <w:color w:val="000000"/>
          <w:sz w:val="32"/>
          <w:szCs w:val="32"/>
        </w:rPr>
        <w:t>201</w:t>
      </w:r>
      <w:r>
        <w:rPr>
          <w:rFonts w:ascii="仿宋_GB2312" w:eastAsia="仿宋_GB2312" w:hint="eastAsia"/>
          <w:color w:val="000000"/>
          <w:sz w:val="32"/>
          <w:szCs w:val="32"/>
        </w:rPr>
        <w:t>7年决算数为</w:t>
      </w:r>
      <w:r w:rsidR="00447EDC">
        <w:rPr>
          <w:rFonts w:ascii="仿宋_GB2312" w:eastAsia="仿宋_GB2312" w:hint="eastAsia"/>
          <w:color w:val="000000"/>
          <w:sz w:val="32"/>
          <w:szCs w:val="32"/>
        </w:rPr>
        <w:t>24.38</w:t>
      </w:r>
      <w:r>
        <w:rPr>
          <w:rFonts w:ascii="仿宋_GB2312" w:eastAsia="仿宋_GB2312" w:hint="eastAsia"/>
          <w:color w:val="000000"/>
          <w:sz w:val="32"/>
          <w:szCs w:val="32"/>
        </w:rPr>
        <w:t>万元，完成预算100</w:t>
      </w:r>
      <w:r>
        <w:rPr>
          <w:rFonts w:ascii="仿宋_GB2312" w:eastAsia="仿宋_GB2312"/>
          <w:color w:val="000000"/>
          <w:sz w:val="32"/>
          <w:szCs w:val="32"/>
        </w:rPr>
        <w:t>%</w:t>
      </w:r>
      <w:r>
        <w:rPr>
          <w:rFonts w:ascii="仿宋_GB2312" w:eastAsia="仿宋_GB2312" w:hint="eastAsia"/>
          <w:color w:val="000000"/>
          <w:sz w:val="32"/>
          <w:szCs w:val="32"/>
        </w:rPr>
        <w:t>。</w:t>
      </w:r>
      <w:r>
        <w:rPr>
          <w:rFonts w:ascii="仿宋_GB2312" w:eastAsia="仿宋_GB2312"/>
          <w:color w:val="000000"/>
          <w:sz w:val="32"/>
          <w:szCs w:val="32"/>
        </w:rPr>
        <w:br/>
      </w:r>
      <w:r>
        <w:rPr>
          <w:rFonts w:ascii="仿宋_GB2312" w:eastAsia="仿宋_GB2312" w:hint="eastAsia"/>
          <w:color w:val="000000"/>
          <w:sz w:val="32"/>
          <w:szCs w:val="32"/>
        </w:rPr>
        <w:t>5、住房保障类</w:t>
      </w:r>
      <w:r>
        <w:rPr>
          <w:rStyle w:val="a7"/>
          <w:rFonts w:ascii="仿宋_GB2312" w:eastAsia="仿宋_GB2312" w:hint="eastAsia"/>
          <w:bCs/>
          <w:color w:val="000000"/>
          <w:sz w:val="32"/>
          <w:szCs w:val="32"/>
        </w:rPr>
        <w:t>（类）221（款）0201（项）</w:t>
      </w:r>
      <w:r>
        <w:rPr>
          <w:rStyle w:val="a7"/>
          <w:rFonts w:ascii="仿宋_GB2312" w:eastAsia="仿宋_GB2312"/>
          <w:bCs/>
          <w:color w:val="000000"/>
          <w:sz w:val="32"/>
          <w:szCs w:val="32"/>
        </w:rPr>
        <w:t>:</w:t>
      </w:r>
      <w:r>
        <w:rPr>
          <w:rFonts w:ascii="仿宋_GB2312" w:eastAsia="仿宋_GB2312"/>
          <w:color w:val="000000"/>
          <w:sz w:val="32"/>
          <w:szCs w:val="32"/>
        </w:rPr>
        <w:t>201</w:t>
      </w:r>
      <w:r>
        <w:rPr>
          <w:rFonts w:ascii="仿宋_GB2312" w:eastAsia="仿宋_GB2312" w:hint="eastAsia"/>
          <w:color w:val="000000"/>
          <w:sz w:val="32"/>
          <w:szCs w:val="32"/>
        </w:rPr>
        <w:t>7年决算数为</w:t>
      </w:r>
      <w:r w:rsidR="00447EDC">
        <w:rPr>
          <w:rFonts w:ascii="仿宋_GB2312" w:eastAsia="仿宋_GB2312" w:hint="eastAsia"/>
          <w:color w:val="000000"/>
          <w:sz w:val="32"/>
          <w:szCs w:val="32"/>
        </w:rPr>
        <w:t>43。95</w:t>
      </w:r>
      <w:r>
        <w:rPr>
          <w:rFonts w:ascii="仿宋_GB2312" w:eastAsia="仿宋_GB2312" w:hint="eastAsia"/>
          <w:color w:val="000000"/>
          <w:sz w:val="32"/>
          <w:szCs w:val="32"/>
        </w:rPr>
        <w:t>万元，完成预算100</w:t>
      </w:r>
      <w:r>
        <w:rPr>
          <w:rFonts w:ascii="仿宋_GB2312" w:eastAsia="仿宋_GB2312"/>
          <w:color w:val="000000"/>
          <w:sz w:val="32"/>
          <w:szCs w:val="32"/>
        </w:rPr>
        <w:t>%</w:t>
      </w:r>
      <w:r>
        <w:rPr>
          <w:rFonts w:ascii="仿宋_GB2312" w:eastAsia="仿宋_GB2312" w:hint="eastAsia"/>
          <w:color w:val="000000"/>
          <w:sz w:val="32"/>
          <w:szCs w:val="32"/>
        </w:rPr>
        <w:t>。</w:t>
      </w:r>
    </w:p>
    <w:p w:rsidR="004746B8" w:rsidRDefault="00262D5C">
      <w:pPr>
        <w:spacing w:line="600" w:lineRule="exact"/>
        <w:ind w:firstLine="640"/>
        <w:rPr>
          <w:rFonts w:ascii="仿宋_GB2312" w:eastAsia="仿宋_GB2312"/>
          <w:b/>
          <w:i/>
          <w:color w:val="404040"/>
          <w:sz w:val="32"/>
          <w:szCs w:val="32"/>
        </w:rPr>
      </w:pPr>
      <w:r>
        <w:rPr>
          <w:rFonts w:ascii="仿宋_GB2312" w:eastAsia="仿宋_GB2312" w:hint="eastAsia"/>
          <w:b/>
          <w:i/>
          <w:color w:val="404040"/>
          <w:sz w:val="32"/>
          <w:szCs w:val="32"/>
        </w:rPr>
        <w:t>（数据来源财决</w:t>
      </w:r>
      <w:r>
        <w:rPr>
          <w:rFonts w:ascii="仿宋_GB2312" w:eastAsia="仿宋_GB2312"/>
          <w:b/>
          <w:i/>
          <w:color w:val="404040"/>
          <w:sz w:val="32"/>
          <w:szCs w:val="32"/>
        </w:rPr>
        <w:t>08</w:t>
      </w:r>
      <w:r>
        <w:rPr>
          <w:rFonts w:ascii="仿宋_GB2312" w:eastAsia="仿宋_GB2312" w:hint="eastAsia"/>
          <w:b/>
          <w:i/>
          <w:color w:val="404040"/>
          <w:sz w:val="32"/>
          <w:szCs w:val="32"/>
        </w:rPr>
        <w:t>表，罗列全部功能分类科目，至项级。上述“预算”口径为调整预算数。增减变动原因为决算</w:t>
      </w:r>
      <w:r>
        <w:rPr>
          <w:rFonts w:ascii="仿宋_GB2312" w:eastAsia="仿宋_GB2312" w:hint="eastAsia"/>
          <w:b/>
          <w:i/>
          <w:color w:val="404040"/>
          <w:sz w:val="32"/>
          <w:szCs w:val="32"/>
        </w:rPr>
        <w:lastRenderedPageBreak/>
        <w:t>数</w:t>
      </w:r>
      <w:r>
        <w:rPr>
          <w:rFonts w:ascii="仿宋_GB2312" w:eastAsia="仿宋_GB2312"/>
          <w:b/>
          <w:i/>
          <w:color w:val="404040"/>
          <w:sz w:val="32"/>
          <w:szCs w:val="32"/>
        </w:rPr>
        <w:t>&lt;</w:t>
      </w:r>
      <w:r>
        <w:rPr>
          <w:rFonts w:ascii="仿宋_GB2312" w:eastAsia="仿宋_GB2312" w:hint="eastAsia"/>
          <w:b/>
          <w:i/>
          <w:color w:val="404040"/>
          <w:sz w:val="32"/>
          <w:szCs w:val="32"/>
        </w:rPr>
        <w:t>项级</w:t>
      </w:r>
      <w:r>
        <w:rPr>
          <w:rFonts w:ascii="仿宋_GB2312" w:eastAsia="仿宋_GB2312"/>
          <w:b/>
          <w:i/>
          <w:color w:val="404040"/>
          <w:sz w:val="32"/>
          <w:szCs w:val="32"/>
        </w:rPr>
        <w:t>&gt;</w:t>
      </w:r>
      <w:r>
        <w:rPr>
          <w:rFonts w:ascii="仿宋_GB2312" w:eastAsia="仿宋_GB2312" w:hint="eastAsia"/>
          <w:b/>
          <w:i/>
          <w:color w:val="404040"/>
          <w:sz w:val="32"/>
          <w:szCs w:val="32"/>
        </w:rPr>
        <w:t>和调整预算数</w:t>
      </w:r>
      <w:r>
        <w:rPr>
          <w:rFonts w:ascii="仿宋_GB2312" w:eastAsia="仿宋_GB2312"/>
          <w:b/>
          <w:i/>
          <w:color w:val="404040"/>
          <w:sz w:val="32"/>
          <w:szCs w:val="32"/>
        </w:rPr>
        <w:t>&lt;</w:t>
      </w:r>
      <w:r>
        <w:rPr>
          <w:rFonts w:ascii="仿宋_GB2312" w:eastAsia="仿宋_GB2312" w:hint="eastAsia"/>
          <w:b/>
          <w:i/>
          <w:color w:val="404040"/>
          <w:sz w:val="32"/>
          <w:szCs w:val="32"/>
        </w:rPr>
        <w:t>项级</w:t>
      </w:r>
      <w:r>
        <w:rPr>
          <w:rFonts w:ascii="仿宋_GB2312" w:eastAsia="仿宋_GB2312"/>
          <w:b/>
          <w:i/>
          <w:color w:val="404040"/>
          <w:sz w:val="32"/>
          <w:szCs w:val="32"/>
        </w:rPr>
        <w:t>&gt;</w:t>
      </w:r>
      <w:r>
        <w:rPr>
          <w:rFonts w:ascii="仿宋_GB2312" w:eastAsia="仿宋_GB2312" w:hint="eastAsia"/>
          <w:b/>
          <w:i/>
          <w:color w:val="404040"/>
          <w:sz w:val="32"/>
          <w:szCs w:val="32"/>
        </w:rPr>
        <w:t>比较，与预算数持平可以不写原因。）</w:t>
      </w:r>
    </w:p>
    <w:p w:rsidR="004746B8" w:rsidRDefault="00262D5C">
      <w:pPr>
        <w:spacing w:line="600" w:lineRule="exact"/>
        <w:ind w:firstLine="640"/>
        <w:rPr>
          <w:rFonts w:ascii="黑体" w:eastAsia="黑体"/>
          <w:color w:val="000000"/>
          <w:sz w:val="32"/>
          <w:szCs w:val="32"/>
        </w:rPr>
      </w:pPr>
      <w:r>
        <w:rPr>
          <w:rFonts w:ascii="黑体" w:eastAsia="黑体" w:hint="eastAsia"/>
          <w:color w:val="000000"/>
          <w:sz w:val="32"/>
          <w:szCs w:val="32"/>
        </w:rPr>
        <w:t>六、一般公共预算财政拨款基本支出决算情况</w:t>
      </w:r>
    </w:p>
    <w:p w:rsidR="004746B8" w:rsidRDefault="00262D5C">
      <w:pPr>
        <w:spacing w:line="600" w:lineRule="exact"/>
        <w:ind w:firstLine="645"/>
        <w:rPr>
          <w:rFonts w:ascii="仿宋_GB2312" w:eastAsia="仿宋_GB2312"/>
          <w:color w:val="000000"/>
          <w:sz w:val="32"/>
          <w:szCs w:val="32"/>
        </w:rPr>
      </w:pPr>
      <w:r>
        <w:rPr>
          <w:rFonts w:ascii="仿宋_GB2312" w:eastAsia="仿宋_GB2312" w:hint="eastAsia"/>
          <w:color w:val="000000"/>
          <w:sz w:val="32"/>
          <w:szCs w:val="32"/>
        </w:rPr>
        <w:t>宣汉县</w:t>
      </w:r>
      <w:r w:rsidR="00447EDC">
        <w:rPr>
          <w:rFonts w:ascii="仿宋_GB2312" w:eastAsia="仿宋_GB2312" w:hint="eastAsia"/>
          <w:color w:val="000000"/>
          <w:sz w:val="32"/>
          <w:szCs w:val="32"/>
        </w:rPr>
        <w:t>厂溪镇初级中学</w:t>
      </w:r>
      <w:r>
        <w:rPr>
          <w:rFonts w:ascii="仿宋_GB2312" w:eastAsia="仿宋_GB2312"/>
          <w:color w:val="000000"/>
          <w:sz w:val="32"/>
          <w:szCs w:val="32"/>
        </w:rPr>
        <w:t>201</w:t>
      </w:r>
      <w:r>
        <w:rPr>
          <w:rFonts w:ascii="仿宋_GB2312" w:eastAsia="仿宋_GB2312" w:hint="eastAsia"/>
          <w:color w:val="000000"/>
          <w:sz w:val="32"/>
          <w:szCs w:val="32"/>
        </w:rPr>
        <w:t>7年一般公共预算财政拨款基本支出952.24万元，其中：</w:t>
      </w:r>
    </w:p>
    <w:p w:rsidR="004746B8" w:rsidRDefault="00262D5C">
      <w:pPr>
        <w:spacing w:line="600" w:lineRule="exact"/>
        <w:ind w:firstLine="645"/>
        <w:rPr>
          <w:rFonts w:ascii="仿宋_GB2312" w:eastAsia="仿宋_GB2312"/>
          <w:color w:val="000000"/>
          <w:sz w:val="32"/>
          <w:szCs w:val="32"/>
        </w:rPr>
      </w:pPr>
      <w:r>
        <w:rPr>
          <w:rFonts w:ascii="仿宋_GB2312" w:eastAsia="仿宋_GB2312" w:hint="eastAsia"/>
          <w:color w:val="000000"/>
          <w:sz w:val="32"/>
          <w:szCs w:val="32"/>
        </w:rPr>
        <w:t>人员经费</w:t>
      </w:r>
      <w:r w:rsidR="00901564">
        <w:rPr>
          <w:rFonts w:ascii="仿宋_GB2312" w:eastAsia="仿宋_GB2312" w:hint="eastAsia"/>
          <w:color w:val="000000"/>
          <w:sz w:val="32"/>
          <w:szCs w:val="32"/>
        </w:rPr>
        <w:t>646.39</w:t>
      </w:r>
      <w:r>
        <w:rPr>
          <w:rFonts w:ascii="仿宋_GB2312" w:eastAsia="仿宋_GB2312" w:hint="eastAsia"/>
          <w:color w:val="000000"/>
          <w:sz w:val="32"/>
          <w:szCs w:val="32"/>
        </w:rPr>
        <w:t>万元，主要包括：基本工资</w:t>
      </w:r>
      <w:r w:rsidR="00901564">
        <w:rPr>
          <w:rFonts w:ascii="仿宋_GB2312" w:eastAsia="仿宋_GB2312" w:hint="eastAsia"/>
          <w:color w:val="000000"/>
          <w:sz w:val="32"/>
          <w:szCs w:val="32"/>
        </w:rPr>
        <w:t>154</w:t>
      </w:r>
      <w:r>
        <w:rPr>
          <w:rFonts w:ascii="仿宋_GB2312" w:eastAsia="仿宋_GB2312" w:hint="eastAsia"/>
          <w:color w:val="000000"/>
          <w:sz w:val="32"/>
          <w:szCs w:val="32"/>
        </w:rPr>
        <w:t>万元、津贴补贴</w:t>
      </w:r>
      <w:r w:rsidR="00901564">
        <w:rPr>
          <w:rFonts w:ascii="仿宋_GB2312" w:eastAsia="仿宋_GB2312" w:hint="eastAsia"/>
          <w:color w:val="000000"/>
          <w:sz w:val="32"/>
          <w:szCs w:val="32"/>
        </w:rPr>
        <w:t>75</w:t>
      </w:r>
      <w:r>
        <w:rPr>
          <w:rFonts w:ascii="仿宋_GB2312" w:eastAsia="仿宋_GB2312" w:hint="eastAsia"/>
          <w:color w:val="000000"/>
          <w:sz w:val="32"/>
          <w:szCs w:val="32"/>
        </w:rPr>
        <w:t>万元、绩效工资</w:t>
      </w:r>
      <w:r w:rsidR="00901564">
        <w:rPr>
          <w:rFonts w:ascii="仿宋_GB2312" w:eastAsia="仿宋_GB2312" w:hint="eastAsia"/>
          <w:color w:val="000000"/>
          <w:sz w:val="32"/>
          <w:szCs w:val="32"/>
        </w:rPr>
        <w:t>179.82</w:t>
      </w:r>
      <w:r>
        <w:rPr>
          <w:rFonts w:ascii="仿宋_GB2312" w:eastAsia="仿宋_GB2312" w:hint="eastAsia"/>
          <w:color w:val="000000"/>
          <w:sz w:val="32"/>
          <w:szCs w:val="32"/>
        </w:rPr>
        <w:t>万元、机关事业单位基本养老保险缴费</w:t>
      </w:r>
      <w:r w:rsidR="00901564">
        <w:rPr>
          <w:rFonts w:ascii="仿宋_GB2312" w:eastAsia="仿宋_GB2312" w:hint="eastAsia"/>
          <w:color w:val="000000"/>
          <w:sz w:val="32"/>
          <w:szCs w:val="32"/>
        </w:rPr>
        <w:t>73.26</w:t>
      </w:r>
      <w:r>
        <w:rPr>
          <w:rFonts w:ascii="仿宋_GB2312" w:eastAsia="仿宋_GB2312" w:hint="eastAsia"/>
          <w:color w:val="000000"/>
          <w:sz w:val="32"/>
          <w:szCs w:val="32"/>
        </w:rPr>
        <w:t>万元、其他工资福利支出</w:t>
      </w:r>
      <w:r w:rsidR="00901564">
        <w:rPr>
          <w:rFonts w:ascii="仿宋_GB2312" w:eastAsia="仿宋_GB2312" w:hint="eastAsia"/>
          <w:color w:val="000000"/>
          <w:sz w:val="32"/>
          <w:szCs w:val="32"/>
        </w:rPr>
        <w:t>0.54</w:t>
      </w:r>
      <w:r>
        <w:rPr>
          <w:rFonts w:ascii="仿宋_GB2312" w:eastAsia="仿宋_GB2312" w:hint="eastAsia"/>
          <w:color w:val="000000"/>
          <w:sz w:val="32"/>
          <w:szCs w:val="32"/>
        </w:rPr>
        <w:t>万元；退休费</w:t>
      </w:r>
      <w:r w:rsidR="00901564">
        <w:rPr>
          <w:rFonts w:ascii="仿宋_GB2312" w:eastAsia="仿宋_GB2312" w:hint="eastAsia"/>
          <w:color w:val="000000"/>
          <w:sz w:val="32"/>
          <w:szCs w:val="32"/>
        </w:rPr>
        <w:t>82.38</w:t>
      </w:r>
      <w:r>
        <w:rPr>
          <w:rFonts w:ascii="仿宋_GB2312" w:eastAsia="仿宋_GB2312" w:hint="eastAsia"/>
          <w:color w:val="000000"/>
          <w:sz w:val="32"/>
          <w:szCs w:val="32"/>
        </w:rPr>
        <w:t>万元、生活补助</w:t>
      </w:r>
      <w:r w:rsidR="00901564">
        <w:rPr>
          <w:rFonts w:ascii="仿宋_GB2312" w:eastAsia="仿宋_GB2312" w:hint="eastAsia"/>
          <w:color w:val="000000"/>
          <w:sz w:val="32"/>
          <w:szCs w:val="32"/>
        </w:rPr>
        <w:t>6.58</w:t>
      </w:r>
      <w:r>
        <w:rPr>
          <w:rFonts w:ascii="仿宋_GB2312" w:eastAsia="仿宋_GB2312" w:hint="eastAsia"/>
          <w:color w:val="000000"/>
          <w:sz w:val="32"/>
          <w:szCs w:val="32"/>
        </w:rPr>
        <w:t>万元、住房公积金</w:t>
      </w:r>
      <w:r w:rsidR="00901564">
        <w:rPr>
          <w:rFonts w:ascii="仿宋_GB2312" w:eastAsia="仿宋_GB2312" w:hint="eastAsia"/>
          <w:color w:val="000000"/>
          <w:sz w:val="32"/>
          <w:szCs w:val="32"/>
        </w:rPr>
        <w:t>43.95</w:t>
      </w:r>
      <w:r>
        <w:rPr>
          <w:rFonts w:ascii="仿宋_GB2312" w:eastAsia="仿宋_GB2312" w:hint="eastAsia"/>
          <w:color w:val="000000"/>
          <w:sz w:val="32"/>
          <w:szCs w:val="32"/>
        </w:rPr>
        <w:t>万元。</w:t>
      </w:r>
    </w:p>
    <w:p w:rsidR="004746B8" w:rsidRDefault="00262D5C">
      <w:pPr>
        <w:spacing w:line="600" w:lineRule="exact"/>
        <w:ind w:firstLine="645"/>
        <w:rPr>
          <w:rFonts w:ascii="仿宋_GB2312" w:eastAsia="仿宋_GB2312"/>
          <w:color w:val="000000"/>
          <w:sz w:val="32"/>
          <w:szCs w:val="32"/>
        </w:rPr>
      </w:pPr>
      <w:r>
        <w:rPr>
          <w:rFonts w:ascii="仿宋_GB2312" w:eastAsia="仿宋_GB2312" w:hint="eastAsia"/>
          <w:color w:val="000000"/>
          <w:sz w:val="32"/>
          <w:szCs w:val="32"/>
        </w:rPr>
        <w:t>公用经费</w:t>
      </w:r>
      <w:r w:rsidR="00901564">
        <w:rPr>
          <w:rFonts w:ascii="仿宋_GB2312" w:eastAsia="仿宋_GB2312" w:hint="eastAsia"/>
          <w:color w:val="000000"/>
          <w:sz w:val="32"/>
          <w:szCs w:val="32"/>
        </w:rPr>
        <w:t>138.01</w:t>
      </w:r>
      <w:r>
        <w:rPr>
          <w:rFonts w:ascii="仿宋_GB2312" w:eastAsia="仿宋_GB2312" w:hint="eastAsia"/>
          <w:color w:val="000000"/>
          <w:sz w:val="32"/>
          <w:szCs w:val="32"/>
        </w:rPr>
        <w:t>万元，主要包括：办公费</w:t>
      </w:r>
      <w:r w:rsidR="00901564">
        <w:rPr>
          <w:rFonts w:ascii="仿宋_GB2312" w:eastAsia="仿宋_GB2312" w:hint="eastAsia"/>
          <w:color w:val="000000"/>
          <w:sz w:val="32"/>
          <w:szCs w:val="32"/>
        </w:rPr>
        <w:t>34.08</w:t>
      </w:r>
      <w:r>
        <w:rPr>
          <w:rFonts w:ascii="仿宋_GB2312" w:eastAsia="仿宋_GB2312" w:hint="eastAsia"/>
          <w:color w:val="000000"/>
          <w:sz w:val="32"/>
          <w:szCs w:val="32"/>
        </w:rPr>
        <w:t>万元、印刷费</w:t>
      </w:r>
      <w:r w:rsidR="00901564">
        <w:rPr>
          <w:rFonts w:ascii="仿宋_GB2312" w:eastAsia="仿宋_GB2312" w:hint="eastAsia"/>
          <w:color w:val="000000"/>
          <w:sz w:val="32"/>
          <w:szCs w:val="32"/>
        </w:rPr>
        <w:t>4.5</w:t>
      </w:r>
      <w:r>
        <w:rPr>
          <w:rFonts w:ascii="仿宋_GB2312" w:eastAsia="仿宋_GB2312" w:hint="eastAsia"/>
          <w:color w:val="000000"/>
          <w:sz w:val="32"/>
          <w:szCs w:val="32"/>
        </w:rPr>
        <w:t>万元、水费</w:t>
      </w:r>
      <w:r w:rsidR="00901564">
        <w:rPr>
          <w:rFonts w:ascii="仿宋_GB2312" w:eastAsia="仿宋_GB2312" w:hint="eastAsia"/>
          <w:color w:val="000000"/>
          <w:sz w:val="32"/>
          <w:szCs w:val="32"/>
        </w:rPr>
        <w:t>3.5</w:t>
      </w:r>
      <w:r>
        <w:rPr>
          <w:rFonts w:ascii="仿宋_GB2312" w:eastAsia="仿宋_GB2312" w:hint="eastAsia"/>
          <w:color w:val="000000"/>
          <w:sz w:val="32"/>
          <w:szCs w:val="32"/>
        </w:rPr>
        <w:t>万元、电费</w:t>
      </w:r>
      <w:r w:rsidR="00901564">
        <w:rPr>
          <w:rFonts w:ascii="仿宋_GB2312" w:eastAsia="仿宋_GB2312" w:hint="eastAsia"/>
          <w:color w:val="000000"/>
          <w:sz w:val="32"/>
          <w:szCs w:val="32"/>
        </w:rPr>
        <w:t>4.5</w:t>
      </w:r>
      <w:r>
        <w:rPr>
          <w:rFonts w:ascii="仿宋_GB2312" w:eastAsia="仿宋_GB2312" w:hint="eastAsia"/>
          <w:color w:val="000000"/>
          <w:sz w:val="32"/>
          <w:szCs w:val="32"/>
        </w:rPr>
        <w:t>万元、邮电费2</w:t>
      </w:r>
      <w:r w:rsidR="00901564">
        <w:rPr>
          <w:rFonts w:ascii="仿宋_GB2312" w:eastAsia="仿宋_GB2312" w:hint="eastAsia"/>
          <w:color w:val="000000"/>
          <w:sz w:val="32"/>
          <w:szCs w:val="32"/>
        </w:rPr>
        <w:t>.2</w:t>
      </w:r>
      <w:r>
        <w:rPr>
          <w:rFonts w:ascii="仿宋_GB2312" w:eastAsia="仿宋_GB2312" w:hint="eastAsia"/>
          <w:color w:val="000000"/>
          <w:sz w:val="32"/>
          <w:szCs w:val="32"/>
        </w:rPr>
        <w:t>万元、物业管理费0万元、差旅费</w:t>
      </w:r>
      <w:r w:rsidR="00901564">
        <w:rPr>
          <w:rFonts w:ascii="仿宋_GB2312" w:eastAsia="仿宋_GB2312" w:hint="eastAsia"/>
          <w:color w:val="000000"/>
          <w:sz w:val="32"/>
          <w:szCs w:val="32"/>
        </w:rPr>
        <w:t>16</w:t>
      </w:r>
      <w:r>
        <w:rPr>
          <w:rFonts w:ascii="仿宋_GB2312" w:eastAsia="仿宋_GB2312" w:hint="eastAsia"/>
          <w:color w:val="000000"/>
          <w:sz w:val="32"/>
          <w:szCs w:val="32"/>
        </w:rPr>
        <w:t>万元、维修（护）费</w:t>
      </w:r>
      <w:r w:rsidR="00901564">
        <w:rPr>
          <w:rFonts w:ascii="仿宋_GB2312" w:eastAsia="仿宋_GB2312" w:hint="eastAsia"/>
          <w:color w:val="000000"/>
          <w:sz w:val="32"/>
          <w:szCs w:val="32"/>
        </w:rPr>
        <w:t>61.24</w:t>
      </w:r>
      <w:r>
        <w:rPr>
          <w:rFonts w:ascii="仿宋_GB2312" w:eastAsia="仿宋_GB2312" w:hint="eastAsia"/>
          <w:color w:val="000000"/>
          <w:sz w:val="32"/>
          <w:szCs w:val="32"/>
        </w:rPr>
        <w:t>万元、会议费</w:t>
      </w:r>
      <w:r w:rsidR="00901564">
        <w:rPr>
          <w:rFonts w:ascii="仿宋_GB2312" w:eastAsia="仿宋_GB2312" w:hint="eastAsia"/>
          <w:color w:val="000000"/>
          <w:sz w:val="32"/>
          <w:szCs w:val="32"/>
        </w:rPr>
        <w:t>1.05</w:t>
      </w:r>
      <w:r>
        <w:rPr>
          <w:rFonts w:ascii="仿宋_GB2312" w:eastAsia="仿宋_GB2312" w:hint="eastAsia"/>
          <w:color w:val="000000"/>
          <w:sz w:val="32"/>
          <w:szCs w:val="32"/>
        </w:rPr>
        <w:t>万元、培训费</w:t>
      </w:r>
      <w:r w:rsidR="00901564">
        <w:rPr>
          <w:rFonts w:ascii="仿宋_GB2312" w:eastAsia="仿宋_GB2312" w:hint="eastAsia"/>
          <w:color w:val="000000"/>
          <w:sz w:val="32"/>
          <w:szCs w:val="32"/>
        </w:rPr>
        <w:t>5.3</w:t>
      </w:r>
      <w:r>
        <w:rPr>
          <w:rFonts w:ascii="仿宋_GB2312" w:eastAsia="仿宋_GB2312" w:hint="eastAsia"/>
          <w:color w:val="000000"/>
          <w:sz w:val="32"/>
          <w:szCs w:val="32"/>
        </w:rPr>
        <w:t>万元、公务接待费1万元、工会经费</w:t>
      </w:r>
      <w:r w:rsidR="00901564">
        <w:rPr>
          <w:rFonts w:ascii="仿宋_GB2312" w:eastAsia="仿宋_GB2312" w:hint="eastAsia"/>
          <w:color w:val="000000"/>
          <w:sz w:val="32"/>
          <w:szCs w:val="32"/>
        </w:rPr>
        <w:t>3.23</w:t>
      </w:r>
      <w:r>
        <w:rPr>
          <w:rFonts w:ascii="仿宋_GB2312" w:eastAsia="仿宋_GB2312" w:hint="eastAsia"/>
          <w:color w:val="000000"/>
          <w:sz w:val="32"/>
          <w:szCs w:val="32"/>
        </w:rPr>
        <w:t>万元。</w:t>
      </w:r>
    </w:p>
    <w:p w:rsidR="004746B8" w:rsidRDefault="00262D5C">
      <w:pPr>
        <w:spacing w:line="600" w:lineRule="exact"/>
        <w:ind w:firstLine="640"/>
        <w:rPr>
          <w:rFonts w:ascii="仿宋_GB2312" w:eastAsia="仿宋_GB2312"/>
          <w:b/>
          <w:i/>
          <w:color w:val="404040"/>
          <w:sz w:val="32"/>
          <w:szCs w:val="32"/>
        </w:rPr>
      </w:pPr>
      <w:r>
        <w:rPr>
          <w:rFonts w:ascii="仿宋_GB2312" w:eastAsia="仿宋_GB2312" w:hint="eastAsia"/>
          <w:b/>
          <w:i/>
          <w:color w:val="404040"/>
          <w:sz w:val="32"/>
          <w:szCs w:val="32"/>
        </w:rPr>
        <w:t>（数据来源数据来源财决</w:t>
      </w:r>
      <w:r>
        <w:rPr>
          <w:rFonts w:ascii="仿宋_GB2312" w:eastAsia="仿宋_GB2312"/>
          <w:b/>
          <w:i/>
          <w:color w:val="404040"/>
          <w:sz w:val="32"/>
          <w:szCs w:val="32"/>
        </w:rPr>
        <w:t>08-1</w:t>
      </w:r>
      <w:r>
        <w:rPr>
          <w:rFonts w:ascii="仿宋_GB2312" w:eastAsia="仿宋_GB2312" w:hint="eastAsia"/>
          <w:b/>
          <w:i/>
          <w:color w:val="404040"/>
          <w:sz w:val="32"/>
          <w:szCs w:val="32"/>
        </w:rPr>
        <w:t>表，罗列全部经济分类科目）</w:t>
      </w:r>
    </w:p>
    <w:p w:rsidR="004746B8" w:rsidRDefault="00262D5C">
      <w:pPr>
        <w:spacing w:line="600" w:lineRule="exact"/>
        <w:ind w:firstLine="640"/>
        <w:rPr>
          <w:rFonts w:ascii="黑体" w:eastAsia="黑体"/>
          <w:color w:val="000000"/>
          <w:sz w:val="32"/>
          <w:szCs w:val="32"/>
        </w:rPr>
      </w:pPr>
      <w:r>
        <w:rPr>
          <w:rFonts w:ascii="黑体" w:eastAsia="黑体" w:hint="eastAsia"/>
          <w:color w:val="000000"/>
          <w:sz w:val="32"/>
          <w:szCs w:val="32"/>
        </w:rPr>
        <w:t>七、“三公”经费财政拨款支出决算情况</w:t>
      </w:r>
    </w:p>
    <w:p w:rsidR="004746B8" w:rsidRDefault="00262D5C">
      <w:pPr>
        <w:spacing w:line="600" w:lineRule="exact"/>
        <w:ind w:firstLine="640"/>
        <w:rPr>
          <w:rFonts w:ascii="仿宋_GB2312" w:eastAsia="仿宋_GB2312"/>
          <w:b/>
          <w:color w:val="000000"/>
          <w:sz w:val="32"/>
          <w:szCs w:val="32"/>
        </w:rPr>
      </w:pPr>
      <w:r>
        <w:rPr>
          <w:rFonts w:ascii="仿宋_GB2312" w:eastAsia="仿宋_GB2312" w:hint="eastAsia"/>
          <w:b/>
          <w:color w:val="000000"/>
          <w:sz w:val="32"/>
          <w:szCs w:val="32"/>
        </w:rPr>
        <w:t>（一）“三公”经费财政拨款支出决算总体情况说明</w:t>
      </w:r>
    </w:p>
    <w:p w:rsidR="004746B8" w:rsidRDefault="00262D5C">
      <w:pPr>
        <w:spacing w:line="600" w:lineRule="exact"/>
        <w:ind w:firstLine="640"/>
        <w:rPr>
          <w:rFonts w:ascii="仿宋_GB2312" w:eastAsia="仿宋_GB2312"/>
          <w:color w:val="333333"/>
          <w:sz w:val="32"/>
          <w:szCs w:val="32"/>
        </w:rPr>
      </w:pPr>
      <w:r>
        <w:rPr>
          <w:rFonts w:ascii="仿宋_GB2312" w:eastAsia="仿宋_GB2312" w:hint="eastAsia"/>
          <w:color w:val="333333"/>
          <w:sz w:val="32"/>
          <w:szCs w:val="32"/>
        </w:rPr>
        <w:t>宣汉县</w:t>
      </w:r>
      <w:r w:rsidR="00901564">
        <w:rPr>
          <w:rFonts w:ascii="仿宋_GB2312" w:eastAsia="仿宋_GB2312" w:hint="eastAsia"/>
          <w:color w:val="000000"/>
          <w:sz w:val="32"/>
          <w:szCs w:val="32"/>
        </w:rPr>
        <w:t>厂溪镇初级中学</w:t>
      </w:r>
      <w:r>
        <w:rPr>
          <w:rFonts w:ascii="仿宋_GB2312" w:eastAsia="仿宋_GB2312"/>
          <w:color w:val="333333"/>
          <w:sz w:val="32"/>
          <w:szCs w:val="32"/>
        </w:rPr>
        <w:t>201</w:t>
      </w:r>
      <w:r>
        <w:rPr>
          <w:rFonts w:ascii="仿宋_GB2312" w:eastAsia="仿宋_GB2312" w:hint="eastAsia"/>
          <w:color w:val="333333"/>
          <w:sz w:val="32"/>
          <w:szCs w:val="32"/>
        </w:rPr>
        <w:t>7年度“三公”经费财政拨款支出决算为1万元，完成预算100</w:t>
      </w:r>
      <w:r>
        <w:rPr>
          <w:rFonts w:ascii="仿宋_GB2312" w:eastAsia="仿宋_GB2312"/>
          <w:color w:val="333333"/>
          <w:sz w:val="32"/>
          <w:szCs w:val="32"/>
        </w:rPr>
        <w:t>%</w:t>
      </w:r>
      <w:r>
        <w:rPr>
          <w:rFonts w:ascii="仿宋_GB2312" w:eastAsia="仿宋_GB2312" w:hint="eastAsia"/>
          <w:color w:val="333333"/>
          <w:sz w:val="32"/>
          <w:szCs w:val="32"/>
        </w:rPr>
        <w:t>，其中：因公出国（境）费支出决算为0万元，完成预算0</w:t>
      </w:r>
      <w:r>
        <w:rPr>
          <w:rFonts w:ascii="仿宋_GB2312" w:eastAsia="仿宋_GB2312"/>
          <w:color w:val="333333"/>
          <w:sz w:val="32"/>
          <w:szCs w:val="32"/>
        </w:rPr>
        <w:t>%</w:t>
      </w:r>
      <w:r>
        <w:rPr>
          <w:rFonts w:ascii="仿宋_GB2312" w:eastAsia="仿宋_GB2312" w:hint="eastAsia"/>
          <w:color w:val="333333"/>
          <w:sz w:val="32"/>
          <w:szCs w:val="32"/>
        </w:rPr>
        <w:t>；公务用车购置及运行维护费支出决算为0万元，完成预算0</w:t>
      </w:r>
      <w:r>
        <w:rPr>
          <w:rFonts w:ascii="仿宋_GB2312" w:eastAsia="仿宋_GB2312"/>
          <w:color w:val="333333"/>
          <w:sz w:val="32"/>
          <w:szCs w:val="32"/>
        </w:rPr>
        <w:t>%</w:t>
      </w:r>
      <w:r>
        <w:rPr>
          <w:rFonts w:ascii="仿宋_GB2312" w:eastAsia="仿宋_GB2312" w:hint="eastAsia"/>
          <w:color w:val="333333"/>
          <w:sz w:val="32"/>
          <w:szCs w:val="32"/>
        </w:rPr>
        <w:t>；公务接待费支出决算</w:t>
      </w:r>
      <w:r>
        <w:rPr>
          <w:rFonts w:ascii="仿宋_GB2312" w:eastAsia="仿宋_GB2312" w:hint="eastAsia"/>
          <w:color w:val="333333"/>
          <w:sz w:val="32"/>
          <w:szCs w:val="32"/>
        </w:rPr>
        <w:lastRenderedPageBreak/>
        <w:t>为1万元，完成预算100</w:t>
      </w:r>
      <w:r>
        <w:rPr>
          <w:rFonts w:ascii="仿宋_GB2312" w:eastAsia="仿宋_GB2312"/>
          <w:color w:val="333333"/>
          <w:sz w:val="32"/>
          <w:szCs w:val="32"/>
        </w:rPr>
        <w:t>%</w:t>
      </w:r>
      <w:r>
        <w:rPr>
          <w:rFonts w:ascii="仿宋_GB2312" w:eastAsia="仿宋_GB2312" w:hint="eastAsia"/>
          <w:color w:val="333333"/>
          <w:sz w:val="32"/>
          <w:szCs w:val="32"/>
        </w:rPr>
        <w:t>。</w:t>
      </w:r>
    </w:p>
    <w:p w:rsidR="004746B8" w:rsidRDefault="00262D5C">
      <w:pPr>
        <w:spacing w:line="600" w:lineRule="exact"/>
        <w:ind w:firstLine="640"/>
        <w:rPr>
          <w:rFonts w:ascii="仿宋_GB2312" w:eastAsia="仿宋_GB2312"/>
          <w:b/>
          <w:i/>
          <w:color w:val="404040"/>
          <w:sz w:val="32"/>
          <w:szCs w:val="32"/>
        </w:rPr>
      </w:pPr>
      <w:r>
        <w:rPr>
          <w:rFonts w:ascii="仿宋_GB2312" w:eastAsia="仿宋_GB2312" w:hint="eastAsia"/>
          <w:b/>
          <w:i/>
          <w:color w:val="404040"/>
          <w:sz w:val="32"/>
          <w:szCs w:val="32"/>
        </w:rPr>
        <w:t>（上述“预算”口径为调整预算数。）</w:t>
      </w:r>
    </w:p>
    <w:p w:rsidR="004746B8" w:rsidRDefault="00262D5C">
      <w:pPr>
        <w:spacing w:line="600" w:lineRule="exact"/>
        <w:ind w:firstLine="640"/>
        <w:rPr>
          <w:rFonts w:ascii="仿宋_GB2312" w:eastAsia="仿宋_GB2312"/>
          <w:color w:val="333333"/>
          <w:sz w:val="32"/>
          <w:szCs w:val="32"/>
        </w:rPr>
      </w:pPr>
      <w:r>
        <w:rPr>
          <w:rFonts w:ascii="仿宋_GB2312" w:eastAsia="仿宋_GB2312"/>
          <w:color w:val="333333"/>
          <w:sz w:val="32"/>
          <w:szCs w:val="32"/>
        </w:rPr>
        <w:t>201</w:t>
      </w:r>
      <w:r>
        <w:rPr>
          <w:rFonts w:ascii="仿宋_GB2312" w:eastAsia="仿宋_GB2312" w:hint="eastAsia"/>
          <w:color w:val="333333"/>
          <w:sz w:val="32"/>
          <w:szCs w:val="32"/>
        </w:rPr>
        <w:t>7年度“三公”经费财政拨款支出决算数比</w:t>
      </w:r>
      <w:r>
        <w:rPr>
          <w:rFonts w:ascii="仿宋_GB2312" w:eastAsia="仿宋_GB2312"/>
          <w:color w:val="333333"/>
          <w:sz w:val="32"/>
          <w:szCs w:val="32"/>
        </w:rPr>
        <w:t>201</w:t>
      </w:r>
      <w:r>
        <w:rPr>
          <w:rFonts w:ascii="仿宋_GB2312" w:eastAsia="仿宋_GB2312" w:hint="eastAsia"/>
          <w:color w:val="333333"/>
          <w:sz w:val="32"/>
          <w:szCs w:val="32"/>
        </w:rPr>
        <w:t>6年</w:t>
      </w:r>
      <w:r>
        <w:rPr>
          <w:rFonts w:ascii="仿宋_GB2312" w:eastAsia="仿宋_GB2312" w:hint="eastAsia"/>
          <w:color w:val="000000"/>
          <w:sz w:val="32"/>
          <w:szCs w:val="32"/>
        </w:rPr>
        <w:t>减少0.1</w:t>
      </w:r>
      <w:r>
        <w:rPr>
          <w:rFonts w:ascii="仿宋_GB2312" w:eastAsia="仿宋_GB2312" w:hint="eastAsia"/>
          <w:color w:val="333333"/>
          <w:sz w:val="32"/>
          <w:szCs w:val="32"/>
        </w:rPr>
        <w:t>万元，</w:t>
      </w:r>
      <w:r>
        <w:rPr>
          <w:rFonts w:ascii="仿宋_GB2312" w:eastAsia="仿宋_GB2312" w:hint="eastAsia"/>
          <w:color w:val="000000"/>
          <w:sz w:val="32"/>
          <w:szCs w:val="32"/>
        </w:rPr>
        <w:t>下降</w:t>
      </w:r>
      <w:r w:rsidR="00901564">
        <w:rPr>
          <w:rFonts w:ascii="仿宋_GB2312" w:eastAsia="仿宋_GB2312" w:hint="eastAsia"/>
          <w:color w:val="000000"/>
          <w:sz w:val="32"/>
          <w:szCs w:val="32"/>
        </w:rPr>
        <w:t>9</w:t>
      </w:r>
      <w:r>
        <w:rPr>
          <w:rFonts w:ascii="仿宋_GB2312" w:eastAsia="仿宋_GB2312"/>
          <w:color w:val="000000"/>
          <w:sz w:val="32"/>
          <w:szCs w:val="32"/>
        </w:rPr>
        <w:t>%</w:t>
      </w:r>
      <w:r>
        <w:rPr>
          <w:rFonts w:ascii="仿宋_GB2312" w:eastAsia="仿宋_GB2312" w:hint="eastAsia"/>
          <w:color w:val="000000"/>
          <w:sz w:val="32"/>
          <w:szCs w:val="32"/>
        </w:rPr>
        <w:t>，其中：</w:t>
      </w:r>
      <w:r>
        <w:rPr>
          <w:rFonts w:ascii="仿宋_GB2312" w:eastAsia="仿宋_GB2312" w:hint="eastAsia"/>
          <w:color w:val="333333"/>
          <w:sz w:val="32"/>
          <w:szCs w:val="32"/>
        </w:rPr>
        <w:t>因公出国（境）费支出决算</w:t>
      </w:r>
      <w:r>
        <w:rPr>
          <w:rFonts w:ascii="仿宋_GB2312" w:eastAsia="仿宋_GB2312" w:hint="eastAsia"/>
          <w:color w:val="000000"/>
          <w:sz w:val="32"/>
          <w:szCs w:val="32"/>
        </w:rPr>
        <w:t>增加</w:t>
      </w:r>
      <w:r>
        <w:rPr>
          <w:rFonts w:ascii="仿宋_GB2312" w:eastAsia="仿宋_GB2312"/>
          <w:color w:val="000000"/>
          <w:sz w:val="32"/>
          <w:szCs w:val="32"/>
        </w:rPr>
        <w:t>/</w:t>
      </w:r>
      <w:r>
        <w:rPr>
          <w:rFonts w:ascii="仿宋_GB2312" w:eastAsia="仿宋_GB2312" w:hint="eastAsia"/>
          <w:color w:val="000000"/>
          <w:sz w:val="32"/>
          <w:szCs w:val="32"/>
        </w:rPr>
        <w:t>减少0</w:t>
      </w:r>
      <w:r>
        <w:rPr>
          <w:rFonts w:ascii="仿宋_GB2312" w:eastAsia="仿宋_GB2312" w:hint="eastAsia"/>
          <w:color w:val="333333"/>
          <w:sz w:val="32"/>
          <w:szCs w:val="32"/>
        </w:rPr>
        <w:t>万元，</w:t>
      </w:r>
      <w:r>
        <w:rPr>
          <w:rFonts w:ascii="仿宋_GB2312" w:eastAsia="仿宋_GB2312" w:hint="eastAsia"/>
          <w:color w:val="000000"/>
          <w:sz w:val="32"/>
          <w:szCs w:val="32"/>
        </w:rPr>
        <w:t>增长</w:t>
      </w:r>
      <w:r>
        <w:rPr>
          <w:rFonts w:ascii="仿宋_GB2312" w:eastAsia="仿宋_GB2312"/>
          <w:color w:val="000000"/>
          <w:sz w:val="32"/>
          <w:szCs w:val="32"/>
        </w:rPr>
        <w:t>/</w:t>
      </w:r>
      <w:r>
        <w:rPr>
          <w:rFonts w:ascii="仿宋_GB2312" w:eastAsia="仿宋_GB2312" w:hint="eastAsia"/>
          <w:color w:val="000000"/>
          <w:sz w:val="32"/>
          <w:szCs w:val="32"/>
        </w:rPr>
        <w:t>下降0</w:t>
      </w:r>
      <w:r>
        <w:rPr>
          <w:rFonts w:ascii="仿宋_GB2312" w:eastAsia="仿宋_GB2312"/>
          <w:color w:val="000000"/>
          <w:sz w:val="32"/>
          <w:szCs w:val="32"/>
        </w:rPr>
        <w:t>%</w:t>
      </w:r>
      <w:r>
        <w:rPr>
          <w:rFonts w:ascii="仿宋_GB2312" w:eastAsia="仿宋_GB2312" w:hint="eastAsia"/>
          <w:color w:val="333333"/>
          <w:sz w:val="32"/>
          <w:szCs w:val="32"/>
        </w:rPr>
        <w:t>；公务用车购置及运行维护费支出决算</w:t>
      </w:r>
      <w:r>
        <w:rPr>
          <w:rFonts w:ascii="仿宋_GB2312" w:eastAsia="仿宋_GB2312" w:hint="eastAsia"/>
          <w:color w:val="000000"/>
          <w:sz w:val="32"/>
          <w:szCs w:val="32"/>
        </w:rPr>
        <w:t>增加</w:t>
      </w:r>
      <w:r>
        <w:rPr>
          <w:rFonts w:ascii="仿宋_GB2312" w:eastAsia="仿宋_GB2312"/>
          <w:color w:val="000000"/>
          <w:sz w:val="32"/>
          <w:szCs w:val="32"/>
        </w:rPr>
        <w:t>/</w:t>
      </w:r>
      <w:r>
        <w:rPr>
          <w:rFonts w:ascii="仿宋_GB2312" w:eastAsia="仿宋_GB2312" w:hint="eastAsia"/>
          <w:color w:val="000000"/>
          <w:sz w:val="32"/>
          <w:szCs w:val="32"/>
        </w:rPr>
        <w:t>减少0</w:t>
      </w:r>
      <w:r>
        <w:rPr>
          <w:rFonts w:ascii="仿宋_GB2312" w:eastAsia="仿宋_GB2312" w:hint="eastAsia"/>
          <w:color w:val="333333"/>
          <w:sz w:val="32"/>
          <w:szCs w:val="32"/>
        </w:rPr>
        <w:t>万元，</w:t>
      </w:r>
      <w:r>
        <w:rPr>
          <w:rFonts w:ascii="仿宋_GB2312" w:eastAsia="仿宋_GB2312" w:hint="eastAsia"/>
          <w:color w:val="000000"/>
          <w:sz w:val="32"/>
          <w:szCs w:val="32"/>
        </w:rPr>
        <w:t>增长</w:t>
      </w:r>
      <w:r>
        <w:rPr>
          <w:rFonts w:ascii="仿宋_GB2312" w:eastAsia="仿宋_GB2312"/>
          <w:color w:val="000000"/>
          <w:sz w:val="32"/>
          <w:szCs w:val="32"/>
        </w:rPr>
        <w:t>/</w:t>
      </w:r>
      <w:r>
        <w:rPr>
          <w:rFonts w:ascii="仿宋_GB2312" w:eastAsia="仿宋_GB2312" w:hint="eastAsia"/>
          <w:color w:val="000000"/>
          <w:sz w:val="32"/>
          <w:szCs w:val="32"/>
        </w:rPr>
        <w:t>下降0</w:t>
      </w:r>
      <w:r>
        <w:rPr>
          <w:rFonts w:ascii="仿宋_GB2312" w:eastAsia="仿宋_GB2312"/>
          <w:color w:val="000000"/>
          <w:sz w:val="32"/>
          <w:szCs w:val="32"/>
        </w:rPr>
        <w:t>%</w:t>
      </w:r>
      <w:r>
        <w:rPr>
          <w:rFonts w:ascii="仿宋_GB2312" w:eastAsia="仿宋_GB2312" w:hint="eastAsia"/>
          <w:color w:val="333333"/>
          <w:sz w:val="32"/>
          <w:szCs w:val="32"/>
        </w:rPr>
        <w:t>；公务接待费支出决算</w:t>
      </w:r>
      <w:r>
        <w:rPr>
          <w:rFonts w:ascii="仿宋_GB2312" w:eastAsia="仿宋_GB2312" w:hint="eastAsia"/>
          <w:color w:val="000000"/>
          <w:sz w:val="32"/>
          <w:szCs w:val="32"/>
        </w:rPr>
        <w:t>减少0.1</w:t>
      </w:r>
      <w:r>
        <w:rPr>
          <w:rFonts w:ascii="仿宋_GB2312" w:eastAsia="仿宋_GB2312" w:hint="eastAsia"/>
          <w:color w:val="333333"/>
          <w:sz w:val="32"/>
          <w:szCs w:val="32"/>
        </w:rPr>
        <w:t>万元，</w:t>
      </w:r>
      <w:r>
        <w:rPr>
          <w:rFonts w:ascii="仿宋_GB2312" w:eastAsia="仿宋_GB2312" w:hint="eastAsia"/>
          <w:color w:val="000000"/>
          <w:sz w:val="32"/>
          <w:szCs w:val="32"/>
        </w:rPr>
        <w:t>下降</w:t>
      </w:r>
      <w:r w:rsidR="00901564">
        <w:rPr>
          <w:rFonts w:ascii="仿宋_GB2312" w:eastAsia="仿宋_GB2312" w:hint="eastAsia"/>
          <w:color w:val="000000"/>
          <w:sz w:val="32"/>
          <w:szCs w:val="32"/>
        </w:rPr>
        <w:t>9</w:t>
      </w:r>
      <w:r>
        <w:rPr>
          <w:rFonts w:ascii="仿宋_GB2312" w:eastAsia="仿宋_GB2312"/>
          <w:color w:val="000000"/>
          <w:sz w:val="32"/>
          <w:szCs w:val="32"/>
        </w:rPr>
        <w:t>%</w:t>
      </w:r>
      <w:r>
        <w:rPr>
          <w:rFonts w:ascii="仿宋_GB2312" w:eastAsia="仿宋_GB2312" w:hint="eastAsia"/>
          <w:color w:val="333333"/>
          <w:sz w:val="32"/>
          <w:szCs w:val="32"/>
        </w:rPr>
        <w:t>。增减变动的主要原因:严格控制了接待次数和接待标准。</w:t>
      </w:r>
    </w:p>
    <w:p w:rsidR="004746B8" w:rsidRDefault="00262D5C">
      <w:pPr>
        <w:spacing w:line="600" w:lineRule="exact"/>
        <w:ind w:firstLine="640"/>
        <w:rPr>
          <w:rFonts w:ascii="仿宋_GB2312" w:eastAsia="仿宋_GB2312"/>
          <w:b/>
          <w:color w:val="333333"/>
          <w:sz w:val="32"/>
          <w:szCs w:val="32"/>
        </w:rPr>
      </w:pPr>
      <w:r>
        <w:rPr>
          <w:rFonts w:ascii="仿宋_GB2312" w:eastAsia="仿宋_GB2312" w:hint="eastAsia"/>
          <w:b/>
          <w:color w:val="333333"/>
          <w:sz w:val="32"/>
          <w:szCs w:val="32"/>
        </w:rPr>
        <w:t>（二）“三公”经费财政拨款支出决算具体情况说明</w:t>
      </w:r>
    </w:p>
    <w:p w:rsidR="004746B8" w:rsidRDefault="00262D5C">
      <w:pPr>
        <w:spacing w:line="600" w:lineRule="exact"/>
        <w:ind w:firstLine="640"/>
        <w:rPr>
          <w:rFonts w:ascii="仿宋_GB2312" w:eastAsia="仿宋_GB2312"/>
          <w:color w:val="333333"/>
          <w:sz w:val="32"/>
          <w:szCs w:val="32"/>
        </w:rPr>
      </w:pPr>
      <w:r>
        <w:rPr>
          <w:rFonts w:ascii="仿宋_GB2312" w:eastAsia="仿宋_GB2312"/>
          <w:color w:val="333333"/>
          <w:sz w:val="32"/>
          <w:szCs w:val="32"/>
        </w:rPr>
        <w:t>201</w:t>
      </w:r>
      <w:r>
        <w:rPr>
          <w:rFonts w:ascii="仿宋_GB2312" w:eastAsia="仿宋_GB2312" w:hint="eastAsia"/>
          <w:color w:val="333333"/>
          <w:sz w:val="32"/>
          <w:szCs w:val="32"/>
        </w:rPr>
        <w:t>7年度“三公”经费财政拨款支出决算中，因公出国（境）费支出决算0万元，</w:t>
      </w:r>
      <w:r>
        <w:rPr>
          <w:rFonts w:ascii="仿宋_GB2312" w:eastAsia="仿宋_GB2312" w:hint="eastAsia"/>
          <w:color w:val="000000"/>
          <w:sz w:val="32"/>
          <w:szCs w:val="32"/>
        </w:rPr>
        <w:t>占0</w:t>
      </w:r>
      <w:r>
        <w:rPr>
          <w:rFonts w:ascii="仿宋_GB2312" w:eastAsia="仿宋_GB2312"/>
          <w:color w:val="000000"/>
          <w:sz w:val="32"/>
          <w:szCs w:val="32"/>
        </w:rPr>
        <w:t>%</w:t>
      </w:r>
      <w:r>
        <w:rPr>
          <w:rFonts w:ascii="仿宋_GB2312" w:eastAsia="仿宋_GB2312" w:hint="eastAsia"/>
          <w:color w:val="333333"/>
          <w:sz w:val="32"/>
          <w:szCs w:val="32"/>
        </w:rPr>
        <w:t>；公务用车购置及运行维护费支出决算0万元，</w:t>
      </w:r>
      <w:r>
        <w:rPr>
          <w:rFonts w:ascii="仿宋_GB2312" w:eastAsia="仿宋_GB2312" w:hint="eastAsia"/>
          <w:color w:val="000000"/>
          <w:sz w:val="32"/>
          <w:szCs w:val="32"/>
        </w:rPr>
        <w:t>占0</w:t>
      </w:r>
      <w:r>
        <w:rPr>
          <w:rFonts w:ascii="仿宋_GB2312" w:eastAsia="仿宋_GB2312"/>
          <w:color w:val="000000"/>
          <w:sz w:val="32"/>
          <w:szCs w:val="32"/>
        </w:rPr>
        <w:t>%</w:t>
      </w:r>
      <w:r>
        <w:rPr>
          <w:rFonts w:ascii="仿宋_GB2312" w:eastAsia="仿宋_GB2312" w:hint="eastAsia"/>
          <w:color w:val="333333"/>
          <w:sz w:val="32"/>
          <w:szCs w:val="32"/>
        </w:rPr>
        <w:t>；公务接待费支出决算1.万元，</w:t>
      </w:r>
      <w:r>
        <w:rPr>
          <w:rFonts w:ascii="仿宋_GB2312" w:eastAsia="仿宋_GB2312" w:hint="eastAsia"/>
          <w:color w:val="000000"/>
          <w:sz w:val="32"/>
          <w:szCs w:val="32"/>
        </w:rPr>
        <w:t>占100</w:t>
      </w:r>
      <w:r>
        <w:rPr>
          <w:rFonts w:ascii="仿宋_GB2312" w:eastAsia="仿宋_GB2312"/>
          <w:color w:val="000000"/>
          <w:sz w:val="32"/>
          <w:szCs w:val="32"/>
        </w:rPr>
        <w:t>%</w:t>
      </w:r>
      <w:r>
        <w:rPr>
          <w:rFonts w:ascii="仿宋_GB2312" w:eastAsia="仿宋_GB2312" w:hint="eastAsia"/>
          <w:color w:val="000000"/>
          <w:sz w:val="32"/>
          <w:szCs w:val="32"/>
        </w:rPr>
        <w:t>。具体情况如下：</w:t>
      </w:r>
    </w:p>
    <w:p w:rsidR="004746B8" w:rsidRDefault="00262D5C">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（饼状图）</w:t>
      </w:r>
    </w:p>
    <w:p w:rsidR="004746B8" w:rsidRDefault="006D706F">
      <w:pPr>
        <w:spacing w:line="600" w:lineRule="exact"/>
        <w:ind w:firstLine="640"/>
        <w:rPr>
          <w:rFonts w:ascii="仿宋_GB2312" w:eastAsia="仿宋_GB2312"/>
          <w:color w:val="000000"/>
          <w:sz w:val="32"/>
          <w:szCs w:val="32"/>
        </w:rPr>
      </w:pPr>
      <w:r>
        <w:rPr>
          <w:noProof/>
        </w:rPr>
        <w:drawing>
          <wp:anchor distT="0" distB="762" distL="114300" distR="114300" simplePos="0" relativeHeight="251657728" behindDoc="0" locked="0" layoutInCell="1" allowOverlap="1">
            <wp:simplePos x="0" y="0"/>
            <wp:positionH relativeFrom="column">
              <wp:posOffset>484505</wp:posOffset>
            </wp:positionH>
            <wp:positionV relativeFrom="paragraph">
              <wp:posOffset>150495</wp:posOffset>
            </wp:positionV>
            <wp:extent cx="4328160" cy="2767330"/>
            <wp:effectExtent l="1905" t="0" r="0" b="3175"/>
            <wp:wrapTopAndBottom/>
            <wp:docPr id="5" name="对象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4746B8" w:rsidRDefault="00262D5C">
      <w:pPr>
        <w:spacing w:line="600" w:lineRule="exact"/>
        <w:ind w:firstLine="640"/>
        <w:rPr>
          <w:rFonts w:ascii="仿宋_GB2312" w:eastAsia="仿宋_GB2312"/>
          <w:b/>
          <w:color w:val="000000"/>
          <w:sz w:val="32"/>
          <w:szCs w:val="32"/>
        </w:rPr>
      </w:pPr>
      <w:r>
        <w:rPr>
          <w:rFonts w:ascii="仿宋_GB2312" w:eastAsia="仿宋_GB2312"/>
          <w:b/>
          <w:color w:val="000000"/>
          <w:sz w:val="32"/>
          <w:szCs w:val="32"/>
        </w:rPr>
        <w:lastRenderedPageBreak/>
        <w:t>1.</w:t>
      </w:r>
      <w:r>
        <w:rPr>
          <w:rFonts w:ascii="仿宋_GB2312" w:eastAsia="仿宋_GB2312" w:hint="eastAsia"/>
          <w:b/>
          <w:color w:val="000000"/>
          <w:sz w:val="32"/>
          <w:szCs w:val="32"/>
        </w:rPr>
        <w:t>因公出国（境）经费</w:t>
      </w:r>
    </w:p>
    <w:p w:rsidR="004746B8" w:rsidRDefault="00262D5C">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7年因公出国（境）费0万元。全年安排因公出国（境）团组0次，出国（境）0人。</w:t>
      </w:r>
    </w:p>
    <w:p w:rsidR="004746B8" w:rsidRDefault="00262D5C">
      <w:pPr>
        <w:spacing w:line="600" w:lineRule="exact"/>
        <w:ind w:firstLineChars="200" w:firstLine="643"/>
        <w:rPr>
          <w:rFonts w:ascii="仿宋_GB2312" w:eastAsia="仿宋_GB2312"/>
          <w:b/>
          <w:color w:val="000000"/>
          <w:sz w:val="32"/>
          <w:szCs w:val="32"/>
        </w:rPr>
      </w:pPr>
      <w:r>
        <w:rPr>
          <w:rFonts w:ascii="仿宋_GB2312" w:eastAsia="仿宋_GB2312"/>
          <w:b/>
          <w:color w:val="000000"/>
          <w:sz w:val="32"/>
          <w:szCs w:val="32"/>
        </w:rPr>
        <w:t>2.</w:t>
      </w:r>
      <w:r>
        <w:rPr>
          <w:rFonts w:ascii="仿宋_GB2312" w:eastAsia="仿宋_GB2312" w:hint="eastAsia"/>
          <w:b/>
          <w:color w:val="000000"/>
          <w:sz w:val="32"/>
          <w:szCs w:val="32"/>
        </w:rPr>
        <w:t>公务用车购置及运行维护费</w:t>
      </w:r>
    </w:p>
    <w:p w:rsidR="004746B8" w:rsidRDefault="00262D5C">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7年公务用车购置及运行维护费0万元。</w:t>
      </w:r>
    </w:p>
    <w:p w:rsidR="004746B8" w:rsidRDefault="00262D5C">
      <w:pPr>
        <w:spacing w:line="600" w:lineRule="exact"/>
        <w:ind w:firstLineChars="200" w:firstLine="643"/>
        <w:rPr>
          <w:rFonts w:ascii="楷体_GB2312" w:eastAsia="楷体_GB2312"/>
          <w:b/>
          <w:color w:val="000000"/>
          <w:sz w:val="32"/>
          <w:szCs w:val="32"/>
        </w:rPr>
      </w:pPr>
      <w:r>
        <w:rPr>
          <w:rFonts w:ascii="仿宋_GB2312" w:eastAsia="仿宋_GB2312"/>
          <w:b/>
          <w:color w:val="000000"/>
          <w:sz w:val="32"/>
          <w:szCs w:val="32"/>
        </w:rPr>
        <w:t>3.</w:t>
      </w:r>
      <w:r>
        <w:rPr>
          <w:rFonts w:ascii="仿宋_GB2312" w:eastAsia="仿宋_GB2312" w:hint="eastAsia"/>
          <w:b/>
          <w:color w:val="000000"/>
          <w:sz w:val="32"/>
          <w:szCs w:val="32"/>
        </w:rPr>
        <w:t>公务接待费</w:t>
      </w:r>
    </w:p>
    <w:p w:rsidR="004746B8" w:rsidRDefault="00262D5C">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7年公务接待费1万元。主要用于执行公务、开展业务活动开支的交通费、住宿费、用餐费等。国内公务接待</w:t>
      </w:r>
      <w:r w:rsidR="00901564">
        <w:rPr>
          <w:rFonts w:ascii="仿宋_GB2312" w:eastAsia="仿宋_GB2312" w:hint="eastAsia"/>
          <w:color w:val="000000"/>
          <w:sz w:val="32"/>
          <w:szCs w:val="32"/>
        </w:rPr>
        <w:t>29</w:t>
      </w:r>
      <w:r>
        <w:rPr>
          <w:rFonts w:ascii="仿宋_GB2312" w:eastAsia="仿宋_GB2312" w:hint="eastAsia"/>
          <w:color w:val="000000"/>
          <w:sz w:val="32"/>
          <w:szCs w:val="32"/>
        </w:rPr>
        <w:t>批次，</w:t>
      </w:r>
      <w:r w:rsidR="00901564">
        <w:rPr>
          <w:rFonts w:ascii="仿宋_GB2312" w:eastAsia="仿宋_GB2312" w:hint="eastAsia"/>
          <w:color w:val="000000"/>
          <w:sz w:val="32"/>
          <w:szCs w:val="32"/>
        </w:rPr>
        <w:t>198</w:t>
      </w:r>
      <w:r>
        <w:rPr>
          <w:rFonts w:ascii="仿宋_GB2312" w:eastAsia="仿宋_GB2312" w:hint="eastAsia"/>
          <w:color w:val="000000"/>
          <w:sz w:val="32"/>
          <w:szCs w:val="32"/>
        </w:rPr>
        <w:t>人，共计支出1万元，具体内容包括：接待项目建设</w:t>
      </w:r>
      <w:r w:rsidR="00901564">
        <w:rPr>
          <w:rFonts w:ascii="仿宋_GB2312" w:eastAsia="仿宋_GB2312" w:hint="eastAsia"/>
          <w:color w:val="000000"/>
          <w:sz w:val="32"/>
          <w:szCs w:val="32"/>
        </w:rPr>
        <w:t>1</w:t>
      </w:r>
      <w:r>
        <w:rPr>
          <w:rFonts w:ascii="仿宋_GB2312" w:eastAsia="仿宋_GB2312" w:hint="eastAsia"/>
          <w:color w:val="000000"/>
          <w:sz w:val="32"/>
          <w:szCs w:val="32"/>
        </w:rPr>
        <w:t>340元；接待教学常规检查</w:t>
      </w:r>
      <w:r w:rsidR="00901564">
        <w:rPr>
          <w:rFonts w:ascii="仿宋_GB2312" w:eastAsia="仿宋_GB2312" w:hint="eastAsia"/>
          <w:color w:val="000000"/>
          <w:sz w:val="32"/>
          <w:szCs w:val="32"/>
        </w:rPr>
        <w:t>2</w:t>
      </w:r>
      <w:r>
        <w:rPr>
          <w:rFonts w:ascii="仿宋_GB2312" w:eastAsia="仿宋_GB2312" w:hint="eastAsia"/>
          <w:color w:val="000000"/>
          <w:sz w:val="32"/>
          <w:szCs w:val="32"/>
        </w:rPr>
        <w:t>468元；接待教改教研活动</w:t>
      </w:r>
      <w:r w:rsidR="00901564">
        <w:rPr>
          <w:rFonts w:ascii="仿宋_GB2312" w:eastAsia="仿宋_GB2312" w:hint="eastAsia"/>
          <w:color w:val="000000"/>
          <w:sz w:val="32"/>
          <w:szCs w:val="32"/>
        </w:rPr>
        <w:t>2</w:t>
      </w:r>
      <w:r>
        <w:rPr>
          <w:rFonts w:ascii="仿宋_GB2312" w:eastAsia="仿宋_GB2312" w:hint="eastAsia"/>
          <w:color w:val="000000"/>
          <w:sz w:val="32"/>
          <w:szCs w:val="32"/>
        </w:rPr>
        <w:t>120元；接待</w:t>
      </w:r>
      <w:r w:rsidR="00901564">
        <w:rPr>
          <w:rFonts w:ascii="仿宋_GB2312" w:eastAsia="仿宋_GB2312" w:hint="eastAsia"/>
          <w:color w:val="000000"/>
          <w:sz w:val="32"/>
          <w:szCs w:val="32"/>
        </w:rPr>
        <w:t>体育、实验考试</w:t>
      </w:r>
      <w:r>
        <w:rPr>
          <w:rFonts w:ascii="仿宋_GB2312" w:eastAsia="仿宋_GB2312" w:hint="eastAsia"/>
          <w:color w:val="000000"/>
          <w:sz w:val="32"/>
          <w:szCs w:val="32"/>
        </w:rPr>
        <w:t>等4</w:t>
      </w:r>
      <w:r w:rsidR="00901564">
        <w:rPr>
          <w:rFonts w:ascii="仿宋_GB2312" w:eastAsia="仿宋_GB2312" w:hint="eastAsia"/>
          <w:color w:val="000000"/>
          <w:sz w:val="32"/>
          <w:szCs w:val="32"/>
        </w:rPr>
        <w:t>0</w:t>
      </w:r>
      <w:r>
        <w:rPr>
          <w:rFonts w:ascii="仿宋_GB2312" w:eastAsia="仿宋_GB2312" w:hint="eastAsia"/>
          <w:color w:val="000000"/>
          <w:sz w:val="32"/>
          <w:szCs w:val="32"/>
        </w:rPr>
        <w:t>72元。</w:t>
      </w:r>
    </w:p>
    <w:p w:rsidR="004746B8" w:rsidRDefault="00262D5C">
      <w:pPr>
        <w:spacing w:line="600" w:lineRule="exact"/>
        <w:ind w:firstLine="640"/>
        <w:rPr>
          <w:rFonts w:ascii="黑体" w:eastAsia="黑体"/>
          <w:color w:val="000000"/>
          <w:sz w:val="32"/>
          <w:szCs w:val="32"/>
        </w:rPr>
      </w:pPr>
      <w:r>
        <w:rPr>
          <w:rFonts w:ascii="仿宋_GB2312" w:eastAsia="仿宋_GB2312" w:hint="eastAsia"/>
          <w:color w:val="000000"/>
          <w:sz w:val="32"/>
          <w:szCs w:val="32"/>
        </w:rPr>
        <w:t>（</w:t>
      </w:r>
      <w:r>
        <w:rPr>
          <w:rFonts w:ascii="黑体" w:eastAsia="黑体" w:hint="eastAsia"/>
          <w:color w:val="000000"/>
          <w:sz w:val="32"/>
          <w:szCs w:val="32"/>
        </w:rPr>
        <w:t>八、政府性基金预算财政拨款支出决算情况</w:t>
      </w:r>
    </w:p>
    <w:p w:rsidR="004746B8" w:rsidRDefault="00262D5C">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宣汉县</w:t>
      </w:r>
      <w:r w:rsidR="00901564">
        <w:rPr>
          <w:rFonts w:ascii="仿宋_GB2312" w:eastAsia="仿宋_GB2312" w:hint="eastAsia"/>
          <w:color w:val="000000"/>
          <w:sz w:val="32"/>
          <w:szCs w:val="32"/>
        </w:rPr>
        <w:t>厂溪镇初级中学</w:t>
      </w:r>
      <w:r>
        <w:rPr>
          <w:rFonts w:ascii="仿宋_GB2312" w:eastAsia="仿宋_GB2312"/>
          <w:color w:val="000000"/>
          <w:sz w:val="32"/>
          <w:szCs w:val="32"/>
        </w:rPr>
        <w:t>201</w:t>
      </w:r>
      <w:r>
        <w:rPr>
          <w:rFonts w:ascii="仿宋_GB2312" w:eastAsia="仿宋_GB2312" w:hint="eastAsia"/>
          <w:color w:val="000000"/>
          <w:sz w:val="32"/>
          <w:szCs w:val="32"/>
        </w:rPr>
        <w:t>7</w:t>
      </w:r>
      <w:bookmarkStart w:id="0" w:name="_GoBack"/>
      <w:bookmarkEnd w:id="0"/>
      <w:r>
        <w:rPr>
          <w:rFonts w:ascii="仿宋_GB2312" w:eastAsia="仿宋_GB2312" w:hint="eastAsia"/>
          <w:color w:val="000000"/>
          <w:sz w:val="32"/>
          <w:szCs w:val="32"/>
        </w:rPr>
        <w:t>年使用政府性基金预算财政拨款支出</w:t>
      </w:r>
      <w:r w:rsidR="00901564">
        <w:rPr>
          <w:rFonts w:ascii="仿宋_GB2312" w:eastAsia="仿宋_GB2312" w:hint="eastAsia"/>
          <w:color w:val="000000"/>
          <w:sz w:val="32"/>
          <w:szCs w:val="32"/>
        </w:rPr>
        <w:t>0</w:t>
      </w:r>
      <w:r>
        <w:rPr>
          <w:rFonts w:ascii="仿宋_GB2312" w:eastAsia="仿宋_GB2312" w:hint="eastAsia"/>
          <w:color w:val="000000"/>
          <w:sz w:val="32"/>
          <w:szCs w:val="32"/>
        </w:rPr>
        <w:t>万元。</w:t>
      </w:r>
    </w:p>
    <w:p w:rsidR="004746B8" w:rsidRDefault="00262D5C">
      <w:pPr>
        <w:spacing w:line="600" w:lineRule="exact"/>
        <w:ind w:firstLineChars="200" w:firstLine="640"/>
        <w:rPr>
          <w:rFonts w:ascii="黑体" w:eastAsia="黑体"/>
          <w:color w:val="000000"/>
          <w:sz w:val="32"/>
          <w:szCs w:val="32"/>
        </w:rPr>
      </w:pPr>
      <w:r>
        <w:rPr>
          <w:rFonts w:ascii="黑体" w:eastAsia="黑体" w:hint="eastAsia"/>
          <w:color w:val="000000"/>
          <w:sz w:val="32"/>
          <w:szCs w:val="32"/>
        </w:rPr>
        <w:t>九、其他重要事项的情况说明</w:t>
      </w:r>
    </w:p>
    <w:p w:rsidR="004746B8" w:rsidRDefault="00262D5C">
      <w:pPr>
        <w:spacing w:line="600" w:lineRule="exact"/>
        <w:ind w:firstLineChars="200" w:firstLine="643"/>
        <w:rPr>
          <w:rFonts w:ascii="仿宋_GB2312" w:eastAsia="仿宋_GB2312"/>
          <w:color w:val="000000"/>
          <w:sz w:val="32"/>
          <w:szCs w:val="32"/>
        </w:rPr>
      </w:pPr>
      <w:r>
        <w:rPr>
          <w:rFonts w:ascii="仿宋_GB2312" w:eastAsia="仿宋_GB2312" w:hint="eastAsia"/>
          <w:b/>
          <w:color w:val="000000"/>
          <w:sz w:val="32"/>
          <w:szCs w:val="32"/>
        </w:rPr>
        <w:t>（一）机关运行经费支出情况</w:t>
      </w:r>
    </w:p>
    <w:p w:rsidR="004746B8" w:rsidRDefault="00262D5C">
      <w:pPr>
        <w:spacing w:line="600" w:lineRule="exact"/>
        <w:ind w:firstLineChars="500" w:firstLine="1600"/>
        <w:rPr>
          <w:rFonts w:ascii="仿宋_GB2312" w:eastAsia="仿宋_GB2312"/>
          <w:color w:val="000000"/>
          <w:sz w:val="32"/>
          <w:szCs w:val="32"/>
        </w:rPr>
      </w:pPr>
      <w:r>
        <w:rPr>
          <w:rFonts w:ascii="仿宋_GB2312" w:eastAsia="仿宋_GB2312" w:hint="eastAsia"/>
          <w:color w:val="000000"/>
          <w:sz w:val="32"/>
          <w:szCs w:val="32"/>
        </w:rPr>
        <w:t>无</w:t>
      </w:r>
    </w:p>
    <w:p w:rsidR="004746B8" w:rsidRDefault="00262D5C">
      <w:pPr>
        <w:spacing w:line="600" w:lineRule="exact"/>
        <w:ind w:firstLine="640"/>
        <w:rPr>
          <w:rFonts w:ascii="仿宋_GB2312" w:eastAsia="仿宋_GB2312"/>
          <w:b/>
          <w:color w:val="000000"/>
          <w:sz w:val="32"/>
          <w:szCs w:val="32"/>
        </w:rPr>
      </w:pPr>
      <w:r>
        <w:rPr>
          <w:rFonts w:ascii="仿宋_GB2312" w:eastAsia="仿宋_GB2312" w:hint="eastAsia"/>
          <w:b/>
          <w:i/>
          <w:color w:val="404040"/>
          <w:sz w:val="32"/>
          <w:szCs w:val="32"/>
        </w:rPr>
        <w:t>（数据来源财决</w:t>
      </w:r>
      <w:r>
        <w:rPr>
          <w:rFonts w:ascii="仿宋_GB2312" w:eastAsia="仿宋_GB2312"/>
          <w:b/>
          <w:i/>
          <w:color w:val="404040"/>
          <w:sz w:val="32"/>
          <w:szCs w:val="32"/>
        </w:rPr>
        <w:t>CS05</w:t>
      </w:r>
      <w:r>
        <w:rPr>
          <w:rFonts w:ascii="仿宋_GB2312" w:eastAsia="仿宋_GB2312" w:hint="eastAsia"/>
          <w:b/>
          <w:i/>
          <w:color w:val="404040"/>
          <w:sz w:val="32"/>
          <w:szCs w:val="32"/>
        </w:rPr>
        <w:t>表）</w:t>
      </w:r>
    </w:p>
    <w:p w:rsidR="004746B8" w:rsidRDefault="00262D5C">
      <w:pPr>
        <w:autoSpaceDE w:val="0"/>
        <w:autoSpaceDN w:val="0"/>
        <w:adjustRightInd w:val="0"/>
        <w:spacing w:line="600" w:lineRule="exact"/>
        <w:ind w:firstLineChars="200" w:firstLine="643"/>
        <w:jc w:val="left"/>
        <w:rPr>
          <w:rFonts w:ascii="仿宋_GB2312" w:eastAsia="仿宋_GB2312"/>
          <w:b/>
          <w:color w:val="000000"/>
          <w:sz w:val="32"/>
          <w:szCs w:val="32"/>
        </w:rPr>
      </w:pPr>
      <w:r>
        <w:rPr>
          <w:rFonts w:ascii="仿宋_GB2312" w:eastAsia="仿宋_GB2312" w:hint="eastAsia"/>
          <w:b/>
          <w:color w:val="000000"/>
          <w:sz w:val="32"/>
          <w:szCs w:val="32"/>
        </w:rPr>
        <w:t>（二）政府采购支出情况</w:t>
      </w:r>
    </w:p>
    <w:p w:rsidR="004746B8" w:rsidRDefault="00262D5C">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7年度，宣汉县</w:t>
      </w:r>
      <w:r w:rsidR="00901564">
        <w:rPr>
          <w:rFonts w:ascii="仿宋_GB2312" w:eastAsia="仿宋_GB2312" w:hint="eastAsia"/>
          <w:color w:val="000000"/>
          <w:sz w:val="32"/>
          <w:szCs w:val="32"/>
        </w:rPr>
        <w:t>厂溪镇初级中学</w:t>
      </w:r>
      <w:r>
        <w:rPr>
          <w:rFonts w:ascii="仿宋_GB2312" w:eastAsia="仿宋_GB2312" w:hint="eastAsia"/>
          <w:color w:val="000000"/>
          <w:sz w:val="32"/>
          <w:szCs w:val="32"/>
        </w:rPr>
        <w:t>政府采购支出总额0万元。</w:t>
      </w:r>
    </w:p>
    <w:p w:rsidR="004746B8" w:rsidRDefault="00262D5C">
      <w:pPr>
        <w:spacing w:line="600" w:lineRule="exact"/>
        <w:ind w:firstLine="640"/>
        <w:rPr>
          <w:rFonts w:ascii="仿宋_GB2312" w:eastAsia="仿宋_GB2312"/>
          <w:b/>
          <w:i/>
          <w:color w:val="404040"/>
          <w:sz w:val="32"/>
          <w:szCs w:val="32"/>
        </w:rPr>
      </w:pPr>
      <w:r>
        <w:rPr>
          <w:rFonts w:ascii="仿宋_GB2312" w:eastAsia="仿宋_GB2312" w:hint="eastAsia"/>
          <w:b/>
          <w:i/>
          <w:color w:val="404040"/>
          <w:sz w:val="32"/>
          <w:szCs w:val="32"/>
        </w:rPr>
        <w:t>（数据来源财决</w:t>
      </w:r>
      <w:r>
        <w:rPr>
          <w:rFonts w:ascii="仿宋_GB2312" w:eastAsia="仿宋_GB2312"/>
          <w:b/>
          <w:i/>
          <w:color w:val="404040"/>
          <w:sz w:val="32"/>
          <w:szCs w:val="32"/>
        </w:rPr>
        <w:t>CS06</w:t>
      </w:r>
      <w:r>
        <w:rPr>
          <w:rFonts w:ascii="仿宋_GB2312" w:eastAsia="仿宋_GB2312" w:hint="eastAsia"/>
          <w:b/>
          <w:i/>
          <w:color w:val="404040"/>
          <w:sz w:val="32"/>
          <w:szCs w:val="32"/>
        </w:rPr>
        <w:t>表）</w:t>
      </w:r>
    </w:p>
    <w:p w:rsidR="004746B8" w:rsidRDefault="00262D5C">
      <w:pPr>
        <w:autoSpaceDE w:val="0"/>
        <w:autoSpaceDN w:val="0"/>
        <w:adjustRightInd w:val="0"/>
        <w:spacing w:line="600" w:lineRule="exact"/>
        <w:ind w:firstLineChars="200" w:firstLine="643"/>
        <w:jc w:val="left"/>
        <w:rPr>
          <w:rFonts w:ascii="仿宋_GB2312" w:eastAsia="仿宋_GB2312"/>
          <w:b/>
          <w:color w:val="000000"/>
          <w:sz w:val="32"/>
          <w:szCs w:val="32"/>
        </w:rPr>
      </w:pPr>
      <w:r>
        <w:rPr>
          <w:rFonts w:ascii="仿宋_GB2312" w:eastAsia="仿宋_GB2312" w:hint="eastAsia"/>
          <w:b/>
          <w:color w:val="000000"/>
          <w:sz w:val="32"/>
          <w:szCs w:val="32"/>
        </w:rPr>
        <w:t>（三）国有资产占有使用情况</w:t>
      </w:r>
    </w:p>
    <w:p w:rsidR="004746B8" w:rsidRDefault="00262D5C">
      <w:pPr>
        <w:autoSpaceDE w:val="0"/>
        <w:autoSpaceDN w:val="0"/>
        <w:adjustRightInd w:val="0"/>
        <w:spacing w:line="60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lastRenderedPageBreak/>
        <w:t>截至</w:t>
      </w:r>
      <w:r>
        <w:rPr>
          <w:rFonts w:ascii="仿宋_GB2312" w:eastAsia="仿宋_GB2312"/>
          <w:color w:val="000000"/>
          <w:sz w:val="32"/>
          <w:szCs w:val="32"/>
        </w:rPr>
        <w:t>201</w:t>
      </w:r>
      <w:r>
        <w:rPr>
          <w:rFonts w:ascii="仿宋_GB2312" w:eastAsia="仿宋_GB2312" w:hint="eastAsia"/>
          <w:color w:val="000000"/>
          <w:sz w:val="32"/>
          <w:szCs w:val="32"/>
        </w:rPr>
        <w:t>7年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日，宣汉县</w:t>
      </w:r>
      <w:r w:rsidR="00901564">
        <w:rPr>
          <w:rFonts w:ascii="仿宋_GB2312" w:eastAsia="仿宋_GB2312" w:hint="eastAsia"/>
          <w:color w:val="000000"/>
          <w:sz w:val="32"/>
          <w:szCs w:val="32"/>
        </w:rPr>
        <w:t>厂溪镇初级中学</w:t>
      </w:r>
      <w:r>
        <w:rPr>
          <w:rFonts w:ascii="仿宋_GB2312" w:eastAsia="仿宋_GB2312" w:hint="eastAsia"/>
          <w:color w:val="000000"/>
          <w:sz w:val="32"/>
          <w:szCs w:val="32"/>
        </w:rPr>
        <w:t>公有车辆0辆。</w:t>
      </w:r>
    </w:p>
    <w:p w:rsidR="004746B8" w:rsidRDefault="00262D5C">
      <w:pPr>
        <w:spacing w:line="600" w:lineRule="exact"/>
        <w:ind w:firstLine="640"/>
        <w:rPr>
          <w:rFonts w:ascii="仿宋_GB2312" w:eastAsia="仿宋_GB2312"/>
          <w:b/>
          <w:color w:val="000000"/>
          <w:sz w:val="32"/>
          <w:szCs w:val="32"/>
        </w:rPr>
      </w:pPr>
      <w:r>
        <w:rPr>
          <w:rFonts w:ascii="仿宋_GB2312" w:eastAsia="仿宋_GB2312" w:hint="eastAsia"/>
          <w:b/>
          <w:i/>
          <w:color w:val="404040"/>
          <w:sz w:val="32"/>
          <w:szCs w:val="32"/>
        </w:rPr>
        <w:t>（数据来源财决</w:t>
      </w:r>
      <w:r>
        <w:rPr>
          <w:rFonts w:ascii="仿宋_GB2312" w:eastAsia="仿宋_GB2312"/>
          <w:b/>
          <w:i/>
          <w:color w:val="404040"/>
          <w:sz w:val="32"/>
          <w:szCs w:val="32"/>
        </w:rPr>
        <w:t>CS05</w:t>
      </w:r>
      <w:r>
        <w:rPr>
          <w:rFonts w:ascii="仿宋_GB2312" w:eastAsia="仿宋_GB2312" w:hint="eastAsia"/>
          <w:b/>
          <w:i/>
          <w:color w:val="404040"/>
          <w:sz w:val="32"/>
          <w:szCs w:val="32"/>
        </w:rPr>
        <w:t>表）</w:t>
      </w:r>
    </w:p>
    <w:p w:rsidR="004746B8" w:rsidRDefault="00262D5C">
      <w:pPr>
        <w:autoSpaceDE w:val="0"/>
        <w:autoSpaceDN w:val="0"/>
        <w:adjustRightInd w:val="0"/>
        <w:spacing w:line="600" w:lineRule="exact"/>
        <w:ind w:firstLineChars="200" w:firstLine="643"/>
        <w:jc w:val="left"/>
        <w:rPr>
          <w:rFonts w:ascii="仿宋_GB2312" w:eastAsia="仿宋_GB2312"/>
          <w:b/>
          <w:color w:val="000000"/>
          <w:sz w:val="32"/>
          <w:szCs w:val="32"/>
        </w:rPr>
      </w:pPr>
      <w:r>
        <w:rPr>
          <w:rFonts w:ascii="仿宋_GB2312" w:eastAsia="仿宋_GB2312" w:hint="eastAsia"/>
          <w:b/>
          <w:color w:val="000000"/>
          <w:sz w:val="32"/>
          <w:szCs w:val="32"/>
        </w:rPr>
        <w:t>（四）预算绩效情况</w:t>
      </w:r>
    </w:p>
    <w:p w:rsidR="004746B8" w:rsidRDefault="00262D5C">
      <w:pPr>
        <w:spacing w:line="600" w:lineRule="atLeast"/>
        <w:ind w:firstLineChars="200" w:firstLine="640"/>
        <w:rPr>
          <w:rFonts w:ascii="仿宋_GB2312" w:eastAsia="仿宋_GB2312"/>
          <w:sz w:val="32"/>
          <w:szCs w:val="32"/>
        </w:rPr>
      </w:pPr>
      <w:r>
        <w:rPr>
          <w:rFonts w:ascii="仿宋_GB2312" w:eastAsia="仿宋_GB2312" w:hint="eastAsia"/>
          <w:sz w:val="32"/>
          <w:szCs w:val="32"/>
        </w:rPr>
        <w:t>按照预算绩效管理要求，本部门对</w:t>
      </w:r>
      <w:r>
        <w:rPr>
          <w:rFonts w:ascii="仿宋_GB2312" w:eastAsia="仿宋_GB2312"/>
          <w:sz w:val="32"/>
          <w:szCs w:val="32"/>
        </w:rPr>
        <w:t>201</w:t>
      </w:r>
      <w:r>
        <w:rPr>
          <w:rFonts w:ascii="仿宋_GB2312" w:eastAsia="仿宋_GB2312" w:hint="eastAsia"/>
          <w:sz w:val="32"/>
          <w:szCs w:val="32"/>
        </w:rPr>
        <w:t>7年一般公共预算项目支出开展了绩效目标管理，共编制绩效目标2个，涉及财政资金</w:t>
      </w:r>
      <w:r w:rsidR="00901564">
        <w:rPr>
          <w:rFonts w:ascii="仿宋_GB2312" w:eastAsia="仿宋_GB2312" w:hint="eastAsia"/>
          <w:sz w:val="32"/>
          <w:szCs w:val="32"/>
        </w:rPr>
        <w:t>138.01</w:t>
      </w:r>
      <w:r>
        <w:rPr>
          <w:rFonts w:ascii="仿宋_GB2312" w:eastAsia="仿宋_GB2312" w:hint="eastAsia"/>
          <w:sz w:val="32"/>
          <w:szCs w:val="32"/>
        </w:rPr>
        <w:t>万元，覆盖率达到100</w:t>
      </w:r>
      <w:r>
        <w:rPr>
          <w:rFonts w:ascii="仿宋_GB2312" w:eastAsia="仿宋_GB2312"/>
          <w:sz w:val="32"/>
          <w:szCs w:val="32"/>
        </w:rPr>
        <w:t>%</w:t>
      </w:r>
      <w:r>
        <w:rPr>
          <w:rFonts w:ascii="仿宋_GB2312" w:eastAsia="仿宋_GB2312" w:hint="eastAsia"/>
          <w:sz w:val="32"/>
          <w:szCs w:val="32"/>
        </w:rPr>
        <w:t>。开展了项目绩效自评，请将自评结果得分、存在的问题、整改措施等相关情况上报主管局审核后，及时整改，达到预期目标。</w:t>
      </w:r>
    </w:p>
    <w:p w:rsidR="004746B8" w:rsidRDefault="00262D5C">
      <w:pPr>
        <w:autoSpaceDE w:val="0"/>
        <w:autoSpaceDN w:val="0"/>
        <w:adjustRightInd w:val="0"/>
        <w:spacing w:line="600" w:lineRule="exact"/>
        <w:ind w:firstLineChars="200" w:firstLine="640"/>
        <w:jc w:val="left"/>
        <w:rPr>
          <w:rFonts w:ascii="黑体" w:eastAsia="黑体"/>
          <w:color w:val="000000"/>
          <w:sz w:val="32"/>
          <w:szCs w:val="32"/>
        </w:rPr>
      </w:pPr>
      <w:r>
        <w:rPr>
          <w:rFonts w:ascii="黑体" w:eastAsia="黑体" w:hint="eastAsia"/>
          <w:color w:val="000000"/>
          <w:sz w:val="32"/>
          <w:szCs w:val="32"/>
        </w:rPr>
        <w:t>十、名词解释</w:t>
      </w:r>
    </w:p>
    <w:p w:rsidR="004746B8" w:rsidRDefault="00262D5C">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财政拨款收入：指省级财政当年拨付的资金。</w:t>
      </w:r>
    </w:p>
    <w:p w:rsidR="004746B8" w:rsidRDefault="00262D5C">
      <w:pPr>
        <w:pStyle w:val="Default"/>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事业收入：指事业单位开展专业业务活动及辅助活动所取得的收入。如…（二级预算单位事业收入情况）等。</w:t>
      </w:r>
    </w:p>
    <w:p w:rsidR="004746B8" w:rsidRDefault="00262D5C">
      <w:pPr>
        <w:pStyle w:val="Default"/>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经营收入：指事业单位在专业业务活动及其辅助活动之外开展非独立核算经营活动取得的收入。如…（二级预算单位经营收入情况）等。</w:t>
      </w:r>
    </w:p>
    <w:p w:rsidR="004746B8" w:rsidRDefault="00262D5C">
      <w:pPr>
        <w:pStyle w:val="Default"/>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其他收入：指除上述“财政拨款收入”、“事业收入”、“经营收入”等以外的收入。主要是…（收入类型）等。</w:t>
      </w:r>
    </w:p>
    <w:p w:rsidR="004746B8" w:rsidRDefault="00262D5C">
      <w:pPr>
        <w:pStyle w:val="Default"/>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4746B8" w:rsidRDefault="00262D5C">
      <w:pPr>
        <w:pStyle w:val="Default"/>
        <w:spacing w:line="560" w:lineRule="exact"/>
        <w:ind w:firstLineChars="200" w:firstLine="640"/>
        <w:rPr>
          <w:rFonts w:ascii="仿宋_GB2312" w:eastAsia="仿宋_GB2312"/>
          <w:sz w:val="32"/>
          <w:szCs w:val="32"/>
        </w:rPr>
      </w:pPr>
      <w:r>
        <w:rPr>
          <w:rFonts w:ascii="仿宋_GB2312" w:eastAsia="仿宋_GB2312"/>
          <w:sz w:val="32"/>
          <w:szCs w:val="32"/>
        </w:rPr>
        <w:lastRenderedPageBreak/>
        <w:t>6.</w:t>
      </w:r>
      <w:r>
        <w:rPr>
          <w:rFonts w:ascii="仿宋_GB2312" w:eastAsia="仿宋_GB2312" w:hint="eastAsia"/>
          <w:sz w:val="32"/>
          <w:szCs w:val="32"/>
        </w:rPr>
        <w:t>年初结转和结余：指以前年度尚未完成、结转到本年按有关规定继续使用的资金。</w:t>
      </w:r>
    </w:p>
    <w:p w:rsidR="004746B8" w:rsidRDefault="00262D5C">
      <w:pPr>
        <w:ind w:firstLineChars="200" w:firstLine="640"/>
        <w:rPr>
          <w:rFonts w:ascii="仿宋_GB2312" w:eastAsia="仿宋_GB2312"/>
          <w:color w:val="000000"/>
          <w:sz w:val="32"/>
          <w:szCs w:val="32"/>
        </w:rPr>
      </w:pPr>
      <w:r>
        <w:rPr>
          <w:rFonts w:ascii="仿宋_GB2312" w:eastAsia="仿宋_GB2312"/>
          <w:color w:val="000000"/>
          <w:sz w:val="32"/>
          <w:szCs w:val="32"/>
        </w:rPr>
        <w:t>7.</w:t>
      </w:r>
      <w:r>
        <w:rPr>
          <w:rFonts w:ascii="仿宋_GB2312" w:eastAsia="仿宋_GB2312" w:hint="eastAsia"/>
          <w:color w:val="000000"/>
          <w:sz w:val="32"/>
          <w:szCs w:val="32"/>
        </w:rPr>
        <w:t>一般公共服务（类）205（款）0203（项）：指教育支出。</w:t>
      </w:r>
    </w:p>
    <w:p w:rsidR="004746B8" w:rsidRDefault="00262D5C">
      <w:pPr>
        <w:ind w:firstLineChars="200" w:firstLine="640"/>
        <w:rPr>
          <w:rFonts w:ascii="仿宋_GB2312" w:eastAsia="仿宋_GB2312"/>
          <w:color w:val="000000"/>
          <w:sz w:val="32"/>
          <w:szCs w:val="32"/>
        </w:rPr>
      </w:pPr>
      <w:r>
        <w:rPr>
          <w:rFonts w:ascii="仿宋_GB2312" w:eastAsia="仿宋_GB2312"/>
          <w:color w:val="000000"/>
          <w:sz w:val="32"/>
          <w:szCs w:val="32"/>
        </w:rPr>
        <w:t>8.</w:t>
      </w:r>
      <w:r>
        <w:rPr>
          <w:rFonts w:ascii="仿宋_GB2312" w:eastAsia="仿宋_GB2312" w:hint="eastAsia"/>
          <w:color w:val="000000"/>
          <w:sz w:val="32"/>
          <w:szCs w:val="32"/>
        </w:rPr>
        <w:t>教育（类）205（款）0203（项）：指初中教育。</w:t>
      </w:r>
    </w:p>
    <w:p w:rsidR="004746B8" w:rsidRDefault="00262D5C">
      <w:pPr>
        <w:ind w:firstLineChars="200" w:firstLine="640"/>
        <w:rPr>
          <w:rFonts w:ascii="仿宋_GB2312" w:eastAsia="仿宋_GB2312"/>
          <w:color w:val="000000"/>
          <w:sz w:val="32"/>
          <w:szCs w:val="32"/>
        </w:rPr>
      </w:pPr>
      <w:r>
        <w:rPr>
          <w:rFonts w:ascii="仿宋_GB2312" w:eastAsia="仿宋_GB2312"/>
          <w:color w:val="000000"/>
          <w:sz w:val="32"/>
          <w:szCs w:val="32"/>
        </w:rPr>
        <w:t>9.</w:t>
      </w:r>
      <w:r>
        <w:rPr>
          <w:rStyle w:val="a7"/>
          <w:rFonts w:ascii="仿宋_GB2312" w:eastAsia="仿宋_GB2312" w:hint="eastAsia"/>
          <w:bCs/>
          <w:color w:val="000000"/>
          <w:sz w:val="32"/>
          <w:szCs w:val="32"/>
        </w:rPr>
        <w:t>医疗卫生与计划生育（类）210（款）0502（项）</w:t>
      </w:r>
      <w:r>
        <w:rPr>
          <w:rFonts w:ascii="仿宋_GB2312" w:eastAsia="仿宋_GB2312" w:hint="eastAsia"/>
          <w:color w:val="000000"/>
          <w:sz w:val="32"/>
          <w:szCs w:val="32"/>
        </w:rPr>
        <w:t>：指教职工医保缴费。</w:t>
      </w:r>
    </w:p>
    <w:p w:rsidR="004746B8" w:rsidRDefault="00262D5C">
      <w:pPr>
        <w:ind w:firstLineChars="200" w:firstLine="640"/>
        <w:rPr>
          <w:rFonts w:ascii="仿宋_GB2312" w:eastAsia="仿宋_GB2312"/>
          <w:color w:val="000000"/>
          <w:sz w:val="32"/>
          <w:szCs w:val="32"/>
        </w:rPr>
      </w:pPr>
      <w:r>
        <w:rPr>
          <w:rFonts w:ascii="仿宋_GB2312" w:eastAsia="仿宋_GB2312"/>
          <w:color w:val="000000"/>
          <w:sz w:val="32"/>
          <w:szCs w:val="32"/>
        </w:rPr>
        <w:t>10.</w:t>
      </w:r>
      <w:r>
        <w:rPr>
          <w:rFonts w:ascii="仿宋_GB2312" w:eastAsia="仿宋_GB2312" w:hint="eastAsia"/>
          <w:color w:val="000000"/>
          <w:sz w:val="32"/>
          <w:szCs w:val="32"/>
        </w:rPr>
        <w:t>住房保障类</w:t>
      </w:r>
      <w:r>
        <w:rPr>
          <w:rStyle w:val="a7"/>
          <w:rFonts w:ascii="仿宋_GB2312" w:eastAsia="仿宋_GB2312" w:hint="eastAsia"/>
          <w:bCs/>
          <w:color w:val="000000"/>
          <w:sz w:val="32"/>
          <w:szCs w:val="32"/>
        </w:rPr>
        <w:t>（类）221（款）0201（项）</w:t>
      </w:r>
      <w:r>
        <w:rPr>
          <w:rFonts w:ascii="仿宋_GB2312" w:eastAsia="仿宋_GB2312" w:hint="eastAsia"/>
          <w:color w:val="000000"/>
          <w:sz w:val="32"/>
          <w:szCs w:val="32"/>
        </w:rPr>
        <w:t>：指教职工医保缴费。</w:t>
      </w:r>
    </w:p>
    <w:p w:rsidR="004746B8" w:rsidRDefault="00262D5C">
      <w:pPr>
        <w:ind w:firstLineChars="200" w:firstLine="640"/>
        <w:rPr>
          <w:rFonts w:ascii="仿宋_GB2312" w:eastAsia="仿宋_GB2312"/>
          <w:color w:val="000000"/>
          <w:sz w:val="32"/>
          <w:szCs w:val="32"/>
        </w:rPr>
      </w:pPr>
      <w:r>
        <w:rPr>
          <w:rFonts w:ascii="仿宋_GB2312" w:eastAsia="仿宋_GB2312"/>
          <w:color w:val="000000"/>
          <w:sz w:val="32"/>
          <w:szCs w:val="32"/>
        </w:rPr>
        <w:t>11.</w:t>
      </w:r>
      <w:r>
        <w:rPr>
          <w:rStyle w:val="a7"/>
          <w:rFonts w:ascii="仿宋_GB2312" w:eastAsia="仿宋_GB2312" w:hint="eastAsia"/>
          <w:bCs/>
          <w:color w:val="000000"/>
          <w:sz w:val="32"/>
          <w:szCs w:val="32"/>
        </w:rPr>
        <w:t>社会保障和就业（类）208（款）0502（项）</w:t>
      </w:r>
      <w:r>
        <w:rPr>
          <w:rFonts w:ascii="仿宋_GB2312" w:eastAsia="仿宋_GB2312" w:hint="eastAsia"/>
          <w:color w:val="000000"/>
          <w:sz w:val="32"/>
          <w:szCs w:val="32"/>
        </w:rPr>
        <w:t>：指退休职工生活补助。</w:t>
      </w:r>
    </w:p>
    <w:p w:rsidR="004746B8" w:rsidRDefault="00262D5C">
      <w:pPr>
        <w:spacing w:line="600" w:lineRule="exact"/>
        <w:ind w:firstLine="640"/>
        <w:rPr>
          <w:rFonts w:ascii="仿宋_GB2312" w:eastAsia="仿宋_GB2312"/>
          <w:b/>
          <w:i/>
          <w:color w:val="404040"/>
          <w:sz w:val="32"/>
          <w:szCs w:val="32"/>
        </w:rPr>
      </w:pPr>
      <w:r>
        <w:rPr>
          <w:rFonts w:ascii="仿宋_GB2312" w:eastAsia="仿宋_GB2312" w:hint="eastAsia"/>
          <w:b/>
          <w:i/>
          <w:color w:val="404040"/>
          <w:sz w:val="32"/>
          <w:szCs w:val="32"/>
        </w:rPr>
        <w:t>（解释本部门决算报表中全部功能分类科目，至项级，参照《</w:t>
      </w:r>
      <w:r>
        <w:rPr>
          <w:rFonts w:ascii="仿宋_GB2312" w:eastAsia="仿宋_GB2312"/>
          <w:b/>
          <w:i/>
          <w:color w:val="404040"/>
          <w:sz w:val="32"/>
          <w:szCs w:val="32"/>
        </w:rPr>
        <w:t>2016</w:t>
      </w:r>
      <w:r>
        <w:rPr>
          <w:rFonts w:ascii="仿宋_GB2312" w:eastAsia="仿宋_GB2312" w:hint="eastAsia"/>
          <w:b/>
          <w:i/>
          <w:color w:val="404040"/>
          <w:sz w:val="32"/>
          <w:szCs w:val="32"/>
        </w:rPr>
        <w:t>年政府收支分类科目》）</w:t>
      </w:r>
    </w:p>
    <w:p w:rsidR="004746B8" w:rsidRDefault="00262D5C">
      <w:pPr>
        <w:ind w:firstLineChars="200" w:firstLine="640"/>
        <w:rPr>
          <w:rFonts w:ascii="仿宋_GB2312" w:eastAsia="仿宋_GB2312"/>
          <w:color w:val="000000"/>
          <w:sz w:val="32"/>
          <w:szCs w:val="32"/>
        </w:rPr>
      </w:pPr>
      <w:r>
        <w:rPr>
          <w:rFonts w:ascii="仿宋_GB2312" w:eastAsia="仿宋_GB2312"/>
          <w:color w:val="000000"/>
          <w:sz w:val="32"/>
          <w:szCs w:val="32"/>
        </w:rPr>
        <w:t>12.</w:t>
      </w:r>
      <w:r>
        <w:rPr>
          <w:rFonts w:ascii="仿宋_GB2312" w:eastAsia="仿宋_GB2312" w:hint="eastAsia"/>
          <w:color w:val="000000"/>
          <w:sz w:val="32"/>
          <w:szCs w:val="32"/>
        </w:rPr>
        <w:t>结余分配：指事业单位按规定提取的职工福利基金、事业基金和缴纳的所得税，以及建设单位按规定应交回的基本建设竣工项目结余资金。</w:t>
      </w:r>
    </w:p>
    <w:p w:rsidR="004746B8" w:rsidRDefault="00262D5C">
      <w:pPr>
        <w:ind w:firstLineChars="200" w:firstLine="640"/>
        <w:rPr>
          <w:rFonts w:ascii="仿宋_GB2312" w:eastAsia="仿宋_GB2312"/>
          <w:color w:val="000000"/>
          <w:sz w:val="32"/>
          <w:szCs w:val="32"/>
        </w:rPr>
      </w:pPr>
      <w:r>
        <w:rPr>
          <w:rFonts w:ascii="仿宋_GB2312" w:eastAsia="仿宋_GB2312"/>
          <w:color w:val="000000"/>
          <w:sz w:val="32"/>
          <w:szCs w:val="32"/>
        </w:rPr>
        <w:t>13.</w:t>
      </w:r>
      <w:r>
        <w:rPr>
          <w:rFonts w:ascii="仿宋_GB2312" w:eastAsia="仿宋_GB2312" w:hint="eastAsia"/>
          <w:color w:val="000000"/>
          <w:sz w:val="32"/>
          <w:szCs w:val="32"/>
        </w:rPr>
        <w:t>年末结转和结余：指本年度或以前年度预算安排、因客观条件发生变化无法按原计划实施，需延迟到以后年度按有关规定继续使用的资金。</w:t>
      </w:r>
    </w:p>
    <w:p w:rsidR="004746B8" w:rsidRDefault="00262D5C">
      <w:pPr>
        <w:ind w:firstLineChars="200" w:firstLine="640"/>
        <w:rPr>
          <w:rFonts w:ascii="仿宋_GB2312" w:eastAsia="仿宋_GB2312"/>
          <w:color w:val="000000"/>
          <w:sz w:val="32"/>
          <w:szCs w:val="32"/>
        </w:rPr>
      </w:pPr>
      <w:r>
        <w:rPr>
          <w:rFonts w:ascii="仿宋_GB2312" w:eastAsia="仿宋_GB2312"/>
          <w:color w:val="000000"/>
          <w:sz w:val="32"/>
          <w:szCs w:val="32"/>
        </w:rPr>
        <w:t>14.</w:t>
      </w:r>
      <w:r>
        <w:rPr>
          <w:rFonts w:ascii="仿宋_GB2312" w:eastAsia="仿宋_GB2312" w:hint="eastAsia"/>
          <w:color w:val="000000"/>
          <w:sz w:val="32"/>
          <w:szCs w:val="32"/>
        </w:rPr>
        <w:t>基本支出：指为保障机构正常运转、完成日常工作任务而发生的人员支出和公用支出。</w:t>
      </w:r>
    </w:p>
    <w:p w:rsidR="004746B8" w:rsidRDefault="00262D5C">
      <w:pPr>
        <w:ind w:firstLineChars="200" w:firstLine="640"/>
        <w:rPr>
          <w:rFonts w:ascii="仿宋_GB2312" w:eastAsia="仿宋_GB2312"/>
          <w:color w:val="000000"/>
          <w:sz w:val="32"/>
          <w:szCs w:val="32"/>
        </w:rPr>
      </w:pPr>
      <w:r>
        <w:rPr>
          <w:rFonts w:ascii="仿宋_GB2312" w:eastAsia="仿宋_GB2312"/>
          <w:color w:val="000000"/>
          <w:sz w:val="32"/>
          <w:szCs w:val="32"/>
        </w:rPr>
        <w:t>15.</w:t>
      </w:r>
      <w:r>
        <w:rPr>
          <w:rFonts w:ascii="仿宋_GB2312" w:eastAsia="仿宋_GB2312" w:hint="eastAsia"/>
          <w:color w:val="000000"/>
          <w:sz w:val="32"/>
          <w:szCs w:val="32"/>
        </w:rPr>
        <w:t>项目支出：指在基本支出之外为完成特定行政任务</w:t>
      </w:r>
      <w:r>
        <w:rPr>
          <w:rFonts w:ascii="仿宋_GB2312" w:eastAsia="仿宋_GB2312" w:hint="eastAsia"/>
          <w:color w:val="000000"/>
          <w:sz w:val="32"/>
          <w:szCs w:val="32"/>
        </w:rPr>
        <w:lastRenderedPageBreak/>
        <w:t>和事业发展目标所发生的支出。</w:t>
      </w:r>
    </w:p>
    <w:p w:rsidR="004746B8" w:rsidRDefault="00262D5C">
      <w:pPr>
        <w:ind w:firstLineChars="200" w:firstLine="640"/>
        <w:rPr>
          <w:rFonts w:ascii="仿宋_GB2312" w:eastAsia="仿宋_GB2312"/>
          <w:color w:val="000000"/>
          <w:sz w:val="32"/>
          <w:szCs w:val="32"/>
        </w:rPr>
      </w:pPr>
      <w:r>
        <w:rPr>
          <w:rFonts w:ascii="仿宋_GB2312" w:eastAsia="仿宋_GB2312"/>
          <w:color w:val="000000"/>
          <w:sz w:val="32"/>
          <w:szCs w:val="32"/>
        </w:rPr>
        <w:t>16.</w:t>
      </w:r>
      <w:r>
        <w:rPr>
          <w:rFonts w:ascii="仿宋_GB2312" w:eastAsia="仿宋_GB2312" w:hint="eastAsia"/>
          <w:color w:val="000000"/>
          <w:sz w:val="32"/>
          <w:szCs w:val="32"/>
        </w:rPr>
        <w:t>经营支出：指事业单位在专业业务活动及其辅助活动之外开展非独立核算经营活动发生的支出。</w:t>
      </w:r>
    </w:p>
    <w:p w:rsidR="004746B8" w:rsidRDefault="00262D5C">
      <w:pPr>
        <w:pStyle w:val="Default"/>
        <w:spacing w:line="560" w:lineRule="exact"/>
        <w:ind w:firstLineChars="200" w:firstLine="640"/>
        <w:rPr>
          <w:rFonts w:ascii="仿宋_GB2312" w:eastAsia="仿宋_GB2312"/>
          <w:sz w:val="32"/>
          <w:szCs w:val="32"/>
        </w:rPr>
      </w:pPr>
      <w:r>
        <w:rPr>
          <w:rFonts w:ascii="仿宋_GB2312" w:eastAsia="仿宋_GB2312"/>
          <w:sz w:val="32"/>
          <w:szCs w:val="32"/>
        </w:rPr>
        <w:t>17.</w:t>
      </w:r>
      <w:r>
        <w:rPr>
          <w:rFonts w:ascii="仿宋_GB2312" w:eastAsia="仿宋_GB2312" w:hint="eastAsia"/>
          <w:sz w:val="32"/>
          <w:szCs w:val="32"/>
        </w:rPr>
        <w:t>“三公”经费：纳入省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4746B8" w:rsidRDefault="00262D5C">
      <w:pPr>
        <w:pStyle w:val="Default"/>
        <w:spacing w:line="560" w:lineRule="exact"/>
        <w:ind w:firstLineChars="200" w:firstLine="640"/>
        <w:rPr>
          <w:rFonts w:ascii="仿宋_GB2312" w:eastAsia="仿宋_GB2312"/>
          <w:sz w:val="32"/>
          <w:szCs w:val="32"/>
        </w:rPr>
      </w:pPr>
      <w:r>
        <w:rPr>
          <w:rFonts w:ascii="仿宋_GB2312" w:eastAsia="仿宋_GB2312"/>
          <w:sz w:val="32"/>
          <w:szCs w:val="32"/>
        </w:rPr>
        <w:t>18.</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4746B8" w:rsidRDefault="004746B8">
      <w:pPr>
        <w:pStyle w:val="Default"/>
        <w:spacing w:line="560" w:lineRule="exact"/>
        <w:ind w:firstLineChars="200" w:firstLine="640"/>
        <w:rPr>
          <w:rFonts w:ascii="仿宋_GB2312" w:eastAsia="仿宋_GB2312" w:cs="黑体"/>
          <w:sz w:val="32"/>
          <w:szCs w:val="32"/>
        </w:rPr>
      </w:pPr>
    </w:p>
    <w:p w:rsidR="004746B8" w:rsidRDefault="004746B8">
      <w:pPr>
        <w:rPr>
          <w:rFonts w:ascii="仿宋_GB2312" w:eastAsia="仿宋_GB2312"/>
          <w:color w:val="000000"/>
          <w:sz w:val="32"/>
          <w:szCs w:val="32"/>
        </w:rPr>
      </w:pPr>
    </w:p>
    <w:sectPr w:rsidR="004746B8" w:rsidSect="004746B8">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0D44" w:rsidRDefault="00F60D44" w:rsidP="004746B8">
      <w:r>
        <w:separator/>
      </w:r>
    </w:p>
  </w:endnote>
  <w:endnote w:type="continuationSeparator" w:id="1">
    <w:p w:rsidR="00F60D44" w:rsidRDefault="00F60D44" w:rsidP="00474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6B8" w:rsidRDefault="00870863">
    <w:pPr>
      <w:pStyle w:val="a4"/>
      <w:jc w:val="center"/>
    </w:pPr>
    <w:r w:rsidRPr="00870863">
      <w:fldChar w:fldCharType="begin"/>
    </w:r>
    <w:r w:rsidR="00262D5C">
      <w:instrText xml:space="preserve"> PAGE   \* MERGEFORMAT </w:instrText>
    </w:r>
    <w:r w:rsidRPr="00870863">
      <w:fldChar w:fldCharType="separate"/>
    </w:r>
    <w:r w:rsidR="00822E3F" w:rsidRPr="00822E3F">
      <w:rPr>
        <w:noProof/>
        <w:lang w:val="zh-CN"/>
      </w:rPr>
      <w:t>10</w:t>
    </w:r>
    <w:r>
      <w:rPr>
        <w:lang w:val="zh-CN"/>
      </w:rPr>
      <w:fldChar w:fldCharType="end"/>
    </w:r>
  </w:p>
  <w:p w:rsidR="004746B8" w:rsidRDefault="004746B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0D44" w:rsidRDefault="00F60D44" w:rsidP="004746B8">
      <w:r>
        <w:separator/>
      </w:r>
    </w:p>
  </w:footnote>
  <w:footnote w:type="continuationSeparator" w:id="1">
    <w:p w:rsidR="00F60D44" w:rsidRDefault="00F60D44" w:rsidP="004746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DDC300"/>
    <w:multiLevelType w:val="singleLevel"/>
    <w:tmpl w:val="59DDC300"/>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VerticalSpacing w:val="156"/>
  <w:noPunctuationKerning/>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0D44"/>
    <w:rsid w:val="000B047F"/>
    <w:rsid w:val="000B5A48"/>
    <w:rsid w:val="000C3CA6"/>
    <w:rsid w:val="000D5782"/>
    <w:rsid w:val="000E63D4"/>
    <w:rsid w:val="0014729F"/>
    <w:rsid w:val="00191536"/>
    <w:rsid w:val="00236BFA"/>
    <w:rsid w:val="00260C38"/>
    <w:rsid w:val="00262D5C"/>
    <w:rsid w:val="0037013F"/>
    <w:rsid w:val="003A484F"/>
    <w:rsid w:val="003B0C1B"/>
    <w:rsid w:val="00447EDC"/>
    <w:rsid w:val="004746B8"/>
    <w:rsid w:val="004D119C"/>
    <w:rsid w:val="00510CFC"/>
    <w:rsid w:val="0058486E"/>
    <w:rsid w:val="005D5CED"/>
    <w:rsid w:val="005F31D2"/>
    <w:rsid w:val="00607E6C"/>
    <w:rsid w:val="0066343B"/>
    <w:rsid w:val="006805DA"/>
    <w:rsid w:val="0068457C"/>
    <w:rsid w:val="006D706F"/>
    <w:rsid w:val="0070084B"/>
    <w:rsid w:val="0076182A"/>
    <w:rsid w:val="00767B7E"/>
    <w:rsid w:val="007770C3"/>
    <w:rsid w:val="00794588"/>
    <w:rsid w:val="007D45FD"/>
    <w:rsid w:val="007D7FA5"/>
    <w:rsid w:val="00800112"/>
    <w:rsid w:val="00821329"/>
    <w:rsid w:val="00822E3F"/>
    <w:rsid w:val="008434F8"/>
    <w:rsid w:val="00870863"/>
    <w:rsid w:val="00871F71"/>
    <w:rsid w:val="008D5FE4"/>
    <w:rsid w:val="008E09D4"/>
    <w:rsid w:val="00901564"/>
    <w:rsid w:val="00932C3A"/>
    <w:rsid w:val="00951248"/>
    <w:rsid w:val="0095152F"/>
    <w:rsid w:val="00971FFC"/>
    <w:rsid w:val="009B4EAE"/>
    <w:rsid w:val="009B7573"/>
    <w:rsid w:val="009D3447"/>
    <w:rsid w:val="009F15BA"/>
    <w:rsid w:val="00A307CD"/>
    <w:rsid w:val="00A35A11"/>
    <w:rsid w:val="00A62661"/>
    <w:rsid w:val="00A67F54"/>
    <w:rsid w:val="00B03C9D"/>
    <w:rsid w:val="00B10517"/>
    <w:rsid w:val="00B20175"/>
    <w:rsid w:val="00B310B9"/>
    <w:rsid w:val="00C03E31"/>
    <w:rsid w:val="00C35554"/>
    <w:rsid w:val="00C533CC"/>
    <w:rsid w:val="00C62B85"/>
    <w:rsid w:val="00CC09B6"/>
    <w:rsid w:val="00CE7B61"/>
    <w:rsid w:val="00DB66A0"/>
    <w:rsid w:val="00DC3E14"/>
    <w:rsid w:val="00DC410D"/>
    <w:rsid w:val="00E34066"/>
    <w:rsid w:val="00E82267"/>
    <w:rsid w:val="00EA7E9D"/>
    <w:rsid w:val="00ED1B63"/>
    <w:rsid w:val="00EF4C34"/>
    <w:rsid w:val="00F1361C"/>
    <w:rsid w:val="00F160C7"/>
    <w:rsid w:val="00F60D44"/>
    <w:rsid w:val="00FA14D5"/>
    <w:rsid w:val="00FC067D"/>
    <w:rsid w:val="00FF1E02"/>
    <w:rsid w:val="01C107CD"/>
    <w:rsid w:val="06A16C66"/>
    <w:rsid w:val="07000808"/>
    <w:rsid w:val="09CC5E77"/>
    <w:rsid w:val="09D35789"/>
    <w:rsid w:val="0AA36606"/>
    <w:rsid w:val="0AEE671B"/>
    <w:rsid w:val="0EC12585"/>
    <w:rsid w:val="125F5374"/>
    <w:rsid w:val="14704C2A"/>
    <w:rsid w:val="14C1246C"/>
    <w:rsid w:val="14F115D9"/>
    <w:rsid w:val="16A326A8"/>
    <w:rsid w:val="16EC1AA9"/>
    <w:rsid w:val="17B16047"/>
    <w:rsid w:val="18125DA9"/>
    <w:rsid w:val="1C1775F0"/>
    <w:rsid w:val="1F042A3A"/>
    <w:rsid w:val="1F06642D"/>
    <w:rsid w:val="210E48A9"/>
    <w:rsid w:val="24516A07"/>
    <w:rsid w:val="246C4A13"/>
    <w:rsid w:val="24A52C4D"/>
    <w:rsid w:val="25401B58"/>
    <w:rsid w:val="2B790780"/>
    <w:rsid w:val="2CC3190E"/>
    <w:rsid w:val="2E2B6A3D"/>
    <w:rsid w:val="321A6F60"/>
    <w:rsid w:val="34C400C7"/>
    <w:rsid w:val="35EC1F80"/>
    <w:rsid w:val="3689617D"/>
    <w:rsid w:val="37070755"/>
    <w:rsid w:val="376A627B"/>
    <w:rsid w:val="37817D55"/>
    <w:rsid w:val="382D3220"/>
    <w:rsid w:val="382D468F"/>
    <w:rsid w:val="3F681C00"/>
    <w:rsid w:val="404F6AF8"/>
    <w:rsid w:val="40531197"/>
    <w:rsid w:val="46455521"/>
    <w:rsid w:val="47770008"/>
    <w:rsid w:val="47E11605"/>
    <w:rsid w:val="497B5628"/>
    <w:rsid w:val="4CD414E7"/>
    <w:rsid w:val="4CEC3B7D"/>
    <w:rsid w:val="4D5E047D"/>
    <w:rsid w:val="4EA007EE"/>
    <w:rsid w:val="54A8612C"/>
    <w:rsid w:val="5BA24680"/>
    <w:rsid w:val="5C4B6886"/>
    <w:rsid w:val="5F850FEF"/>
    <w:rsid w:val="627C7BA4"/>
    <w:rsid w:val="6283172D"/>
    <w:rsid w:val="63885D0E"/>
    <w:rsid w:val="6572437E"/>
    <w:rsid w:val="65992C7D"/>
    <w:rsid w:val="69961C65"/>
    <w:rsid w:val="69E27F56"/>
    <w:rsid w:val="6B85082B"/>
    <w:rsid w:val="6C2C1A00"/>
    <w:rsid w:val="6D702027"/>
    <w:rsid w:val="71324F42"/>
    <w:rsid w:val="72DF1088"/>
    <w:rsid w:val="72E44913"/>
    <w:rsid w:val="72EE36FD"/>
    <w:rsid w:val="776E4A8B"/>
    <w:rsid w:val="78F93486"/>
    <w:rsid w:val="7D0849D1"/>
    <w:rsid w:val="7EA62918"/>
    <w:rsid w:val="7F5175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fillcolor="white">
      <v:fill color="white"/>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Body Text" w:semiHidden="0" w:unhideWhenUsed="0"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HTML Cite" w:semiHidden="0" w:qFormat="1"/>
    <w:lsdException w:name="HTML Code" w:semiHidden="0" w:qFormat="1"/>
    <w:lsdException w:name="HTML Definition" w:semiHidden="0" w:qFormat="1"/>
    <w:lsdException w:name="HTML Variable"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6B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4746B8"/>
    <w:pPr>
      <w:spacing w:beforeLines="30"/>
    </w:pPr>
    <w:rPr>
      <w:rFonts w:ascii="仿宋_GB2312" w:eastAsia="仿宋_GB2312"/>
      <w:kern w:val="0"/>
      <w:sz w:val="30"/>
    </w:rPr>
  </w:style>
  <w:style w:type="paragraph" w:styleId="a4">
    <w:name w:val="footer"/>
    <w:basedOn w:val="a"/>
    <w:link w:val="Char0"/>
    <w:uiPriority w:val="99"/>
    <w:unhideWhenUsed/>
    <w:qFormat/>
    <w:rsid w:val="004746B8"/>
    <w:pPr>
      <w:tabs>
        <w:tab w:val="center" w:pos="4153"/>
        <w:tab w:val="right" w:pos="8306"/>
      </w:tabs>
      <w:snapToGrid w:val="0"/>
      <w:jc w:val="left"/>
    </w:pPr>
    <w:rPr>
      <w:rFonts w:ascii="Calibri" w:hAnsi="Calibri"/>
      <w:kern w:val="0"/>
      <w:sz w:val="18"/>
      <w:szCs w:val="18"/>
    </w:rPr>
  </w:style>
  <w:style w:type="paragraph" w:styleId="a5">
    <w:name w:val="header"/>
    <w:basedOn w:val="a"/>
    <w:link w:val="Char1"/>
    <w:uiPriority w:val="99"/>
    <w:unhideWhenUsed/>
    <w:qFormat/>
    <w:rsid w:val="004746B8"/>
    <w:pPr>
      <w:pBdr>
        <w:bottom w:val="single" w:sz="6" w:space="1" w:color="auto"/>
      </w:pBdr>
      <w:tabs>
        <w:tab w:val="center" w:pos="4153"/>
        <w:tab w:val="right" w:pos="8306"/>
      </w:tabs>
      <w:snapToGrid w:val="0"/>
      <w:jc w:val="center"/>
    </w:pPr>
    <w:rPr>
      <w:rFonts w:ascii="Calibri" w:hAnsi="Calibri"/>
      <w:kern w:val="0"/>
      <w:sz w:val="18"/>
      <w:szCs w:val="18"/>
    </w:rPr>
  </w:style>
  <w:style w:type="paragraph" w:styleId="a6">
    <w:name w:val="Normal (Web)"/>
    <w:basedOn w:val="a"/>
    <w:uiPriority w:val="99"/>
    <w:unhideWhenUsed/>
    <w:qFormat/>
    <w:rsid w:val="004746B8"/>
    <w:pPr>
      <w:jc w:val="left"/>
    </w:pPr>
    <w:rPr>
      <w:kern w:val="0"/>
      <w:sz w:val="24"/>
    </w:rPr>
  </w:style>
  <w:style w:type="character" w:styleId="a7">
    <w:name w:val="Strong"/>
    <w:basedOn w:val="a0"/>
    <w:uiPriority w:val="22"/>
    <w:qFormat/>
    <w:rsid w:val="004746B8"/>
    <w:rPr>
      <w:b/>
    </w:rPr>
  </w:style>
  <w:style w:type="character" w:styleId="a8">
    <w:name w:val="FollowedHyperlink"/>
    <w:basedOn w:val="a0"/>
    <w:uiPriority w:val="99"/>
    <w:unhideWhenUsed/>
    <w:qFormat/>
    <w:rsid w:val="004746B8"/>
    <w:rPr>
      <w:color w:val="3665C3"/>
      <w:u w:val="none"/>
    </w:rPr>
  </w:style>
  <w:style w:type="character" w:styleId="a9">
    <w:name w:val="Emphasis"/>
    <w:basedOn w:val="a0"/>
    <w:uiPriority w:val="20"/>
    <w:qFormat/>
    <w:rsid w:val="004746B8"/>
  </w:style>
  <w:style w:type="character" w:styleId="HTML">
    <w:name w:val="HTML Definition"/>
    <w:basedOn w:val="a0"/>
    <w:uiPriority w:val="99"/>
    <w:unhideWhenUsed/>
    <w:qFormat/>
    <w:rsid w:val="004746B8"/>
  </w:style>
  <w:style w:type="character" w:styleId="HTML0">
    <w:name w:val="HTML Variable"/>
    <w:basedOn w:val="a0"/>
    <w:uiPriority w:val="99"/>
    <w:unhideWhenUsed/>
    <w:qFormat/>
    <w:rsid w:val="004746B8"/>
  </w:style>
  <w:style w:type="character" w:styleId="aa">
    <w:name w:val="Hyperlink"/>
    <w:basedOn w:val="a0"/>
    <w:uiPriority w:val="99"/>
    <w:unhideWhenUsed/>
    <w:qFormat/>
    <w:rsid w:val="004746B8"/>
    <w:rPr>
      <w:color w:val="3665C3"/>
      <w:u w:val="none"/>
    </w:rPr>
  </w:style>
  <w:style w:type="character" w:styleId="HTML1">
    <w:name w:val="HTML Code"/>
    <w:basedOn w:val="a0"/>
    <w:uiPriority w:val="99"/>
    <w:unhideWhenUsed/>
    <w:qFormat/>
    <w:rsid w:val="004746B8"/>
    <w:rPr>
      <w:rFonts w:ascii="Courier New" w:hAnsi="Courier New"/>
      <w:sz w:val="20"/>
    </w:rPr>
  </w:style>
  <w:style w:type="character" w:styleId="HTML2">
    <w:name w:val="HTML Cite"/>
    <w:basedOn w:val="a0"/>
    <w:uiPriority w:val="99"/>
    <w:unhideWhenUsed/>
    <w:qFormat/>
    <w:rsid w:val="004746B8"/>
  </w:style>
  <w:style w:type="character" w:customStyle="1" w:styleId="Char1">
    <w:name w:val="页眉 Char"/>
    <w:basedOn w:val="a0"/>
    <w:link w:val="a5"/>
    <w:uiPriority w:val="99"/>
    <w:semiHidden/>
    <w:qFormat/>
    <w:locked/>
    <w:rsid w:val="004746B8"/>
    <w:rPr>
      <w:sz w:val="18"/>
    </w:rPr>
  </w:style>
  <w:style w:type="character" w:customStyle="1" w:styleId="Char0">
    <w:name w:val="页脚 Char"/>
    <w:basedOn w:val="a0"/>
    <w:link w:val="a4"/>
    <w:uiPriority w:val="99"/>
    <w:qFormat/>
    <w:locked/>
    <w:rsid w:val="004746B8"/>
    <w:rPr>
      <w:sz w:val="18"/>
    </w:rPr>
  </w:style>
  <w:style w:type="character" w:customStyle="1" w:styleId="Char">
    <w:name w:val="正文文本 Char"/>
    <w:basedOn w:val="a0"/>
    <w:link w:val="a3"/>
    <w:uiPriority w:val="99"/>
    <w:qFormat/>
    <w:locked/>
    <w:rsid w:val="004746B8"/>
    <w:rPr>
      <w:rFonts w:ascii="仿宋_GB2312" w:eastAsia="仿宋_GB2312" w:hAnsi="Times New Roman"/>
      <w:sz w:val="24"/>
    </w:rPr>
  </w:style>
  <w:style w:type="paragraph" w:customStyle="1" w:styleId="Default">
    <w:name w:val="Default"/>
    <w:qFormat/>
    <w:rsid w:val="004746B8"/>
    <w:pPr>
      <w:widowControl w:val="0"/>
      <w:autoSpaceDE w:val="0"/>
      <w:autoSpaceDN w:val="0"/>
      <w:adjustRightInd w:val="0"/>
    </w:pPr>
    <w:rPr>
      <w:rFonts w:ascii="仿宋" w:eastAsia="仿宋" w:hAnsi="Calibri" w:cs="仿宋"/>
      <w:color w:val="000000"/>
      <w:sz w:val="24"/>
      <w:szCs w:val="24"/>
    </w:rPr>
  </w:style>
  <w:style w:type="character" w:customStyle="1" w:styleId="hover26">
    <w:name w:val="hover26"/>
    <w:basedOn w:val="a0"/>
    <w:qFormat/>
    <w:rsid w:val="004746B8"/>
  </w:style>
  <w:style w:type="character" w:customStyle="1" w:styleId="cur">
    <w:name w:val="cur"/>
    <w:basedOn w:val="a0"/>
    <w:qFormat/>
    <w:rsid w:val="004746B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Microsoft_Office_Excel_97-2003____1.xls"/><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2017&#20915;&#31639;&#25209;&#22797;&#21644;&#20844;&#24320;\2017&#24180;&#20915;&#31639;&#20844;&#31034;&#34920;---&#32534;&#21046;&#35828;&#26126;\99---&#21378;&#28330;&#20013;&#23398;2017&#37096;&#38376;&#20915;&#31639;&#32534;&#21046;&#35828;&#26126;2.dotx"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___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___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___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Office_Excel____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cap="none" spc="20" baseline="0">
                <a:solidFill>
                  <a:schemeClr val="tx1">
                    <a:lumMod val="50000"/>
                    <a:lumOff val="50000"/>
                  </a:schemeClr>
                </a:solidFill>
                <a:latin typeface="+mn-lt"/>
                <a:ea typeface="+mn-ea"/>
                <a:cs typeface="+mn-cs"/>
              </a:defRPr>
            </a:pPr>
            <a:r>
              <a:t>本年收入总额</a:t>
            </a:r>
          </a:p>
          <a:p>
            <a:pPr defTabSz="914400">
              <a:defRPr lang="zh-CN" sz="1400" b="0" i="0" u="none" strike="noStrike" kern="1200" cap="none" spc="20" baseline="0">
                <a:solidFill>
                  <a:schemeClr val="tx1">
                    <a:lumMod val="50000"/>
                    <a:lumOff val="50000"/>
                  </a:schemeClr>
                </a:solidFill>
                <a:latin typeface="+mn-lt"/>
                <a:ea typeface="+mn-ea"/>
                <a:cs typeface="+mn-cs"/>
              </a:defRPr>
            </a:pPr>
            <a:r>
              <a:rPr lang="en-US" altLang="zh-CN"/>
              <a:t>927.52</a:t>
            </a:r>
            <a:r>
              <a:t>万元</a:t>
            </a:r>
          </a:p>
        </c:rich>
      </c:tx>
      <c:layout>
        <c:manualLayout>
          <c:xMode val="edge"/>
          <c:yMode val="edge"/>
          <c:x val="0.34072218777065988"/>
          <c:y val="3.1142098607719364E-2"/>
        </c:manualLayout>
      </c:layout>
      <c:spPr>
        <a:noFill/>
        <a:ln w="25407">
          <a:noFill/>
        </a:ln>
      </c:spPr>
    </c:title>
    <c:plotArea>
      <c:layout/>
      <c:pieChart>
        <c:varyColors val="1"/>
        <c:ser>
          <c:idx val="0"/>
          <c:order val="0"/>
          <c:tx>
            <c:strRef>
              <c:f>Sheet1!$B$1</c:f>
              <c:strCache>
                <c:ptCount val="1"/>
                <c:pt idx="0">
                  <c:v>列1</c:v>
                </c:pt>
              </c:strCache>
            </c:strRef>
          </c:tx>
          <c:dPt>
            <c:idx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8" cap="flat" cmpd="sng" algn="ctr">
                <a:solidFill>
                  <a:schemeClr val="accent1">
                    <a:shade val="95000"/>
                  </a:schemeClr>
                </a:solidFill>
                <a:round/>
              </a:ln>
              <a:effectLst>
                <a:outerShdw blurRad="40000" dist="20000" dir="5400000" rotWithShape="0">
                  <a:srgbClr val="000000">
                    <a:alpha val="38000"/>
                  </a:srgbClr>
                </a:outerShdw>
              </a:effectLst>
            </c:spPr>
          </c:dPt>
          <c:dPt>
            <c:idx val="1"/>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8" cap="flat" cmpd="sng" algn="ctr">
                <a:solidFill>
                  <a:schemeClr val="accent2">
                    <a:shade val="95000"/>
                  </a:schemeClr>
                </a:solidFill>
                <a:round/>
              </a:ln>
              <a:effectLst>
                <a:outerShdw blurRad="40000" dist="20000" dir="5400000" rotWithShape="0">
                  <a:srgbClr val="000000">
                    <a:alpha val="38000"/>
                  </a:srgbClr>
                </a:outerShdw>
              </a:effectLst>
            </c:spPr>
          </c:dPt>
          <c:dLbls>
            <c:dLbl>
              <c:idx val="0"/>
              <c:layout>
                <c:manualLayout>
                  <c:x val="7.6875716097940293E-3"/>
                  <c:y val="-0.24229673868686927"/>
                </c:manualLayout>
              </c:layout>
              <c:dLblPos val="bestFit"/>
              <c:showVal val="1"/>
            </c:dLbl>
            <c:spPr>
              <a:noFill/>
              <a:ln w="25407">
                <a:noFill/>
              </a:ln>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Val val="1"/>
            <c:showLeaderLines val="1"/>
          </c:dLbls>
          <c:cat>
            <c:strRef>
              <c:f>Sheet1!$A$2:$A$4</c:f>
              <c:strCache>
                <c:ptCount val="3"/>
                <c:pt idx="0">
                  <c:v>公共财政补助拨款
1120.98万元</c:v>
                </c:pt>
                <c:pt idx="1">
                  <c:v>其他收入
0万元</c:v>
                </c:pt>
                <c:pt idx="2">
                  <c:v>事业收入 
0万元</c:v>
                </c:pt>
              </c:strCache>
            </c:strRef>
          </c:cat>
          <c:val>
            <c:numRef>
              <c:f>Sheet1!$B$2:$B$4</c:f>
              <c:numCache>
                <c:formatCode>General</c:formatCode>
                <c:ptCount val="3"/>
                <c:pt idx="0" formatCode="0%">
                  <c:v>1</c:v>
                </c:pt>
              </c:numCache>
            </c:numRef>
          </c:val>
        </c:ser>
        <c:dLbls>
          <c:showPercent val="1"/>
        </c:dLbls>
        <c:firstSliceAng val="0"/>
      </c:pieChart>
      <c:spPr>
        <a:noFill/>
        <a:ln w="25407">
          <a:noFill/>
        </a:ln>
      </c:spPr>
    </c:plotArea>
    <c:legend>
      <c:legendPos val="b"/>
      <c:layout>
        <c:manualLayout>
          <c:xMode val="edge"/>
          <c:yMode val="edge"/>
          <c:x val="0.15125379102888969"/>
          <c:y val="0.8456744549171229"/>
          <c:w val="0.75225680086300672"/>
          <c:h val="0.12664383940786203"/>
        </c:manualLayout>
      </c:layout>
      <c:spPr>
        <a:noFill/>
        <a:ln w="25407">
          <a:noFill/>
        </a:ln>
      </c:spPr>
      <c:txPr>
        <a:bodyPr rot="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endParaRPr lang="zh-CN"/>
        </a:p>
      </c:txPr>
    </c:legend>
    <c:plotVisOnly val="1"/>
    <c:dispBlanksAs val="zero"/>
  </c:chart>
  <c:spPr>
    <a:solidFill>
      <a:schemeClr val="bg1"/>
    </a:solidFill>
    <a:ln w="9528" cap="flat" cmpd="sng" algn="ctr">
      <a:solidFill>
        <a:schemeClr val="tx1">
          <a:lumMod val="15000"/>
          <a:lumOff val="85000"/>
        </a:schemeClr>
      </a:solidFill>
      <a:prstDash val="solid"/>
      <a:round/>
    </a:ln>
    <a:effectLst/>
  </c:spPr>
  <c:txPr>
    <a:bodyPr/>
    <a:lstStyle/>
    <a:p>
      <a:pPr>
        <a:defRPr lang="zh-CN"/>
      </a:pPr>
      <a:endParaRPr lang="zh-CN"/>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plotArea>
      <c:layout>
        <c:manualLayout>
          <c:layoutTarget val="inner"/>
          <c:xMode val="edge"/>
          <c:yMode val="edge"/>
          <c:x val="0.123547511312217"/>
          <c:y val="7.2583305839656914E-2"/>
          <c:w val="0.5350950226244362"/>
          <c:h val="0.76852523919498694"/>
        </c:manualLayout>
      </c:layout>
      <c:barChart>
        <c:barDir val="col"/>
        <c:grouping val="percentStacked"/>
        <c:ser>
          <c:idx val="1"/>
          <c:order val="0"/>
          <c:tx>
            <c:strRef>
              <c:f>Sheet1!$C$1</c:f>
              <c:strCache>
                <c:ptCount val="1"/>
                <c:pt idx="0">
                  <c:v>总决算减少金额（万元）</c:v>
                </c:pt>
              </c:strCache>
            </c:strRef>
          </c:tx>
          <c:spPr>
            <a:solidFill>
              <a:schemeClr val="accent6">
                <a:lumMod val="60000"/>
                <a:lumOff val="40000"/>
              </a:schemeClr>
            </a:solidFill>
            <a:ln>
              <a:noFill/>
            </a:ln>
            <a:effectLst/>
          </c:spPr>
          <c:dLbls>
            <c:spPr>
              <a:noFill/>
              <a:ln w="25504">
                <a:noFill/>
              </a:ln>
            </c:spPr>
            <c:txPr>
              <a:bodyPr rot="0" spcFirstLastPara="0" vertOverflow="ellipsis" vert="horz" wrap="square" lIns="38100" tIns="19050" rIns="38100" bIns="19050" anchor="ctr" anchorCtr="1"/>
              <a:lstStyle/>
              <a:p>
                <a:pPr>
                  <a:defRPr lang="zh-CN" sz="904" b="0" i="0" u="none" strike="noStrike" kern="1200" cap="none" spc="0" normalizeH="0" baseline="0">
                    <a:solidFill>
                      <a:srgbClr val="FF0000"/>
                    </a:solidFill>
                    <a:uFill>
                      <a:solidFill>
                        <a:schemeClr val="tx1">
                          <a:lumMod val="75000"/>
                          <a:lumOff val="25000"/>
                        </a:schemeClr>
                      </a:solidFill>
                    </a:uFill>
                    <a:latin typeface="+mn-lt"/>
                    <a:ea typeface="宋体" panose="02010600030101010101" charset="-122"/>
                    <a:cs typeface="+mn-cs"/>
                  </a:defRPr>
                </a:pPr>
                <a:endParaRPr lang="zh-CN"/>
              </a:p>
            </c:txPr>
            <c:dLblPos val="ctr"/>
            <c:showVal val="1"/>
          </c:dLbls>
          <c:cat>
            <c:strRef>
              <c:f>Sheet1!$A$2:$A$3</c:f>
              <c:strCache>
                <c:ptCount val="2"/>
                <c:pt idx="0">
                  <c:v>财政拨款收</c:v>
                </c:pt>
                <c:pt idx="1">
                  <c:v>财政拨款支</c:v>
                </c:pt>
              </c:strCache>
            </c:strRef>
          </c:cat>
          <c:val>
            <c:numRef>
              <c:f>Sheet1!$C$2:$C$3</c:f>
              <c:numCache>
                <c:formatCode>General</c:formatCode>
                <c:ptCount val="2"/>
                <c:pt idx="0">
                  <c:v>42.260000000000012</c:v>
                </c:pt>
                <c:pt idx="1">
                  <c:v>42.260000000000012</c:v>
                </c:pt>
              </c:numCache>
            </c:numRef>
          </c:val>
        </c:ser>
        <c:ser>
          <c:idx val="0"/>
          <c:order val="1"/>
          <c:tx>
            <c:strRef>
              <c:f>Sheet1!$B$1</c:f>
              <c:strCache>
                <c:ptCount val="1"/>
                <c:pt idx="0">
                  <c:v>2015年</c:v>
                </c:pt>
              </c:strCache>
            </c:strRef>
          </c:tx>
          <c:spPr>
            <a:solidFill>
              <a:schemeClr val="tx2">
                <a:lumMod val="40000"/>
                <a:lumOff val="60000"/>
              </a:schemeClr>
            </a:solidFill>
            <a:ln>
              <a:noFill/>
            </a:ln>
            <a:effectLst/>
          </c:spPr>
          <c:dLbls>
            <c:dLbl>
              <c:idx val="0"/>
              <c:tx>
                <c:rich>
                  <a:bodyPr/>
                  <a:lstStyle/>
                  <a:p>
                    <a:r>
                      <a:rPr lang="en-US" altLang="zh-CN"/>
                      <a:t>2016</a:t>
                    </a:r>
                    <a:r>
                      <a:rPr altLang="en-US"/>
                      <a:t>年</a:t>
                    </a:r>
                  </a:p>
                </c:rich>
              </c:tx>
              <c:dLblPos val="ctr"/>
            </c:dLbl>
            <c:dLbl>
              <c:idx val="1"/>
              <c:tx>
                <c:rich>
                  <a:bodyPr/>
                  <a:lstStyle/>
                  <a:p>
                    <a:r>
                      <a:rPr lang="en-US" altLang="zh-CN"/>
                      <a:t>2016</a:t>
                    </a:r>
                    <a:r>
                      <a:rPr altLang="en-US"/>
                      <a:t>年</a:t>
                    </a:r>
                  </a:p>
                </c:rich>
              </c:tx>
              <c:dLblPos val="ctr"/>
            </c:dLbl>
            <c:spPr>
              <a:noFill/>
              <a:ln w="25504">
                <a:noFill/>
              </a:ln>
            </c:spPr>
            <c:txPr>
              <a:bodyPr rot="0" spcFirstLastPara="0" vertOverflow="ellipsis" vert="horz" wrap="square" lIns="38100" tIns="19050" rIns="38100" bIns="19050" anchor="ctr" anchorCtr="1"/>
              <a:lstStyle/>
              <a:p>
                <a:pPr>
                  <a:defRPr lang="zh-CN" sz="904" b="0" i="0" u="none" strike="noStrike" kern="1200" baseline="0">
                    <a:solidFill>
                      <a:schemeClr val="tx1">
                        <a:lumMod val="75000"/>
                        <a:lumOff val="25000"/>
                      </a:schemeClr>
                    </a:solidFill>
                    <a:latin typeface="+mn-lt"/>
                    <a:ea typeface="+mn-ea"/>
                    <a:cs typeface="+mn-cs"/>
                  </a:defRPr>
                </a:pPr>
                <a:endParaRPr lang="zh-CN"/>
              </a:p>
            </c:txPr>
            <c:dLblPos val="ctr"/>
            <c:showVal val="1"/>
          </c:dLbls>
          <c:cat>
            <c:strRef>
              <c:f>Sheet1!$A$2:$A$3</c:f>
              <c:strCache>
                <c:ptCount val="2"/>
                <c:pt idx="0">
                  <c:v>财政拨款收</c:v>
                </c:pt>
                <c:pt idx="1">
                  <c:v>财政拨款支</c:v>
                </c:pt>
              </c:strCache>
            </c:strRef>
          </c:cat>
          <c:val>
            <c:numRef>
              <c:f>Sheet1!$B$2:$B$3</c:f>
              <c:numCache>
                <c:formatCode>General</c:formatCode>
                <c:ptCount val="2"/>
                <c:pt idx="0">
                  <c:v>1184.94</c:v>
                </c:pt>
                <c:pt idx="1">
                  <c:v>1184.94</c:v>
                </c:pt>
              </c:numCache>
            </c:numRef>
          </c:val>
        </c:ser>
        <c:dLbls>
          <c:showVal val="1"/>
        </c:dLbls>
        <c:overlap val="100"/>
        <c:axId val="166425344"/>
        <c:axId val="166426880"/>
      </c:barChart>
      <c:catAx>
        <c:axId val="166425344"/>
        <c:scaling>
          <c:orientation val="minMax"/>
        </c:scaling>
        <c:axPos val="b"/>
        <c:numFmt formatCode="General" sourceLinked="1"/>
        <c:majorTickMark val="none"/>
        <c:tickLblPos val="nextTo"/>
        <c:spPr>
          <a:noFill/>
          <a:ln w="9564"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4" b="1" i="0" u="none" strike="noStrike" kern="1200" cap="none" spc="0" normalizeH="0" baseline="0">
                <a:solidFill>
                  <a:schemeClr val="tx1"/>
                </a:solidFill>
                <a:uFill>
                  <a:solidFill>
                    <a:schemeClr val="tx1">
                      <a:lumMod val="65000"/>
                      <a:lumOff val="35000"/>
                    </a:schemeClr>
                  </a:solidFill>
                </a:uFill>
                <a:latin typeface="+mn-lt"/>
                <a:ea typeface="+mn-ea"/>
                <a:cs typeface="+mn-cs"/>
              </a:defRPr>
            </a:pPr>
            <a:endParaRPr lang="zh-CN"/>
          </a:p>
        </c:txPr>
        <c:crossAx val="166426880"/>
        <c:crosses val="autoZero"/>
        <c:auto val="1"/>
        <c:lblAlgn val="ctr"/>
        <c:lblOffset val="100"/>
      </c:catAx>
      <c:valAx>
        <c:axId val="166426880"/>
        <c:scaling>
          <c:orientation val="minMax"/>
        </c:scaling>
        <c:axPos val="l"/>
        <c:majorGridlines>
          <c:spPr>
            <a:ln w="9564" cap="flat" cmpd="sng" algn="ctr">
              <a:solidFill>
                <a:schemeClr val="tx1">
                  <a:lumMod val="15000"/>
                  <a:lumOff val="85000"/>
                </a:schemeClr>
              </a:solidFill>
              <a:prstDash val="solid"/>
              <a:round/>
            </a:ln>
            <a:effectLst/>
          </c:spPr>
        </c:majorGridlines>
        <c:numFmt formatCode="0%" sourceLinked="1"/>
        <c:majorTickMark val="none"/>
        <c:tickLblPos val="nextTo"/>
        <c:spPr>
          <a:ln w="9564">
            <a:noFill/>
          </a:ln>
        </c:spPr>
        <c:txPr>
          <a:bodyPr rot="-60000000" spcFirstLastPara="0" vertOverflow="ellipsis" vert="horz" wrap="square" anchor="ctr" anchorCtr="1"/>
          <a:lstStyle/>
          <a:p>
            <a:pPr>
              <a:defRPr lang="zh-CN" sz="904" b="0" i="0" u="none" strike="noStrike" kern="1200" baseline="0">
                <a:solidFill>
                  <a:schemeClr val="tx1">
                    <a:lumMod val="65000"/>
                    <a:lumOff val="35000"/>
                  </a:schemeClr>
                </a:solidFill>
                <a:latin typeface="+mn-lt"/>
                <a:ea typeface="+mn-ea"/>
                <a:cs typeface="+mn-cs"/>
              </a:defRPr>
            </a:pPr>
            <a:endParaRPr lang="zh-CN"/>
          </a:p>
        </c:txPr>
        <c:crossAx val="166425344"/>
        <c:crosses val="autoZero"/>
        <c:crossBetween val="between"/>
      </c:valAx>
      <c:spPr>
        <a:noFill/>
        <a:ln w="25504">
          <a:noFill/>
        </a:ln>
      </c:spPr>
    </c:plotArea>
    <c:legend>
      <c:legendPos val="r"/>
      <c:legendEntry>
        <c:idx val="1"/>
        <c:txPr>
          <a:bodyPr rot="0" spcFirstLastPara="0" vertOverflow="ellipsis" vert="horz" wrap="square" anchor="ctr" anchorCtr="1"/>
          <a:lstStyle/>
          <a:p>
            <a:pPr>
              <a:defRPr lang="zh-CN" sz="904" b="1" i="0" u="none" strike="noStrike" kern="1200" cap="none" spc="0" normalizeH="0" baseline="0">
                <a:solidFill>
                  <a:schemeClr val="tx1"/>
                </a:solidFill>
                <a:uFill>
                  <a:solidFill>
                    <a:schemeClr val="tx1">
                      <a:lumMod val="65000"/>
                      <a:lumOff val="35000"/>
                    </a:schemeClr>
                  </a:solidFill>
                </a:uFill>
                <a:latin typeface="+mn-lt"/>
                <a:ea typeface="+mn-ea"/>
                <a:cs typeface="+mn-cs"/>
              </a:defRPr>
            </a:pPr>
            <a:endParaRPr lang="zh-CN"/>
          </a:p>
        </c:txPr>
      </c:legendEntry>
      <c:legendEntry>
        <c:idx val="0"/>
        <c:txPr>
          <a:bodyPr rot="0" spcFirstLastPara="0" vertOverflow="ellipsis" vert="horz" wrap="square" anchor="ctr" anchorCtr="1"/>
          <a:lstStyle/>
          <a:p>
            <a:pPr>
              <a:defRPr lang="zh-CN" sz="904" b="1" i="0" u="none" strike="noStrike" kern="1200" cap="none" spc="0" normalizeH="0" baseline="0">
                <a:solidFill>
                  <a:schemeClr val="tx1"/>
                </a:solidFill>
                <a:uFill>
                  <a:solidFill>
                    <a:schemeClr val="tx1">
                      <a:lumMod val="65000"/>
                      <a:lumOff val="35000"/>
                    </a:schemeClr>
                  </a:solidFill>
                </a:uFill>
                <a:latin typeface="+mn-lt"/>
                <a:ea typeface="+mn-ea"/>
                <a:cs typeface="+mn-cs"/>
              </a:defRPr>
            </a:pPr>
            <a:endParaRPr lang="zh-CN"/>
          </a:p>
        </c:txPr>
      </c:legendEntry>
      <c:spPr>
        <a:noFill/>
        <a:ln w="25504">
          <a:noFill/>
        </a:ln>
      </c:spPr>
      <c:txPr>
        <a:bodyPr rot="0" spcFirstLastPara="0" vertOverflow="ellipsis" vert="horz" wrap="square" anchor="ctr" anchorCtr="1"/>
        <a:lstStyle/>
        <a:p>
          <a:pPr>
            <a:defRPr lang="zh-CN" sz="904" b="0" i="0" u="none" strike="noStrike" kern="1200" cap="none" spc="0" normalizeH="0" baseline="0">
              <a:solidFill>
                <a:srgbClr val="00B050"/>
              </a:solidFill>
              <a:uFill>
                <a:solidFill>
                  <a:schemeClr val="tx1">
                    <a:lumMod val="65000"/>
                    <a:lumOff val="35000"/>
                  </a:schemeClr>
                </a:solidFill>
              </a:uFill>
              <a:latin typeface="+mn-lt"/>
              <a:ea typeface="+mn-ea"/>
              <a:cs typeface="+mn-cs"/>
            </a:defRPr>
          </a:pPr>
          <a:endParaRPr lang="zh-CN"/>
        </a:p>
      </c:txPr>
    </c:legend>
    <c:plotVisOnly val="1"/>
    <c:dispBlanksAs val="gap"/>
  </c:chart>
  <c:spPr>
    <a:solidFill>
      <a:schemeClr val="bg1"/>
    </a:solidFill>
    <a:ln w="9564" cap="flat" cmpd="sng" algn="ctr">
      <a:solidFill>
        <a:schemeClr val="tx1">
          <a:lumMod val="15000"/>
          <a:lumOff val="85000"/>
        </a:schemeClr>
      </a:solidFill>
      <a:prstDash val="solid"/>
      <a:round/>
    </a:ln>
    <a:effectLst/>
  </c:spPr>
  <c:txPr>
    <a:bodyPr/>
    <a:lstStyle/>
    <a:p>
      <a:pPr>
        <a:defRPr lang="zh-CN"/>
      </a:pPr>
      <a:endParaRPr lang="zh-CN"/>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47" b="0" i="0" u="none" strike="noStrike" kern="1200" spc="0" baseline="0">
                <a:solidFill>
                  <a:schemeClr val="tx1">
                    <a:lumMod val="65000"/>
                    <a:lumOff val="35000"/>
                  </a:schemeClr>
                </a:solidFill>
                <a:latin typeface="+mn-lt"/>
                <a:ea typeface="+mn-ea"/>
                <a:cs typeface="+mn-cs"/>
              </a:defRPr>
            </a:pPr>
            <a:r>
              <a:rPr sz="1407" b="1">
                <a:solidFill>
                  <a:schemeClr val="tx1"/>
                </a:solidFill>
                <a:uFillTx/>
                <a:latin typeface="+mj-ea"/>
              </a:rPr>
              <a:t>201</a:t>
            </a:r>
            <a:r>
              <a:rPr lang="en-US" altLang="zh-CN" sz="1407" b="1">
                <a:solidFill>
                  <a:schemeClr val="tx1"/>
                </a:solidFill>
                <a:uFillTx/>
                <a:latin typeface="+mj-ea"/>
              </a:rPr>
              <a:t>7</a:t>
            </a:r>
            <a:r>
              <a:rPr sz="1407" b="1">
                <a:solidFill>
                  <a:schemeClr val="tx1"/>
                </a:solidFill>
                <a:uFillTx/>
                <a:latin typeface="+mj-ea"/>
              </a:rPr>
              <a:t>年一般公共预</a:t>
            </a:r>
            <a:r>
              <a:rPr b="1">
                <a:solidFill>
                  <a:schemeClr val="tx1"/>
                </a:solidFill>
                <a:latin typeface="+mj-ea"/>
              </a:rPr>
              <a:t>算财政拨款支出</a:t>
            </a:r>
          </a:p>
        </c:rich>
      </c:tx>
      <c:layout>
        <c:manualLayout>
          <c:xMode val="edge"/>
          <c:yMode val="edge"/>
          <c:x val="0.22835998120322296"/>
          <c:y val="3.63197272754699E-2"/>
        </c:manualLayout>
      </c:layout>
      <c:spPr>
        <a:noFill/>
        <a:ln w="25529">
          <a:noFill/>
        </a:ln>
      </c:spPr>
    </c:title>
    <c:plotArea>
      <c:layout/>
      <c:pieChart>
        <c:varyColors val="1"/>
        <c:ser>
          <c:idx val="0"/>
          <c:order val="0"/>
          <c:spPr>
            <a:solidFill>
              <a:schemeClr val="accent6">
                <a:lumMod val="60000"/>
                <a:lumOff val="40000"/>
              </a:schemeClr>
            </a:solidFill>
          </c:spPr>
          <c:dPt>
            <c:idx val="0"/>
            <c:spPr>
              <a:solidFill>
                <a:schemeClr val="accent6">
                  <a:lumMod val="60000"/>
                  <a:lumOff val="40000"/>
                </a:schemeClr>
              </a:solidFill>
              <a:ln w="19147">
                <a:solidFill>
                  <a:schemeClr val="lt1"/>
                </a:solidFill>
              </a:ln>
              <a:effectLst/>
            </c:spPr>
          </c:dPt>
          <c:dPt>
            <c:idx val="1"/>
            <c:spPr>
              <a:gradFill>
                <a:gsLst>
                  <a:gs pos="0">
                    <a:srgbClr val="FE4444"/>
                  </a:gs>
                  <a:gs pos="100000">
                    <a:srgbClr val="832B2B"/>
                  </a:gs>
                </a:gsLst>
                <a:lin ang="16200000" scaled="0"/>
              </a:gradFill>
              <a:ln w="19147">
                <a:solidFill>
                  <a:schemeClr val="lt1"/>
                </a:solidFill>
              </a:ln>
              <a:effectLst/>
            </c:spPr>
          </c:dPt>
          <c:dPt>
            <c:idx val="2"/>
            <c:spPr>
              <a:solidFill>
                <a:schemeClr val="accent2">
                  <a:lumMod val="40000"/>
                  <a:lumOff val="60000"/>
                </a:schemeClr>
              </a:solidFill>
              <a:ln w="19147">
                <a:solidFill>
                  <a:schemeClr val="lt1"/>
                </a:solidFill>
              </a:ln>
              <a:effectLst/>
            </c:spPr>
          </c:dPt>
          <c:dPt>
            <c:idx val="3"/>
            <c:spPr>
              <a:solidFill>
                <a:schemeClr val="tx2">
                  <a:lumMod val="60000"/>
                  <a:lumOff val="40000"/>
                </a:schemeClr>
              </a:solidFill>
              <a:ln w="19147">
                <a:solidFill>
                  <a:schemeClr val="lt1"/>
                </a:solidFill>
              </a:ln>
              <a:effectLst/>
            </c:spPr>
          </c:dPt>
          <c:dLbls>
            <c:dLbl>
              <c:idx val="0"/>
              <c:layout>
                <c:manualLayout>
                  <c:x val="-0.19339345231988"/>
                  <c:y val="-0.31891851732850973"/>
                </c:manualLayout>
              </c:layout>
              <c:tx>
                <c:rich>
                  <a:bodyPr rot="0" spcFirstLastPara="0" vertOverflow="ellipsis" vert="horz" wrap="square" lIns="38100" tIns="19050" rIns="38100" bIns="19050" anchor="ctr" anchorCtr="1"/>
                  <a:lstStyle/>
                  <a:p>
                    <a:pPr defTabSz="914400">
                      <a:defRPr lang="zh-CN" sz="1206" b="0" i="0" u="none" strike="noStrike" kern="1200" cap="none" spc="0" normalizeH="0" baseline="0">
                        <a:solidFill>
                          <a:schemeClr val="tx1"/>
                        </a:solidFill>
                        <a:uFill>
                          <a:solidFill>
                            <a:schemeClr val="tx1">
                              <a:lumMod val="65000"/>
                              <a:lumOff val="35000"/>
                            </a:schemeClr>
                          </a:solidFill>
                        </a:uFill>
                        <a:latin typeface="+mn-lt"/>
                        <a:ea typeface="+mn-ea"/>
                        <a:cs typeface="+mn-cs"/>
                      </a:defRPr>
                    </a:pPr>
                    <a:r>
                      <a:rPr lang="en-US" altLang="zh-CN" sz="1206"/>
                      <a:t>83.58</a:t>
                    </a:r>
                    <a:r>
                      <a:rPr sz="1206"/>
                      <a:t>%</a:t>
                    </a:r>
                  </a:p>
                </c:rich>
              </c:tx>
              <c:spPr>
                <a:noFill/>
                <a:ln w="25529">
                  <a:noFill/>
                </a:ln>
              </c:spPr>
              <c:dLblPos val="bestFit"/>
            </c:dLbl>
            <c:dLbl>
              <c:idx val="1"/>
              <c:layout>
                <c:manualLayout>
                  <c:x val="7.5339011634734734E-2"/>
                  <c:y val="0.107655906090647"/>
                </c:manualLayout>
              </c:layout>
              <c:tx>
                <c:rich>
                  <a:bodyPr rot="0" spcFirstLastPara="0" vertOverflow="ellipsis" vert="horz" wrap="square" lIns="38100" tIns="19050" rIns="38100" bIns="19050" anchor="ctr" anchorCtr="1"/>
                  <a:lstStyle/>
                  <a:p>
                    <a:pPr defTabSz="914400">
                      <a:defRPr lang="zh-CN" sz="1005" b="0" i="0" u="none" strike="noStrike" kern="1200" cap="none" spc="0" normalizeH="0" baseline="0">
                        <a:solidFill>
                          <a:schemeClr val="tx1"/>
                        </a:solidFill>
                        <a:uFill>
                          <a:solidFill>
                            <a:schemeClr val="tx1">
                              <a:lumMod val="65000"/>
                              <a:lumOff val="35000"/>
                            </a:schemeClr>
                          </a:solidFill>
                        </a:uFill>
                        <a:latin typeface="+mn-lt"/>
                        <a:ea typeface="+mn-ea"/>
                        <a:cs typeface="+mn-cs"/>
                      </a:defRPr>
                    </a:pPr>
                    <a:r>
                      <a:rPr lang="en-US" altLang="zh-CN"/>
                      <a:t>9.06</a:t>
                    </a:r>
                    <a:r>
                      <a:t>%</a:t>
                    </a:r>
                  </a:p>
                </c:rich>
              </c:tx>
              <c:spPr>
                <a:noFill/>
                <a:ln w="25529">
                  <a:noFill/>
                </a:ln>
              </c:spPr>
              <c:dLblPos val="bestFit"/>
            </c:dLbl>
            <c:dLbl>
              <c:idx val="2"/>
              <c:layout>
                <c:manualLayout>
                  <c:x val="4.5894533296132842E-2"/>
                  <c:y val="0.11545241561546186"/>
                </c:manualLayout>
              </c:layout>
              <c:tx>
                <c:rich>
                  <a:bodyPr rot="0" spcFirstLastPara="0" vertOverflow="ellipsis" vert="horz" wrap="square" lIns="38100" tIns="19050" rIns="38100" bIns="19050" anchor="ctr" anchorCtr="1"/>
                  <a:lstStyle/>
                  <a:p>
                    <a:pPr defTabSz="914400">
                      <a:defRPr lang="zh-CN" sz="1005" b="0" i="0" u="none" strike="noStrike" kern="1200" cap="none" spc="0" normalizeH="0" baseline="0">
                        <a:solidFill>
                          <a:schemeClr val="tx1"/>
                        </a:solidFill>
                        <a:uFill>
                          <a:solidFill>
                            <a:schemeClr val="tx1">
                              <a:lumMod val="65000"/>
                              <a:lumOff val="35000"/>
                            </a:schemeClr>
                          </a:solidFill>
                        </a:uFill>
                        <a:latin typeface="+mn-lt"/>
                        <a:ea typeface="+mn-ea"/>
                        <a:cs typeface="+mn-cs"/>
                      </a:defRPr>
                    </a:pPr>
                    <a:r>
                      <a:rPr lang="en-US" altLang="zh-CN"/>
                      <a:t>2.65</a:t>
                    </a:r>
                    <a:r>
                      <a:t>%</a:t>
                    </a:r>
                  </a:p>
                </c:rich>
              </c:tx>
              <c:spPr>
                <a:noFill/>
                <a:ln w="25529">
                  <a:noFill/>
                </a:ln>
              </c:spPr>
              <c:dLblPos val="bestFit"/>
            </c:dLbl>
            <c:dLbl>
              <c:idx val="3"/>
              <c:layout>
                <c:manualLayout>
                  <c:x val="2.3407786469755137E-2"/>
                  <c:y val="7.9386821294909718E-2"/>
                </c:manualLayout>
              </c:layout>
              <c:tx>
                <c:rich>
                  <a:bodyPr/>
                  <a:lstStyle/>
                  <a:p>
                    <a:r>
                      <a:rPr lang="en-US" altLang="zh-CN"/>
                      <a:t>4.71</a:t>
                    </a:r>
                    <a:r>
                      <a:t>%</a:t>
                    </a:r>
                  </a:p>
                </c:rich>
              </c:tx>
              <c:dLblPos val="bestFit"/>
            </c:dLbl>
            <c:spPr>
              <a:noFill/>
              <a:ln w="25529">
                <a:noFill/>
              </a:ln>
            </c:spPr>
            <c:txPr>
              <a:bodyPr rot="0" spcFirstLastPara="0" vertOverflow="ellipsis" vert="horz" wrap="square" lIns="38100" tIns="19050" rIns="38100" bIns="19050" anchor="ctr" anchorCtr="1"/>
              <a:lstStyle/>
              <a:p>
                <a:pPr>
                  <a:defRPr lang="zh-CN" sz="1005" b="0" i="0" u="none" strike="noStrike" kern="1200" cap="none" spc="0" normalizeH="0" baseline="0">
                    <a:solidFill>
                      <a:schemeClr val="tx1"/>
                    </a:solidFill>
                    <a:uFill>
                      <a:solidFill>
                        <a:schemeClr val="tx1">
                          <a:lumMod val="65000"/>
                          <a:lumOff val="35000"/>
                        </a:schemeClr>
                      </a:solidFill>
                    </a:uFill>
                    <a:latin typeface="+mn-lt"/>
                    <a:ea typeface="+mn-ea"/>
                    <a:cs typeface="+mn-cs"/>
                  </a:defRPr>
                </a:pPr>
                <a:endParaRPr lang="zh-CN"/>
              </a:p>
            </c:txPr>
            <c:dLblPos val="inEnd"/>
            <c:showPercent val="1"/>
            <c:showLeaderLines val="1"/>
          </c:dLbls>
          <c:cat>
            <c:strRef>
              <c:f>Sheet1!$A$2:$A$5</c:f>
              <c:strCache>
                <c:ptCount val="4"/>
                <c:pt idx="0">
                  <c:v>教育支出</c:v>
                </c:pt>
                <c:pt idx="1">
                  <c:v>社会保障和就业支出</c:v>
                </c:pt>
                <c:pt idx="2">
                  <c:v>医疗卫生支出</c:v>
                </c:pt>
                <c:pt idx="3">
                  <c:v>住房保障支出</c:v>
                </c:pt>
              </c:strCache>
            </c:strRef>
          </c:cat>
          <c:val>
            <c:numRef>
              <c:f>Sheet1!$B$2:$B$5</c:f>
              <c:numCache>
                <c:formatCode>General</c:formatCode>
                <c:ptCount val="4"/>
                <c:pt idx="0">
                  <c:v>932.78000000000043</c:v>
                </c:pt>
                <c:pt idx="1">
                  <c:v>101.09</c:v>
                </c:pt>
                <c:pt idx="2">
                  <c:v>29.53</c:v>
                </c:pt>
                <c:pt idx="3">
                  <c:v>52.58</c:v>
                </c:pt>
              </c:numCache>
            </c:numRef>
          </c:val>
        </c:ser>
        <c:dLbls>
          <c:showPercent val="1"/>
        </c:dLbls>
        <c:firstSliceAng val="0"/>
      </c:pieChart>
      <c:spPr>
        <a:noFill/>
        <a:ln w="25529">
          <a:noFill/>
        </a:ln>
      </c:spPr>
    </c:plotArea>
    <c:legend>
      <c:legendPos val="r"/>
      <c:legendEntry>
        <c:idx val="0"/>
        <c:txPr>
          <a:bodyPr rot="0" spcFirstLastPara="0" vertOverflow="ellipsis" vert="horz" wrap="square" anchor="ctr" anchorCtr="1"/>
          <a:lstStyle/>
          <a:p>
            <a:pPr>
              <a:defRPr lang="zh-CN" sz="905" b="0" i="0" u="none" strike="noStrike" kern="1200" cap="none" spc="0" normalizeH="0" baseline="0">
                <a:solidFill>
                  <a:schemeClr val="tx1"/>
                </a:solidFill>
                <a:uFill>
                  <a:solidFill>
                    <a:schemeClr val="tx1">
                      <a:lumMod val="65000"/>
                      <a:lumOff val="35000"/>
                    </a:schemeClr>
                  </a:solidFill>
                </a:uFill>
                <a:latin typeface="+mn-lt"/>
                <a:ea typeface="+mn-ea"/>
                <a:cs typeface="+mn-cs"/>
              </a:defRPr>
            </a:pPr>
            <a:endParaRPr lang="zh-CN"/>
          </a:p>
        </c:txPr>
      </c:legendEntry>
      <c:legendEntry>
        <c:idx val="1"/>
        <c:txPr>
          <a:bodyPr rot="0" spcFirstLastPara="0" vertOverflow="ellipsis" vert="horz" wrap="square" anchor="ctr" anchorCtr="1"/>
          <a:lstStyle/>
          <a:p>
            <a:pPr>
              <a:defRPr lang="zh-CN" sz="905" b="0" i="0" u="none" strike="noStrike" kern="1200" cap="none" spc="0" normalizeH="0" baseline="0">
                <a:solidFill>
                  <a:schemeClr val="tx1"/>
                </a:solidFill>
                <a:uFill>
                  <a:solidFill>
                    <a:schemeClr val="tx1">
                      <a:lumMod val="65000"/>
                      <a:lumOff val="35000"/>
                    </a:schemeClr>
                  </a:solidFill>
                </a:uFill>
                <a:latin typeface="+mn-lt"/>
                <a:ea typeface="+mn-ea"/>
                <a:cs typeface="+mn-cs"/>
              </a:defRPr>
            </a:pPr>
            <a:endParaRPr lang="zh-CN"/>
          </a:p>
        </c:txPr>
      </c:legendEntry>
      <c:legendEntry>
        <c:idx val="2"/>
        <c:txPr>
          <a:bodyPr rot="0" spcFirstLastPara="0" vertOverflow="ellipsis" vert="horz" wrap="square" anchor="ctr" anchorCtr="1"/>
          <a:lstStyle/>
          <a:p>
            <a:pPr>
              <a:defRPr lang="zh-CN" sz="905" b="0" i="0" u="none" strike="noStrike" kern="1200" cap="none" spc="0" normalizeH="0" baseline="0">
                <a:solidFill>
                  <a:schemeClr val="tx1"/>
                </a:solidFill>
                <a:uFill>
                  <a:solidFill>
                    <a:schemeClr val="tx1">
                      <a:lumMod val="65000"/>
                      <a:lumOff val="35000"/>
                    </a:schemeClr>
                  </a:solidFill>
                </a:uFill>
                <a:latin typeface="+mn-lt"/>
                <a:ea typeface="+mn-ea"/>
                <a:cs typeface="+mn-cs"/>
              </a:defRPr>
            </a:pPr>
            <a:endParaRPr lang="zh-CN"/>
          </a:p>
        </c:txPr>
      </c:legendEntry>
      <c:legendEntry>
        <c:idx val="3"/>
        <c:txPr>
          <a:bodyPr rot="0" spcFirstLastPara="0" vertOverflow="ellipsis" vert="horz" wrap="square" anchor="ctr" anchorCtr="1"/>
          <a:lstStyle/>
          <a:p>
            <a:pPr>
              <a:defRPr lang="zh-CN" sz="905" b="0" i="0" u="none" strike="noStrike" kern="1200" cap="none" spc="0" normalizeH="0" baseline="0">
                <a:solidFill>
                  <a:schemeClr val="tx1"/>
                </a:solidFill>
                <a:uFill>
                  <a:solidFill>
                    <a:schemeClr val="tx1">
                      <a:lumMod val="65000"/>
                      <a:lumOff val="35000"/>
                    </a:schemeClr>
                  </a:solidFill>
                </a:uFill>
                <a:latin typeface="+mn-lt"/>
                <a:ea typeface="+mn-ea"/>
                <a:cs typeface="+mn-cs"/>
              </a:defRPr>
            </a:pPr>
            <a:endParaRPr lang="zh-CN"/>
          </a:p>
        </c:txPr>
      </c:legendEntry>
      <c:layout>
        <c:manualLayout>
          <c:xMode val="edge"/>
          <c:yMode val="edge"/>
          <c:wMode val="edge"/>
          <c:hMode val="edge"/>
          <c:x val="0.69974372199108303"/>
          <c:y val="0.24026819923371648"/>
          <c:w val="0.99131543054934734"/>
          <c:h val="0.68169125411047859"/>
        </c:manualLayout>
      </c:layout>
      <c:spPr>
        <a:noFill/>
        <a:ln w="25529">
          <a:noFill/>
        </a:ln>
      </c:spPr>
      <c:txPr>
        <a:bodyPr rot="0" spcFirstLastPara="0" vertOverflow="ellipsis" vert="horz" wrap="square" anchor="ctr" anchorCtr="1"/>
        <a:lstStyle/>
        <a:p>
          <a:pPr>
            <a:defRPr lang="zh-CN" sz="905" b="0" i="0" u="none" strike="noStrike" kern="1200" cap="none" spc="0" normalizeH="0" baseline="0">
              <a:solidFill>
                <a:schemeClr val="tx1"/>
              </a:solidFill>
              <a:uFill>
                <a:solidFill>
                  <a:schemeClr val="tx1">
                    <a:lumMod val="65000"/>
                    <a:lumOff val="35000"/>
                  </a:schemeClr>
                </a:solidFill>
              </a:uFill>
              <a:latin typeface="+mn-lt"/>
              <a:ea typeface="+mn-ea"/>
              <a:cs typeface="+mn-cs"/>
            </a:defRPr>
          </a:pPr>
          <a:endParaRPr lang="zh-CN"/>
        </a:p>
      </c:txPr>
    </c:legend>
    <c:plotVisOnly val="1"/>
    <c:dispBlanksAs val="zero"/>
  </c:chart>
  <c:spPr>
    <a:solidFill>
      <a:schemeClr val="bg1"/>
    </a:solidFill>
    <a:ln w="9573" cap="flat" cmpd="sng" algn="ctr">
      <a:solidFill>
        <a:schemeClr val="tx1">
          <a:lumMod val="15000"/>
          <a:lumOff val="85000"/>
        </a:schemeClr>
      </a:solidFill>
      <a:prstDash val="solid"/>
      <a:round/>
    </a:ln>
    <a:effectLst/>
  </c:spPr>
  <c:txPr>
    <a:bodyPr/>
    <a:lstStyle/>
    <a:p>
      <a:pPr>
        <a:defRPr lang="zh-CN"/>
      </a:pPr>
      <a:endParaRPr lang="zh-CN"/>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7" b="0" i="0" u="none" strike="noStrike" kern="1200" spc="0" baseline="0">
                <a:solidFill>
                  <a:schemeClr val="tx1">
                    <a:lumMod val="65000"/>
                    <a:lumOff val="35000"/>
                  </a:schemeClr>
                </a:solidFill>
                <a:latin typeface="+mn-lt"/>
                <a:ea typeface="+mn-ea"/>
                <a:cs typeface="+mn-cs"/>
              </a:defRPr>
            </a:pPr>
            <a:r>
              <a:rPr lang="en-US" altLang="zh-CN" b="1">
                <a:latin typeface="+mj-ea"/>
              </a:rPr>
              <a:t>“</a:t>
            </a:r>
            <a:r>
              <a:rPr b="1">
                <a:latin typeface="+mj-ea"/>
              </a:rPr>
              <a:t>三公</a:t>
            </a:r>
            <a:r>
              <a:rPr lang="en-US" altLang="zh-CN" b="1">
                <a:latin typeface="+mj-ea"/>
              </a:rPr>
              <a:t>”</a:t>
            </a:r>
            <a:r>
              <a:rPr altLang="en-US" b="1">
                <a:latin typeface="+mj-ea"/>
              </a:rPr>
              <a:t>经费财政拨款支出</a:t>
            </a:r>
          </a:p>
        </c:rich>
      </c:tx>
      <c:spPr>
        <a:noFill/>
        <a:ln w="25535">
          <a:noFill/>
        </a:ln>
      </c:spPr>
    </c:title>
    <c:plotArea>
      <c:layout/>
      <c:pieChart>
        <c:varyColors val="1"/>
        <c:ser>
          <c:idx val="0"/>
          <c:order val="0"/>
          <c:tx>
            <c:strRef>
              <c:f>Sheet1!$B$1</c:f>
              <c:strCache>
                <c:ptCount val="1"/>
                <c:pt idx="0">
                  <c:v>销售额</c:v>
                </c:pt>
              </c:strCache>
            </c:strRef>
          </c:tx>
          <c:dPt>
            <c:idx val="0"/>
            <c:spPr>
              <a:solidFill>
                <a:schemeClr val="accent1"/>
              </a:solidFill>
              <a:ln w="19151">
                <a:solidFill>
                  <a:schemeClr val="lt1"/>
                </a:solidFill>
              </a:ln>
              <a:effectLst/>
            </c:spPr>
          </c:dPt>
          <c:dPt>
            <c:idx val="1"/>
            <c:spPr>
              <a:solidFill>
                <a:schemeClr val="accent2"/>
              </a:solidFill>
              <a:ln w="19151">
                <a:solidFill>
                  <a:schemeClr val="lt1"/>
                </a:solidFill>
              </a:ln>
              <a:effectLst/>
            </c:spPr>
          </c:dPt>
          <c:dPt>
            <c:idx val="2"/>
            <c:spPr>
              <a:solidFill>
                <a:schemeClr val="accent3"/>
              </a:solidFill>
              <a:ln w="19151">
                <a:solidFill>
                  <a:schemeClr val="lt1"/>
                </a:solidFill>
              </a:ln>
              <a:effectLst/>
            </c:spPr>
          </c:dPt>
          <c:dLbls>
            <c:dLbl>
              <c:idx val="2"/>
              <c:layout>
                <c:manualLayout>
                  <c:x val="1.7840912799197407E-2"/>
                  <c:y val="-0.37962999264839431"/>
                </c:manualLayout>
              </c:layout>
              <c:tx>
                <c:rich>
                  <a:bodyPr/>
                  <a:lstStyle/>
                  <a:p>
                    <a:r>
                      <a:rPr sz="1407"/>
                      <a:t>100%</a:t>
                    </a:r>
                  </a:p>
                </c:rich>
              </c:tx>
              <c:dLblPos val="bestFit"/>
            </c:dLbl>
            <c:spPr>
              <a:noFill/>
              <a:ln w="25535">
                <a:noFill/>
              </a:ln>
            </c:spPr>
            <c:txPr>
              <a:bodyPr rot="0" spcFirstLastPara="0" vertOverflow="ellipsis" vert="horz" wrap="square" lIns="38100" tIns="19050" rIns="38100" bIns="19050" anchor="ctr" anchorCtr="1"/>
              <a:lstStyle/>
              <a:p>
                <a:pPr>
                  <a:defRPr lang="zh-CN" sz="905" b="0" i="0" u="none" strike="noStrike" kern="1200" baseline="0">
                    <a:solidFill>
                      <a:schemeClr val="tx1">
                        <a:lumMod val="75000"/>
                        <a:lumOff val="25000"/>
                      </a:schemeClr>
                    </a:solidFill>
                    <a:latin typeface="+mn-lt"/>
                    <a:ea typeface="+mn-ea"/>
                    <a:cs typeface="+mn-cs"/>
                  </a:defRPr>
                </a:pPr>
                <a:endParaRPr lang="zh-CN"/>
              </a:p>
            </c:txPr>
            <c:dLblPos val="inEnd"/>
            <c:showPercent val="1"/>
            <c:showLeaderLines val="1"/>
          </c:dLbls>
          <c:cat>
            <c:strRef>
              <c:f>Sheet1!$A$2:$A$4</c:f>
              <c:strCache>
                <c:ptCount val="3"/>
                <c:pt idx="0">
                  <c:v>因公出国（境）支出</c:v>
                </c:pt>
                <c:pt idx="1">
                  <c:v>公务用车购置及运行维护费支出</c:v>
                </c:pt>
                <c:pt idx="2">
                  <c:v>公务接待费支出</c:v>
                </c:pt>
              </c:strCache>
            </c:strRef>
          </c:cat>
          <c:val>
            <c:numRef>
              <c:f>Sheet1!$B$2:$B$4</c:f>
              <c:numCache>
                <c:formatCode>General</c:formatCode>
                <c:ptCount val="3"/>
                <c:pt idx="0">
                  <c:v>0</c:v>
                </c:pt>
                <c:pt idx="1">
                  <c:v>0</c:v>
                </c:pt>
                <c:pt idx="2">
                  <c:v>1.61</c:v>
                </c:pt>
              </c:numCache>
            </c:numRef>
          </c:val>
        </c:ser>
        <c:dLbls>
          <c:showPercent val="1"/>
        </c:dLbls>
        <c:firstSliceAng val="0"/>
      </c:pieChart>
      <c:spPr>
        <a:noFill/>
        <a:ln w="25535">
          <a:noFill/>
        </a:ln>
      </c:spPr>
    </c:plotArea>
    <c:legend>
      <c:legendPos val="r"/>
      <c:layout>
        <c:manualLayout>
          <c:xMode val="edge"/>
          <c:yMode val="edge"/>
          <c:wMode val="edge"/>
          <c:hMode val="edge"/>
          <c:x val="0.61983349366397156"/>
          <c:y val="0.29845631796025546"/>
          <c:w val="0.9531668269973036"/>
          <c:h val="0.75839257592800902"/>
        </c:manualLayout>
      </c:layout>
      <c:spPr>
        <a:noFill/>
        <a:ln w="25535">
          <a:noFill/>
        </a:ln>
      </c:spPr>
      <c:txPr>
        <a:bodyPr rot="0" spcFirstLastPara="0" vertOverflow="ellipsis" vert="horz" wrap="square" anchor="ctr" anchorCtr="1"/>
        <a:lstStyle/>
        <a:p>
          <a:pPr>
            <a:defRPr lang="zh-CN" sz="905"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76" cap="flat" cmpd="sng" algn="ctr">
      <a:solidFill>
        <a:schemeClr val="tx1">
          <a:lumMod val="15000"/>
          <a:lumOff val="85000"/>
        </a:schemeClr>
      </a:solidFill>
      <a:prstDash val="solid"/>
      <a:round/>
    </a:ln>
    <a:effectLst/>
  </c:spPr>
  <c:txPr>
    <a:bodyPr/>
    <a:lstStyle/>
    <a:p>
      <a:pPr>
        <a:defRPr lang="zh-CN"/>
      </a:pPr>
      <a:endParaRPr lang="zh-CN"/>
    </a:p>
  </c:txPr>
  <c:externalData r:id="rId2"/>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99---厂溪中学2017部门决算编制说明2</Template>
  <TotalTime>1</TotalTime>
  <Pages>10</Pages>
  <Words>600</Words>
  <Characters>3423</Characters>
  <Application>Microsoft Office Word</Application>
  <DocSecurity>0</DocSecurity>
  <Lines>28</Lines>
  <Paragraphs>8</Paragraphs>
  <ScaleCrop>false</ScaleCrop>
  <Company>四川省财政厅</Company>
  <LinksUpToDate>false</LinksUpToDate>
  <CharactersWithSpaces>4015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cp:lastPrinted>2017-08-03T09:26:00Z</cp:lastPrinted>
  <dcterms:created xsi:type="dcterms:W3CDTF">2018-09-06T07:01:00Z</dcterms:created>
  <dcterms:modified xsi:type="dcterms:W3CDTF">2018-09-06T07:02:00Z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